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6221"/>
        <w:gridCol w:w="2043"/>
      </w:tblGrid>
      <w:tr w:rsidR="005F1F09" w14:paraId="2909CB79" w14:textId="77777777" w:rsidTr="001B45DF">
        <w:trPr>
          <w:trHeight w:val="1613"/>
        </w:trPr>
        <w:tc>
          <w:tcPr>
            <w:tcW w:w="2330" w:type="dxa"/>
            <w:vAlign w:val="center"/>
          </w:tcPr>
          <w:p w14:paraId="5F00E223" w14:textId="77777777" w:rsidR="005F1F09" w:rsidRDefault="005F1F09" w:rsidP="001B45DF">
            <w:pPr>
              <w:jc w:val="center"/>
              <w:rPr>
                <w:rFonts w:ascii="Tahoma" w:hAnsi="Tahoma" w:cs="Tahoma"/>
                <w:color w:val="008080"/>
                <w:sz w:val="28"/>
              </w:rPr>
            </w:pPr>
            <w:bookmarkStart w:id="0" w:name="_Hlk140754918"/>
            <w:r w:rsidRPr="00795F85">
              <w:rPr>
                <w:noProof/>
              </w:rPr>
              <w:drawing>
                <wp:inline distT="0" distB="0" distL="0" distR="0" wp14:anchorId="2D0DAFB2" wp14:editId="011A18D5">
                  <wp:extent cx="1013460" cy="769620"/>
                  <wp:effectExtent l="0" t="0" r="0" b="0"/>
                  <wp:docPr id="3" name="Picture 3" descr="si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F8A"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 wp14:anchorId="61375CB3" wp14:editId="23EC1725">
                  <wp:extent cx="1287780" cy="7467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vAlign w:val="center"/>
          </w:tcPr>
          <w:p w14:paraId="3FF04C7B" w14:textId="77777777" w:rsidR="005F1F09" w:rsidRPr="00C97B52" w:rsidRDefault="005F1F09" w:rsidP="001B45DF">
            <w:pPr>
              <w:pStyle w:val="Heading2"/>
              <w:jc w:val="center"/>
              <w:rPr>
                <w:rFonts w:ascii="Courier New" w:hAnsi="Courier New" w:cs="Courier New"/>
                <w:color w:val="008080"/>
                <w:sz w:val="40"/>
                <w:szCs w:val="40"/>
              </w:rPr>
            </w:pPr>
            <w:r w:rsidRPr="00C97B52">
              <w:rPr>
                <w:rFonts w:ascii="Courier New" w:hAnsi="Courier New" w:cs="Courier New"/>
                <w:color w:val="008080"/>
                <w:sz w:val="40"/>
                <w:szCs w:val="40"/>
              </w:rPr>
              <w:t>SPITALUL JUDEŢEAN DE URGENŢĂ „</w:t>
            </w:r>
            <w:proofErr w:type="spellStart"/>
            <w:proofErr w:type="gramStart"/>
            <w:r w:rsidRPr="00C97B52">
              <w:rPr>
                <w:rFonts w:ascii="Courier New" w:hAnsi="Courier New" w:cs="Courier New"/>
                <w:i/>
                <w:iCs/>
                <w:color w:val="008080"/>
                <w:sz w:val="40"/>
                <w:szCs w:val="40"/>
              </w:rPr>
              <w:t>Sf.Pantelimon</w:t>
            </w:r>
            <w:proofErr w:type="spellEnd"/>
            <w:proofErr w:type="gramEnd"/>
            <w:r w:rsidRPr="00C97B52">
              <w:rPr>
                <w:rFonts w:ascii="Courier New" w:hAnsi="Courier New" w:cs="Courier New"/>
                <w:color w:val="008080"/>
                <w:sz w:val="40"/>
                <w:szCs w:val="40"/>
              </w:rPr>
              <w:t>”</w:t>
            </w:r>
            <w:r w:rsidRPr="00C97B52">
              <w:rPr>
                <w:rFonts w:ascii="Courier New" w:hAnsi="Courier New" w:cs="Courier New"/>
                <w:color w:val="008080"/>
                <w:sz w:val="40"/>
                <w:szCs w:val="40"/>
                <w:lang w:val="fr-FR"/>
              </w:rPr>
              <w:t xml:space="preserve"> </w:t>
            </w:r>
            <w:r w:rsidRPr="00C97B52">
              <w:rPr>
                <w:rFonts w:ascii="Courier New" w:hAnsi="Courier New" w:cs="Courier New"/>
                <w:color w:val="008080"/>
                <w:sz w:val="40"/>
                <w:szCs w:val="40"/>
              </w:rPr>
              <w:t>FOCŞANI</w:t>
            </w:r>
          </w:p>
          <w:p w14:paraId="00B2D684" w14:textId="77777777" w:rsidR="005F1F09" w:rsidRPr="00C97B52" w:rsidRDefault="005F1F09" w:rsidP="001B45DF">
            <w:pPr>
              <w:pStyle w:val="Heading3"/>
              <w:jc w:val="center"/>
              <w:rPr>
                <w:sz w:val="20"/>
              </w:rPr>
            </w:pPr>
            <w:r w:rsidRPr="00C97B52">
              <w:rPr>
                <w:sz w:val="20"/>
              </w:rPr>
              <w:t xml:space="preserve">E-mail: </w:t>
            </w:r>
            <w:hyperlink r:id="rId7" w:history="1">
              <w:r w:rsidRPr="00C97B52">
                <w:rPr>
                  <w:rStyle w:val="Hyperlink"/>
                  <w:sz w:val="20"/>
                </w:rPr>
                <w:t>secretariat@spitalvn.ro</w:t>
              </w:r>
            </w:hyperlink>
          </w:p>
          <w:p w14:paraId="67DC3289" w14:textId="77777777" w:rsidR="005F1F09" w:rsidRPr="00C97B52" w:rsidRDefault="005F1F09" w:rsidP="001B45DF">
            <w:pPr>
              <w:jc w:val="center"/>
              <w:rPr>
                <w:rFonts w:ascii="Courier New" w:hAnsi="Courier New" w:cs="Courier New"/>
                <w:b/>
                <w:color w:val="008080"/>
                <w:sz w:val="20"/>
                <w:szCs w:val="20"/>
              </w:rPr>
            </w:pPr>
            <w:r w:rsidRPr="00C97B52">
              <w:rPr>
                <w:rFonts w:ascii="Courier New" w:hAnsi="Courier New" w:cs="Courier New"/>
                <w:b/>
                <w:color w:val="008080"/>
                <w:sz w:val="20"/>
                <w:szCs w:val="20"/>
              </w:rPr>
              <w:t>www.spitalvn.ro</w:t>
            </w:r>
          </w:p>
          <w:p w14:paraId="058B8E89" w14:textId="77777777" w:rsidR="005F1F09" w:rsidRDefault="005F1F09" w:rsidP="001B45DF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SERVICIUL RUONS</w:t>
            </w:r>
          </w:p>
        </w:tc>
        <w:tc>
          <w:tcPr>
            <w:tcW w:w="2043" w:type="dxa"/>
            <w:vAlign w:val="center"/>
          </w:tcPr>
          <w:p w14:paraId="55E7D7C3" w14:textId="77777777" w:rsidR="005F1F09" w:rsidRDefault="005F1F09" w:rsidP="001B45DF">
            <w:pPr>
              <w:pStyle w:val="Heading1"/>
              <w:rPr>
                <w:bCs w:val="0"/>
                <w:i/>
                <w:iCs/>
                <w:color w:val="008080"/>
                <w:sz w:val="20"/>
              </w:rPr>
            </w:pPr>
            <w:r w:rsidRPr="00346A3F">
              <w:rPr>
                <w:rFonts w:ascii="Bahnschrift SemiBold" w:hAnsi="Bahnschrift SemiBold"/>
                <w:b w:val="0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3340BCC3" wp14:editId="559641E8">
                  <wp:extent cx="1066800" cy="1066800"/>
                  <wp:effectExtent l="0" t="0" r="0" b="0"/>
                  <wp:docPr id="1" name="Picture 1" descr="https://lh6.googleusercontent.com/ow0aORpDaFKzotg7oWP8V5Yjw8lbVZpWcl6yC7FZvl4eqeJgvmdDg3QHaHMrzDDGBH6zJPOjp2BJeLMj7XCZ7yYvKLgUpAzbgvEUNA9Bl6ziXcXT9J0UGF4cnFW-GH9ImsOE63Gc_oAnte03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ow0aORpDaFKzotg7oWP8V5Yjw8lbVZpWcl6yC7FZvl4eqeJgvmdDg3QHaHMrzDDGBH6zJPOjp2BJeLMj7XCZ7yYvKLgUpAzbgvEUNA9Bl6ziXcXT9J0UGF4cnFW-GH9ImsOE63Gc_oAnte03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D444F" w14:textId="77777777" w:rsidR="005F1F09" w:rsidRPr="009F7D17" w:rsidRDefault="005F1F09" w:rsidP="001B45DF">
            <w:pPr>
              <w:pStyle w:val="Heading1"/>
              <w:rPr>
                <w:bCs w:val="0"/>
                <w:i/>
                <w:iCs/>
                <w:color w:val="008080"/>
                <w:sz w:val="20"/>
              </w:rPr>
            </w:pPr>
            <w:r w:rsidRPr="009F7D17">
              <w:rPr>
                <w:bCs w:val="0"/>
                <w:i/>
                <w:iCs/>
                <w:color w:val="008080"/>
                <w:sz w:val="20"/>
              </w:rPr>
              <w:t>ISO 9001</w:t>
            </w:r>
          </w:p>
          <w:p w14:paraId="414256D4" w14:textId="77777777" w:rsidR="005F1F09" w:rsidRDefault="005F1F09" w:rsidP="001B45DF">
            <w:pPr>
              <w:pStyle w:val="Heading1"/>
              <w:rPr>
                <w:color w:val="008080"/>
              </w:rPr>
            </w:pPr>
            <w:r w:rsidRPr="009F7D17">
              <w:rPr>
                <w:bCs w:val="0"/>
                <w:i/>
                <w:iCs/>
                <w:color w:val="008080"/>
                <w:sz w:val="20"/>
              </w:rPr>
              <w:t>certificat nr. 471C</w:t>
            </w:r>
          </w:p>
        </w:tc>
      </w:tr>
    </w:tbl>
    <w:p w14:paraId="77CFAD3B" w14:textId="77777777" w:rsidR="005F1F09" w:rsidRDefault="005F1F09" w:rsidP="005F1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35AD30" w14:textId="77777777" w:rsidR="005F1F09" w:rsidRDefault="005F1F09" w:rsidP="005F1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VIZAT ,</w:t>
      </w:r>
      <w:proofErr w:type="gramEnd"/>
    </w:p>
    <w:p w14:paraId="2741F4EA" w14:textId="398ADE0F" w:rsidR="005F1F09" w:rsidRDefault="005F1F09" w:rsidP="005F1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COLEGIUL </w:t>
      </w:r>
      <w:r w:rsidR="00595349">
        <w:rPr>
          <w:rFonts w:ascii="Times New Roman" w:eastAsia="Times New Roman" w:hAnsi="Times New Roman" w:cs="Times New Roman"/>
          <w:sz w:val="24"/>
          <w:szCs w:val="24"/>
        </w:rPr>
        <w:t>FARMACISTILOR</w:t>
      </w:r>
    </w:p>
    <w:p w14:paraId="285D6CD5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24E738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C71FE4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1F51C8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14B56" w14:textId="77777777" w:rsidR="005F1F09" w:rsidRPr="000C4EA2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>ANUNT DE CONCURS</w:t>
      </w:r>
    </w:p>
    <w:p w14:paraId="3C03E860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6854F" w14:textId="77777777" w:rsidR="005F1F09" w:rsidRPr="000C4EA2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65311F" w14:textId="77777777" w:rsidR="005F1F09" w:rsidRPr="000C4EA2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4EA2">
        <w:rPr>
          <w:rFonts w:ascii="Times New Roman" w:eastAsia="Times New Roman" w:hAnsi="Times New Roman" w:cs="Times New Roman"/>
          <w:sz w:val="24"/>
          <w:szCs w:val="24"/>
        </w:rPr>
        <w:t>“ Sf.</w:t>
      </w:r>
      <w:proofErr w:type="gram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Pantelimon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Focşani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scoate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</w:p>
    <w:p w14:paraId="7D1A2AD4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EA0C89" w14:textId="77777777" w:rsidR="005F1F09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>CONCURS</w:t>
      </w:r>
    </w:p>
    <w:p w14:paraId="00EFD7FD" w14:textId="77777777" w:rsidR="005F1F09" w:rsidRPr="000C4EA2" w:rsidRDefault="005F1F09" w:rsidP="005F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3DADE6" w14:textId="0318C86F" w:rsidR="005F1F09" w:rsidRPr="00B023E6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O.M.S. nr.166/2023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00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 xml:space="preserve">un post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>acant ,</w:t>
      </w:r>
      <w:proofErr w:type="gramEnd"/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>norma</w:t>
      </w:r>
      <w:proofErr w:type="spellEnd"/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>intreaga</w:t>
      </w:r>
      <w:proofErr w:type="spellEnd"/>
      <w:r w:rsidRPr="00B023E6">
        <w:rPr>
          <w:rFonts w:ascii="Times New Roman" w:eastAsia="Times New Roman" w:hAnsi="Times New Roman" w:cs="Times New Roman"/>
          <w:b/>
          <w:sz w:val="24"/>
          <w:szCs w:val="24"/>
        </w:rPr>
        <w:t xml:space="preserve">, 7 ore,  de </w:t>
      </w:r>
      <w:proofErr w:type="spellStart"/>
      <w:r w:rsidR="00BD0FB5">
        <w:rPr>
          <w:rFonts w:ascii="Times New Roman" w:eastAsia="Times New Roman" w:hAnsi="Times New Roman" w:cs="Times New Roman"/>
          <w:b/>
          <w:sz w:val="24"/>
          <w:szCs w:val="24"/>
        </w:rPr>
        <w:t>farmacist</w:t>
      </w:r>
      <w:proofErr w:type="spellEnd"/>
      <w:r w:rsidRPr="00B023E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023E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B0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D0FB5">
        <w:rPr>
          <w:rFonts w:ascii="Times New Roman" w:eastAsia="Times New Roman" w:hAnsi="Times New Roman" w:cs="Times New Roman"/>
          <w:sz w:val="24"/>
          <w:szCs w:val="24"/>
        </w:rPr>
        <w:t>erviciului</w:t>
      </w:r>
      <w:proofErr w:type="spellEnd"/>
      <w:r w:rsidR="00BD0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FB5">
        <w:rPr>
          <w:rFonts w:ascii="Times New Roman" w:eastAsia="Times New Roman" w:hAnsi="Times New Roman" w:cs="Times New Roman"/>
          <w:sz w:val="24"/>
          <w:szCs w:val="24"/>
        </w:rPr>
        <w:t>Judetean</w:t>
      </w:r>
      <w:proofErr w:type="spellEnd"/>
      <w:r w:rsidR="00BD0F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D0FB5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="00BD0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FB5">
        <w:rPr>
          <w:rFonts w:ascii="Times New Roman" w:eastAsia="Times New Roman" w:hAnsi="Times New Roman" w:cs="Times New Roman"/>
          <w:sz w:val="24"/>
          <w:szCs w:val="24"/>
        </w:rPr>
        <w:t>Legala</w:t>
      </w:r>
      <w:proofErr w:type="spellEnd"/>
      <w:r w:rsidRPr="00B023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B023E6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0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B023E6">
        <w:rPr>
          <w:rFonts w:ascii="Times New Roman" w:eastAsia="Times New Roman" w:hAnsi="Times New Roman" w:cs="Times New Roman"/>
          <w:sz w:val="24"/>
          <w:szCs w:val="24"/>
        </w:rPr>
        <w:t>determinat</w:t>
      </w:r>
      <w:proofErr w:type="spellEnd"/>
      <w:r w:rsidRPr="00B023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023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4511BF" w14:textId="325E306B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dosare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concurs – in </w:t>
      </w:r>
      <w:proofErr w:type="spellStart"/>
      <w:proofErr w:type="gramStart"/>
      <w:r w:rsidRPr="000C4EA2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.11.2024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.11.2024</w:t>
      </w:r>
    </w:p>
    <w:p w14:paraId="35C68C6A" w14:textId="355A22CB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Selecţia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1D058D4C" w14:textId="5B1E30D0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contestatii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dosarelor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790A630A" w14:textId="18E801EC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contestaţiile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selecţia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1E866CF2" w14:textId="2950544E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scrisă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D41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41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</w:p>
    <w:p w14:paraId="260E5290" w14:textId="514B813A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EA2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02.12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14,00</w:t>
      </w:r>
    </w:p>
    <w:p w14:paraId="0E821F34" w14:textId="2E2F77AD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contesţatii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scrise: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02.12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14,00 -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03.12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14,00</w:t>
      </w:r>
    </w:p>
    <w:p w14:paraId="30F3CCE8" w14:textId="27B5C33C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contesţatiile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03.12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16,00</w:t>
      </w:r>
    </w:p>
    <w:p w14:paraId="1408B0E8" w14:textId="7F256D2C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Practică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8D4141">
        <w:rPr>
          <w:rFonts w:ascii="Times New Roman" w:eastAsia="Times New Roman" w:hAnsi="Times New Roman" w:cs="Times New Roman"/>
          <w:b/>
          <w:sz w:val="24"/>
          <w:szCs w:val="24"/>
        </w:rPr>
        <w:t>04.12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414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</w:p>
    <w:p w14:paraId="2C7778D8" w14:textId="1124BA9A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04.12.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7E63B1A9" w14:textId="665695D0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contestaţii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Practice/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Clinice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04.12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,00 -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05.12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51A38D44" w14:textId="3937D9DD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contestaţiile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05.12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</w:p>
    <w:p w14:paraId="0A6F40B3" w14:textId="58FCE054" w:rsidR="005F1F09" w:rsidRPr="000C4EA2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finale ale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D414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12,00</w:t>
      </w:r>
    </w:p>
    <w:p w14:paraId="6911C215" w14:textId="0A6A0ED3" w:rsidR="005F1F09" w:rsidRPr="00B25477" w:rsidRDefault="005F1F09" w:rsidP="005F1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E43C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B7F5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EB7F5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B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F59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EB7F5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7F59">
        <w:rPr>
          <w:rFonts w:ascii="Times New Roman" w:eastAsia="Times New Roman" w:hAnsi="Times New Roman" w:cs="Times New Roman"/>
          <w:sz w:val="24"/>
          <w:szCs w:val="24"/>
        </w:rPr>
        <w:t>ediul</w:t>
      </w:r>
      <w:proofErr w:type="spellEnd"/>
      <w:r w:rsidRPr="00EB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8D5">
        <w:rPr>
          <w:rFonts w:ascii="Times New Roman" w:eastAsia="Times New Roman" w:hAnsi="Times New Roman" w:cs="Times New Roman"/>
          <w:sz w:val="24"/>
          <w:szCs w:val="24"/>
        </w:rPr>
        <w:t>UMF</w:t>
      </w:r>
      <w:proofErr w:type="gramEnd"/>
      <w:r w:rsidR="008E58D5">
        <w:rPr>
          <w:rFonts w:ascii="Times New Roman" w:eastAsia="Times New Roman" w:hAnsi="Times New Roman" w:cs="Times New Roman"/>
          <w:sz w:val="24"/>
          <w:szCs w:val="24"/>
        </w:rPr>
        <w:t xml:space="preserve"> “GR. T. POPA “ Iasi – </w:t>
      </w:r>
      <w:proofErr w:type="spellStart"/>
      <w:r w:rsidR="008E58D5"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 w:rsidR="008E58D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E58D5">
        <w:rPr>
          <w:rFonts w:ascii="Times New Roman" w:eastAsia="Times New Roman" w:hAnsi="Times New Roman" w:cs="Times New Roman"/>
          <w:sz w:val="24"/>
          <w:szCs w:val="24"/>
        </w:rPr>
        <w:t>Farmacie</w:t>
      </w:r>
      <w:proofErr w:type="spellEnd"/>
      <w:r w:rsidR="008E58D5">
        <w:rPr>
          <w:rFonts w:ascii="Times New Roman" w:eastAsia="Times New Roman" w:hAnsi="Times New Roman" w:cs="Times New Roman"/>
          <w:sz w:val="24"/>
          <w:szCs w:val="24"/>
        </w:rPr>
        <w:t xml:space="preserve">, et.1, </w:t>
      </w:r>
      <w:proofErr w:type="spellStart"/>
      <w:r w:rsidR="008E58D5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="008E58D5">
        <w:rPr>
          <w:rFonts w:ascii="Times New Roman" w:eastAsia="Times New Roman" w:hAnsi="Times New Roman" w:cs="Times New Roman"/>
          <w:sz w:val="24"/>
          <w:szCs w:val="24"/>
        </w:rPr>
        <w:t xml:space="preserve"> 121 A, Corp  </w:t>
      </w:r>
      <w:proofErr w:type="spellStart"/>
      <w:r w:rsidR="008E58D5">
        <w:rPr>
          <w:rFonts w:ascii="Times New Roman" w:eastAsia="Times New Roman" w:hAnsi="Times New Roman" w:cs="Times New Roman"/>
          <w:sz w:val="24"/>
          <w:szCs w:val="24"/>
        </w:rPr>
        <w:t>Farmacie</w:t>
      </w:r>
      <w:proofErr w:type="spellEnd"/>
      <w:r w:rsidRPr="00B254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4F7C2A" w14:textId="77777777" w:rsidR="005F1F09" w:rsidRPr="00B25477" w:rsidRDefault="005F1F09" w:rsidP="005F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14:paraId="295B3D9D" w14:textId="77777777" w:rsidR="005F1F09" w:rsidRPr="000C4EA2" w:rsidRDefault="005F1F09" w:rsidP="005F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Condi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ţ</w:t>
      </w:r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generale</w:t>
      </w:r>
      <w:proofErr w:type="spellEnd"/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</w:t>
      </w:r>
      <w:r w:rsidRPr="000C4EA2">
        <w:rPr>
          <w:rFonts w:ascii="Times New Roman" w:eastAsia="Times New Roman" w:hAnsi="Times New Roman" w:cs="Times New Roman"/>
          <w:b/>
          <w:sz w:val="24"/>
          <w:szCs w:val="24"/>
        </w:rPr>
        <w:t>nscriere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576828" w14:textId="77777777" w:rsidR="005F1F09" w:rsidRPr="00201EC2" w:rsidRDefault="005F1F09" w:rsidP="005F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43A23F" w14:textId="77777777" w:rsidR="005F1F09" w:rsidRPr="00FD2917" w:rsidRDefault="005F1F09" w:rsidP="005F1F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Pr="00FD291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b)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D2917">
        <w:rPr>
          <w:rFonts w:ascii="Times New Roman" w:hAnsi="Times New Roman" w:cs="Times New Roman"/>
          <w:sz w:val="24"/>
          <w:szCs w:val="24"/>
        </w:rPr>
        <w:t xml:space="preserve"> are capacitate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>Legii</w:t>
        </w:r>
        <w:proofErr w:type="spellEnd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53/2003</w:t>
        </w:r>
      </w:hyperlink>
      <w:r w:rsidRPr="00FD29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FD2917">
        <w:rPr>
          <w:rFonts w:ascii="Times New Roman" w:hAnsi="Times New Roman" w:cs="Times New Roman"/>
          <w:sz w:val="24"/>
          <w:szCs w:val="24"/>
        </w:rPr>
        <w:t xml:space="preserve"> are o stare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cerin</w:t>
      </w:r>
      <w:proofErr w:type="spellStart"/>
      <w:r w:rsidRPr="00FD2917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FD2917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concurs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FD291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candidate la post</w:t>
      </w:r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FD291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pedeapsa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>;</w:t>
      </w:r>
      <w:r w:rsidRPr="00FD2917">
        <w:rPr>
          <w:rFonts w:ascii="Times New Roman" w:hAnsi="Times New Roman" w:cs="Times New Roman"/>
          <w:sz w:val="24"/>
          <w:szCs w:val="24"/>
        </w:rPr>
        <w:br/>
      </w:r>
      <w:r w:rsidRPr="00FD2917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FD291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. (2) din </w:t>
      </w:r>
      <w:hyperlink r:id="rId10" w:history="1">
        <w:proofErr w:type="spellStart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118/2019</w:t>
        </w:r>
      </w:hyperlink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</w:t>
      </w:r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>Legii</w:t>
        </w:r>
        <w:proofErr w:type="spellEnd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76/2008</w:t>
        </w:r>
      </w:hyperlink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. (1) lit. h) din </w:t>
      </w:r>
      <w:hyperlink r:id="rId12" w:history="1">
        <w:proofErr w:type="spellStart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>Hotărârea</w:t>
        </w:r>
        <w:proofErr w:type="spellEnd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>Guvernului</w:t>
        </w:r>
        <w:proofErr w:type="spellEnd"/>
        <w:r w:rsidRPr="00FD29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1336/2022</w:t>
        </w:r>
      </w:hyperlink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1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D2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40AF4" w14:textId="77777777" w:rsidR="005F1F09" w:rsidRPr="000C4EA2" w:rsidRDefault="005F1F09" w:rsidP="005F1F09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>nsc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concurs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urmă</w:t>
      </w:r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>toarele</w:t>
      </w:r>
      <w:proofErr w:type="spellEnd"/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>acte</w:t>
      </w:r>
      <w:proofErr w:type="spellEnd"/>
      <w:r w:rsidRPr="000C4E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F14F1BA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68AF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concureze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118A6A87" w14:textId="35B0B00C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68AF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06257D8F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A68A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674E997C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A68A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f), la art. 541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8A68AF">
        <w:rPr>
          <w:rFonts w:ascii="Times New Roman" w:hAnsi="Times New Roman" w:cs="Times New Roman"/>
          <w:sz w:val="24"/>
          <w:szCs w:val="24"/>
        </w:rPr>
        <w:t>),European</w:t>
      </w:r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e) din </w:t>
      </w:r>
      <w:hyperlink r:id="rId13" w:history="1">
        <w:proofErr w:type="spellStart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nr. 95/2006</w:t>
        </w:r>
      </w:hyperlink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4D630F46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A68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ANEXA3" w:history="1">
        <w:proofErr w:type="spellStart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anexa</w:t>
        </w:r>
        <w:proofErr w:type="spellEnd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nr. 3</w:t>
        </w:r>
      </w:hyperlink>
      <w:r w:rsidRPr="008A68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6C4DD97A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Pr="008A68A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019D107D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8A68A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. (2) din </w:t>
      </w:r>
      <w:hyperlink r:id="rId15" w:history="1">
        <w:proofErr w:type="spellStart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nr. 118/2019</w:t>
        </w:r>
      </w:hyperlink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</w:t>
      </w:r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lastRenderedPageBreak/>
        <w:t>privire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Pr="008A6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nr. 76/2008</w:t>
        </w:r>
      </w:hyperlink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A68AF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proofErr w:type="gramStart"/>
      <w:r w:rsidRPr="008A68AF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personae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personae </w:t>
      </w:r>
      <w:r w:rsidRPr="008A68A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018E45EF" w14:textId="77777777" w:rsidR="005F1F09" w:rsidRPr="008A68AF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8A68A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8A6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8AF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AF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8A68AF">
        <w:rPr>
          <w:rFonts w:ascii="Times New Roman" w:hAnsi="Times New Roman" w:cs="Times New Roman"/>
          <w:sz w:val="24"/>
          <w:szCs w:val="24"/>
        </w:rPr>
        <w:t>;</w:t>
      </w:r>
    </w:p>
    <w:p w14:paraId="4A1D8FFB" w14:textId="77777777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certificate </w:t>
      </w:r>
      <w:proofErr w:type="gramStart"/>
      <w:r>
        <w:rPr>
          <w:rFonts w:ascii="Times New Roman" w:hAnsi="Times New Roman" w:cs="Times New Roman"/>
          <w:sz w:val="24"/>
          <w:szCs w:val="24"/>
        </w:rPr>
        <w:t>medical  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5 (cu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apt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neuropsihic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297153" w14:textId="77777777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j)</w:t>
      </w:r>
      <w:proofErr w:type="spellStart"/>
      <w:r>
        <w:rPr>
          <w:rFonts w:ascii="Times New Roman" w:hAnsi="Times New Roman" w:cs="Times New Roman"/>
          <w:sz w:val="24"/>
          <w:szCs w:val="24"/>
        </w:rPr>
        <w:t>chitanţa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concurs;</w:t>
      </w:r>
    </w:p>
    <w:p w14:paraId="2FED6647" w14:textId="77777777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k)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17985A3" w14:textId="77777777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08A1DE" w14:textId="77777777" w:rsidR="005F1F09" w:rsidRDefault="005F1F09" w:rsidP="005F1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m)curriculum vitae,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6B1D1" w14:textId="77777777" w:rsidR="005F1F09" w:rsidRPr="000C4EA2" w:rsidRDefault="005F1F09" w:rsidP="005F1F0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0C4EA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1A10E" w14:textId="77777777" w:rsidR="005F1F09" w:rsidRDefault="005F1F09" w:rsidP="005F1F0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CC1A8" w14:textId="77777777" w:rsidR="005F1F09" w:rsidRDefault="005F1F09" w:rsidP="005F1F0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0759E" w14:textId="296C740C" w:rsidR="005F1F09" w:rsidRDefault="005F1F09" w:rsidP="005F1F0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Taxa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0C4EA2">
        <w:rPr>
          <w:rFonts w:ascii="Times New Roman" w:eastAsia="Times New Roman" w:hAnsi="Times New Roman" w:cs="Times New Roman"/>
          <w:sz w:val="24"/>
          <w:szCs w:val="24"/>
        </w:rPr>
        <w:t>nscriere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de 150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0C4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achită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casieria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A2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0C4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D0E4E" w14:textId="77777777" w:rsidR="005F1F09" w:rsidRPr="000C4EA2" w:rsidRDefault="005F1F09" w:rsidP="005F1F09">
      <w:pPr>
        <w:pStyle w:val="ListParagraph"/>
        <w:spacing w:beforeAutospacing="1" w:after="100" w:afterAutospacing="1" w:line="240" w:lineRule="auto"/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Înscrierile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concurs se fac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Sf.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Pantelimon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Focşani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RUONS,în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anunţului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maxim 30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anunţului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AB35C" w14:textId="77777777" w:rsidR="005F1F09" w:rsidRDefault="005F1F09" w:rsidP="005F1F0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RUONS, tel. 0237625000-278</w:t>
      </w:r>
    </w:p>
    <w:p w14:paraId="3D9044D8" w14:textId="77777777" w:rsidR="008E58D5" w:rsidRDefault="008E58D5" w:rsidP="005F1F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1F8EEB" w14:textId="02CAEA6F" w:rsidR="005F1F09" w:rsidRDefault="005F1F09" w:rsidP="005F1F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F4FE0">
        <w:rPr>
          <w:rFonts w:ascii="Times New Roman" w:hAnsi="Times New Roman" w:cs="Times New Roman"/>
          <w:sz w:val="24"/>
          <w:szCs w:val="24"/>
        </w:rPr>
        <w:t>EMATICA</w:t>
      </w:r>
    </w:p>
    <w:p w14:paraId="78DE9812" w14:textId="77777777" w:rsidR="008E58D5" w:rsidRPr="009F4FE0" w:rsidRDefault="008E58D5" w:rsidP="005F1F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C2EA3C3" w14:textId="14256171" w:rsidR="00086AC7" w:rsidRPr="007D4DE2" w:rsidRDefault="00086AC7" w:rsidP="00086AC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4DE2">
        <w:rPr>
          <w:rFonts w:ascii="Times New Roman" w:hAnsi="Times New Roman"/>
          <w:b/>
          <w:color w:val="000000"/>
          <w:sz w:val="24"/>
          <w:szCs w:val="24"/>
        </w:rPr>
        <w:t xml:space="preserve"> CONCURSULUI PENTRU OCUPAREA POSTU</w:t>
      </w:r>
      <w:r w:rsidR="008E58D5">
        <w:rPr>
          <w:rFonts w:ascii="Times New Roman" w:hAnsi="Times New Roman"/>
          <w:b/>
          <w:color w:val="000000"/>
          <w:sz w:val="24"/>
          <w:szCs w:val="24"/>
        </w:rPr>
        <w:t>LUI</w:t>
      </w:r>
      <w:r w:rsidRPr="007D4DE2">
        <w:rPr>
          <w:rFonts w:ascii="Times New Roman" w:hAnsi="Times New Roman"/>
          <w:b/>
          <w:color w:val="000000"/>
          <w:sz w:val="24"/>
          <w:szCs w:val="24"/>
        </w:rPr>
        <w:t xml:space="preserve"> DE</w:t>
      </w:r>
    </w:p>
    <w:p w14:paraId="244D779D" w14:textId="6F4F697F" w:rsidR="00086AC7" w:rsidRPr="007D4DE2" w:rsidRDefault="00086AC7" w:rsidP="00086AC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4DE2">
        <w:rPr>
          <w:rFonts w:ascii="Times New Roman" w:hAnsi="Times New Roman"/>
          <w:b/>
          <w:color w:val="000000"/>
          <w:sz w:val="24"/>
          <w:szCs w:val="24"/>
        </w:rPr>
        <w:t>FARMACI</w:t>
      </w:r>
      <w:r w:rsidR="008E58D5">
        <w:rPr>
          <w:rFonts w:ascii="Times New Roman" w:hAnsi="Times New Roman"/>
          <w:b/>
          <w:color w:val="000000"/>
          <w:sz w:val="24"/>
          <w:szCs w:val="24"/>
        </w:rPr>
        <w:t>ST</w:t>
      </w:r>
    </w:p>
    <w:p w14:paraId="4AF27A9B" w14:textId="77777777" w:rsidR="00086AC7" w:rsidRPr="007D4DE2" w:rsidRDefault="00086AC7" w:rsidP="00086AC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4DE2">
        <w:rPr>
          <w:rFonts w:ascii="Times New Roman" w:hAnsi="Times New Roman"/>
          <w:b/>
          <w:color w:val="000000"/>
          <w:sz w:val="24"/>
          <w:szCs w:val="24"/>
        </w:rPr>
        <w:t>CU DREPT DE LIBERĂ PRACTICĂ</w:t>
      </w:r>
    </w:p>
    <w:p w14:paraId="53566B77" w14:textId="77777777" w:rsidR="00086AC7" w:rsidRPr="00BE6C55" w:rsidRDefault="00086AC7" w:rsidP="00086AC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CF6F8F" w14:textId="1171F8FB" w:rsidR="00086AC7" w:rsidRPr="002C07DB" w:rsidRDefault="002C07DB" w:rsidP="00086AC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07DB"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r w:rsidR="00086AC7" w:rsidRPr="002C07DB">
        <w:rPr>
          <w:rFonts w:ascii="Times New Roman" w:hAnsi="Times New Roman"/>
          <w:b/>
          <w:bCs/>
          <w:color w:val="000000"/>
          <w:sz w:val="24"/>
          <w:szCs w:val="24"/>
        </w:rPr>
        <w:t>PROBA SCRISA:</w:t>
      </w:r>
    </w:p>
    <w:p w14:paraId="6876ADC5" w14:textId="7AE5A88F" w:rsidR="00086AC7" w:rsidRPr="00852C43" w:rsidRDefault="00086AC7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1.Toxicologia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medicamentelor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colinergic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>;</w:t>
      </w:r>
    </w:p>
    <w:p w14:paraId="578081EA" w14:textId="5A90BD5E" w:rsidR="00086AC7" w:rsidRPr="00852C43" w:rsidRDefault="00086AC7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2.Toxicologia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medicamentelor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antih</w:t>
      </w:r>
      <w:r w:rsidR="008974C7" w:rsidRPr="00852C43">
        <w:rPr>
          <w:rFonts w:ascii="Times New Roman" w:hAnsi="Times New Roman" w:cs="Times New Roman"/>
          <w:sz w:val="24"/>
          <w:szCs w:val="24"/>
        </w:rPr>
        <w:t>i</w:t>
      </w:r>
      <w:r w:rsidRPr="00852C43">
        <w:rPr>
          <w:rFonts w:ascii="Times New Roman" w:hAnsi="Times New Roman" w:cs="Times New Roman"/>
          <w:sz w:val="24"/>
          <w:szCs w:val="24"/>
        </w:rPr>
        <w:t>pertensive</w:t>
      </w:r>
      <w:proofErr w:type="spellEnd"/>
    </w:p>
    <w:p w14:paraId="25FE7F32" w14:textId="7DBD95E9" w:rsidR="00086AC7" w:rsidRPr="00852C43" w:rsidRDefault="00086AC7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3.Toxicologia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medicamentelor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hipnotice</w:t>
      </w:r>
      <w:proofErr w:type="spellEnd"/>
    </w:p>
    <w:p w14:paraId="6D2D18E2" w14:textId="57F5D328" w:rsidR="008974C7" w:rsidRPr="00852C43" w:rsidRDefault="008974C7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>4.Toxicolo</w:t>
      </w:r>
      <w:r w:rsidR="002C07DB" w:rsidRPr="00852C43">
        <w:rPr>
          <w:rFonts w:ascii="Times New Roman" w:hAnsi="Times New Roman" w:cs="Times New Roman"/>
          <w:sz w:val="24"/>
          <w:szCs w:val="24"/>
        </w:rPr>
        <w:t xml:space="preserve">gia </w:t>
      </w:r>
      <w:proofErr w:type="spellStart"/>
      <w:r w:rsidR="002C07DB" w:rsidRPr="00852C43">
        <w:rPr>
          <w:rFonts w:ascii="Times New Roman" w:hAnsi="Times New Roman" w:cs="Times New Roman"/>
          <w:sz w:val="24"/>
          <w:szCs w:val="24"/>
        </w:rPr>
        <w:t>tranchilizantelor</w:t>
      </w:r>
      <w:proofErr w:type="spellEnd"/>
    </w:p>
    <w:p w14:paraId="0CB27E79" w14:textId="69E7FE3F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Toxicologia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neurolepticelor</w:t>
      </w:r>
      <w:proofErr w:type="spellEnd"/>
    </w:p>
    <w:p w14:paraId="0411ADCD" w14:textId="5F941061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Toxicologia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halucinogene</w:t>
      </w:r>
      <w:proofErr w:type="spellEnd"/>
    </w:p>
    <w:p w14:paraId="5BFCCA05" w14:textId="4E454AD4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Toxicologia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anticovulsivante</w:t>
      </w:r>
      <w:proofErr w:type="spellEnd"/>
    </w:p>
    <w:p w14:paraId="53548EF1" w14:textId="7165F549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8.Intoxicatia cu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metanol</w:t>
      </w:r>
      <w:proofErr w:type="spellEnd"/>
    </w:p>
    <w:p w14:paraId="01BA4057" w14:textId="0664905E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Intoxicatia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etanol</w:t>
      </w:r>
      <w:proofErr w:type="spellEnd"/>
    </w:p>
    <w:p w14:paraId="5B031E7E" w14:textId="14A7BE35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Intoxicatia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monoxid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de carbon</w:t>
      </w:r>
    </w:p>
    <w:p w14:paraId="0238A4AA" w14:textId="6F7FF71D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Intoxicatia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benzen</w:t>
      </w:r>
      <w:proofErr w:type="spellEnd"/>
    </w:p>
    <w:p w14:paraId="600080BD" w14:textId="6E507BD9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Antidoturi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intoxicatiile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medicamentoase</w:t>
      </w:r>
      <w:proofErr w:type="spellEnd"/>
    </w:p>
    <w:p w14:paraId="20AC1444" w14:textId="31402E3C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separare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distilarea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extractia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lichid-lichid</w:t>
      </w:r>
      <w:proofErr w:type="spellEnd"/>
    </w:p>
    <w:p w14:paraId="063A73CA" w14:textId="088AC7DC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4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Cromatografia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lichide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inalta</w:t>
      </w:r>
      <w:proofErr w:type="spellEnd"/>
      <w:r w:rsidRPr="0085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43">
        <w:rPr>
          <w:rFonts w:ascii="Times New Roman" w:hAnsi="Times New Roman" w:cs="Times New Roman"/>
          <w:sz w:val="24"/>
          <w:szCs w:val="24"/>
        </w:rPr>
        <w:t>performanta</w:t>
      </w:r>
      <w:proofErr w:type="spellEnd"/>
    </w:p>
    <w:p w14:paraId="4F220349" w14:textId="66E4E27B" w:rsidR="002C07DB" w:rsidRPr="00852C43" w:rsidRDefault="002C07DB" w:rsidP="00852C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17627" w14:textId="6ADE98B1" w:rsidR="002C07DB" w:rsidRPr="002C07DB" w:rsidRDefault="002C07DB" w:rsidP="00086AC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07DB">
        <w:rPr>
          <w:rFonts w:ascii="Times New Roman" w:hAnsi="Times New Roman"/>
          <w:b/>
          <w:bCs/>
          <w:color w:val="000000"/>
          <w:sz w:val="24"/>
          <w:szCs w:val="24"/>
        </w:rPr>
        <w:t>II. PROBA PRACTICA</w:t>
      </w:r>
    </w:p>
    <w:p w14:paraId="7894B9B4" w14:textId="55D03EA9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Reactii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identificare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urmatorii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alcool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metilic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alcool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etilic</w:t>
      </w:r>
      <w:proofErr w:type="spellEnd"/>
    </w:p>
    <w:p w14:paraId="3100CF55" w14:textId="04B3BF50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derivatilor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barbiturici</w:t>
      </w:r>
      <w:proofErr w:type="spellEnd"/>
    </w:p>
    <w:p w14:paraId="7EBF01B4" w14:textId="6D389A95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atropinei</w:t>
      </w:r>
      <w:proofErr w:type="spellEnd"/>
    </w:p>
    <w:p w14:paraId="2F8F49C7" w14:textId="5A1FC953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cocaine</w:t>
      </w:r>
    </w:p>
    <w:p w14:paraId="107B50A5" w14:textId="3A8CD0BE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morfinei</w:t>
      </w:r>
      <w:proofErr w:type="spellEnd"/>
    </w:p>
    <w:p w14:paraId="4730D19D" w14:textId="1B380EA5" w:rsidR="002C07DB" w:rsidRDefault="002C07DB" w:rsidP="002C07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codeine</w:t>
      </w:r>
      <w:r w:rsidR="00852C4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</w:p>
    <w:p w14:paraId="1FD937B3" w14:textId="75AC2BC7" w:rsidR="002C07DB" w:rsidRDefault="002C07DB" w:rsidP="002C07D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91868BA" w14:textId="1C0296F9" w:rsidR="002C07DB" w:rsidRDefault="002C07DB" w:rsidP="002C07D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07DB">
        <w:rPr>
          <w:rFonts w:ascii="Times New Roman" w:hAnsi="Times New Roman"/>
          <w:b/>
          <w:bCs/>
          <w:color w:val="000000"/>
          <w:sz w:val="24"/>
          <w:szCs w:val="24"/>
        </w:rPr>
        <w:t>BIBLIOGRAFIE</w:t>
      </w:r>
    </w:p>
    <w:p w14:paraId="2A669DCF" w14:textId="3DD30741" w:rsidR="002C07DB" w:rsidRDefault="002C07DB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14E8">
        <w:rPr>
          <w:rFonts w:ascii="Times New Roman" w:hAnsi="Times New Roman"/>
          <w:color w:val="000000"/>
          <w:sz w:val="24"/>
          <w:szCs w:val="24"/>
        </w:rPr>
        <w:t xml:space="preserve">Cristea Aurelia </w:t>
      </w:r>
      <w:proofErr w:type="gramStart"/>
      <w:r w:rsidRPr="002214E8">
        <w:rPr>
          <w:rFonts w:ascii="Times New Roman" w:hAnsi="Times New Roman"/>
          <w:color w:val="000000"/>
          <w:sz w:val="24"/>
          <w:szCs w:val="24"/>
        </w:rPr>
        <w:t>Nicoleta  (</w:t>
      </w:r>
      <w:proofErr w:type="gramEnd"/>
      <w:r w:rsidRPr="002214E8">
        <w:rPr>
          <w:rFonts w:ascii="Times New Roman" w:hAnsi="Times New Roman"/>
          <w:color w:val="000000"/>
          <w:sz w:val="24"/>
          <w:szCs w:val="24"/>
        </w:rPr>
        <w:t xml:space="preserve">sub </w:t>
      </w:r>
      <w:proofErr w:type="spellStart"/>
      <w:r w:rsidRPr="002214E8">
        <w:rPr>
          <w:rFonts w:ascii="Times New Roman" w:hAnsi="Times New Roman"/>
          <w:color w:val="000000"/>
          <w:sz w:val="24"/>
          <w:szCs w:val="24"/>
        </w:rPr>
        <w:t>redactia</w:t>
      </w:r>
      <w:proofErr w:type="spellEnd"/>
      <w:r w:rsidRPr="002214E8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2214E8">
        <w:rPr>
          <w:rFonts w:ascii="Times New Roman" w:hAnsi="Times New Roman"/>
          <w:color w:val="000000"/>
          <w:sz w:val="24"/>
          <w:szCs w:val="24"/>
        </w:rPr>
        <w:t>Tratat</w:t>
      </w:r>
      <w:proofErr w:type="spellEnd"/>
      <w:r w:rsidRPr="002214E8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214E8">
        <w:rPr>
          <w:rFonts w:ascii="Times New Roman" w:hAnsi="Times New Roman"/>
          <w:color w:val="000000"/>
          <w:sz w:val="24"/>
          <w:szCs w:val="24"/>
        </w:rPr>
        <w:t>farmacologie</w:t>
      </w:r>
      <w:proofErr w:type="spellEnd"/>
      <w:r w:rsidRPr="002214E8">
        <w:rPr>
          <w:rFonts w:ascii="Times New Roman" w:hAnsi="Times New Roman"/>
          <w:color w:val="000000"/>
          <w:sz w:val="24"/>
          <w:szCs w:val="24"/>
        </w:rPr>
        <w:t xml:space="preserve">, Ed. </w:t>
      </w:r>
      <w:proofErr w:type="spellStart"/>
      <w:r w:rsidRPr="002214E8">
        <w:rPr>
          <w:rFonts w:ascii="Times New Roman" w:hAnsi="Times New Roman"/>
          <w:color w:val="000000"/>
          <w:sz w:val="24"/>
          <w:szCs w:val="24"/>
        </w:rPr>
        <w:t>Medicala</w:t>
      </w:r>
      <w:proofErr w:type="spellEnd"/>
      <w:r w:rsidR="002214E8" w:rsidRPr="002214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214E8" w:rsidRPr="002214E8">
        <w:rPr>
          <w:rFonts w:ascii="Times New Roman" w:hAnsi="Times New Roman"/>
          <w:color w:val="000000"/>
          <w:sz w:val="24"/>
          <w:szCs w:val="24"/>
        </w:rPr>
        <w:t>Bucuresti</w:t>
      </w:r>
      <w:proofErr w:type="spellEnd"/>
      <w:r w:rsidR="002214E8" w:rsidRPr="002214E8">
        <w:rPr>
          <w:rFonts w:ascii="Times New Roman" w:hAnsi="Times New Roman"/>
          <w:color w:val="000000"/>
          <w:sz w:val="24"/>
          <w:szCs w:val="24"/>
        </w:rPr>
        <w:t xml:space="preserve">, 2005 </w:t>
      </w:r>
      <w:proofErr w:type="spellStart"/>
      <w:r w:rsidR="002214E8" w:rsidRPr="002214E8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2214E8" w:rsidRPr="002214E8">
        <w:rPr>
          <w:rFonts w:ascii="Times New Roman" w:hAnsi="Times New Roman"/>
          <w:color w:val="000000"/>
          <w:sz w:val="24"/>
          <w:szCs w:val="24"/>
        </w:rPr>
        <w:t xml:space="preserve"> 2006</w:t>
      </w:r>
    </w:p>
    <w:p w14:paraId="63CA2526" w14:textId="5BFC7F99" w:rsidR="002214E8" w:rsidRDefault="002214E8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Elena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Butnaru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Toxicologie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vol. I,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Timpul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Iasi, 2000</w:t>
      </w:r>
    </w:p>
    <w:p w14:paraId="00B802B4" w14:textId="263EEC57" w:rsidR="002214E8" w:rsidRDefault="002214E8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Elena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Butnaru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Toxicologie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vol. II,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Timpul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Iasi, 2001</w:t>
      </w:r>
    </w:p>
    <w:p w14:paraId="56FD8272" w14:textId="1C48CED6" w:rsidR="002214E8" w:rsidRDefault="002214E8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Luminita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Agoroaei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Elena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Butnaru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Toxici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gazosi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volatile,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“Gr. T. Popa”, UMF Iasi 2005</w:t>
      </w:r>
    </w:p>
    <w:p w14:paraId="3033B332" w14:textId="26395564" w:rsidR="002214E8" w:rsidRDefault="002214E8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Elena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Butnaru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Luminita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Agoroaei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Lucrari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practice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toxicologie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fascicola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I, Iasi</w:t>
      </w:r>
      <w:r w:rsidR="00852C43">
        <w:rPr>
          <w:rFonts w:ascii="Times New Roman" w:hAnsi="Times New Roman"/>
          <w:color w:val="000000"/>
          <w:sz w:val="24"/>
          <w:szCs w:val="24"/>
        </w:rPr>
        <w:t xml:space="preserve"> 1996</w:t>
      </w:r>
    </w:p>
    <w:p w14:paraId="54D8DF66" w14:textId="43166558" w:rsidR="00852C43" w:rsidRPr="002214E8" w:rsidRDefault="00852C43" w:rsidP="00852C4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Elena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Butnaru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Lucrari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practice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toxicologie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fascicola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II, Iasi 1995</w:t>
      </w:r>
    </w:p>
    <w:p w14:paraId="008DA3FD" w14:textId="57CBDAE6" w:rsidR="00852C43" w:rsidRPr="002214E8" w:rsidRDefault="00852C43" w:rsidP="002214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Bojita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Robert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Sandulescu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Liviu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Roman, Radu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Oprean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controlul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medicamentelor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vol.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Intelcredo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2002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2003.</w:t>
      </w:r>
    </w:p>
    <w:p w14:paraId="239FFDBB" w14:textId="0FC96FCF" w:rsidR="002214E8" w:rsidRPr="002214E8" w:rsidRDefault="002214E8" w:rsidP="002214E8">
      <w:pPr>
        <w:pStyle w:val="ListParagraph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805DC9" w14:textId="77777777" w:rsidR="00852C43" w:rsidRDefault="00852C43" w:rsidP="005F1F09">
      <w:pPr>
        <w:pStyle w:val="ListParagraph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9D0085" w14:textId="42998B43" w:rsidR="005F1F09" w:rsidRPr="000C4EA2" w:rsidRDefault="00086AC7" w:rsidP="005F1F09">
      <w:pPr>
        <w:pStyle w:val="ListParagraph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MANAGER,</w:t>
      </w:r>
    </w:p>
    <w:p w14:paraId="3B29E6A7" w14:textId="77777777" w:rsidR="005F1F09" w:rsidRDefault="005F1F09" w:rsidP="005F1F09">
      <w:pPr>
        <w:pStyle w:val="ListParagraph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4EA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>IFRIM RODICA IOANA</w:t>
      </w:r>
    </w:p>
    <w:p w14:paraId="518263B7" w14:textId="350681F2" w:rsidR="005F1F09" w:rsidRDefault="005F1F09" w:rsidP="005F1F09"/>
    <w:p w14:paraId="55B3E506" w14:textId="77777777" w:rsidR="00852C43" w:rsidRDefault="00852C43" w:rsidP="005F1F09"/>
    <w:p w14:paraId="12385586" w14:textId="77777777" w:rsidR="005F1F09" w:rsidRPr="003E6A49" w:rsidRDefault="005F1F09" w:rsidP="005F1F0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E6A49">
        <w:rPr>
          <w:rFonts w:ascii="Times New Roman" w:hAnsi="Times New Roman" w:cs="Times New Roman"/>
          <w:sz w:val="24"/>
          <w:szCs w:val="24"/>
        </w:rPr>
        <w:t xml:space="preserve">  SEF SERV. RUONS,</w:t>
      </w:r>
    </w:p>
    <w:p w14:paraId="1635BAB1" w14:textId="77777777" w:rsidR="005F1F09" w:rsidRPr="003E6A49" w:rsidRDefault="005F1F09" w:rsidP="005F1F0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E6A49">
        <w:rPr>
          <w:rFonts w:ascii="Times New Roman" w:hAnsi="Times New Roman" w:cs="Times New Roman"/>
          <w:sz w:val="24"/>
          <w:szCs w:val="24"/>
        </w:rPr>
        <w:t>EC. MUNTEANU VASILICA</w:t>
      </w:r>
    </w:p>
    <w:p w14:paraId="2647D6F1" w14:textId="77777777" w:rsidR="005F1F09" w:rsidRDefault="005F1F09" w:rsidP="005F1F09"/>
    <w:p w14:paraId="16FD5517" w14:textId="77777777" w:rsidR="00B51B45" w:rsidRDefault="00B51B45"/>
    <w:sectPr w:rsidR="00B51B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2EF"/>
    <w:multiLevelType w:val="hybridMultilevel"/>
    <w:tmpl w:val="56AA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C73BF"/>
    <w:multiLevelType w:val="hybridMultilevel"/>
    <w:tmpl w:val="58DA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80"/>
    <w:rsid w:val="00086AC7"/>
    <w:rsid w:val="002214E8"/>
    <w:rsid w:val="002C07DB"/>
    <w:rsid w:val="00595349"/>
    <w:rsid w:val="005F1F09"/>
    <w:rsid w:val="007837C0"/>
    <w:rsid w:val="00852C43"/>
    <w:rsid w:val="008974C7"/>
    <w:rsid w:val="008D4141"/>
    <w:rsid w:val="008E58D5"/>
    <w:rsid w:val="00B51B45"/>
    <w:rsid w:val="00B55780"/>
    <w:rsid w:val="00B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1ADD"/>
  <w15:chartTrackingRefBased/>
  <w15:docId w15:val="{C132D2CA-7FA4-4ABF-A091-2BE5D5B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F1F09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F09"/>
    <w:rPr>
      <w:rFonts w:ascii="Tahoma" w:eastAsia="Times New Roman" w:hAnsi="Tahoma" w:cs="Tahoma"/>
      <w:b/>
      <w:bCs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F1F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F0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nhideWhenUsed/>
    <w:rsid w:val="005F1F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F09"/>
    <w:pPr>
      <w:ind w:left="720"/>
      <w:contextualSpacing/>
    </w:pPr>
  </w:style>
  <w:style w:type="paragraph" w:styleId="NoSpacing">
    <w:name w:val="No Spacing"/>
    <w:uiPriority w:val="1"/>
    <w:qFormat/>
    <w:rsid w:val="005F1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nsaved://LexNavigator.htm/DB0;LexAct%202397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@spitalvn.ro" TargetMode="External"/><Relationship Id="rId12" Type="http://schemas.openxmlformats.org/officeDocument/2006/relationships/hyperlink" Target="unsaved://LexNavigator.htm/DB0;LexAct%20481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nsaved://LexNavigator.htm/DB0;LexAct%201062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unsaved://LexNavigator.htm/DB0;LexAct%20106258" TargetMode="External"/><Relationship Id="rId5" Type="http://schemas.openxmlformats.org/officeDocument/2006/relationships/image" Target="media/image1.png"/><Relationship Id="rId15" Type="http://schemas.openxmlformats.org/officeDocument/2006/relationships/hyperlink" Target="unsaved://LexNavigator.htm/DB0;LexAct%20386447" TargetMode="External"/><Relationship Id="rId10" Type="http://schemas.openxmlformats.org/officeDocument/2006/relationships/hyperlink" Target="unsaved://LexNavigator.htm/DB0;LexAct%20386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146462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personal1</cp:lastModifiedBy>
  <cp:revision>7</cp:revision>
  <dcterms:created xsi:type="dcterms:W3CDTF">2024-11-04T10:12:00Z</dcterms:created>
  <dcterms:modified xsi:type="dcterms:W3CDTF">2024-11-05T12:58:00Z</dcterms:modified>
</cp:coreProperties>
</file>