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73489" w14:textId="48885B75" w:rsidR="00423816" w:rsidRPr="00C14E42" w:rsidRDefault="00EE43DB" w:rsidP="001F7E60">
      <w:pPr>
        <w:spacing w:after="0" w:line="240" w:lineRule="auto"/>
        <w:jc w:val="both"/>
        <w:rPr>
          <w:rFonts w:ascii="Times New Roman" w:eastAsia="Times New Roman" w:hAnsi="Times New Roman" w:cs="Times New Roman"/>
          <w:sz w:val="24"/>
          <w:szCs w:val="24"/>
          <w:lang w:eastAsia="ro-RO"/>
        </w:rPr>
      </w:pPr>
      <w:bookmarkStart w:id="0" w:name="6517596"/>
      <w:bookmarkEnd w:id="0"/>
      <w:r w:rsidRPr="00C14E42">
        <w:rPr>
          <w:rFonts w:ascii="Times New Roman" w:eastAsia="Times New Roman" w:hAnsi="Times New Roman" w:cs="Times New Roman"/>
          <w:sz w:val="24"/>
          <w:szCs w:val="24"/>
          <w:lang w:eastAsia="ro-RO"/>
        </w:rPr>
        <w:t>    Anex</w:t>
      </w:r>
      <w:r w:rsidR="004B7BFC" w:rsidRPr="00C14E42">
        <w:rPr>
          <w:rFonts w:ascii="Times New Roman" w:eastAsia="Times New Roman" w:hAnsi="Times New Roman" w:cs="Times New Roman"/>
          <w:sz w:val="24"/>
          <w:szCs w:val="24"/>
          <w:lang w:eastAsia="ro-RO"/>
        </w:rPr>
        <w:t>ă</w:t>
      </w:r>
    </w:p>
    <w:p w14:paraId="32297158" w14:textId="5BDACC0F" w:rsidR="005A6C77" w:rsidRPr="00C14E42" w:rsidRDefault="005A6C77" w:rsidP="001F7E60">
      <w:pPr>
        <w:spacing w:after="0" w:line="240" w:lineRule="auto"/>
        <w:jc w:val="both"/>
        <w:rPr>
          <w:rFonts w:ascii="Times New Roman" w:eastAsia="Times New Roman" w:hAnsi="Times New Roman" w:cs="Times New Roman"/>
          <w:sz w:val="24"/>
          <w:szCs w:val="24"/>
          <w:lang w:eastAsia="ro-RO"/>
        </w:rPr>
      </w:pPr>
      <w:r w:rsidRPr="00C14E42">
        <w:rPr>
          <w:rFonts w:ascii="Times New Roman" w:eastAsia="Times New Roman" w:hAnsi="Times New Roman" w:cs="Times New Roman"/>
          <w:sz w:val="24"/>
          <w:szCs w:val="24"/>
          <w:lang w:eastAsia="ro-RO"/>
        </w:rPr>
        <w:t>(anexă la Ordinul nr. 487/2020)</w:t>
      </w:r>
    </w:p>
    <w:p w14:paraId="45575724" w14:textId="77777777" w:rsidR="00A70FF1" w:rsidRPr="00C14E42" w:rsidRDefault="00A70FF1" w:rsidP="003F7471">
      <w:pPr>
        <w:spacing w:before="100" w:beforeAutospacing="1" w:after="100" w:afterAutospacing="1" w:line="240" w:lineRule="auto"/>
        <w:rPr>
          <w:rFonts w:ascii="Times New Roman" w:eastAsia="Times New Roman" w:hAnsi="Times New Roman" w:cs="Times New Roman"/>
          <w:b/>
          <w:iCs/>
          <w:sz w:val="24"/>
          <w:szCs w:val="24"/>
          <w:lang w:eastAsia="ro-RO"/>
        </w:rPr>
      </w:pPr>
    </w:p>
    <w:p w14:paraId="7D7F2AC5" w14:textId="3C9E7DBA" w:rsidR="00A70FF1" w:rsidRPr="00C14E42" w:rsidRDefault="00EE43DB" w:rsidP="003F7471">
      <w:pPr>
        <w:spacing w:before="100" w:beforeAutospacing="1" w:after="100" w:afterAutospacing="1" w:line="240" w:lineRule="auto"/>
        <w:jc w:val="center"/>
        <w:rPr>
          <w:rFonts w:ascii="Times New Roman" w:eastAsia="Times New Roman" w:hAnsi="Times New Roman" w:cs="Times New Roman"/>
          <w:b/>
          <w:iCs/>
          <w:sz w:val="24"/>
          <w:szCs w:val="24"/>
          <w:lang w:eastAsia="ro-RO"/>
        </w:rPr>
      </w:pPr>
      <w:r w:rsidRPr="00C14E42">
        <w:rPr>
          <w:rFonts w:ascii="Times New Roman" w:eastAsia="Times New Roman" w:hAnsi="Times New Roman" w:cs="Times New Roman"/>
          <w:b/>
          <w:iCs/>
          <w:sz w:val="24"/>
          <w:szCs w:val="24"/>
          <w:lang w:eastAsia="ro-RO"/>
        </w:rPr>
        <w:t>PROTOCOL</w:t>
      </w:r>
      <w:r w:rsidR="00E533B7" w:rsidRPr="00C14E42">
        <w:rPr>
          <w:rFonts w:ascii="Times New Roman" w:eastAsia="Times New Roman" w:hAnsi="Times New Roman" w:cs="Times New Roman"/>
          <w:b/>
          <w:iCs/>
          <w:sz w:val="24"/>
          <w:szCs w:val="24"/>
          <w:lang w:eastAsia="ro-RO"/>
        </w:rPr>
        <w:t xml:space="preserve"> </w:t>
      </w:r>
      <w:r w:rsidRPr="00C14E42">
        <w:rPr>
          <w:rFonts w:ascii="Times New Roman" w:eastAsia="Times New Roman" w:hAnsi="Times New Roman" w:cs="Times New Roman"/>
          <w:b/>
          <w:iCs/>
          <w:sz w:val="24"/>
          <w:szCs w:val="24"/>
          <w:lang w:eastAsia="ro-RO"/>
        </w:rPr>
        <w:t xml:space="preserve">de tratament al </w:t>
      </w:r>
      <w:r w:rsidR="00A70FF1" w:rsidRPr="00C14E42">
        <w:rPr>
          <w:rFonts w:ascii="Times New Roman" w:eastAsia="Times New Roman" w:hAnsi="Times New Roman" w:cs="Times New Roman"/>
          <w:b/>
          <w:iCs/>
          <w:sz w:val="24"/>
          <w:szCs w:val="24"/>
          <w:lang w:eastAsia="ro-RO"/>
        </w:rPr>
        <w:t>infec</w:t>
      </w:r>
      <w:r w:rsidR="004B7BFC" w:rsidRPr="00C14E42">
        <w:rPr>
          <w:rFonts w:ascii="Times New Roman" w:eastAsia="Times New Roman" w:hAnsi="Times New Roman" w:cs="Times New Roman"/>
          <w:b/>
          <w:iCs/>
          <w:sz w:val="24"/>
          <w:szCs w:val="24"/>
          <w:lang w:eastAsia="ro-RO"/>
        </w:rPr>
        <w:t>ț</w:t>
      </w:r>
      <w:r w:rsidR="00A70FF1" w:rsidRPr="00C14E42">
        <w:rPr>
          <w:rFonts w:ascii="Times New Roman" w:eastAsia="Times New Roman" w:hAnsi="Times New Roman" w:cs="Times New Roman"/>
          <w:b/>
          <w:iCs/>
          <w:sz w:val="24"/>
          <w:szCs w:val="24"/>
          <w:lang w:eastAsia="ro-RO"/>
        </w:rPr>
        <w:t>iei cu virusul SARS-CoV-2</w:t>
      </w:r>
    </w:p>
    <w:p w14:paraId="3DA0E751" w14:textId="77777777" w:rsidR="00022853" w:rsidRPr="00C14E42" w:rsidRDefault="00EE43DB"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lang w:eastAsia="ro-RO"/>
        </w:rPr>
        <w:t> </w:t>
      </w:r>
      <w:r w:rsidR="00022853" w:rsidRPr="00C14E42">
        <w:rPr>
          <w:rFonts w:ascii="Times New Roman" w:eastAsia="Times New Roman" w:hAnsi="Times New Roman" w:cs="Times New Roman"/>
          <w:sz w:val="24"/>
          <w:szCs w:val="24"/>
          <w:bdr w:val="none" w:sz="0" w:space="0" w:color="auto" w:frame="1"/>
          <w:shd w:val="clear" w:color="auto" w:fill="FFFFFF"/>
        </w:rPr>
        <w:t xml:space="preserve">Având în vedere acumularea de noi date clinice, precum și monitorizarea și îngrijirea în ambulatoriu a tot mai mulți pacienți, Comisia de boli infecțioase a Ministerului Sănătății propune un protocol de tratament revizuit pentru pacienții adulți. </w:t>
      </w:r>
    </w:p>
    <w:p w14:paraId="2E3A9A27" w14:textId="77777777" w:rsidR="00022853"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785F095E" w14:textId="77777777" w:rsidR="00022853"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Acest protocol de tratament al infecției cu virusul SARS-CoV-2 abordează cazul general al pacienților cu COVID-19, fără a detalia situații particulare. Pentru realizarea acestuia au fost analizate prevederile documentelor emise de Organizația Mondială a Sănătății și de Centrul European de Prevenire și Control al Bolilor, ale unor ghiduri terapeutice și alte materiale publicate de la realizarea versiunii anterioare.</w:t>
      </w:r>
    </w:p>
    <w:p w14:paraId="5ABB6A12" w14:textId="77777777" w:rsidR="00022853" w:rsidRPr="00C14E42" w:rsidRDefault="00022853" w:rsidP="00DB2D5B">
      <w:pPr>
        <w:spacing w:after="0" w:line="240" w:lineRule="auto"/>
        <w:ind w:right="72"/>
        <w:jc w:val="both"/>
        <w:rPr>
          <w:rFonts w:ascii="Times New Roman" w:eastAsia="Times New Roman" w:hAnsi="Times New Roman" w:cs="Times New Roman"/>
          <w:sz w:val="24"/>
          <w:szCs w:val="24"/>
          <w:bdr w:val="none" w:sz="0" w:space="0" w:color="auto" w:frame="1"/>
          <w:shd w:val="clear" w:color="auto" w:fill="FFFFFF"/>
        </w:rPr>
      </w:pPr>
    </w:p>
    <w:p w14:paraId="3EFA0CD7" w14:textId="251048DF" w:rsidR="00022853" w:rsidRPr="00C14E42" w:rsidRDefault="00434BEE" w:rsidP="00022853">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A.</w:t>
      </w:r>
      <w:r w:rsidRPr="00C14E42">
        <w:rPr>
          <w:rFonts w:ascii="Times New Roman" w:eastAsia="Times New Roman" w:hAnsi="Times New Roman" w:cs="Times New Roman"/>
          <w:b/>
          <w:sz w:val="24"/>
          <w:szCs w:val="24"/>
          <w:bdr w:val="dotted" w:sz="6" w:space="0" w:color="FEFEFE" w:frame="1"/>
          <w:shd w:val="clear" w:color="auto" w:fill="FFFFFF"/>
        </w:rPr>
        <w:t> </w:t>
      </w:r>
      <w:r w:rsidRPr="00C14E42">
        <w:rPr>
          <w:rFonts w:ascii="Times New Roman" w:eastAsia="Times New Roman" w:hAnsi="Times New Roman" w:cs="Times New Roman"/>
          <w:b/>
          <w:sz w:val="24"/>
          <w:szCs w:val="24"/>
          <w:bdr w:val="none" w:sz="0" w:space="0" w:color="auto" w:frame="1"/>
          <w:shd w:val="clear" w:color="auto" w:fill="FFFFFF"/>
        </w:rPr>
        <w:t>RECOMANDĂRI PE SCURT</w:t>
      </w:r>
    </w:p>
    <w:p w14:paraId="2AB62090" w14:textId="77777777" w:rsidR="00022853" w:rsidRPr="00C14E42" w:rsidRDefault="00022853"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280C0B15" w14:textId="77777777" w:rsidR="00022853"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1.</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bdr w:val="none" w:sz="0" w:space="0" w:color="auto" w:frame="1"/>
          <w:shd w:val="clear" w:color="auto" w:fill="FFFFFF"/>
        </w:rPr>
        <w:t>Persoana cu infecție asimptomatică cu SARS-CoV-2 nu necesită un tratament medicamentos.</w:t>
      </w:r>
    </w:p>
    <w:p w14:paraId="56907EFA" w14:textId="77777777" w:rsidR="00022853" w:rsidRPr="00C14E42" w:rsidRDefault="00022853" w:rsidP="00022853">
      <w:pPr>
        <w:spacing w:after="0" w:line="240" w:lineRule="auto"/>
        <w:ind w:left="72" w:right="72"/>
        <w:jc w:val="both"/>
        <w:rPr>
          <w:rFonts w:ascii="Times New Roman" w:eastAsia="Times New Roman" w:hAnsi="Times New Roman" w:cs="Times New Roman"/>
          <w:bCs/>
          <w:sz w:val="24"/>
          <w:szCs w:val="24"/>
          <w:bdr w:val="none" w:sz="0" w:space="0" w:color="auto" w:frame="1"/>
          <w:shd w:val="clear" w:color="auto" w:fill="FFFFFF"/>
        </w:rPr>
      </w:pPr>
    </w:p>
    <w:p w14:paraId="0064220D" w14:textId="77777777" w:rsidR="00022853"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2.</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bdr w:val="none" w:sz="0" w:space="0" w:color="auto" w:frame="1"/>
          <w:shd w:val="clear" w:color="auto" w:fill="FFFFFF"/>
        </w:rPr>
        <w:t>Îngrijirea pacienților cu forme ușoare de boală, în cazul pacienților fără factori de risc pentru evoluție severă, recurge la medicație simptomatică; simptomaticele pot fi utile și pentru pacienți cu forme mai severe de boală.</w:t>
      </w:r>
    </w:p>
    <w:p w14:paraId="380AFBF3" w14:textId="77777777" w:rsidR="00022853" w:rsidRPr="00C14E42" w:rsidRDefault="00022853" w:rsidP="00022853">
      <w:pPr>
        <w:spacing w:after="0" w:line="240" w:lineRule="auto"/>
        <w:ind w:left="72" w:right="72"/>
        <w:jc w:val="both"/>
        <w:rPr>
          <w:rFonts w:ascii="Times New Roman" w:eastAsia="Times New Roman" w:hAnsi="Times New Roman" w:cs="Times New Roman"/>
          <w:bCs/>
          <w:sz w:val="24"/>
          <w:szCs w:val="24"/>
          <w:bdr w:val="none" w:sz="0" w:space="0" w:color="auto" w:frame="1"/>
          <w:shd w:val="clear" w:color="auto" w:fill="FFFFFF"/>
        </w:rPr>
      </w:pPr>
    </w:p>
    <w:p w14:paraId="1870621C" w14:textId="77777777" w:rsidR="00022853"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3.</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bdr w:val="none" w:sz="0" w:space="0" w:color="auto" w:frame="1"/>
          <w:shd w:val="clear" w:color="auto" w:fill="FFFFFF"/>
        </w:rPr>
        <w:t>Antiviralele au o eficiență cu atât mai mare cu cât sunt administrate mai devreme în cursul bolii, de preferat începând din primele zile de evoluție; raportul beneficiu/risc este cu atât mai mare cu cât pacientul are un risc mai mare de evoluție severă. De aceea antiviralele se administrează în primul rând pacienților cu forme nonsevere de boală care au factori de risc pentru evoluția severă.</w:t>
      </w:r>
    </w:p>
    <w:p w14:paraId="3C0E3040" w14:textId="77777777" w:rsidR="00022853" w:rsidRPr="00C14E42" w:rsidRDefault="00022853" w:rsidP="00022853">
      <w:pPr>
        <w:spacing w:after="0" w:line="240" w:lineRule="auto"/>
        <w:ind w:left="72" w:right="72"/>
        <w:jc w:val="both"/>
        <w:rPr>
          <w:rFonts w:ascii="Times New Roman" w:eastAsia="Times New Roman" w:hAnsi="Times New Roman" w:cs="Times New Roman"/>
          <w:bCs/>
          <w:sz w:val="24"/>
          <w:szCs w:val="24"/>
          <w:bdr w:val="none" w:sz="0" w:space="0" w:color="auto" w:frame="1"/>
          <w:shd w:val="clear" w:color="auto" w:fill="FFFFFF"/>
        </w:rPr>
      </w:pPr>
    </w:p>
    <w:p w14:paraId="075DCD29" w14:textId="7B2FAFF2" w:rsidR="00022853"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4.</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bdr w:val="none" w:sz="0" w:space="0" w:color="auto" w:frame="1"/>
          <w:shd w:val="clear" w:color="auto" w:fill="FFFFFF"/>
        </w:rPr>
        <w:t>Dintre antivirale, remdesivir se recomandă în formele medii de boală la pacienți cu factori de risc pentru evolu</w:t>
      </w:r>
      <w:r w:rsidR="007B2168" w:rsidRPr="00C14E42">
        <w:rPr>
          <w:rFonts w:ascii="Times New Roman" w:eastAsia="Times New Roman" w:hAnsi="Times New Roman" w:cs="Times New Roman"/>
          <w:sz w:val="24"/>
          <w:szCs w:val="24"/>
          <w:bdr w:val="none" w:sz="0" w:space="0" w:color="auto" w:frame="1"/>
          <w:shd w:val="clear" w:color="auto" w:fill="FFFFFF"/>
        </w:rPr>
        <w:t xml:space="preserve">ție severă și în formele severe, </w:t>
      </w:r>
      <w:r w:rsidRPr="00C14E42">
        <w:rPr>
          <w:rFonts w:ascii="Times New Roman" w:eastAsia="Times New Roman" w:hAnsi="Times New Roman" w:cs="Times New Roman"/>
          <w:sz w:val="24"/>
          <w:szCs w:val="24"/>
          <w:bdr w:val="none" w:sz="0" w:space="0" w:color="auto" w:frame="1"/>
          <w:shd w:val="clear" w:color="auto" w:fill="FFFFFF"/>
        </w:rPr>
        <w:t>pe criterii de disponibilitate, eficiență și riscuri. Antiviralele cu administrare orală (molnupiravir, paxlovid) pot fi folosite în formele ușoare și medii de boală, la pacienții evaluați clinic, imagistic și biologic, atât la pacienții spitalizați cât și la cei tratați în ambulator. Anticorpii monoclonali neutralizanți sunt recomandați în formele ușoare și medii de boală, cât mai repede după debutul bolii; efectul benefic este mai ridicat în cazul administrării la pacienții cu factori de risc pentru evoluția severă a COVID-19. Administrarea lor se va face în funcție de variantele virale majoritar circulante, odată cu actualizarea datelor științifice disponibile.</w:t>
      </w:r>
    </w:p>
    <w:p w14:paraId="3BB73C04" w14:textId="77777777" w:rsidR="00022853" w:rsidRPr="00C14E42" w:rsidRDefault="00022853" w:rsidP="00022853">
      <w:pPr>
        <w:spacing w:after="0" w:line="240" w:lineRule="auto"/>
        <w:ind w:left="72" w:right="72"/>
        <w:jc w:val="both"/>
        <w:rPr>
          <w:rFonts w:ascii="Times New Roman" w:eastAsia="Times New Roman" w:hAnsi="Times New Roman" w:cs="Times New Roman"/>
          <w:bCs/>
          <w:sz w:val="24"/>
          <w:szCs w:val="24"/>
          <w:bdr w:val="none" w:sz="0" w:space="0" w:color="auto" w:frame="1"/>
          <w:shd w:val="clear" w:color="auto" w:fill="FFFFFF"/>
        </w:rPr>
      </w:pPr>
    </w:p>
    <w:p w14:paraId="7F86431C" w14:textId="77777777" w:rsidR="00022853"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5.</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bdr w:val="none" w:sz="0" w:space="0" w:color="auto" w:frame="1"/>
          <w:shd w:val="clear" w:color="auto" w:fill="FFFFFF"/>
        </w:rPr>
        <w:t>Monitorizarea pacientului este extrem de importantă pentru a surprinde o evoluție a bolii din faza inițială, de multiplicare virală, către faza inflamatorie, ceea ce impune modificarea atitudinii terapeutice.</w:t>
      </w:r>
    </w:p>
    <w:p w14:paraId="3AF2B643" w14:textId="77777777" w:rsidR="00022853" w:rsidRPr="00C14E42" w:rsidRDefault="00022853" w:rsidP="00022853">
      <w:pPr>
        <w:spacing w:after="0" w:line="240" w:lineRule="auto"/>
        <w:ind w:left="72" w:right="72"/>
        <w:jc w:val="both"/>
        <w:rPr>
          <w:rFonts w:ascii="Times New Roman" w:eastAsia="Times New Roman" w:hAnsi="Times New Roman" w:cs="Times New Roman"/>
          <w:bCs/>
          <w:sz w:val="24"/>
          <w:szCs w:val="24"/>
          <w:bdr w:val="none" w:sz="0" w:space="0" w:color="auto" w:frame="1"/>
          <w:shd w:val="clear" w:color="auto" w:fill="FFFFFF"/>
        </w:rPr>
      </w:pPr>
    </w:p>
    <w:p w14:paraId="0C46EA48" w14:textId="77777777" w:rsidR="00022853"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6.</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bdr w:val="none" w:sz="0" w:space="0" w:color="auto" w:frame="1"/>
          <w:shd w:val="clear" w:color="auto" w:fill="FFFFFF"/>
        </w:rPr>
        <w:t>Tratamentul antiinflamator cu corticoizi (de preferat dexametazonă) este indicat la pacienții cu inflamație sistemică, care necesită administrare de oxigen.</w:t>
      </w:r>
    </w:p>
    <w:p w14:paraId="02C545E0" w14:textId="77777777" w:rsidR="00022853" w:rsidRPr="00C14E42" w:rsidRDefault="00022853" w:rsidP="00022853">
      <w:pPr>
        <w:spacing w:after="0" w:line="240" w:lineRule="auto"/>
        <w:ind w:left="72" w:right="72"/>
        <w:jc w:val="both"/>
        <w:rPr>
          <w:rFonts w:ascii="Times New Roman" w:eastAsia="Times New Roman" w:hAnsi="Times New Roman" w:cs="Times New Roman"/>
          <w:bCs/>
          <w:sz w:val="24"/>
          <w:szCs w:val="24"/>
          <w:bdr w:val="none" w:sz="0" w:space="0" w:color="auto" w:frame="1"/>
          <w:shd w:val="clear" w:color="auto" w:fill="FFFFFF"/>
        </w:rPr>
      </w:pPr>
    </w:p>
    <w:p w14:paraId="651645D0" w14:textId="77777777" w:rsidR="00022853"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7.</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bdr w:val="none" w:sz="0" w:space="0" w:color="auto" w:frame="1"/>
          <w:shd w:val="clear" w:color="auto" w:fill="FFFFFF"/>
        </w:rPr>
        <w:t>Imunomodulatoarele sunt rezervate doar cazurilor cu inflamație excesivă și deteriorare clinică rapid progresivă, necontrolată de corticoizi în doză antiinflamatorie, iar alegerea lor va depinde de eficiență, de efectele adverse posibile și de disponibilitatea lor la un moment dat.</w:t>
      </w:r>
    </w:p>
    <w:p w14:paraId="52897970" w14:textId="77777777" w:rsidR="00022853" w:rsidRPr="00C14E42" w:rsidRDefault="00022853" w:rsidP="00022853">
      <w:pPr>
        <w:spacing w:after="0" w:line="240" w:lineRule="auto"/>
        <w:ind w:left="72" w:right="72"/>
        <w:jc w:val="both"/>
        <w:rPr>
          <w:rFonts w:ascii="Times New Roman" w:eastAsia="Times New Roman" w:hAnsi="Times New Roman" w:cs="Times New Roman"/>
          <w:bCs/>
          <w:sz w:val="24"/>
          <w:szCs w:val="24"/>
          <w:bdr w:val="none" w:sz="0" w:space="0" w:color="auto" w:frame="1"/>
          <w:shd w:val="clear" w:color="auto" w:fill="FFFFFF"/>
        </w:rPr>
      </w:pPr>
    </w:p>
    <w:p w14:paraId="7F04A5C2" w14:textId="77777777" w:rsidR="00022853"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8.</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bdr w:val="none" w:sz="0" w:space="0" w:color="auto" w:frame="1"/>
          <w:shd w:val="clear" w:color="auto" w:fill="FFFFFF"/>
        </w:rPr>
        <w:t>Plasma de convalescent cu concentrații mari de anticorpi specifici este înlocuită în indicațiile sale de anticorpii monoclonali neutralizanți, având același mecanism de acțiune, o eficiență greu predictibilă și un risc mai ridicat de reacții adverse - accidentele posttransfuzionale.</w:t>
      </w:r>
    </w:p>
    <w:p w14:paraId="7D49C818" w14:textId="77777777" w:rsidR="00022853" w:rsidRPr="00C14E42" w:rsidRDefault="00022853" w:rsidP="00022853">
      <w:pPr>
        <w:spacing w:after="0" w:line="240" w:lineRule="auto"/>
        <w:ind w:left="72" w:right="72"/>
        <w:jc w:val="both"/>
        <w:rPr>
          <w:rFonts w:ascii="Times New Roman" w:eastAsia="Times New Roman" w:hAnsi="Times New Roman" w:cs="Times New Roman"/>
          <w:bCs/>
          <w:sz w:val="24"/>
          <w:szCs w:val="24"/>
          <w:bdr w:val="none" w:sz="0" w:space="0" w:color="auto" w:frame="1"/>
          <w:shd w:val="clear" w:color="auto" w:fill="FFFFFF"/>
        </w:rPr>
      </w:pPr>
    </w:p>
    <w:p w14:paraId="42D452F8" w14:textId="2AF3B25A" w:rsidR="00022853" w:rsidRDefault="00022853" w:rsidP="001F7E60">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9.</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bdr w:val="none" w:sz="0" w:space="0" w:color="auto" w:frame="1"/>
          <w:shd w:val="clear" w:color="auto" w:fill="FFFFFF"/>
        </w:rPr>
        <w:t>Administrarea profilactică de anticoagulant este indicată tuturor pacienților spitalizați, cu excepția celor care primesc deja un tratament anticoagulant și care vor continua să primească doze terapeutice.</w:t>
      </w:r>
    </w:p>
    <w:p w14:paraId="620DDDB1" w14:textId="77777777" w:rsidR="001F7E60" w:rsidRPr="001F7E60" w:rsidRDefault="001F7E60" w:rsidP="001F7E60">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667FDC04" w14:textId="77777777" w:rsidR="00022853"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10.</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bdr w:val="none" w:sz="0" w:space="0" w:color="auto" w:frame="1"/>
          <w:shd w:val="clear" w:color="auto" w:fill="FFFFFF"/>
        </w:rPr>
        <w:t>Stabilirea riscului tromboembolic se poate face cu scoruri consacrate pentru alte afecțiuni la care se adaugă și factori de risc specifici legați de COVID-19.</w:t>
      </w:r>
    </w:p>
    <w:p w14:paraId="773D73F8" w14:textId="77777777" w:rsidR="00022853" w:rsidRPr="00C14E42" w:rsidRDefault="00022853" w:rsidP="00022853">
      <w:pPr>
        <w:spacing w:after="0" w:line="240" w:lineRule="auto"/>
        <w:ind w:left="72" w:right="72"/>
        <w:jc w:val="both"/>
        <w:rPr>
          <w:rFonts w:ascii="Times New Roman" w:eastAsia="Times New Roman" w:hAnsi="Times New Roman" w:cs="Times New Roman"/>
          <w:bCs/>
          <w:sz w:val="24"/>
          <w:szCs w:val="24"/>
          <w:bdr w:val="none" w:sz="0" w:space="0" w:color="auto" w:frame="1"/>
          <w:shd w:val="clear" w:color="auto" w:fill="FFFFFF"/>
        </w:rPr>
      </w:pPr>
    </w:p>
    <w:p w14:paraId="0B96DF64" w14:textId="77777777" w:rsidR="00022853"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lastRenderedPageBreak/>
        <w:t>11.</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bdr w:val="none" w:sz="0" w:space="0" w:color="auto" w:frame="1"/>
          <w:shd w:val="clear" w:color="auto" w:fill="FFFFFF"/>
        </w:rPr>
        <w:t>Administrarea de doze terapeutice de anticoagulant se face pentru indicațiile standard, dar și pentru pacienți cu COVID-19 cu risc tromboembolic mare (agravarea suferinței respiratorii și/sau sindrom inflamator marcat) și risc hemoragic mic.</w:t>
      </w:r>
    </w:p>
    <w:p w14:paraId="6F7441AD" w14:textId="77777777" w:rsidR="00022853" w:rsidRPr="00C14E42" w:rsidRDefault="00022853" w:rsidP="00022853">
      <w:pPr>
        <w:spacing w:after="0" w:line="240" w:lineRule="auto"/>
        <w:ind w:left="72" w:right="72"/>
        <w:jc w:val="both"/>
        <w:rPr>
          <w:rFonts w:ascii="Times New Roman" w:eastAsia="Times New Roman" w:hAnsi="Times New Roman" w:cs="Times New Roman"/>
          <w:bCs/>
          <w:sz w:val="24"/>
          <w:szCs w:val="24"/>
          <w:bdr w:val="none" w:sz="0" w:space="0" w:color="auto" w:frame="1"/>
          <w:shd w:val="clear" w:color="auto" w:fill="FFFFFF"/>
        </w:rPr>
      </w:pPr>
    </w:p>
    <w:p w14:paraId="5A08719F" w14:textId="77777777" w:rsidR="00022853"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12.</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bdr w:val="none" w:sz="0" w:space="0" w:color="auto" w:frame="1"/>
          <w:shd w:val="clear" w:color="auto" w:fill="FFFFFF"/>
        </w:rPr>
        <w:t>Antibioticele nu se utilizează în tratamentul COVID-19. Ele ar trebui prescrise foarte rar de la începutul tratamentului, deoarece coinfecțiile bacteriene simultane infecției cu SARS-CoV-2 sunt foarte rare; se administrează antibiotic doar dacă este demonstrată o infecție bacteriană concomitentă.</w:t>
      </w:r>
    </w:p>
    <w:p w14:paraId="277F9199" w14:textId="77777777" w:rsidR="00022853" w:rsidRPr="00C14E42" w:rsidRDefault="00022853" w:rsidP="00022853">
      <w:pPr>
        <w:spacing w:after="0" w:line="240" w:lineRule="auto"/>
        <w:ind w:left="72" w:right="72"/>
        <w:jc w:val="both"/>
        <w:rPr>
          <w:rFonts w:ascii="Times New Roman" w:eastAsia="Times New Roman" w:hAnsi="Times New Roman" w:cs="Times New Roman"/>
          <w:bCs/>
          <w:sz w:val="24"/>
          <w:szCs w:val="24"/>
          <w:bdr w:val="none" w:sz="0" w:space="0" w:color="auto" w:frame="1"/>
          <w:shd w:val="clear" w:color="auto" w:fill="FFFFFF"/>
        </w:rPr>
      </w:pPr>
    </w:p>
    <w:p w14:paraId="64015DA4" w14:textId="77777777" w:rsidR="00022853"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13.</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bdr w:val="none" w:sz="0" w:space="0" w:color="auto" w:frame="1"/>
          <w:shd w:val="clear" w:color="auto" w:fill="FFFFFF"/>
        </w:rPr>
        <w:t>Inițierea tratamentului antibiotic pe parcursul îngrijirii pacientului cu COVID-19 se face dacă s-a produs o suprainfecție bacteriană.</w:t>
      </w:r>
    </w:p>
    <w:p w14:paraId="72E2F2E8" w14:textId="77777777" w:rsidR="00022853" w:rsidRPr="00C14E42" w:rsidRDefault="00022853" w:rsidP="00022853">
      <w:pPr>
        <w:spacing w:after="0" w:line="240" w:lineRule="auto"/>
        <w:ind w:left="72" w:right="72"/>
        <w:jc w:val="both"/>
        <w:rPr>
          <w:rFonts w:ascii="Times New Roman" w:eastAsia="Times New Roman" w:hAnsi="Times New Roman" w:cs="Times New Roman"/>
          <w:bCs/>
          <w:sz w:val="24"/>
          <w:szCs w:val="24"/>
          <w:bdr w:val="none" w:sz="0" w:space="0" w:color="auto" w:frame="1"/>
          <w:shd w:val="clear" w:color="auto" w:fill="FFFFFF"/>
        </w:rPr>
      </w:pPr>
    </w:p>
    <w:p w14:paraId="078DA413" w14:textId="77777777" w:rsidR="00022853"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14.</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bdr w:val="none" w:sz="0" w:space="0" w:color="auto" w:frame="1"/>
          <w:shd w:val="clear" w:color="auto" w:fill="FFFFFF"/>
        </w:rPr>
        <w:t>Alegerea antibioticelor pentru situațiile rare de infecție bacteriană concomitentă sau supraadăugată trebuie să țină cont de eficiență, dar și de riscurile de dismicrobisme: infecții cu C. difficile, selectarea de tulpini bacteriene rezistente la antibiotice.</w:t>
      </w:r>
    </w:p>
    <w:p w14:paraId="182C996F" w14:textId="77777777" w:rsidR="00022853" w:rsidRPr="00C14E42" w:rsidRDefault="00022853" w:rsidP="00022853">
      <w:pPr>
        <w:spacing w:after="0" w:line="240" w:lineRule="auto"/>
        <w:ind w:left="72" w:right="72"/>
        <w:jc w:val="both"/>
        <w:rPr>
          <w:rFonts w:ascii="Times New Roman" w:eastAsia="Times New Roman" w:hAnsi="Times New Roman" w:cs="Times New Roman"/>
          <w:bCs/>
          <w:sz w:val="24"/>
          <w:szCs w:val="24"/>
          <w:bdr w:val="none" w:sz="0" w:space="0" w:color="auto" w:frame="1"/>
          <w:shd w:val="clear" w:color="auto" w:fill="FFFFFF"/>
        </w:rPr>
      </w:pPr>
    </w:p>
    <w:p w14:paraId="0206F7D7" w14:textId="77777777" w:rsidR="00022853"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15.</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bdr w:val="none" w:sz="0" w:space="0" w:color="auto" w:frame="1"/>
          <w:shd w:val="clear" w:color="auto" w:fill="FFFFFF"/>
        </w:rPr>
        <w:t>Pentru infecții asociate asistenței medicale de etiologie bacteriană care apar în timpul îngrijirii pacienților cu COVID-19 este important să fie decis tratamentul în raport cu circulația bacteriană în respectivul spital.</w:t>
      </w:r>
    </w:p>
    <w:p w14:paraId="2C6B39CF" w14:textId="77777777" w:rsidR="00022853" w:rsidRPr="00C14E42" w:rsidRDefault="00022853" w:rsidP="00022853">
      <w:pPr>
        <w:spacing w:after="0" w:line="240" w:lineRule="auto"/>
        <w:ind w:left="72" w:right="72"/>
        <w:jc w:val="both"/>
        <w:rPr>
          <w:rFonts w:ascii="Times New Roman" w:eastAsia="Times New Roman" w:hAnsi="Times New Roman" w:cs="Times New Roman"/>
          <w:bCs/>
          <w:sz w:val="24"/>
          <w:szCs w:val="24"/>
          <w:bdr w:val="none" w:sz="0" w:space="0" w:color="auto" w:frame="1"/>
          <w:shd w:val="clear" w:color="auto" w:fill="FFFFFF"/>
        </w:rPr>
      </w:pPr>
    </w:p>
    <w:p w14:paraId="289593E4" w14:textId="77777777" w:rsidR="00022853"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16.</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bdr w:val="none" w:sz="0" w:space="0" w:color="auto" w:frame="1"/>
          <w:shd w:val="clear" w:color="auto" w:fill="FFFFFF"/>
        </w:rPr>
        <w:t>Principalul suport pentru pacienții cu forme severe și critice de COVID-19 este corectarea hipoxemiei, la care este necesar să aibă acces rapid pacienții cu forme severe/critice.</w:t>
      </w:r>
    </w:p>
    <w:p w14:paraId="6A7A56F1" w14:textId="77777777" w:rsidR="00022853" w:rsidRPr="00C14E42" w:rsidRDefault="00022853" w:rsidP="00022853">
      <w:pPr>
        <w:spacing w:after="0" w:line="240" w:lineRule="auto"/>
        <w:ind w:left="72" w:right="72"/>
        <w:jc w:val="both"/>
        <w:rPr>
          <w:rFonts w:ascii="Times New Roman" w:eastAsia="Times New Roman" w:hAnsi="Times New Roman" w:cs="Times New Roman"/>
          <w:bCs/>
          <w:sz w:val="24"/>
          <w:szCs w:val="24"/>
          <w:bdr w:val="none" w:sz="0" w:space="0" w:color="auto" w:frame="1"/>
          <w:shd w:val="clear" w:color="auto" w:fill="FFFFFF"/>
        </w:rPr>
      </w:pPr>
    </w:p>
    <w:p w14:paraId="72664F63" w14:textId="77777777" w:rsidR="00022853"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17.</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bdr w:val="none" w:sz="0" w:space="0" w:color="auto" w:frame="1"/>
          <w:shd w:val="clear" w:color="auto" w:fill="FFFFFF"/>
        </w:rPr>
        <w:t>Pentru pacienții monitorizați la domiciliu se aplică recomandările de mai sus: infectații asimptomatici nu primesc tratament, pacienții cu forme ușoare de boală primesc simptomatice și medicație cu efect antiviral, mai ales dacă au factori de risc pentru evoluție severă, pacienții cu forme medii și severe care rămân la domiciliu pot primi profilaxie a trombozelor dacă au și alți factori de risc (în primul rând imobilizarea la pat).</w:t>
      </w:r>
    </w:p>
    <w:p w14:paraId="608CD486" w14:textId="77777777" w:rsidR="00022853" w:rsidRPr="00C14E42" w:rsidRDefault="00022853" w:rsidP="00022853">
      <w:pPr>
        <w:spacing w:after="0" w:line="240" w:lineRule="auto"/>
        <w:ind w:left="72" w:right="72"/>
        <w:jc w:val="both"/>
        <w:rPr>
          <w:rFonts w:ascii="Times New Roman" w:eastAsia="Times New Roman" w:hAnsi="Times New Roman" w:cs="Times New Roman"/>
          <w:bCs/>
          <w:sz w:val="24"/>
          <w:szCs w:val="24"/>
          <w:bdr w:val="none" w:sz="0" w:space="0" w:color="auto" w:frame="1"/>
          <w:shd w:val="clear" w:color="auto" w:fill="FFFFFF"/>
        </w:rPr>
      </w:pPr>
    </w:p>
    <w:p w14:paraId="15C1FCC9" w14:textId="77777777" w:rsidR="00022853"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18.</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bdr w:val="none" w:sz="0" w:space="0" w:color="auto" w:frame="1"/>
          <w:shd w:val="clear" w:color="auto" w:fill="FFFFFF"/>
        </w:rPr>
        <w:t>Colaborarea dintre medici din diverse specialități medicale este necesară pentru a putea îngriji manifestările variate/complexe ale COVID-19.</w:t>
      </w:r>
    </w:p>
    <w:p w14:paraId="2911D352" w14:textId="77777777" w:rsidR="00022853" w:rsidRPr="00C14E42" w:rsidRDefault="00022853" w:rsidP="00022853">
      <w:pPr>
        <w:spacing w:after="0" w:line="240" w:lineRule="auto"/>
        <w:ind w:left="72" w:right="72"/>
        <w:jc w:val="both"/>
        <w:rPr>
          <w:rFonts w:ascii="Times New Roman" w:eastAsia="Times New Roman" w:hAnsi="Times New Roman" w:cs="Times New Roman"/>
          <w:bCs/>
          <w:sz w:val="24"/>
          <w:szCs w:val="24"/>
          <w:bdr w:val="none" w:sz="0" w:space="0" w:color="auto" w:frame="1"/>
          <w:shd w:val="clear" w:color="auto" w:fill="FFFFFF"/>
        </w:rPr>
      </w:pPr>
    </w:p>
    <w:p w14:paraId="2BE4CBFA" w14:textId="77777777" w:rsidR="00022853"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19.</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bdr w:val="none" w:sz="0" w:space="0" w:color="auto" w:frame="1"/>
          <w:shd w:val="clear" w:color="auto" w:fill="FFFFFF"/>
        </w:rPr>
        <w:t>Utilizarea de azitromicină (și alte antibiotice) și de corticoizi la domiciliu în COVID-19 reprezintă de cele mai multe ori un abuz, cu consecințe nedorite asupra evoluției pacientului, care poate dezvolta efecte colaterale ale administrării de antibiotice și poate avea o evoluție prelungită a bolii.</w:t>
      </w:r>
    </w:p>
    <w:p w14:paraId="4A22F451" w14:textId="77777777" w:rsidR="00022853"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3A039C65" w14:textId="77777777" w:rsidR="00022853" w:rsidRPr="00C14E42" w:rsidRDefault="00022853" w:rsidP="00022853">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r w:rsidRPr="00C14E42">
        <w:rPr>
          <w:rFonts w:ascii="Times New Roman" w:eastAsia="Times New Roman" w:hAnsi="Times New Roman" w:cs="Times New Roman"/>
          <w:b/>
          <w:sz w:val="24"/>
          <w:szCs w:val="24"/>
          <w:bdr w:val="none" w:sz="0" w:space="0" w:color="auto" w:frame="1"/>
          <w:shd w:val="clear" w:color="auto" w:fill="FFFFFF"/>
        </w:rPr>
        <w:t>Recomandări particulare legate de cazurile pediatrice</w:t>
      </w:r>
    </w:p>
    <w:p w14:paraId="36987C5F" w14:textId="77777777" w:rsidR="00022853"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12E824C0" w14:textId="126730BE" w:rsidR="00022853" w:rsidRPr="00C14E42" w:rsidRDefault="00AF7DCC"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1.P</w:t>
      </w:r>
      <w:r w:rsidR="00022853" w:rsidRPr="00C14E42">
        <w:rPr>
          <w:rFonts w:ascii="Times New Roman" w:eastAsia="Times New Roman" w:hAnsi="Times New Roman" w:cs="Times New Roman"/>
          <w:sz w:val="24"/>
          <w:szCs w:val="24"/>
          <w:bdr w:val="dotted" w:sz="6" w:space="0" w:color="FEFEFE" w:frame="1"/>
          <w:shd w:val="clear" w:color="auto" w:fill="FFFFFF"/>
        </w:rPr>
        <w:t> </w:t>
      </w:r>
      <w:r w:rsidR="00022853" w:rsidRPr="00C14E42">
        <w:rPr>
          <w:rFonts w:ascii="Times New Roman" w:eastAsia="Times New Roman" w:hAnsi="Times New Roman" w:cs="Times New Roman"/>
          <w:sz w:val="24"/>
          <w:szCs w:val="24"/>
          <w:bdr w:val="none" w:sz="0" w:space="0" w:color="auto" w:frame="1"/>
          <w:shd w:val="clear" w:color="auto" w:fill="FFFFFF"/>
        </w:rPr>
        <w:t>Infecția cu SARS-CoV-2 este, în general, mai ușoară la copii decât la adulți și o proporție substanțială a copiilor prezintă infecție asimptomatică.</w:t>
      </w:r>
    </w:p>
    <w:p w14:paraId="3B67340A" w14:textId="77777777" w:rsidR="00022853" w:rsidRPr="00C14E42" w:rsidRDefault="00022853"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01443DED" w14:textId="77777777" w:rsidR="00022853"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2.P</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bdr w:val="none" w:sz="0" w:space="0" w:color="auto" w:frame="1"/>
          <w:shd w:val="clear" w:color="auto" w:fill="FFFFFF"/>
        </w:rPr>
        <w:t>Există date limitate privind patogeneza, tabloul clinic și terapia bolii COVID-19 la copii. În absența unor date adecvate privind tratamentul copiilor cu COVID-19 acut, recomandările se bazează pe rezultatele și datele de siguranță pentru pacienții adulți și riscul de progresie a bolii la copil.</w:t>
      </w:r>
    </w:p>
    <w:p w14:paraId="05B8A13A" w14:textId="77777777" w:rsidR="00022853" w:rsidRPr="00C14E42" w:rsidRDefault="00022853"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4D54C90C" w14:textId="1BC59934" w:rsidR="00AF7DCC" w:rsidRPr="00C14E42" w:rsidRDefault="00AF7DCC"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3.P</w:t>
      </w:r>
      <w:r w:rsidR="00022853" w:rsidRPr="00C14E42">
        <w:rPr>
          <w:rFonts w:ascii="Times New Roman" w:eastAsia="Times New Roman" w:hAnsi="Times New Roman" w:cs="Times New Roman"/>
          <w:sz w:val="24"/>
          <w:szCs w:val="24"/>
          <w:bdr w:val="dotted" w:sz="6" w:space="0" w:color="FEFEFE" w:frame="1"/>
          <w:shd w:val="clear" w:color="auto" w:fill="FFFFFF"/>
        </w:rPr>
        <w:t> </w:t>
      </w:r>
      <w:r w:rsidR="00022853" w:rsidRPr="00C14E42">
        <w:rPr>
          <w:rFonts w:ascii="Times New Roman" w:eastAsia="Times New Roman" w:hAnsi="Times New Roman" w:cs="Times New Roman"/>
          <w:sz w:val="24"/>
          <w:szCs w:val="24"/>
          <w:bdr w:val="none" w:sz="0" w:space="0" w:color="auto" w:frame="1"/>
          <w:shd w:val="clear" w:color="auto" w:fill="FFFFFF"/>
        </w:rPr>
        <w:t>Forme de severitate ale infecției cu SARS-CoV-2 la copil:</w:t>
      </w:r>
    </w:p>
    <w:p w14:paraId="623B3E1F" w14:textId="464F70BF" w:rsidR="00AF7DCC" w:rsidRPr="00C14E42" w:rsidRDefault="00022853" w:rsidP="004B50B4">
      <w:pPr>
        <w:pStyle w:val="ListParagraph"/>
        <w:numPr>
          <w:ilvl w:val="0"/>
          <w:numId w:val="4"/>
        </w:numPr>
        <w:spacing w:after="0" w:line="240" w:lineRule="auto"/>
        <w:ind w:right="72" w:hanging="25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u w:val="single"/>
          <w:bdr w:val="none" w:sz="0" w:space="0" w:color="auto" w:frame="1"/>
          <w:shd w:val="clear" w:color="auto" w:fill="FFFFFF"/>
        </w:rPr>
        <w:t>forma ușoară</w:t>
      </w:r>
      <w:r w:rsidRPr="00C14E42">
        <w:rPr>
          <w:rFonts w:ascii="Times New Roman" w:eastAsia="Times New Roman" w:hAnsi="Times New Roman" w:cs="Times New Roman"/>
          <w:sz w:val="24"/>
          <w:szCs w:val="24"/>
          <w:bdr w:val="none" w:sz="0" w:space="0" w:color="auto" w:frame="1"/>
          <w:shd w:val="clear" w:color="auto" w:fill="FFFFFF"/>
        </w:rPr>
        <w:t>: simptome generale și/sau de tract respirator superior, fără manifestări evocatorii de pneumonie, fără afectare pulmonară;</w:t>
      </w:r>
    </w:p>
    <w:p w14:paraId="2ADCCD9B" w14:textId="76DDB2CC" w:rsidR="00AF7DCC" w:rsidRPr="00C14E42" w:rsidRDefault="00022853" w:rsidP="004B50B4">
      <w:pPr>
        <w:pStyle w:val="ListParagraph"/>
        <w:numPr>
          <w:ilvl w:val="0"/>
          <w:numId w:val="4"/>
        </w:numPr>
        <w:spacing w:after="0" w:line="240" w:lineRule="auto"/>
        <w:ind w:right="72" w:hanging="25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u w:val="single"/>
          <w:bdr w:val="none" w:sz="0" w:space="0" w:color="auto" w:frame="1"/>
          <w:shd w:val="clear" w:color="auto" w:fill="FFFFFF"/>
        </w:rPr>
        <w:t>forma medie</w:t>
      </w:r>
      <w:r w:rsidRPr="00C14E42">
        <w:rPr>
          <w:rFonts w:ascii="Times New Roman" w:eastAsia="Times New Roman" w:hAnsi="Times New Roman" w:cs="Times New Roman"/>
          <w:sz w:val="24"/>
          <w:szCs w:val="24"/>
          <w:bdr w:val="none" w:sz="0" w:space="0" w:color="auto" w:frame="1"/>
          <w:shd w:val="clear" w:color="auto" w:fill="FFFFFF"/>
        </w:rPr>
        <w:t>: pacienți cu pneumonie confirmată imagistic, dar fără hipoxemie (dacă nu există afectare respiratorie anterioară bolii actuale);</w:t>
      </w:r>
    </w:p>
    <w:p w14:paraId="6FAADEAC" w14:textId="4DE03F95" w:rsidR="00AF7DCC" w:rsidRPr="00C14E42" w:rsidRDefault="00022853" w:rsidP="004B50B4">
      <w:pPr>
        <w:pStyle w:val="ListParagraph"/>
        <w:numPr>
          <w:ilvl w:val="0"/>
          <w:numId w:val="4"/>
        </w:numPr>
        <w:spacing w:after="0" w:line="240" w:lineRule="auto"/>
        <w:ind w:right="72" w:hanging="25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u w:val="single"/>
          <w:bdr w:val="none" w:sz="0" w:space="0" w:color="auto" w:frame="1"/>
          <w:shd w:val="clear" w:color="auto" w:fill="FFFFFF"/>
        </w:rPr>
        <w:t>forma severă</w:t>
      </w:r>
      <w:r w:rsidR="00E01DF5">
        <w:rPr>
          <w:rFonts w:ascii="Times New Roman" w:eastAsia="Times New Roman" w:hAnsi="Times New Roman" w:cs="Times New Roman"/>
          <w:sz w:val="24"/>
          <w:szCs w:val="24"/>
          <w:bdr w:val="none" w:sz="0" w:space="0" w:color="auto" w:frame="1"/>
          <w:shd w:val="clear" w:color="auto" w:fill="FFFFFF"/>
        </w:rPr>
        <w:t>: detresă respiratorie cu SaO</w:t>
      </w:r>
      <w:r w:rsidRPr="00E01DF5">
        <w:rPr>
          <w:rFonts w:ascii="Times New Roman" w:eastAsia="Times New Roman" w:hAnsi="Times New Roman" w:cs="Times New Roman"/>
          <w:sz w:val="24"/>
          <w:szCs w:val="24"/>
          <w:bdr w:val="none" w:sz="0" w:space="0" w:color="auto" w:frame="1"/>
          <w:shd w:val="clear" w:color="auto" w:fill="FFFFFF"/>
          <w:vertAlign w:val="subscript"/>
        </w:rPr>
        <w:t>2</w:t>
      </w:r>
      <w:r w:rsidRPr="00C14E42">
        <w:rPr>
          <w:rFonts w:ascii="Times New Roman" w:eastAsia="Times New Roman" w:hAnsi="Times New Roman" w:cs="Times New Roman"/>
          <w:sz w:val="24"/>
          <w:szCs w:val="24"/>
          <w:bdr w:val="none" w:sz="0" w:space="0" w:color="auto" w:frame="1"/>
          <w:shd w:val="clear" w:color="auto" w:fill="FFFFFF"/>
        </w:rPr>
        <w:t xml:space="preserve"> </w:t>
      </w:r>
      <w:bookmarkStart w:id="1" w:name="_GoBack"/>
      <w:bookmarkEnd w:id="1"/>
      <w:r w:rsidRPr="00C14E42">
        <w:rPr>
          <w:rFonts w:ascii="Times New Roman" w:eastAsia="Times New Roman" w:hAnsi="Times New Roman" w:cs="Times New Roman"/>
          <w:sz w:val="24"/>
          <w:szCs w:val="24"/>
          <w:bdr w:val="none" w:sz="0" w:space="0" w:color="auto" w:frame="1"/>
          <w:shd w:val="clear" w:color="auto" w:fill="FFFFFF"/>
        </w:rPr>
        <w:t>sub 94% în aerul atmosferic și anomalii imagistice de afectare pulmonară;</w:t>
      </w:r>
    </w:p>
    <w:p w14:paraId="170DE3AF" w14:textId="04FAC7FE" w:rsidR="00022853" w:rsidRPr="00C14E42" w:rsidRDefault="00022853" w:rsidP="004B50B4">
      <w:pPr>
        <w:pStyle w:val="ListParagraph"/>
        <w:numPr>
          <w:ilvl w:val="0"/>
          <w:numId w:val="4"/>
        </w:numPr>
        <w:spacing w:after="0" w:line="240" w:lineRule="auto"/>
        <w:ind w:right="72" w:hanging="25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u w:val="single"/>
          <w:bdr w:val="none" w:sz="0" w:space="0" w:color="auto" w:frame="1"/>
          <w:shd w:val="clear" w:color="auto" w:fill="FFFFFF"/>
        </w:rPr>
        <w:t>forma critică</w:t>
      </w:r>
      <w:r w:rsidRPr="00C14E42">
        <w:rPr>
          <w:rFonts w:ascii="Times New Roman" w:eastAsia="Times New Roman" w:hAnsi="Times New Roman" w:cs="Times New Roman"/>
          <w:sz w:val="24"/>
          <w:szCs w:val="24"/>
          <w:bdr w:val="none" w:sz="0" w:space="0" w:color="auto" w:frame="1"/>
          <w:shd w:val="clear" w:color="auto" w:fill="FFFFFF"/>
        </w:rPr>
        <w:t>: pacienți care prezintă insuficiență respiratorie severă cu necesar de suport ventilator, șoc septic și/sau disfuncție multiplă de organe.</w:t>
      </w:r>
    </w:p>
    <w:p w14:paraId="7989C9AD" w14:textId="77777777" w:rsidR="00022853" w:rsidRPr="00C14E42" w:rsidRDefault="00022853"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360AF11D" w14:textId="1645E4CC" w:rsidR="00022853" w:rsidRPr="00C14E42" w:rsidRDefault="00AF7DCC"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4.P</w:t>
      </w:r>
      <w:r w:rsidR="00022853" w:rsidRPr="00C14E42">
        <w:rPr>
          <w:rFonts w:ascii="Times New Roman" w:eastAsia="Times New Roman" w:hAnsi="Times New Roman" w:cs="Times New Roman"/>
          <w:sz w:val="24"/>
          <w:szCs w:val="24"/>
          <w:bdr w:val="dotted" w:sz="6" w:space="0" w:color="FEFEFE" w:frame="1"/>
          <w:shd w:val="clear" w:color="auto" w:fill="FFFFFF"/>
        </w:rPr>
        <w:t> </w:t>
      </w:r>
      <w:r w:rsidR="00022853" w:rsidRPr="00C14E42">
        <w:rPr>
          <w:rFonts w:ascii="Times New Roman" w:eastAsia="Times New Roman" w:hAnsi="Times New Roman" w:cs="Times New Roman"/>
          <w:sz w:val="24"/>
          <w:szCs w:val="24"/>
          <w:bdr w:val="none" w:sz="0" w:space="0" w:color="auto" w:frame="1"/>
          <w:shd w:val="clear" w:color="auto" w:fill="FFFFFF"/>
        </w:rPr>
        <w:t xml:space="preserve">Conform datelor actuale din literatură, copiii care prezintă în antecedente afecțiuni cronice (patologie neurologică, sindroame genetice - inclusiv trisomia 21, obezitate, boli cardiopulmonare cronice), </w:t>
      </w:r>
      <w:r w:rsidR="00022853" w:rsidRPr="00C14E42">
        <w:rPr>
          <w:rFonts w:ascii="Times New Roman" w:eastAsia="Times New Roman" w:hAnsi="Times New Roman" w:cs="Times New Roman"/>
          <w:sz w:val="24"/>
          <w:szCs w:val="24"/>
          <w:bdr w:val="none" w:sz="0" w:space="0" w:color="auto" w:frame="1"/>
          <w:shd w:val="clear" w:color="auto" w:fill="FFFFFF"/>
        </w:rPr>
        <w:lastRenderedPageBreak/>
        <w:t>imunocompromiși, precum și adolescenții mai mari (vârsta peste 16 ani) pot fi considerați cu risc crescut de boală severă.</w:t>
      </w:r>
    </w:p>
    <w:p w14:paraId="4F675641" w14:textId="77777777" w:rsidR="00022853" w:rsidRPr="00C14E42" w:rsidRDefault="00022853"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4A64D228" w14:textId="069331DE" w:rsidR="00022853" w:rsidRPr="00C14E42" w:rsidRDefault="00AF7DCC"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5.P</w:t>
      </w:r>
      <w:r w:rsidR="00022853" w:rsidRPr="00C14E42">
        <w:rPr>
          <w:rFonts w:ascii="Times New Roman" w:eastAsia="Times New Roman" w:hAnsi="Times New Roman" w:cs="Times New Roman"/>
          <w:b/>
          <w:sz w:val="24"/>
          <w:szCs w:val="24"/>
          <w:bdr w:val="dotted" w:sz="6" w:space="0" w:color="FEFEFE" w:frame="1"/>
          <w:shd w:val="clear" w:color="auto" w:fill="FFFFFF"/>
        </w:rPr>
        <w:t> </w:t>
      </w:r>
      <w:r w:rsidR="00022853" w:rsidRPr="00C14E42">
        <w:rPr>
          <w:rFonts w:ascii="Times New Roman" w:eastAsia="Times New Roman" w:hAnsi="Times New Roman" w:cs="Times New Roman"/>
          <w:sz w:val="24"/>
          <w:szCs w:val="24"/>
          <w:u w:val="single"/>
          <w:bdr w:val="none" w:sz="0" w:space="0" w:color="auto" w:frame="1"/>
          <w:shd w:val="clear" w:color="auto" w:fill="FFFFFF"/>
        </w:rPr>
        <w:t>Terapie specifică</w:t>
      </w:r>
    </w:p>
    <w:p w14:paraId="6537ECC8" w14:textId="77777777" w:rsidR="00195E53" w:rsidRPr="00C14E42" w:rsidRDefault="00195E53"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420895C3" w14:textId="77777777" w:rsidR="00022853"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a)</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bdr w:val="none" w:sz="0" w:space="0" w:color="auto" w:frame="1"/>
          <w:shd w:val="clear" w:color="auto" w:fill="FFFFFF"/>
        </w:rPr>
        <w:t>Majoritatea copiilor cu infecție cu SARS-CoV-2 nu vor necesita terapie specifică.</w:t>
      </w:r>
    </w:p>
    <w:p w14:paraId="52ED5FC0" w14:textId="77777777" w:rsidR="00195E53" w:rsidRPr="00C14E42" w:rsidRDefault="00195E53"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13633A2B" w14:textId="77777777" w:rsidR="00022853"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b)</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bdr w:val="none" w:sz="0" w:space="0" w:color="auto" w:frame="1"/>
          <w:shd w:val="clear" w:color="auto" w:fill="FFFFFF"/>
        </w:rPr>
        <w:t>Antibioticele se administrează doar dacă există o infecție bacteriană concomitentă sau supraadăugată. Este necesară selectarea riguroasă a cazurilor ce vor primi antibioticoterapie deoarece datele actuale documentează impactul acesteia asupra microbiomului intestinal. Tratamentul antibiotic nejustificat poate fi responsabil de selectarea unor tulpini bacteriene multirezistente sau de favorizarea unor infecții cu Clostridioides difficile.</w:t>
      </w:r>
    </w:p>
    <w:p w14:paraId="777F3325" w14:textId="77777777" w:rsidR="00195E53" w:rsidRPr="00C14E42" w:rsidRDefault="00195E53"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0ACD19C8" w14:textId="77777777" w:rsidR="00022853"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c)</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bdr w:val="none" w:sz="0" w:space="0" w:color="auto" w:frame="1"/>
          <w:shd w:val="clear" w:color="auto" w:fill="FFFFFF"/>
        </w:rPr>
        <w:t>Utilizarea corticoterapiei se recomandă în special pentru copiii spitalizați cu COVID-19 care necesită oxigenoterapie. Preparatele cortizonice vor fi folosite cu precauție deoarece pot stimula replicarea virală în primele zile de evoluție a maladiei COVID-19.</w:t>
      </w:r>
    </w:p>
    <w:p w14:paraId="65DA0FF2" w14:textId="77777777" w:rsidR="00195E53" w:rsidRPr="00C14E42" w:rsidRDefault="00195E53"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2D83ADD1" w14:textId="77777777" w:rsidR="00195E53"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d)</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bdr w:val="none" w:sz="0" w:space="0" w:color="auto" w:frame="1"/>
          <w:shd w:val="clear" w:color="auto" w:fill="FFFFFF"/>
        </w:rPr>
        <w:t>Remdesivir este recomandat pentru:</w:t>
      </w:r>
    </w:p>
    <w:p w14:paraId="0D0D17E4" w14:textId="4EA800F8" w:rsidR="00195E53" w:rsidRPr="00C14E42" w:rsidRDefault="00022853" w:rsidP="004B50B4">
      <w:pPr>
        <w:pStyle w:val="ListParagraph"/>
        <w:numPr>
          <w:ilvl w:val="0"/>
          <w:numId w:val="5"/>
        </w:numPr>
        <w:spacing w:after="0" w:line="240" w:lineRule="auto"/>
        <w:ind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copii cu vârsta ≥ 12 ani, spitalizați, care au factori de risc pentru boli severe și necesită oxigenoterapie;</w:t>
      </w:r>
    </w:p>
    <w:p w14:paraId="011065A0" w14:textId="52A7529A" w:rsidR="00195E53" w:rsidRPr="00C14E42" w:rsidRDefault="00022853" w:rsidP="004B50B4">
      <w:pPr>
        <w:pStyle w:val="ListParagraph"/>
        <w:numPr>
          <w:ilvl w:val="0"/>
          <w:numId w:val="5"/>
        </w:numPr>
        <w:spacing w:after="0" w:line="240" w:lineRule="auto"/>
        <w:ind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copii cu vârsta ≥ 16 ani, spitalizați, care necesită oxigenoterapie, indiferent de prezența factorilor de risc pentru boala severă.</w:t>
      </w:r>
    </w:p>
    <w:p w14:paraId="5CEB6346" w14:textId="6D176378" w:rsidR="00022853"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Remdesivirul poate fi luat în considerare pentru copiii cu COVID-19 spitalizați, indiferent de vârstă, dar cu greutate peste 3,5 kg, în situațiile în care necesită oxigenoterapie și la recomandarea medicului specialist de boli infecțioase.</w:t>
      </w:r>
    </w:p>
    <w:p w14:paraId="79A29A57" w14:textId="59E176B5" w:rsidR="00195E53" w:rsidRPr="00C14E42" w:rsidRDefault="000E4A17"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 xml:space="preserve">La pacientii pediatrici cu risc </w:t>
      </w:r>
      <w:r w:rsidR="00E36BBF" w:rsidRPr="00C14E42">
        <w:rPr>
          <w:rFonts w:ascii="Times New Roman" w:eastAsia="Times New Roman" w:hAnsi="Times New Roman" w:cs="Times New Roman"/>
          <w:b/>
          <w:bCs/>
          <w:sz w:val="24"/>
          <w:szCs w:val="24"/>
          <w:bdr w:val="none" w:sz="0" w:space="0" w:color="auto" w:frame="1"/>
          <w:shd w:val="clear" w:color="auto" w:fill="FFFFFF"/>
        </w:rPr>
        <w:t xml:space="preserve">crescut de boală severă </w:t>
      </w:r>
      <w:r w:rsidR="003427F6" w:rsidRPr="00C14E42">
        <w:rPr>
          <w:rFonts w:ascii="Times New Roman" w:eastAsia="Times New Roman" w:hAnsi="Times New Roman" w:cs="Times New Roman"/>
          <w:b/>
          <w:bCs/>
          <w:sz w:val="24"/>
          <w:szCs w:val="24"/>
          <w:bdr w:val="none" w:sz="0" w:space="0" w:color="auto" w:frame="1"/>
          <w:shd w:val="clear" w:color="auto" w:fill="FFFFFF"/>
        </w:rPr>
        <w:t>se</w:t>
      </w:r>
      <w:r w:rsidRPr="00C14E42">
        <w:rPr>
          <w:rFonts w:ascii="Times New Roman" w:eastAsia="Times New Roman" w:hAnsi="Times New Roman" w:cs="Times New Roman"/>
          <w:b/>
          <w:bCs/>
          <w:sz w:val="24"/>
          <w:szCs w:val="24"/>
          <w:bdr w:val="none" w:sz="0" w:space="0" w:color="auto" w:frame="1"/>
          <w:shd w:val="clear" w:color="auto" w:fill="FFFFFF"/>
        </w:rPr>
        <w:t xml:space="preserve"> recomanda Remdesivir pe o perioad</w:t>
      </w:r>
      <w:r w:rsidR="00E36BBF" w:rsidRPr="00C14E42">
        <w:rPr>
          <w:rFonts w:ascii="Times New Roman" w:eastAsia="Times New Roman" w:hAnsi="Times New Roman" w:cs="Times New Roman"/>
          <w:b/>
          <w:bCs/>
          <w:sz w:val="24"/>
          <w:szCs w:val="24"/>
          <w:bdr w:val="none" w:sz="0" w:space="0" w:color="auto" w:frame="1"/>
          <w:shd w:val="clear" w:color="auto" w:fill="FFFFFF"/>
        </w:rPr>
        <w:t>ă</w:t>
      </w:r>
      <w:r w:rsidRPr="00C14E42">
        <w:rPr>
          <w:rFonts w:ascii="Times New Roman" w:eastAsia="Times New Roman" w:hAnsi="Times New Roman" w:cs="Times New Roman"/>
          <w:b/>
          <w:bCs/>
          <w:sz w:val="24"/>
          <w:szCs w:val="24"/>
          <w:bdr w:val="none" w:sz="0" w:space="0" w:color="auto" w:frame="1"/>
          <w:shd w:val="clear" w:color="auto" w:fill="FFFFFF"/>
        </w:rPr>
        <w:t xml:space="preserve"> de 3 zile (prima zi </w:t>
      </w:r>
      <w:r w:rsidR="00E36BBF" w:rsidRPr="00C14E42">
        <w:rPr>
          <w:rFonts w:ascii="Times New Roman" w:eastAsia="Times New Roman" w:hAnsi="Times New Roman" w:cs="Times New Roman"/>
          <w:b/>
          <w:bCs/>
          <w:sz w:val="24"/>
          <w:szCs w:val="24"/>
          <w:bdr w:val="none" w:sz="0" w:space="0" w:color="auto" w:frame="1"/>
          <w:shd w:val="clear" w:color="auto" w:fill="FFFFFF"/>
        </w:rPr>
        <w:t xml:space="preserve">doza de </w:t>
      </w:r>
      <w:r w:rsidR="003427F6" w:rsidRPr="00C14E42">
        <w:rPr>
          <w:rFonts w:ascii="Times New Roman" w:eastAsia="Times New Roman" w:hAnsi="Times New Roman" w:cs="Times New Roman"/>
          <w:b/>
          <w:bCs/>
          <w:sz w:val="24"/>
          <w:szCs w:val="24"/>
          <w:bdr w:val="none" w:sz="0" w:space="0" w:color="auto" w:frame="1"/>
          <w:shd w:val="clear" w:color="auto" w:fill="FFFFFF"/>
        </w:rPr>
        <w:t xml:space="preserve">5 mg/kg/zi, </w:t>
      </w:r>
      <w:r w:rsidRPr="00C14E42">
        <w:rPr>
          <w:rFonts w:ascii="Times New Roman" w:eastAsia="Times New Roman" w:hAnsi="Times New Roman" w:cs="Times New Roman"/>
          <w:b/>
          <w:bCs/>
          <w:sz w:val="24"/>
          <w:szCs w:val="24"/>
          <w:bdr w:val="none" w:sz="0" w:space="0" w:color="auto" w:frame="1"/>
          <w:shd w:val="clear" w:color="auto" w:fill="FFFFFF"/>
        </w:rPr>
        <w:t>zi</w:t>
      </w:r>
      <w:r w:rsidR="003427F6" w:rsidRPr="00C14E42">
        <w:rPr>
          <w:rFonts w:ascii="Times New Roman" w:eastAsia="Times New Roman" w:hAnsi="Times New Roman" w:cs="Times New Roman"/>
          <w:b/>
          <w:bCs/>
          <w:sz w:val="24"/>
          <w:szCs w:val="24"/>
          <w:bdr w:val="none" w:sz="0" w:space="0" w:color="auto" w:frame="1"/>
          <w:shd w:val="clear" w:color="auto" w:fill="FFFFFF"/>
        </w:rPr>
        <w:t>lele</w:t>
      </w:r>
      <w:r w:rsidRPr="00C14E42">
        <w:rPr>
          <w:rFonts w:ascii="Times New Roman" w:eastAsia="Times New Roman" w:hAnsi="Times New Roman" w:cs="Times New Roman"/>
          <w:b/>
          <w:bCs/>
          <w:sz w:val="24"/>
          <w:szCs w:val="24"/>
          <w:bdr w:val="none" w:sz="0" w:space="0" w:color="auto" w:frame="1"/>
          <w:shd w:val="clear" w:color="auto" w:fill="FFFFFF"/>
        </w:rPr>
        <w:t xml:space="preserve"> 2-3 </w:t>
      </w:r>
      <w:r w:rsidR="00E36BBF" w:rsidRPr="00C14E42">
        <w:rPr>
          <w:rFonts w:ascii="Times New Roman" w:eastAsia="Times New Roman" w:hAnsi="Times New Roman" w:cs="Times New Roman"/>
          <w:b/>
          <w:bCs/>
          <w:sz w:val="24"/>
          <w:szCs w:val="24"/>
          <w:bdr w:val="none" w:sz="0" w:space="0" w:color="auto" w:frame="1"/>
          <w:shd w:val="clear" w:color="auto" w:fill="FFFFFF"/>
        </w:rPr>
        <w:t xml:space="preserve">doza de </w:t>
      </w:r>
      <w:r w:rsidR="003427F6" w:rsidRPr="00C14E42">
        <w:rPr>
          <w:rFonts w:ascii="Times New Roman" w:eastAsia="Times New Roman" w:hAnsi="Times New Roman" w:cs="Times New Roman"/>
          <w:b/>
          <w:bCs/>
          <w:sz w:val="24"/>
          <w:szCs w:val="24"/>
          <w:bdr w:val="none" w:sz="0" w:space="0" w:color="auto" w:frame="1"/>
          <w:shd w:val="clear" w:color="auto" w:fill="FFFFFF"/>
        </w:rPr>
        <w:t>2,5 mg/kg/zi</w:t>
      </w:r>
      <w:r w:rsidRPr="00C14E42">
        <w:rPr>
          <w:rFonts w:ascii="Times New Roman" w:eastAsia="Times New Roman" w:hAnsi="Times New Roman" w:cs="Times New Roman"/>
          <w:b/>
          <w:bCs/>
          <w:sz w:val="24"/>
          <w:szCs w:val="24"/>
          <w:bdr w:val="none" w:sz="0" w:space="0" w:color="auto" w:frame="1"/>
          <w:shd w:val="clear" w:color="auto" w:fill="FFFFFF"/>
        </w:rPr>
        <w:t xml:space="preserve">) chiar daca </w:t>
      </w:r>
      <w:r w:rsidR="00E36BBF" w:rsidRPr="00C14E42">
        <w:rPr>
          <w:rFonts w:ascii="Times New Roman" w:eastAsia="Times New Roman" w:hAnsi="Times New Roman" w:cs="Times New Roman"/>
          <w:b/>
          <w:bCs/>
          <w:sz w:val="24"/>
          <w:szCs w:val="24"/>
          <w:bdr w:val="none" w:sz="0" w:space="0" w:color="auto" w:frame="1"/>
          <w:shd w:val="clear" w:color="auto" w:fill="FFFFFF"/>
        </w:rPr>
        <w:t xml:space="preserve">aceștia </w:t>
      </w:r>
      <w:r w:rsidRPr="00C14E42">
        <w:rPr>
          <w:rFonts w:ascii="Times New Roman" w:eastAsia="Times New Roman" w:hAnsi="Times New Roman" w:cs="Times New Roman"/>
          <w:b/>
          <w:bCs/>
          <w:sz w:val="24"/>
          <w:szCs w:val="24"/>
          <w:bdr w:val="none" w:sz="0" w:space="0" w:color="auto" w:frame="1"/>
          <w:shd w:val="clear" w:color="auto" w:fill="FFFFFF"/>
        </w:rPr>
        <w:t>prezinta forma medie de boal</w:t>
      </w:r>
      <w:r w:rsidR="00E36BBF" w:rsidRPr="00C14E42">
        <w:rPr>
          <w:rFonts w:ascii="Times New Roman" w:eastAsia="Times New Roman" w:hAnsi="Times New Roman" w:cs="Times New Roman"/>
          <w:b/>
          <w:bCs/>
          <w:sz w:val="24"/>
          <w:szCs w:val="24"/>
          <w:bdr w:val="none" w:sz="0" w:space="0" w:color="auto" w:frame="1"/>
          <w:shd w:val="clear" w:color="auto" w:fill="FFFFFF"/>
        </w:rPr>
        <w:t>ă</w:t>
      </w:r>
      <w:r w:rsidRPr="00C14E42">
        <w:rPr>
          <w:rFonts w:ascii="Times New Roman" w:eastAsia="Times New Roman" w:hAnsi="Times New Roman" w:cs="Times New Roman"/>
          <w:b/>
          <w:bCs/>
          <w:sz w:val="24"/>
          <w:szCs w:val="24"/>
          <w:bdr w:val="none" w:sz="0" w:space="0" w:color="auto" w:frame="1"/>
          <w:shd w:val="clear" w:color="auto" w:fill="FFFFFF"/>
        </w:rPr>
        <w:t xml:space="preserve">. </w:t>
      </w:r>
      <w:r w:rsidR="005024F2" w:rsidRPr="00C14E42">
        <w:rPr>
          <w:rFonts w:ascii="Times New Roman" w:eastAsia="Times New Roman" w:hAnsi="Times New Roman" w:cs="Times New Roman"/>
          <w:b/>
          <w:bCs/>
          <w:sz w:val="24"/>
          <w:szCs w:val="24"/>
          <w:bdr w:val="none" w:sz="0" w:space="0" w:color="auto" w:frame="1"/>
          <w:shd w:val="clear" w:color="auto" w:fill="FFFFFF"/>
        </w:rPr>
        <w:t>Form</w:t>
      </w:r>
      <w:r w:rsidR="00E36BBF" w:rsidRPr="00C14E42">
        <w:rPr>
          <w:rFonts w:ascii="Times New Roman" w:eastAsia="Times New Roman" w:hAnsi="Times New Roman" w:cs="Times New Roman"/>
          <w:b/>
          <w:bCs/>
          <w:sz w:val="24"/>
          <w:szCs w:val="24"/>
          <w:bdr w:val="none" w:sz="0" w:space="0" w:color="auto" w:frame="1"/>
          <w:shd w:val="clear" w:color="auto" w:fill="FFFFFF"/>
        </w:rPr>
        <w:t>ele</w:t>
      </w:r>
      <w:r w:rsidR="005024F2" w:rsidRPr="00C14E42">
        <w:rPr>
          <w:rFonts w:ascii="Times New Roman" w:eastAsia="Times New Roman" w:hAnsi="Times New Roman" w:cs="Times New Roman"/>
          <w:b/>
          <w:bCs/>
          <w:sz w:val="24"/>
          <w:szCs w:val="24"/>
          <w:bdr w:val="none" w:sz="0" w:space="0" w:color="auto" w:frame="1"/>
          <w:shd w:val="clear" w:color="auto" w:fill="FFFFFF"/>
        </w:rPr>
        <w:t xml:space="preserve"> sever</w:t>
      </w:r>
      <w:r w:rsidR="003427F6" w:rsidRPr="00C14E42">
        <w:rPr>
          <w:rFonts w:ascii="Times New Roman" w:eastAsia="Times New Roman" w:hAnsi="Times New Roman" w:cs="Times New Roman"/>
          <w:b/>
          <w:bCs/>
          <w:sz w:val="24"/>
          <w:szCs w:val="24"/>
          <w:bdr w:val="none" w:sz="0" w:space="0" w:color="auto" w:frame="1"/>
          <w:shd w:val="clear" w:color="auto" w:fill="FFFFFF"/>
        </w:rPr>
        <w:t>e</w:t>
      </w:r>
      <w:r w:rsidR="005024F2" w:rsidRPr="00C14E42">
        <w:rPr>
          <w:rFonts w:ascii="Times New Roman" w:eastAsia="Times New Roman" w:hAnsi="Times New Roman" w:cs="Times New Roman"/>
          <w:b/>
          <w:bCs/>
          <w:sz w:val="24"/>
          <w:szCs w:val="24"/>
          <w:bdr w:val="none" w:sz="0" w:space="0" w:color="auto" w:frame="1"/>
          <w:shd w:val="clear" w:color="auto" w:fill="FFFFFF"/>
        </w:rPr>
        <w:t xml:space="preserve"> sau critic</w:t>
      </w:r>
      <w:r w:rsidR="003427F6" w:rsidRPr="00C14E42">
        <w:rPr>
          <w:rFonts w:ascii="Times New Roman" w:eastAsia="Times New Roman" w:hAnsi="Times New Roman" w:cs="Times New Roman"/>
          <w:b/>
          <w:bCs/>
          <w:sz w:val="24"/>
          <w:szCs w:val="24"/>
          <w:bdr w:val="none" w:sz="0" w:space="0" w:color="auto" w:frame="1"/>
          <w:shd w:val="clear" w:color="auto" w:fill="FFFFFF"/>
        </w:rPr>
        <w:t xml:space="preserve">e vor urma tratament cu Remdesivir timp de </w:t>
      </w:r>
      <w:r w:rsidR="005024F2" w:rsidRPr="00C14E42">
        <w:rPr>
          <w:rFonts w:ascii="Times New Roman" w:eastAsia="Times New Roman" w:hAnsi="Times New Roman" w:cs="Times New Roman"/>
          <w:b/>
          <w:bCs/>
          <w:sz w:val="24"/>
          <w:szCs w:val="24"/>
          <w:bdr w:val="none" w:sz="0" w:space="0" w:color="auto" w:frame="1"/>
          <w:shd w:val="clear" w:color="auto" w:fill="FFFFFF"/>
        </w:rPr>
        <w:t xml:space="preserve">5 zile </w:t>
      </w:r>
      <w:r w:rsidR="00E36BBF" w:rsidRPr="00C14E42">
        <w:rPr>
          <w:rFonts w:ascii="Times New Roman" w:eastAsia="Times New Roman" w:hAnsi="Times New Roman" w:cs="Times New Roman"/>
          <w:b/>
          <w:bCs/>
          <w:sz w:val="24"/>
          <w:szCs w:val="24"/>
          <w:bdr w:val="none" w:sz="0" w:space="0" w:color="auto" w:frame="1"/>
          <w:shd w:val="clear" w:color="auto" w:fill="FFFFFF"/>
        </w:rPr>
        <w:t xml:space="preserve">(prima zi doza de 5 mg/kg/zi, zilele 2-5 doza de 2,5 mg/kg/zi) </w:t>
      </w:r>
      <w:r w:rsidR="005024F2" w:rsidRPr="00C14E42">
        <w:rPr>
          <w:rFonts w:ascii="Times New Roman" w:eastAsia="Times New Roman" w:hAnsi="Times New Roman" w:cs="Times New Roman"/>
          <w:b/>
          <w:bCs/>
          <w:sz w:val="24"/>
          <w:szCs w:val="24"/>
          <w:bdr w:val="none" w:sz="0" w:space="0" w:color="auto" w:frame="1"/>
          <w:shd w:val="clear" w:color="auto" w:fill="FFFFFF"/>
        </w:rPr>
        <w:t>indiferent de v</w:t>
      </w:r>
      <w:r w:rsidR="00E36BBF" w:rsidRPr="00C14E42">
        <w:rPr>
          <w:rFonts w:ascii="Times New Roman" w:eastAsia="Times New Roman" w:hAnsi="Times New Roman" w:cs="Times New Roman"/>
          <w:b/>
          <w:bCs/>
          <w:sz w:val="24"/>
          <w:szCs w:val="24"/>
          <w:bdr w:val="none" w:sz="0" w:space="0" w:color="auto" w:frame="1"/>
          <w:shd w:val="clear" w:color="auto" w:fill="FFFFFF"/>
        </w:rPr>
        <w:t>â</w:t>
      </w:r>
      <w:r w:rsidR="005024F2" w:rsidRPr="00C14E42">
        <w:rPr>
          <w:rFonts w:ascii="Times New Roman" w:eastAsia="Times New Roman" w:hAnsi="Times New Roman" w:cs="Times New Roman"/>
          <w:b/>
          <w:bCs/>
          <w:sz w:val="24"/>
          <w:szCs w:val="24"/>
          <w:bdr w:val="none" w:sz="0" w:space="0" w:color="auto" w:frame="1"/>
          <w:shd w:val="clear" w:color="auto" w:fill="FFFFFF"/>
        </w:rPr>
        <w:t>rst</w:t>
      </w:r>
      <w:r w:rsidR="00E36BBF" w:rsidRPr="00C14E42">
        <w:rPr>
          <w:rFonts w:ascii="Times New Roman" w:eastAsia="Times New Roman" w:hAnsi="Times New Roman" w:cs="Times New Roman"/>
          <w:b/>
          <w:bCs/>
          <w:sz w:val="24"/>
          <w:szCs w:val="24"/>
          <w:bdr w:val="none" w:sz="0" w:space="0" w:color="auto" w:frame="1"/>
          <w:shd w:val="clear" w:color="auto" w:fill="FFFFFF"/>
        </w:rPr>
        <w:t>ă</w:t>
      </w:r>
      <w:r w:rsidR="005024F2" w:rsidRPr="00C14E42">
        <w:rPr>
          <w:rFonts w:ascii="Times New Roman" w:eastAsia="Times New Roman" w:hAnsi="Times New Roman" w:cs="Times New Roman"/>
          <w:b/>
          <w:bCs/>
          <w:sz w:val="24"/>
          <w:szCs w:val="24"/>
          <w:bdr w:val="none" w:sz="0" w:space="0" w:color="auto" w:frame="1"/>
          <w:shd w:val="clear" w:color="auto" w:fill="FFFFFF"/>
        </w:rPr>
        <w:t xml:space="preserve"> </w:t>
      </w:r>
      <w:r w:rsidR="00E36BBF" w:rsidRPr="00C14E42">
        <w:rPr>
          <w:rFonts w:ascii="Times New Roman" w:eastAsia="Times New Roman" w:hAnsi="Times New Roman" w:cs="Times New Roman"/>
          <w:b/>
          <w:bCs/>
          <w:sz w:val="24"/>
          <w:szCs w:val="24"/>
          <w:bdr w:val="none" w:sz="0" w:space="0" w:color="auto" w:frame="1"/>
          <w:shd w:val="clear" w:color="auto" w:fill="FFFFFF"/>
        </w:rPr>
        <w:t>ș</w:t>
      </w:r>
      <w:r w:rsidR="005024F2" w:rsidRPr="00C14E42">
        <w:rPr>
          <w:rFonts w:ascii="Times New Roman" w:eastAsia="Times New Roman" w:hAnsi="Times New Roman" w:cs="Times New Roman"/>
          <w:b/>
          <w:bCs/>
          <w:sz w:val="24"/>
          <w:szCs w:val="24"/>
          <w:bdr w:val="none" w:sz="0" w:space="0" w:color="auto" w:frame="1"/>
          <w:shd w:val="clear" w:color="auto" w:fill="FFFFFF"/>
        </w:rPr>
        <w:t xml:space="preserve">i de factorii de risc. </w:t>
      </w:r>
    </w:p>
    <w:p w14:paraId="1B0C3418" w14:textId="77777777" w:rsidR="00BA139F" w:rsidRPr="00C14E42" w:rsidRDefault="00BA139F"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02AB8705" w14:textId="77777777" w:rsidR="00022853"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e)</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bdr w:val="none" w:sz="0" w:space="0" w:color="auto" w:frame="1"/>
          <w:shd w:val="clear" w:color="auto" w:fill="FFFFFF"/>
        </w:rPr>
        <w:t>Tratamentul anticoagulant profilactic sau curativ este rezervat formelor severe sau critice.</w:t>
      </w:r>
    </w:p>
    <w:p w14:paraId="67B56F93" w14:textId="77777777" w:rsidR="00195E53" w:rsidRPr="00C14E42" w:rsidRDefault="00195E53"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619B9DF9" w14:textId="77777777" w:rsidR="00022853"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f)</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bdr w:val="none" w:sz="0" w:space="0" w:color="auto" w:frame="1"/>
          <w:shd w:val="clear" w:color="auto" w:fill="FFFFFF"/>
        </w:rPr>
        <w:t>Nu există dovezi suficiente pentru sau împotriva utilizării produselor de anticorpi monoclonali anti-SARS-CoV-2 pentru copiii cu COVID-19 care nu sunt spitalizați, dar care au factori de risc pentru boli severe. Pe baza studiilor la adulți, bamlanivimab plus etesevimab sau casirivimab plus imdevimab pot fi luați în considerare de la caz la caz pentru copiii cu vârsta peste 12 ani și care prezintă risc crescut pentru forma severă de boală. FDA a acordat autorizare provizorie de urgență asocierilor bamlanivimab/etesevimab și casirivimab/imdevimab pentru utilizare la pacienți adulți și la copiii peste 12 ani, iar EMA a emis opinii către statele membre ale UE privind utilizarea acestor produse. Se recomandă consultarea unui specialist în boli infecțioase în astfel de cazuri.</w:t>
      </w:r>
    </w:p>
    <w:p w14:paraId="36864F24" w14:textId="77777777" w:rsidR="00195E53" w:rsidRPr="00C14E42" w:rsidRDefault="00195E53"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18427929" w14:textId="77777777" w:rsidR="00022853"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g)</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bdr w:val="none" w:sz="0" w:space="0" w:color="auto" w:frame="1"/>
          <w:shd w:val="clear" w:color="auto" w:fill="FFFFFF"/>
        </w:rPr>
        <w:t>Nu se recomandă utilizarea plasmei convalescente la pacienții pediatrici cu COVID-19 care sunt ventilați mecanic.</w:t>
      </w:r>
    </w:p>
    <w:p w14:paraId="5996F1C4" w14:textId="77777777" w:rsidR="00195E53" w:rsidRPr="00C14E42" w:rsidRDefault="00195E53"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23AEE581" w14:textId="77777777" w:rsidR="00022853"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h)</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bdr w:val="none" w:sz="0" w:space="0" w:color="auto" w:frame="1"/>
          <w:shd w:val="clear" w:color="auto" w:fill="FFFFFF"/>
        </w:rPr>
        <w:t>Nu există dovezi suficiente pentru sau împotriva utilizării baricitinibului în asociere cu remdesivir pentru tratamentul COVID-19 la copiii spitalizați la care corticosteroizii nu pot fi utilizați.</w:t>
      </w:r>
    </w:p>
    <w:p w14:paraId="0EC5D64E" w14:textId="77777777" w:rsidR="00195E53" w:rsidRPr="00C14E42" w:rsidRDefault="00195E53"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38B68918" w14:textId="77777777" w:rsidR="00022853"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i)</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bdr w:val="none" w:sz="0" w:space="0" w:color="auto" w:frame="1"/>
          <w:shd w:val="clear" w:color="auto" w:fill="FFFFFF"/>
        </w:rPr>
        <w:t>Deși datele existente sunt insuficiente, se recomandă administrarea de tocilizumab copiilor cu vârsta peste 2 ani cu aceleași indicații ca pentru adulți. Nu există dovezi suficiente pentru sau împotriva utilizării tocilizumab la copii spitalizați cu sindrom inflamator multisistemic (MIS-C).</w:t>
      </w:r>
    </w:p>
    <w:p w14:paraId="56BB299A" w14:textId="77777777" w:rsidR="00195E53" w:rsidRPr="00C14E42" w:rsidRDefault="00195E53"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5F453FBC" w14:textId="462F9890" w:rsidR="00022853" w:rsidRPr="00C14E42" w:rsidRDefault="00022853" w:rsidP="00022853">
      <w:pPr>
        <w:spacing w:after="0" w:line="240" w:lineRule="auto"/>
        <w:ind w:left="72" w:right="72"/>
        <w:jc w:val="both"/>
        <w:rPr>
          <w:rFonts w:ascii="Times New Roman" w:eastAsia="Times New Roman" w:hAnsi="Times New Roman" w:cs="Times New Roman"/>
          <w:strike/>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j)</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bdr w:val="none" w:sz="0" w:space="0" w:color="auto" w:frame="1"/>
          <w:shd w:val="clear" w:color="auto" w:fill="FFFFFF"/>
        </w:rPr>
        <w:t xml:space="preserve">MIS-C este o complicație gravă a infecției cu SARS-CoV-2 care se poate dezvolta la o minoritate de copii și adulți tineri. Se recomandă consultarea cu o echipă multidisciplinară atunci când se ia în considerare și se administrează terapia imunomodulatoare pentru copiii cu MIS-C. Imunoglobulina intravenoasă și/sau corticosteroizii sunt utilizați în general ca terapie de primă linie, iar antagoniștii interleukinei-1 sau interleukinei 6 au fost utilizați pentru cazuri refractare. </w:t>
      </w:r>
    </w:p>
    <w:p w14:paraId="6BB57B81" w14:textId="77777777" w:rsidR="00427EB0" w:rsidRPr="00C14E42" w:rsidRDefault="00427EB0" w:rsidP="001F7E60">
      <w:pPr>
        <w:spacing w:after="0" w:line="240" w:lineRule="auto"/>
        <w:ind w:right="72"/>
        <w:jc w:val="both"/>
        <w:rPr>
          <w:rFonts w:ascii="Times New Roman" w:eastAsia="Times New Roman" w:hAnsi="Times New Roman" w:cs="Times New Roman"/>
          <w:b/>
          <w:sz w:val="24"/>
          <w:szCs w:val="24"/>
          <w:bdr w:val="none" w:sz="0" w:space="0" w:color="auto" w:frame="1"/>
          <w:shd w:val="clear" w:color="auto" w:fill="FFFFFF"/>
        </w:rPr>
      </w:pPr>
    </w:p>
    <w:p w14:paraId="1580C09F" w14:textId="77777777" w:rsidR="00022853" w:rsidRPr="00C14E42" w:rsidRDefault="00022853" w:rsidP="00022853">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r w:rsidRPr="00C14E42">
        <w:rPr>
          <w:rFonts w:ascii="Times New Roman" w:eastAsia="Times New Roman" w:hAnsi="Times New Roman" w:cs="Times New Roman"/>
          <w:b/>
          <w:sz w:val="24"/>
          <w:szCs w:val="24"/>
          <w:bdr w:val="none" w:sz="0" w:space="0" w:color="auto" w:frame="1"/>
          <w:shd w:val="clear" w:color="auto" w:fill="FFFFFF"/>
        </w:rPr>
        <w:lastRenderedPageBreak/>
        <w:t>Strategie terapeutică în funcție de forma de boală pentru cazurile pediatrice</w:t>
      </w:r>
    </w:p>
    <w:p w14:paraId="1310B9C7" w14:textId="77777777" w:rsidR="00022853"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1E9E8021" w14:textId="36E23C7E" w:rsidR="00427EB0" w:rsidRPr="00C14E42" w:rsidRDefault="00DA5A0C" w:rsidP="00DA5A0C">
      <w:pPr>
        <w:tabs>
          <w:tab w:val="left" w:pos="360"/>
        </w:tabs>
        <w:spacing w:after="0" w:line="240" w:lineRule="auto"/>
        <w:ind w:right="72" w:firstLine="90"/>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sz w:val="24"/>
          <w:szCs w:val="24"/>
          <w:bdr w:val="none" w:sz="0" w:space="0" w:color="auto" w:frame="1"/>
          <w:shd w:val="clear" w:color="auto" w:fill="FFFFFF"/>
        </w:rPr>
        <w:t>1.</w:t>
      </w:r>
      <w:r w:rsidRPr="00C14E42">
        <w:rPr>
          <w:rFonts w:ascii="Times New Roman" w:eastAsia="Times New Roman" w:hAnsi="Times New Roman" w:cs="Times New Roman"/>
          <w:sz w:val="24"/>
          <w:szCs w:val="24"/>
          <w:bdr w:val="none" w:sz="0" w:space="0" w:color="auto" w:frame="1"/>
          <w:shd w:val="clear" w:color="auto" w:fill="FFFFFF"/>
        </w:rPr>
        <w:t xml:space="preserve"> </w:t>
      </w:r>
      <w:r w:rsidR="00022853" w:rsidRPr="00C14E42">
        <w:rPr>
          <w:rFonts w:ascii="Times New Roman" w:eastAsia="Times New Roman" w:hAnsi="Times New Roman" w:cs="Times New Roman"/>
          <w:sz w:val="24"/>
          <w:szCs w:val="24"/>
          <w:u w:val="single"/>
          <w:bdr w:val="none" w:sz="0" w:space="0" w:color="auto" w:frame="1"/>
          <w:shd w:val="clear" w:color="auto" w:fill="FFFFFF"/>
        </w:rPr>
        <w:t>Forma ușoară</w:t>
      </w:r>
      <w:r w:rsidR="00022853" w:rsidRPr="00C14E42">
        <w:rPr>
          <w:rFonts w:ascii="Times New Roman" w:eastAsia="Times New Roman" w:hAnsi="Times New Roman" w:cs="Times New Roman"/>
          <w:sz w:val="24"/>
          <w:szCs w:val="24"/>
          <w:bdr w:val="none" w:sz="0" w:space="0" w:color="auto" w:frame="1"/>
          <w:shd w:val="clear" w:color="auto" w:fill="FFFFFF"/>
        </w:rPr>
        <w:t>:</w:t>
      </w:r>
    </w:p>
    <w:p w14:paraId="1FADDE6A" w14:textId="7206E40E" w:rsidR="00427EB0" w:rsidRPr="00C14E42" w:rsidRDefault="00022853" w:rsidP="004B50B4">
      <w:pPr>
        <w:pStyle w:val="ListParagraph"/>
        <w:numPr>
          <w:ilvl w:val="0"/>
          <w:numId w:val="6"/>
        </w:numPr>
        <w:spacing w:after="0" w:line="240" w:lineRule="auto"/>
        <w:ind w:left="720" w:right="72" w:hanging="270"/>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simptomatice;</w:t>
      </w:r>
    </w:p>
    <w:p w14:paraId="03B3C8B6" w14:textId="22F5D21A" w:rsidR="00022853" w:rsidRPr="00C14E42" w:rsidRDefault="00022853" w:rsidP="004B50B4">
      <w:pPr>
        <w:pStyle w:val="ListParagraph"/>
        <w:numPr>
          <w:ilvl w:val="0"/>
          <w:numId w:val="6"/>
        </w:numPr>
        <w:spacing w:after="0" w:line="240" w:lineRule="auto"/>
        <w:ind w:left="720" w:right="72" w:hanging="270"/>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antiinflamator nesteroidian.</w:t>
      </w:r>
    </w:p>
    <w:p w14:paraId="2C4FEBCA" w14:textId="77777777" w:rsidR="00427EB0" w:rsidRPr="00C14E42" w:rsidRDefault="00427EB0"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3FF99237" w14:textId="77777777" w:rsidR="00022853"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2.</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u w:val="single"/>
          <w:bdr w:val="none" w:sz="0" w:space="0" w:color="auto" w:frame="1"/>
          <w:shd w:val="clear" w:color="auto" w:fill="FFFFFF"/>
        </w:rPr>
        <w:t>Forma medie</w:t>
      </w:r>
      <w:r w:rsidRPr="00C14E42">
        <w:rPr>
          <w:rFonts w:ascii="Times New Roman" w:eastAsia="Times New Roman" w:hAnsi="Times New Roman" w:cs="Times New Roman"/>
          <w:sz w:val="24"/>
          <w:szCs w:val="24"/>
          <w:bdr w:val="none" w:sz="0" w:space="0" w:color="auto" w:frame="1"/>
          <w:shd w:val="clear" w:color="auto" w:fill="FFFFFF"/>
        </w:rPr>
        <w:t xml:space="preserve"> (fără oxigenoterapie):</w:t>
      </w:r>
    </w:p>
    <w:p w14:paraId="7A318729" w14:textId="5CBBE6BC" w:rsidR="00022853" w:rsidRPr="00C14E42" w:rsidRDefault="00022853" w:rsidP="004B50B4">
      <w:pPr>
        <w:pStyle w:val="ListParagraph"/>
        <w:numPr>
          <w:ilvl w:val="1"/>
          <w:numId w:val="7"/>
        </w:numPr>
        <w:spacing w:after="0" w:line="240" w:lineRule="auto"/>
        <w:ind w:left="720" w:right="72" w:hanging="270"/>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simptomatice;</w:t>
      </w:r>
    </w:p>
    <w:p w14:paraId="018CF238" w14:textId="328701BE" w:rsidR="00022853" w:rsidRPr="00C14E42" w:rsidRDefault="00022853" w:rsidP="004B50B4">
      <w:pPr>
        <w:pStyle w:val="ListParagraph"/>
        <w:numPr>
          <w:ilvl w:val="1"/>
          <w:numId w:val="7"/>
        </w:numPr>
        <w:spacing w:after="0" w:line="240" w:lineRule="auto"/>
        <w:ind w:left="720" w:right="72" w:hanging="270"/>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antiinflamator nesteroidian sau corticoterapie (la latitudinea medicului curant);</w:t>
      </w:r>
    </w:p>
    <w:p w14:paraId="64A568B7" w14:textId="283BC1F7" w:rsidR="00022853" w:rsidRPr="00C14E42" w:rsidRDefault="00022853" w:rsidP="004B50B4">
      <w:pPr>
        <w:pStyle w:val="ListParagraph"/>
        <w:numPr>
          <w:ilvl w:val="1"/>
          <w:numId w:val="7"/>
        </w:numPr>
        <w:spacing w:after="0" w:line="240" w:lineRule="auto"/>
        <w:ind w:left="720" w:right="72" w:hanging="270"/>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antibioticoterapie (doar când există dovezi de asociere a unei infecții bacteriene), folosindu-se antibioticele indicate în pneumonia comunitară (în conformitate cu recomandările specifice pentru vârsta pacientului).</w:t>
      </w:r>
    </w:p>
    <w:p w14:paraId="11157BD4" w14:textId="77777777" w:rsidR="00427EB0" w:rsidRPr="00C14E42" w:rsidRDefault="00427EB0"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085D8805" w14:textId="77777777" w:rsidR="00022853"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3.</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u w:val="single"/>
          <w:bdr w:val="none" w:sz="0" w:space="0" w:color="auto" w:frame="1"/>
          <w:shd w:val="clear" w:color="auto" w:fill="FFFFFF"/>
        </w:rPr>
        <w:t>Forma severă</w:t>
      </w:r>
      <w:r w:rsidRPr="00C14E42">
        <w:rPr>
          <w:rFonts w:ascii="Times New Roman" w:eastAsia="Times New Roman" w:hAnsi="Times New Roman" w:cs="Times New Roman"/>
          <w:sz w:val="24"/>
          <w:szCs w:val="24"/>
          <w:bdr w:val="none" w:sz="0" w:space="0" w:color="auto" w:frame="1"/>
          <w:shd w:val="clear" w:color="auto" w:fill="FFFFFF"/>
        </w:rPr>
        <w:t xml:space="preserve"> (cu necesar de oxigenoterapie):</w:t>
      </w:r>
    </w:p>
    <w:p w14:paraId="06DE8729" w14:textId="49A3856F" w:rsidR="00022853" w:rsidRPr="00C14E42" w:rsidRDefault="00022853" w:rsidP="004B50B4">
      <w:pPr>
        <w:pStyle w:val="ListParagraph"/>
        <w:numPr>
          <w:ilvl w:val="1"/>
          <w:numId w:val="8"/>
        </w:numPr>
        <w:spacing w:after="0" w:line="240" w:lineRule="auto"/>
        <w:ind w:left="720" w:right="72" w:hanging="270"/>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simptomatice;</w:t>
      </w:r>
    </w:p>
    <w:p w14:paraId="24DF3FC1" w14:textId="1C8CE262" w:rsidR="00022853" w:rsidRPr="00C14E42" w:rsidRDefault="00022853" w:rsidP="004B50B4">
      <w:pPr>
        <w:pStyle w:val="ListParagraph"/>
        <w:numPr>
          <w:ilvl w:val="1"/>
          <w:numId w:val="8"/>
        </w:numPr>
        <w:spacing w:after="0" w:line="240" w:lineRule="auto"/>
        <w:ind w:left="720" w:right="72" w:hanging="270"/>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antibioticoterapie adaptată;</w:t>
      </w:r>
    </w:p>
    <w:p w14:paraId="6F650CF8" w14:textId="4C4FA72B" w:rsidR="00022853" w:rsidRPr="00C14E42" w:rsidRDefault="00022853" w:rsidP="004B50B4">
      <w:pPr>
        <w:pStyle w:val="ListParagraph"/>
        <w:numPr>
          <w:ilvl w:val="1"/>
          <w:numId w:val="8"/>
        </w:numPr>
        <w:spacing w:after="0" w:line="240" w:lineRule="auto"/>
        <w:ind w:left="720" w:right="72" w:hanging="270"/>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corti</w:t>
      </w:r>
      <w:r w:rsidR="00427EB0" w:rsidRPr="00C14E42">
        <w:rPr>
          <w:rFonts w:ascii="Times New Roman" w:eastAsia="Times New Roman" w:hAnsi="Times New Roman" w:cs="Times New Roman"/>
          <w:sz w:val="24"/>
          <w:szCs w:val="24"/>
          <w:bdr w:val="none" w:sz="0" w:space="0" w:color="auto" w:frame="1"/>
          <w:shd w:val="clear" w:color="auto" w:fill="FFFFFF"/>
        </w:rPr>
        <w:t>coterapie iv (dexametazonă 0,15</w:t>
      </w:r>
      <w:r w:rsidRPr="00C14E42">
        <w:rPr>
          <w:rFonts w:ascii="Times New Roman" w:eastAsia="Times New Roman" w:hAnsi="Times New Roman" w:cs="Times New Roman"/>
          <w:sz w:val="24"/>
          <w:szCs w:val="24"/>
          <w:bdr w:val="none" w:sz="0" w:space="0" w:color="auto" w:frame="1"/>
          <w:shd w:val="clear" w:color="auto" w:fill="FFFFFF"/>
        </w:rPr>
        <w:t>mg/kgc/zi - maximum 6 mg/zi, metil-prednisolon - 0,8 mg/kg/zi - maximum 32 mg/zi, hidrocortizon);</w:t>
      </w:r>
    </w:p>
    <w:p w14:paraId="313E527A" w14:textId="77777777" w:rsidR="00427EB0" w:rsidRPr="00C14E42" w:rsidRDefault="00022853" w:rsidP="004B50B4">
      <w:pPr>
        <w:pStyle w:val="ListParagraph"/>
        <w:numPr>
          <w:ilvl w:val="1"/>
          <w:numId w:val="8"/>
        </w:numPr>
        <w:spacing w:after="0" w:line="240" w:lineRule="auto"/>
        <w:ind w:left="720" w:right="72" w:hanging="270"/>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anticoagulant în doză profilactică (enoxaparină) - în funcție de factorii de risc (clinici și biologici) pentru tromboza venoasă;</w:t>
      </w:r>
    </w:p>
    <w:p w14:paraId="71783219" w14:textId="3F34DA07" w:rsidR="00022853" w:rsidRPr="00C14E42" w:rsidRDefault="00022853" w:rsidP="004B50B4">
      <w:pPr>
        <w:pStyle w:val="ListParagraph"/>
        <w:numPr>
          <w:ilvl w:val="1"/>
          <w:numId w:val="8"/>
        </w:numPr>
        <w:spacing w:after="0" w:line="240" w:lineRule="auto"/>
        <w:ind w:left="720" w:right="72" w:hanging="270"/>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antiviral (remdesivir) - la recomandarea medicului specialist de boli infecțioase;</w:t>
      </w:r>
    </w:p>
    <w:p w14:paraId="30A3CBE4" w14:textId="2A3536D1" w:rsidR="00022853" w:rsidRPr="00C14E42" w:rsidRDefault="00022853" w:rsidP="004B50B4">
      <w:pPr>
        <w:pStyle w:val="ListParagraph"/>
        <w:numPr>
          <w:ilvl w:val="1"/>
          <w:numId w:val="8"/>
        </w:numPr>
        <w:spacing w:after="0" w:line="240" w:lineRule="auto"/>
        <w:ind w:left="720" w:right="72" w:hanging="270"/>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 imunomodulator (tocilizumab) - la recomandarea medicului specialist de boli infecțioase.</w:t>
      </w:r>
    </w:p>
    <w:p w14:paraId="003C2686" w14:textId="77777777" w:rsidR="00427EB0" w:rsidRPr="00C14E42" w:rsidRDefault="00427EB0"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26CCF484" w14:textId="77777777" w:rsidR="00427EB0"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4.</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u w:val="single"/>
          <w:bdr w:val="none" w:sz="0" w:space="0" w:color="auto" w:frame="1"/>
          <w:shd w:val="clear" w:color="auto" w:fill="FFFFFF"/>
        </w:rPr>
        <w:t>Forma critică</w:t>
      </w:r>
      <w:r w:rsidRPr="00C14E42">
        <w:rPr>
          <w:rFonts w:ascii="Times New Roman" w:eastAsia="Times New Roman" w:hAnsi="Times New Roman" w:cs="Times New Roman"/>
          <w:sz w:val="24"/>
          <w:szCs w:val="24"/>
          <w:bdr w:val="none" w:sz="0" w:space="0" w:color="auto" w:frame="1"/>
          <w:shd w:val="clear" w:color="auto" w:fill="FFFFFF"/>
        </w:rPr>
        <w:t xml:space="preserve"> (cu necesar de suport ventilator) - internare în secțiile ATI:</w:t>
      </w:r>
    </w:p>
    <w:p w14:paraId="6C529C8E" w14:textId="446A7191" w:rsidR="00427EB0" w:rsidRPr="00C14E42" w:rsidRDefault="00022853" w:rsidP="004B50B4">
      <w:pPr>
        <w:pStyle w:val="ListParagraph"/>
        <w:numPr>
          <w:ilvl w:val="1"/>
          <w:numId w:val="9"/>
        </w:numPr>
        <w:spacing w:after="0" w:line="240" w:lineRule="auto"/>
        <w:ind w:left="720" w:right="72" w:hanging="270"/>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simptomatice;</w:t>
      </w:r>
    </w:p>
    <w:p w14:paraId="763AD74A" w14:textId="18C88964" w:rsidR="00427EB0" w:rsidRPr="00C14E42" w:rsidRDefault="00022853" w:rsidP="004B50B4">
      <w:pPr>
        <w:pStyle w:val="ListParagraph"/>
        <w:numPr>
          <w:ilvl w:val="1"/>
          <w:numId w:val="9"/>
        </w:numPr>
        <w:spacing w:after="0" w:line="240" w:lineRule="auto"/>
        <w:ind w:left="720" w:right="72" w:hanging="270"/>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antibioticoterapie adaptată;</w:t>
      </w:r>
    </w:p>
    <w:p w14:paraId="3225BED1" w14:textId="6A106AA4" w:rsidR="00427EB0" w:rsidRPr="00C14E42" w:rsidRDefault="00022853" w:rsidP="004B50B4">
      <w:pPr>
        <w:pStyle w:val="ListParagraph"/>
        <w:numPr>
          <w:ilvl w:val="1"/>
          <w:numId w:val="9"/>
        </w:numPr>
        <w:spacing w:after="0" w:line="240" w:lineRule="auto"/>
        <w:ind w:left="720" w:right="72" w:hanging="270"/>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corticoterapie iv (dexametazonă, metil-prednisolon);</w:t>
      </w:r>
    </w:p>
    <w:p w14:paraId="02FF51BD" w14:textId="5363B873" w:rsidR="00427EB0" w:rsidRPr="00C14E42" w:rsidRDefault="00022853" w:rsidP="004B50B4">
      <w:pPr>
        <w:pStyle w:val="ListParagraph"/>
        <w:numPr>
          <w:ilvl w:val="1"/>
          <w:numId w:val="9"/>
        </w:numPr>
        <w:spacing w:after="0" w:line="240" w:lineRule="auto"/>
        <w:ind w:left="720" w:right="72" w:hanging="270"/>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anticoagulant în doza curativă (enoxaparină);</w:t>
      </w:r>
    </w:p>
    <w:p w14:paraId="588292FE" w14:textId="6E216423" w:rsidR="00427EB0" w:rsidRPr="00C14E42" w:rsidRDefault="00022853" w:rsidP="004B50B4">
      <w:pPr>
        <w:pStyle w:val="ListParagraph"/>
        <w:numPr>
          <w:ilvl w:val="1"/>
          <w:numId w:val="9"/>
        </w:numPr>
        <w:spacing w:after="0" w:line="240" w:lineRule="auto"/>
        <w:ind w:left="720" w:right="72" w:hanging="270"/>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antiviral (remdesivir) - cu eventuala recomandare a medicului specialist de boli infecțioase;</w:t>
      </w:r>
    </w:p>
    <w:p w14:paraId="4314B889" w14:textId="77777777" w:rsidR="00DA5A0C" w:rsidRPr="00C14E42" w:rsidRDefault="00022853" w:rsidP="004B50B4">
      <w:pPr>
        <w:pStyle w:val="ListParagraph"/>
        <w:numPr>
          <w:ilvl w:val="1"/>
          <w:numId w:val="9"/>
        </w:numPr>
        <w:spacing w:after="0" w:line="240" w:lineRule="auto"/>
        <w:ind w:left="720" w:right="72" w:hanging="270"/>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imunomodulator (tocilizumab) - cu eventuala recomandare a medicului specialist de boli infecțioase;</w:t>
      </w:r>
    </w:p>
    <w:p w14:paraId="5D3BF279" w14:textId="3B43B466" w:rsidR="00427EB0" w:rsidRPr="00C14E42" w:rsidRDefault="00022853" w:rsidP="004B50B4">
      <w:pPr>
        <w:pStyle w:val="ListParagraph"/>
        <w:numPr>
          <w:ilvl w:val="1"/>
          <w:numId w:val="9"/>
        </w:numPr>
        <w:spacing w:after="0" w:line="240" w:lineRule="auto"/>
        <w:ind w:left="720" w:right="72" w:hanging="270"/>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tratamentul șocului și al disfuncțiilor de organ.</w:t>
      </w:r>
    </w:p>
    <w:p w14:paraId="52CC1E2B" w14:textId="77777777" w:rsidR="00DA5A0C" w:rsidRPr="00C14E42" w:rsidRDefault="00DA5A0C"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6934C114" w14:textId="06D629BB" w:rsidR="00DA5A0C" w:rsidRPr="00C14E42" w:rsidRDefault="00434BEE" w:rsidP="00DA5A0C">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B.</w:t>
      </w:r>
      <w:r w:rsidRPr="00C14E42">
        <w:rPr>
          <w:rFonts w:ascii="Times New Roman" w:eastAsia="Times New Roman" w:hAnsi="Times New Roman" w:cs="Times New Roman"/>
          <w:b/>
          <w:sz w:val="24"/>
          <w:szCs w:val="24"/>
          <w:bdr w:val="dotted" w:sz="6" w:space="0" w:color="FEFEFE" w:frame="1"/>
          <w:shd w:val="clear" w:color="auto" w:fill="FFFFFF"/>
        </w:rPr>
        <w:t> </w:t>
      </w:r>
      <w:r w:rsidRPr="00C14E42">
        <w:rPr>
          <w:rFonts w:ascii="Times New Roman" w:eastAsia="Times New Roman" w:hAnsi="Times New Roman" w:cs="Times New Roman"/>
          <w:b/>
          <w:sz w:val="24"/>
          <w:szCs w:val="24"/>
          <w:bdr w:val="none" w:sz="0" w:space="0" w:color="auto" w:frame="1"/>
          <w:shd w:val="clear" w:color="auto" w:fill="FFFFFF"/>
        </w:rPr>
        <w:t xml:space="preserve">CATEGORII DE MEDICAMENTE UTILIZABILE ÎN TRATAMENTUL PACIENȚILOR CU </w:t>
      </w:r>
      <w:r w:rsidR="00022853" w:rsidRPr="00C14E42">
        <w:rPr>
          <w:rFonts w:ascii="Times New Roman" w:eastAsia="Times New Roman" w:hAnsi="Times New Roman" w:cs="Times New Roman"/>
          <w:b/>
          <w:sz w:val="24"/>
          <w:szCs w:val="24"/>
          <w:bdr w:val="none" w:sz="0" w:space="0" w:color="auto" w:frame="1"/>
          <w:shd w:val="clear" w:color="auto" w:fill="FFFFFF"/>
        </w:rPr>
        <w:t>COVID-19</w:t>
      </w:r>
    </w:p>
    <w:p w14:paraId="66447B2C" w14:textId="27E00A0A" w:rsidR="00DA5A0C" w:rsidRPr="00C14E42" w:rsidRDefault="00022853" w:rsidP="00DA5A0C">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Prezentul protocol terapeutic include principii grupate în următoarele capitole:</w:t>
      </w:r>
    </w:p>
    <w:p w14:paraId="77CEDFB2" w14:textId="77777777" w:rsidR="00DA5A0C" w:rsidRPr="00C14E42" w:rsidRDefault="00DA5A0C" w:rsidP="00DA5A0C">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10214C53" w14:textId="58EDD914" w:rsidR="00DA5A0C" w:rsidRPr="00C14E42" w:rsidRDefault="00022853" w:rsidP="00DA5A0C">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B.1.</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bdr w:val="none" w:sz="0" w:space="0" w:color="auto" w:frame="1"/>
          <w:shd w:val="clear" w:color="auto" w:fill="FFFFFF"/>
        </w:rPr>
        <w:t>Medicație cu acțiune antivirală</w:t>
      </w:r>
    </w:p>
    <w:p w14:paraId="2466065B" w14:textId="37ADBDFE" w:rsidR="00DA5A0C" w:rsidRPr="00C14E42" w:rsidRDefault="00022853" w:rsidP="00DA5A0C">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B.2.</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bdr w:val="none" w:sz="0" w:space="0" w:color="auto" w:frame="1"/>
          <w:shd w:val="clear" w:color="auto" w:fill="FFFFFF"/>
        </w:rPr>
        <w:t>Medicație antiinflamatorie și imunomodulatoare</w:t>
      </w:r>
    </w:p>
    <w:p w14:paraId="797553FB" w14:textId="1F5E7811" w:rsidR="00DA5A0C" w:rsidRPr="00C14E42" w:rsidRDefault="00022853" w:rsidP="00DA5A0C">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B.3.</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bdr w:val="none" w:sz="0" w:space="0" w:color="auto" w:frame="1"/>
          <w:shd w:val="clear" w:color="auto" w:fill="FFFFFF"/>
        </w:rPr>
        <w:t>Managementul coagulopatiei</w:t>
      </w:r>
    </w:p>
    <w:p w14:paraId="0180FCF4" w14:textId="0630DFE6" w:rsidR="00DA5A0C" w:rsidRPr="00C14E42" w:rsidRDefault="00022853" w:rsidP="00DA5A0C">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B.4.</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bdr w:val="none" w:sz="0" w:space="0" w:color="auto" w:frame="1"/>
          <w:shd w:val="clear" w:color="auto" w:fill="FFFFFF"/>
        </w:rPr>
        <w:t>Antibiotice și alte medicații antiinfecțioase (cu excepția celor specifice COVID-19)</w:t>
      </w:r>
    </w:p>
    <w:p w14:paraId="26ED1EED" w14:textId="1C0A251E" w:rsidR="00DA5A0C" w:rsidRPr="00C14E42" w:rsidRDefault="00022853" w:rsidP="00DA5A0C">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B.5.</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bdr w:val="none" w:sz="0" w:space="0" w:color="auto" w:frame="1"/>
          <w:shd w:val="clear" w:color="auto" w:fill="FFFFFF"/>
        </w:rPr>
        <w:t>Suportul funcțiilor vitale</w:t>
      </w:r>
    </w:p>
    <w:p w14:paraId="76F69240" w14:textId="4C3EA9F8" w:rsidR="00DA5A0C" w:rsidRPr="00C14E42" w:rsidRDefault="00022853" w:rsidP="00DA5A0C">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B.6.</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bdr w:val="none" w:sz="0" w:space="0" w:color="auto" w:frame="1"/>
          <w:shd w:val="clear" w:color="auto" w:fill="FFFFFF"/>
        </w:rPr>
        <w:t>Simptomatice și alte măsuri terapeutice</w:t>
      </w:r>
    </w:p>
    <w:p w14:paraId="6C55AB44" w14:textId="77777777" w:rsidR="00DA5A0C"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B.7.</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bdr w:val="none" w:sz="0" w:space="0" w:color="auto" w:frame="1"/>
          <w:shd w:val="clear" w:color="auto" w:fill="FFFFFF"/>
        </w:rPr>
        <w:t>Intervenții terapeutice controversate</w:t>
      </w:r>
    </w:p>
    <w:p w14:paraId="44DCE472" w14:textId="77777777" w:rsidR="00DA5A0C" w:rsidRPr="00C14E42" w:rsidRDefault="00DA5A0C"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1B0B602B" w14:textId="77777777" w:rsidR="00DA5A0C"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B.1.</w:t>
      </w:r>
      <w:r w:rsidRPr="00C14E42">
        <w:rPr>
          <w:rFonts w:ascii="Times New Roman" w:eastAsia="Times New Roman" w:hAnsi="Times New Roman" w:cs="Times New Roman"/>
          <w:b/>
          <w:sz w:val="24"/>
          <w:szCs w:val="24"/>
          <w:bdr w:val="dotted" w:sz="6" w:space="0" w:color="FEFEFE" w:frame="1"/>
          <w:shd w:val="clear" w:color="auto" w:fill="FFFFFF"/>
        </w:rPr>
        <w:t> </w:t>
      </w:r>
      <w:r w:rsidRPr="00C14E42">
        <w:rPr>
          <w:rFonts w:ascii="Times New Roman" w:eastAsia="Times New Roman" w:hAnsi="Times New Roman" w:cs="Times New Roman"/>
          <w:b/>
          <w:sz w:val="24"/>
          <w:szCs w:val="24"/>
          <w:bdr w:val="none" w:sz="0" w:space="0" w:color="auto" w:frame="1"/>
          <w:shd w:val="clear" w:color="auto" w:fill="FFFFFF"/>
        </w:rPr>
        <w:t>Medicație cu acțiune antivirală</w:t>
      </w:r>
      <w:r w:rsidRPr="00C14E42">
        <w:rPr>
          <w:rFonts w:ascii="Times New Roman" w:eastAsia="Times New Roman" w:hAnsi="Times New Roman" w:cs="Times New Roman"/>
          <w:sz w:val="24"/>
          <w:szCs w:val="24"/>
          <w:bdr w:val="none" w:sz="0" w:space="0" w:color="auto" w:frame="1"/>
          <w:shd w:val="clear" w:color="auto" w:fill="FFFFFF"/>
        </w:rPr>
        <w:t xml:space="preserve"> (tabelul 1)</w:t>
      </w:r>
    </w:p>
    <w:p w14:paraId="12DF0183" w14:textId="77777777" w:rsidR="00E955AA"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Evoluția infecției cu SARS-CoV-2 are o fază inițială dominată de replicarea virală, cu o durată variabilă, în medie 6-7 zile, pentru care administrarea de antivirale eficiente este justificată; în acest interval de timp pacientul trece printr-o perioadă presimptomatică și poate deveni simptomatic. Ulterior, unii pacienți intră într-o fază dominată de inflamație sistemică, care în cazuri rare poate lua aspectul unei hiperinflamații, în care utilitatea medicației cu efect antiviral este mult mai redusă/nulă.</w:t>
      </w:r>
    </w:p>
    <w:p w14:paraId="765526F0" w14:textId="77777777" w:rsidR="00E955AA" w:rsidRPr="00C14E42" w:rsidRDefault="00E955AA"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3BC3CE75" w14:textId="77777777" w:rsidR="00E955AA"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De aceea, medicația antivirală ar trebui administrată cât mai precoce după stabilirea diagnosticului (de dorit, de la începutul perioadei simptomatice), în special pacienților cu factori de risc pentru evoluție nefavorabilă, urmărindu-se limitarea riscului de agravare a bolii și reducerea duratei de evoluție a bolii, ceea ce ar putea diminua numărul celor care necesită internare.</w:t>
      </w:r>
    </w:p>
    <w:p w14:paraId="24296929" w14:textId="77777777" w:rsidR="00E955AA" w:rsidRPr="00C14E42" w:rsidRDefault="00E955AA"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63B41F16" w14:textId="77777777" w:rsidR="00E955AA"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lastRenderedPageBreak/>
        <w:t>Persoanele cu infecție asimptomatică cu SARS-CoV-2 nu primesc tratament deoarece nu s-a demonstrat că ar reduce durata excreției virusului și nici că ar preveni evoluția către forme severe de boală.</w:t>
      </w:r>
    </w:p>
    <w:p w14:paraId="3CDCC243" w14:textId="77777777" w:rsidR="00E955AA" w:rsidRPr="00C14E42" w:rsidRDefault="00E955AA"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7C1561B2" w14:textId="77777777" w:rsidR="00E955AA"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sz w:val="24"/>
          <w:szCs w:val="24"/>
          <w:bdr w:val="none" w:sz="0" w:space="0" w:color="auto" w:frame="1"/>
          <w:shd w:val="clear" w:color="auto" w:fill="FFFFFF"/>
        </w:rPr>
        <w:t>Medicamentele cu acțiune antivirală potențial active împotriva SARS-CoV-2</w:t>
      </w:r>
      <w:r w:rsidRPr="00C14E42">
        <w:rPr>
          <w:rFonts w:ascii="Times New Roman" w:eastAsia="Times New Roman" w:hAnsi="Times New Roman" w:cs="Times New Roman"/>
          <w:sz w:val="24"/>
          <w:szCs w:val="24"/>
          <w:bdr w:val="none" w:sz="0" w:space="0" w:color="auto" w:frame="1"/>
          <w:shd w:val="clear" w:color="auto" w:fill="FFFFFF"/>
        </w:rPr>
        <w:t xml:space="preserve"> sunt:</w:t>
      </w:r>
    </w:p>
    <w:p w14:paraId="7262E5ED" w14:textId="77777777" w:rsidR="00E955AA" w:rsidRPr="00C14E42" w:rsidRDefault="00E955AA"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5BC4B95D" w14:textId="77777777" w:rsidR="00E955AA" w:rsidRPr="00C14E42" w:rsidRDefault="00022853" w:rsidP="00022853">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B.1.a.</w:t>
      </w:r>
      <w:r w:rsidRPr="00C14E42">
        <w:rPr>
          <w:rFonts w:ascii="Times New Roman" w:eastAsia="Times New Roman" w:hAnsi="Times New Roman" w:cs="Times New Roman"/>
          <w:b/>
          <w:sz w:val="24"/>
          <w:szCs w:val="24"/>
          <w:bdr w:val="dotted" w:sz="6" w:space="0" w:color="FEFEFE" w:frame="1"/>
          <w:shd w:val="clear" w:color="auto" w:fill="FFFFFF"/>
        </w:rPr>
        <w:t> </w:t>
      </w:r>
      <w:r w:rsidRPr="00C14E42">
        <w:rPr>
          <w:rFonts w:ascii="Times New Roman" w:eastAsia="Times New Roman" w:hAnsi="Times New Roman" w:cs="Times New Roman"/>
          <w:b/>
          <w:sz w:val="24"/>
          <w:szCs w:val="24"/>
          <w:bdr w:val="none" w:sz="0" w:space="0" w:color="auto" w:frame="1"/>
          <w:shd w:val="clear" w:color="auto" w:fill="FFFFFF"/>
        </w:rPr>
        <w:t>Remdesivir</w:t>
      </w:r>
    </w:p>
    <w:p w14:paraId="43159FE1" w14:textId="77777777" w:rsidR="00E955AA" w:rsidRPr="00C14E42" w:rsidRDefault="00E955AA"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2FA3424C" w14:textId="77777777" w:rsidR="00E955AA"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Remdesivir este un antiviral potențial util pentru tratamentul COVID-19, care inhibă ARN polimeraza ARN dependentă, blocând prematur transcripția ARN. Are activitate in vitro împotriva coronavirusurilor, inclusiv împotriva SARS-CoV-2.</w:t>
      </w:r>
    </w:p>
    <w:p w14:paraId="35D24BC2" w14:textId="77777777" w:rsidR="00E955AA" w:rsidRPr="00C14E42" w:rsidRDefault="00E955AA" w:rsidP="00022853">
      <w:pPr>
        <w:spacing w:after="0" w:line="240" w:lineRule="auto"/>
        <w:ind w:left="72" w:right="72"/>
        <w:jc w:val="both"/>
        <w:rPr>
          <w:rFonts w:ascii="Times New Roman" w:eastAsia="Times New Roman" w:hAnsi="Times New Roman" w:cs="Times New Roman"/>
          <w:sz w:val="24"/>
          <w:szCs w:val="24"/>
          <w:u w:val="single"/>
          <w:bdr w:val="none" w:sz="0" w:space="0" w:color="auto" w:frame="1"/>
          <w:shd w:val="clear" w:color="auto" w:fill="FFFFFF"/>
        </w:rPr>
      </w:pPr>
    </w:p>
    <w:p w14:paraId="5FB11104" w14:textId="77777777" w:rsidR="00E955AA"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u w:val="single"/>
          <w:bdr w:val="none" w:sz="0" w:space="0" w:color="auto" w:frame="1"/>
          <w:shd w:val="clear" w:color="auto" w:fill="FFFFFF"/>
        </w:rPr>
        <w:t>Eficiența remdesivirului este cu atât mai ridicată cu cât se administrează mai precoce după debutul simptomatologiei și la pacienți cu risc de evoluție nefavorabilă; este mai eficient la pacienți cu necesar redus de oxigen suplimentar,</w:t>
      </w:r>
      <w:r w:rsidRPr="00C14E42">
        <w:rPr>
          <w:rFonts w:ascii="Times New Roman" w:eastAsia="Times New Roman" w:hAnsi="Times New Roman" w:cs="Times New Roman"/>
          <w:sz w:val="24"/>
          <w:szCs w:val="24"/>
          <w:bdr w:val="none" w:sz="0" w:space="0" w:color="auto" w:frame="1"/>
          <w:shd w:val="clear" w:color="auto" w:fill="FFFFFF"/>
        </w:rPr>
        <w:t xml:space="preserve"> față de cei care necesită un flux mare de oxigen, ventilație invazivă sau noninvazivă, ECMO. .Există date privind evoluție favorabilă și în cazul administrării la pacienții care nu necesită administrare de oxigen.</w:t>
      </w:r>
    </w:p>
    <w:p w14:paraId="78CE2CD8" w14:textId="77777777" w:rsidR="00E955AA" w:rsidRPr="00C14E42" w:rsidRDefault="00E955AA"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571B9BE6" w14:textId="34B1A97F" w:rsidR="00E955AA" w:rsidRPr="00C14E42" w:rsidRDefault="00022853" w:rsidP="00022853">
      <w:pPr>
        <w:spacing w:after="0" w:line="240" w:lineRule="auto"/>
        <w:ind w:left="72" w:right="72"/>
        <w:jc w:val="both"/>
        <w:rPr>
          <w:rFonts w:ascii="Times New Roman" w:eastAsia="Times New Roman" w:hAnsi="Times New Roman" w:cs="Times New Roman"/>
          <w:sz w:val="24"/>
          <w:szCs w:val="24"/>
          <w:u w:val="single"/>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 xml:space="preserve">În prezent, remdesivir are o înregistrare provizorie pentru COVID-19 în Europa. Dozele recomandate sunt de 200 mg în prima zi și 100 mg în zilele următoare, în perfuzie endovenoasă, după diluare în ser fiziologic; durata administrării trebuie să fie de minimum 30 de minute. Nu se administrează în caz de afectare renală sau hepatică semnificativă (a se vedea RCP). </w:t>
      </w:r>
      <w:r w:rsidRPr="00C14E42">
        <w:rPr>
          <w:rFonts w:ascii="Times New Roman" w:eastAsia="Times New Roman" w:hAnsi="Times New Roman" w:cs="Times New Roman"/>
          <w:sz w:val="24"/>
          <w:szCs w:val="24"/>
          <w:u w:val="single"/>
          <w:bdr w:val="none" w:sz="0" w:space="0" w:color="auto" w:frame="1"/>
          <w:shd w:val="clear" w:color="auto" w:fill="FFFFFF"/>
        </w:rPr>
        <w:t>Durata de administrare este de 5 zile și</w:t>
      </w:r>
      <w:r w:rsidR="009C0D21" w:rsidRPr="00C14E42">
        <w:rPr>
          <w:rFonts w:ascii="Times New Roman" w:eastAsia="Times New Roman" w:hAnsi="Times New Roman" w:cs="Times New Roman"/>
          <w:sz w:val="24"/>
          <w:szCs w:val="24"/>
          <w:u w:val="single"/>
          <w:bdr w:val="none" w:sz="0" w:space="0" w:color="auto" w:frame="1"/>
          <w:shd w:val="clear" w:color="auto" w:fill="FFFFFF"/>
        </w:rPr>
        <w:t xml:space="preserve"> dacă nu este demonstrată ameliorarea clinică, tratamentul poate fi prelungit până la 10 zile în total. La pacienții intubați, cu ECMO durata tratamentului este de 10 zile. </w:t>
      </w:r>
    </w:p>
    <w:p w14:paraId="189B6504" w14:textId="77777777" w:rsidR="00E955AA" w:rsidRPr="00C14E42" w:rsidRDefault="00E955AA" w:rsidP="00022853">
      <w:pPr>
        <w:spacing w:after="0" w:line="240" w:lineRule="auto"/>
        <w:ind w:left="72" w:right="72"/>
        <w:jc w:val="both"/>
        <w:rPr>
          <w:rFonts w:ascii="Times New Roman" w:eastAsia="Times New Roman" w:hAnsi="Times New Roman" w:cs="Times New Roman"/>
          <w:sz w:val="24"/>
          <w:szCs w:val="24"/>
          <w:u w:val="single"/>
          <w:bdr w:val="none" w:sz="0" w:space="0" w:color="auto" w:frame="1"/>
          <w:shd w:val="clear" w:color="auto" w:fill="FFFFFF"/>
        </w:rPr>
      </w:pPr>
    </w:p>
    <w:p w14:paraId="1C7EF863" w14:textId="03CF83A2" w:rsidR="00E955AA" w:rsidRPr="00C14E42" w:rsidRDefault="00E955AA"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Tratamentul cu remdesivir în cazul pacienţilor fără necesar suplimentar de oxigen, dar cu risc de evoluţie către forme severe de boală va fi de 3 zile (200 mg în prima zi, urmată de administrarea a câte 100 mg în zilele 2 şi 3), în cazul în care tratamentul este iniţiat în primele 7 zile de la debutul simptomatologiei.</w:t>
      </w:r>
    </w:p>
    <w:p w14:paraId="6DA48665" w14:textId="77777777" w:rsidR="00E955AA" w:rsidRPr="00C14E42" w:rsidRDefault="00E955AA"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4AF9936D" w14:textId="77777777" w:rsidR="00E955AA" w:rsidRPr="00C14E42" w:rsidRDefault="00022853" w:rsidP="00022853">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B.1.b.</w:t>
      </w:r>
      <w:r w:rsidRPr="00C14E42">
        <w:rPr>
          <w:rFonts w:ascii="Times New Roman" w:eastAsia="Times New Roman" w:hAnsi="Times New Roman" w:cs="Times New Roman"/>
          <w:b/>
          <w:sz w:val="24"/>
          <w:szCs w:val="24"/>
          <w:bdr w:val="dotted" w:sz="6" w:space="0" w:color="FEFEFE" w:frame="1"/>
          <w:shd w:val="clear" w:color="auto" w:fill="FFFFFF"/>
        </w:rPr>
        <w:t> </w:t>
      </w:r>
      <w:r w:rsidRPr="00C14E42">
        <w:rPr>
          <w:rFonts w:ascii="Times New Roman" w:eastAsia="Times New Roman" w:hAnsi="Times New Roman" w:cs="Times New Roman"/>
          <w:b/>
          <w:sz w:val="24"/>
          <w:szCs w:val="24"/>
          <w:bdr w:val="none" w:sz="0" w:space="0" w:color="auto" w:frame="1"/>
          <w:shd w:val="clear" w:color="auto" w:fill="FFFFFF"/>
        </w:rPr>
        <w:t>Anticorpi monoclonali neutralizanți pentru SARS-CoV-2</w:t>
      </w:r>
    </w:p>
    <w:p w14:paraId="157240C5" w14:textId="77777777" w:rsidR="00E955AA" w:rsidRPr="00C14E42" w:rsidRDefault="00E955AA"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5B2B77EB" w14:textId="77777777" w:rsidR="00E955AA"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Anticorpii monoclonali neutralizanți au specificitate pentru proteina S a SARS-CoV-2; asemenea altor medicații antivirale, eficiența depinde de administrarea cât mai precoce după debutul bolii, în faza de replicare virală, când nu a început producerea de anticorpi specifici de către pacient. Întrucât în cazul pacienților care evoluează spontan favorabil asumarea riscurilor/costurilor legate de utilizarea lor nu se justifică, este necesar să fie identificați pacienții cu risc important de evoluție severă, aceștia fiind cei care ar avea un beneficiu maxim din administrarea acestui tratament.</w:t>
      </w:r>
    </w:p>
    <w:p w14:paraId="13688127" w14:textId="77777777" w:rsidR="00E955AA" w:rsidRPr="00C14E42" w:rsidRDefault="00E955AA"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1758660B" w14:textId="31E3C19F" w:rsidR="007B2168"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u w:val="single"/>
          <w:bdr w:val="none" w:sz="0" w:space="0" w:color="auto" w:frame="1"/>
          <w:shd w:val="clear" w:color="auto" w:fill="FFFFFF"/>
        </w:rPr>
        <w:t>Se consideră în prezent că indicația de utilizare este pentru pacienții cu forme ușoare sau medii care au factori de risc semnificativi pentru evoluția severă a COVID-19, de preferat în primele 3-4 zile de la debutul simptomelor.</w:t>
      </w:r>
      <w:r w:rsidRPr="00C14E42">
        <w:rPr>
          <w:rFonts w:ascii="Times New Roman" w:eastAsia="Times New Roman" w:hAnsi="Times New Roman" w:cs="Times New Roman"/>
          <w:sz w:val="24"/>
          <w:szCs w:val="24"/>
          <w:bdr w:val="none" w:sz="0" w:space="0" w:color="auto" w:frame="1"/>
          <w:shd w:val="clear" w:color="auto" w:fill="FFFFFF"/>
        </w:rPr>
        <w:t xml:space="preserve"> Eficiența unui anumit produs poate fi influențată de varianta virusului care generează infecția pacientului; nu se justifică utilizarea de produse inactive împotriva variantei/variantelor virale dominante în circulație la un moment dat. </w:t>
      </w:r>
    </w:p>
    <w:p w14:paraId="42050158" w14:textId="77777777" w:rsidR="007B2168" w:rsidRPr="00C14E42" w:rsidRDefault="007B2168"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39278F4D" w14:textId="77777777" w:rsidR="007B2168"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Criteriile de includere pentru tratamentul cu anticorpi monoclonali neutralizanți sunt:</w:t>
      </w:r>
    </w:p>
    <w:p w14:paraId="55EF2BA8" w14:textId="77777777" w:rsidR="007B2168" w:rsidRPr="00C14E42" w:rsidRDefault="007B2168"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536ABE12" w14:textId="77777777" w:rsidR="007B2168"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1.</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bdr w:val="none" w:sz="0" w:space="0" w:color="auto" w:frame="1"/>
          <w:shd w:val="clear" w:color="auto" w:fill="FFFFFF"/>
        </w:rPr>
        <w:t>semnarea consimțământului informat;</w:t>
      </w:r>
    </w:p>
    <w:p w14:paraId="503F06A6" w14:textId="77777777" w:rsidR="007B2168"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2.</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bdr w:val="none" w:sz="0" w:space="0" w:color="auto" w:frame="1"/>
          <w:shd w:val="clear" w:color="auto" w:fill="FFFFFF"/>
        </w:rPr>
        <w:t>durata simptomatologiei de cel mult șapte zile;</w:t>
      </w:r>
    </w:p>
    <w:p w14:paraId="13722EF2" w14:textId="77777777" w:rsidR="007B2168"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3.</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bdr w:val="none" w:sz="0" w:space="0" w:color="auto" w:frame="1"/>
          <w:shd w:val="clear" w:color="auto" w:fill="FFFFFF"/>
        </w:rPr>
        <w:t>nu necesită tratament cu oxigen;</w:t>
      </w:r>
    </w:p>
    <w:p w14:paraId="24F36C13" w14:textId="77777777" w:rsidR="007B2168"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4.</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bdr w:val="none" w:sz="0" w:space="0" w:color="auto" w:frame="1"/>
          <w:shd w:val="clear" w:color="auto" w:fill="FFFFFF"/>
        </w:rPr>
        <w:t xml:space="preserve">prezența a cel puțin unui factor de risc pentru evoluție severă a COVID-19. </w:t>
      </w:r>
    </w:p>
    <w:p w14:paraId="240BDCEA" w14:textId="10B1F162" w:rsidR="007B2168" w:rsidRPr="00C14E42" w:rsidRDefault="007B2168"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 xml:space="preserve">    </w:t>
      </w:r>
      <w:r w:rsidR="00022853" w:rsidRPr="00C14E42">
        <w:rPr>
          <w:rFonts w:ascii="Times New Roman" w:eastAsia="Times New Roman" w:hAnsi="Times New Roman" w:cs="Times New Roman"/>
          <w:sz w:val="24"/>
          <w:szCs w:val="24"/>
          <w:bdr w:val="none" w:sz="0" w:space="0" w:color="auto" w:frame="1"/>
          <w:shd w:val="clear" w:color="auto" w:fill="FFFFFF"/>
        </w:rPr>
        <w:t>Factorii de risc considerați relevanți includ:</w:t>
      </w:r>
    </w:p>
    <w:p w14:paraId="48CE2E5E" w14:textId="609F7779" w:rsidR="007B2168" w:rsidRPr="00C14E42" w:rsidRDefault="00022853" w:rsidP="004B50B4">
      <w:pPr>
        <w:pStyle w:val="ListParagraph"/>
        <w:numPr>
          <w:ilvl w:val="2"/>
          <w:numId w:val="10"/>
        </w:numPr>
        <w:spacing w:after="0" w:line="240" w:lineRule="auto"/>
        <w:ind w:left="720"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obezitate, cu indice de masă corporală peste 30;</w:t>
      </w:r>
    </w:p>
    <w:p w14:paraId="2A0B0D07" w14:textId="66C27025" w:rsidR="007B2168" w:rsidRPr="00C14E42" w:rsidRDefault="00022853" w:rsidP="004B50B4">
      <w:pPr>
        <w:pStyle w:val="ListParagraph"/>
        <w:numPr>
          <w:ilvl w:val="2"/>
          <w:numId w:val="10"/>
        </w:numPr>
        <w:spacing w:after="0" w:line="240" w:lineRule="auto"/>
        <w:ind w:left="720"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diabet zaharat tip 1 și tip 2;</w:t>
      </w:r>
    </w:p>
    <w:p w14:paraId="5C4A9304" w14:textId="43E18B83" w:rsidR="007B2168" w:rsidRPr="00C14E42" w:rsidRDefault="00022853" w:rsidP="004B50B4">
      <w:pPr>
        <w:pStyle w:val="ListParagraph"/>
        <w:numPr>
          <w:ilvl w:val="2"/>
          <w:numId w:val="10"/>
        </w:numPr>
        <w:spacing w:after="0" w:line="240" w:lineRule="auto"/>
        <w:ind w:left="720"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boli cardiovasculare cronice, inclusiv hipertensiune arterială;</w:t>
      </w:r>
    </w:p>
    <w:p w14:paraId="217A3167" w14:textId="2DA10955" w:rsidR="007B2168" w:rsidRPr="00C14E42" w:rsidRDefault="00022853" w:rsidP="004B50B4">
      <w:pPr>
        <w:pStyle w:val="ListParagraph"/>
        <w:numPr>
          <w:ilvl w:val="2"/>
          <w:numId w:val="10"/>
        </w:numPr>
        <w:spacing w:after="0" w:line="240" w:lineRule="auto"/>
        <w:ind w:left="720"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boli respiratorii cronice, inclusiv astm bronșic;</w:t>
      </w:r>
    </w:p>
    <w:p w14:paraId="3020AF66" w14:textId="22F6564E" w:rsidR="007B2168" w:rsidRPr="00C14E42" w:rsidRDefault="00022853" w:rsidP="004B50B4">
      <w:pPr>
        <w:pStyle w:val="ListParagraph"/>
        <w:numPr>
          <w:ilvl w:val="2"/>
          <w:numId w:val="10"/>
        </w:numPr>
        <w:spacing w:after="0" w:line="240" w:lineRule="auto"/>
        <w:ind w:left="720"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insuficiență renală cronică, inclusiv pacienții cu dializă cronică;</w:t>
      </w:r>
    </w:p>
    <w:p w14:paraId="2A001872" w14:textId="77777777" w:rsidR="007B2168" w:rsidRPr="00C14E42" w:rsidRDefault="00022853" w:rsidP="004B50B4">
      <w:pPr>
        <w:pStyle w:val="ListParagraph"/>
        <w:numPr>
          <w:ilvl w:val="2"/>
          <w:numId w:val="10"/>
        </w:numPr>
        <w:spacing w:after="0" w:line="240" w:lineRule="auto"/>
        <w:ind w:left="720"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hepatopatii cronice;</w:t>
      </w:r>
    </w:p>
    <w:p w14:paraId="1B1C7D37" w14:textId="6E4A6B0C" w:rsidR="007B2168" w:rsidRPr="00C14E42" w:rsidRDefault="00022853" w:rsidP="004B50B4">
      <w:pPr>
        <w:pStyle w:val="ListParagraph"/>
        <w:numPr>
          <w:ilvl w:val="2"/>
          <w:numId w:val="10"/>
        </w:numPr>
        <w:spacing w:after="0" w:line="240" w:lineRule="auto"/>
        <w:ind w:left="720"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lastRenderedPageBreak/>
        <w:t>imunodepresii semnificative, inclusiv boli neoplazice, transplant de organ sau de celule stem, talasemie, anemie falcipară, terapie imunosupresoare sau SIDA;</w:t>
      </w:r>
    </w:p>
    <w:p w14:paraId="7B06AC7E" w14:textId="77777777" w:rsidR="007B2168" w:rsidRPr="00C14E42" w:rsidRDefault="00022853" w:rsidP="004B50B4">
      <w:pPr>
        <w:pStyle w:val="ListParagraph"/>
        <w:numPr>
          <w:ilvl w:val="2"/>
          <w:numId w:val="10"/>
        </w:numPr>
        <w:spacing w:after="0" w:line="240" w:lineRule="auto"/>
        <w:ind w:left="720"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vârsta peste 65 de ani.</w:t>
      </w:r>
    </w:p>
    <w:p w14:paraId="70671A23" w14:textId="77777777" w:rsidR="007B2168" w:rsidRPr="00C14E42" w:rsidRDefault="007B2168" w:rsidP="007B2168">
      <w:pPr>
        <w:spacing w:after="0" w:line="240" w:lineRule="auto"/>
        <w:ind w:right="72"/>
        <w:jc w:val="both"/>
        <w:rPr>
          <w:rFonts w:ascii="Times New Roman" w:eastAsia="Times New Roman" w:hAnsi="Times New Roman" w:cs="Times New Roman"/>
          <w:sz w:val="24"/>
          <w:szCs w:val="24"/>
          <w:bdr w:val="none" w:sz="0" w:space="0" w:color="auto" w:frame="1"/>
          <w:shd w:val="clear" w:color="auto" w:fill="FFFFFF"/>
        </w:rPr>
      </w:pPr>
    </w:p>
    <w:p w14:paraId="226C0913" w14:textId="4A146026" w:rsidR="007B2168" w:rsidRPr="00C14E42" w:rsidRDefault="00022853" w:rsidP="007B2168">
      <w:pPr>
        <w:spacing w:after="0" w:line="240" w:lineRule="auto"/>
        <w:ind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În aceste condiții, excluderea de la administrare de anticorpi monoclonali neutralizanți se face în cazul în care este îndeplinit oricare dintre criteriile:</w:t>
      </w:r>
    </w:p>
    <w:p w14:paraId="415CECC0" w14:textId="77777777" w:rsidR="007B2168" w:rsidRPr="00C14E42" w:rsidRDefault="007B2168"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37F98E57" w14:textId="77777777" w:rsidR="007B2168"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1.</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bdr w:val="none" w:sz="0" w:space="0" w:color="auto" w:frame="1"/>
          <w:shd w:val="clear" w:color="auto" w:fill="FFFFFF"/>
        </w:rPr>
        <w:t>durata simptomatologiei peste 7 zile;</w:t>
      </w:r>
    </w:p>
    <w:p w14:paraId="6DB31F72" w14:textId="77777777" w:rsidR="007B2168"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2.</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bdr w:val="none" w:sz="0" w:space="0" w:color="auto" w:frame="1"/>
          <w:shd w:val="clear" w:color="auto" w:fill="FFFFFF"/>
        </w:rPr>
        <w:t>forme severe de boală, care necesită terapie cu oxigen;</w:t>
      </w:r>
    </w:p>
    <w:p w14:paraId="6B7485A1" w14:textId="77777777" w:rsidR="007B2168"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3.</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bdr w:val="none" w:sz="0" w:space="0" w:color="auto" w:frame="1"/>
          <w:shd w:val="clear" w:color="auto" w:fill="FFFFFF"/>
        </w:rPr>
        <w:t>utilizarea anterioară a plasmei de convalescent în cazul aceluiași episod de boală.</w:t>
      </w:r>
    </w:p>
    <w:p w14:paraId="10DD4BBB" w14:textId="77777777" w:rsidR="007B2168" w:rsidRPr="00C14E42" w:rsidRDefault="007B2168" w:rsidP="007B2168">
      <w:pPr>
        <w:spacing w:after="0" w:line="240" w:lineRule="auto"/>
        <w:ind w:right="72"/>
        <w:jc w:val="both"/>
        <w:rPr>
          <w:rFonts w:ascii="Times New Roman" w:eastAsia="Times New Roman" w:hAnsi="Times New Roman" w:cs="Times New Roman"/>
          <w:sz w:val="24"/>
          <w:szCs w:val="24"/>
          <w:bdr w:val="none" w:sz="0" w:space="0" w:color="auto" w:frame="1"/>
          <w:shd w:val="clear" w:color="auto" w:fill="FFFFFF"/>
        </w:rPr>
      </w:pPr>
    </w:p>
    <w:p w14:paraId="3F221D23" w14:textId="77777777" w:rsidR="00241F20"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Apariția cazurilor determinate de varianta omicron limitează utilitatea produselor existente; datele preliminare arată reducerea drastică a capacității de neutralizare a acestor anticorpi față de varianta omicron.</w:t>
      </w:r>
    </w:p>
    <w:p w14:paraId="03292543" w14:textId="77777777" w:rsidR="00241F20" w:rsidRPr="00C14E42" w:rsidRDefault="00241F20"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5C87400C" w14:textId="5C039FB7" w:rsidR="00241F20" w:rsidRPr="00C14E42" w:rsidRDefault="00241F20"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Apariţia cazurilor determinate de varianta omicron limitează utilitatea produselor existente; datele preliminare arată reducerea drastică a capacităţii de neutralizare a acestor anticorpi faţă de varianta omicron. Bamlanivimab/Etesevimab, casirivimab/imdevimab şi regdanvimab sunt virtual inactive in vitro împotriva variantei omicron, aşa încât utilizarea lor nu se justifică la pacienţi în cadrul  val</w:t>
      </w:r>
      <w:r w:rsidR="00685699" w:rsidRPr="00C14E42">
        <w:rPr>
          <w:rFonts w:ascii="Times New Roman" w:eastAsia="Times New Roman" w:hAnsi="Times New Roman" w:cs="Times New Roman"/>
          <w:sz w:val="24"/>
          <w:szCs w:val="24"/>
          <w:bdr w:val="none" w:sz="0" w:space="0" w:color="auto" w:frame="1"/>
          <w:shd w:val="clear" w:color="auto" w:fill="FFFFFF"/>
        </w:rPr>
        <w:t>ului</w:t>
      </w:r>
      <w:r w:rsidRPr="00C14E42">
        <w:rPr>
          <w:rFonts w:ascii="Times New Roman" w:eastAsia="Times New Roman" w:hAnsi="Times New Roman" w:cs="Times New Roman"/>
          <w:sz w:val="24"/>
          <w:szCs w:val="24"/>
          <w:bdr w:val="none" w:sz="0" w:space="0" w:color="auto" w:frame="1"/>
          <w:shd w:val="clear" w:color="auto" w:fill="FFFFFF"/>
        </w:rPr>
        <w:t xml:space="preserve"> de îmbolnăviri determinate de această variantă. În cazurile în care se demonstrează prin tehnici de diagnostic molecular implicarea unei variante virale, alta decât omicron, susceptibilă la unul din aceste produse, se poate administra produsul activ.</w:t>
      </w:r>
    </w:p>
    <w:p w14:paraId="438A52AB" w14:textId="77777777" w:rsidR="00241F20" w:rsidRPr="00C14E42" w:rsidRDefault="00241F20" w:rsidP="00241F20">
      <w:pPr>
        <w:spacing w:after="0" w:line="240" w:lineRule="auto"/>
        <w:ind w:right="72"/>
        <w:jc w:val="both"/>
        <w:rPr>
          <w:rFonts w:ascii="Times New Roman" w:eastAsia="Times New Roman" w:hAnsi="Times New Roman" w:cs="Times New Roman"/>
          <w:sz w:val="24"/>
          <w:szCs w:val="24"/>
          <w:bdr w:val="none" w:sz="0" w:space="0" w:color="auto" w:frame="1"/>
          <w:shd w:val="clear" w:color="auto" w:fill="FFFFFF"/>
        </w:rPr>
      </w:pPr>
    </w:p>
    <w:p w14:paraId="378E9215" w14:textId="77777777" w:rsidR="00241F20"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Anticorpii monoclonali neutralizanți au eficiență superioară plasmei de convalescent în blocarea replicării virale, pentru că se poate cuantifica doza de anticorpi administrată și nu comportă unele dintre riscurile legate de administrarea plasmei.</w:t>
      </w:r>
    </w:p>
    <w:p w14:paraId="1BD6F10C" w14:textId="77777777" w:rsidR="00241F20" w:rsidRPr="00C14E42" w:rsidRDefault="00241F20"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1FEA221E" w14:textId="77777777" w:rsidR="00241F20" w:rsidRPr="00C14E42" w:rsidRDefault="00022853" w:rsidP="00022853">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B.1.c.</w:t>
      </w:r>
      <w:r w:rsidRPr="00C14E42">
        <w:rPr>
          <w:rFonts w:ascii="Times New Roman" w:eastAsia="Times New Roman" w:hAnsi="Times New Roman" w:cs="Times New Roman"/>
          <w:b/>
          <w:sz w:val="24"/>
          <w:szCs w:val="24"/>
          <w:bdr w:val="dotted" w:sz="6" w:space="0" w:color="FEFEFE" w:frame="1"/>
          <w:shd w:val="clear" w:color="auto" w:fill="FFFFFF"/>
        </w:rPr>
        <w:t> </w:t>
      </w:r>
      <w:r w:rsidRPr="00C14E42">
        <w:rPr>
          <w:rFonts w:ascii="Times New Roman" w:eastAsia="Times New Roman" w:hAnsi="Times New Roman" w:cs="Times New Roman"/>
          <w:b/>
          <w:sz w:val="24"/>
          <w:szCs w:val="24"/>
          <w:bdr w:val="none" w:sz="0" w:space="0" w:color="auto" w:frame="1"/>
          <w:shd w:val="clear" w:color="auto" w:fill="FFFFFF"/>
        </w:rPr>
        <w:t>Plasma de convalescent</w:t>
      </w:r>
    </w:p>
    <w:p w14:paraId="632F3233" w14:textId="77777777" w:rsidR="005033A4" w:rsidRPr="00C14E42" w:rsidRDefault="005033A4"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24A5C6DD" w14:textId="77777777" w:rsidR="005033A4"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Odată cu introducerea în utilizarea clinică a anticorpilor monoclonali neutralizanți, indicațiile plasmei de convalescent s-au restrâns întrucât la aceleași potențiale beneficii riscurile sunt mai mari. Momentul optim al recoltării plasmei este incert, având în vedere datele limitate privind dinamica anticorpilor.</w:t>
      </w:r>
    </w:p>
    <w:p w14:paraId="2F477E2E" w14:textId="77777777" w:rsidR="005033A4" w:rsidRPr="00C14E42" w:rsidRDefault="005033A4"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64C077F6" w14:textId="77777777" w:rsidR="005033A4" w:rsidRPr="00C14E42" w:rsidRDefault="00022853" w:rsidP="00022853">
      <w:pPr>
        <w:spacing w:after="0" w:line="240" w:lineRule="auto"/>
        <w:ind w:left="72" w:right="72"/>
        <w:jc w:val="both"/>
        <w:rPr>
          <w:rFonts w:ascii="Times New Roman" w:eastAsia="Times New Roman" w:hAnsi="Times New Roman" w:cs="Times New Roman"/>
          <w:sz w:val="24"/>
          <w:szCs w:val="24"/>
          <w:u w:val="single"/>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 xml:space="preserve">Pentru a putea avea efect favorabil antiviral, plasma de convalescent ar trebui folosită la pacienții cu forme ușoare și cu risc de evoluție severă a COVID-19; o altă posibilă utilizare este la </w:t>
      </w:r>
      <w:r w:rsidRPr="00C14E42">
        <w:rPr>
          <w:rFonts w:ascii="Times New Roman" w:eastAsia="Times New Roman" w:hAnsi="Times New Roman" w:cs="Times New Roman"/>
          <w:sz w:val="24"/>
          <w:szCs w:val="24"/>
          <w:u w:val="single"/>
          <w:bdr w:val="none" w:sz="0" w:space="0" w:color="auto" w:frame="1"/>
          <w:shd w:val="clear" w:color="auto" w:fill="FFFFFF"/>
        </w:rPr>
        <w:t>pacienții cu forme severe de boală, cu imunitatea umorală deprimată, la care se constată persistența prezenței virusului mai mult de 30 de zile.</w:t>
      </w:r>
    </w:p>
    <w:p w14:paraId="5AD63AF3" w14:textId="77777777" w:rsidR="005033A4" w:rsidRPr="00C14E42" w:rsidRDefault="005033A4"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67A0584A" w14:textId="77777777" w:rsidR="005033A4"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Analiza datelor acumulate arată că nu poate fi susținută nici eficiența și nici siguranța administrării plasmei de convalescent COVID-19 în scop terapeutic; există rezultate contradictorii privind eficiența, precum și informații privind decese corelabile cu administrarea de plasmă. Apariția TRALI la un pacient cu formă severă de COVID-19 poate agrava semnificativ disfuncția respiratorie a unui pacient care are deja afectare respiratorie severă; de asemenea, s-au citat supraîncărcări volemice în urma transfuziei de plasmă la pacienți cu COVID-19.</w:t>
      </w:r>
    </w:p>
    <w:p w14:paraId="66A84F41" w14:textId="77777777" w:rsidR="005033A4" w:rsidRPr="00C14E42" w:rsidRDefault="005033A4"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61F57011" w14:textId="349F15E4" w:rsidR="005033A4" w:rsidRPr="00C14E42" w:rsidRDefault="00022853" w:rsidP="00022853">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 xml:space="preserve">B.1.d </w:t>
      </w:r>
      <w:r w:rsidR="005033A4" w:rsidRPr="00C14E42">
        <w:rPr>
          <w:rFonts w:ascii="Times New Roman" w:eastAsia="Times New Roman" w:hAnsi="Times New Roman" w:cs="Times New Roman"/>
          <w:b/>
          <w:sz w:val="24"/>
          <w:szCs w:val="24"/>
          <w:bdr w:val="none" w:sz="0" w:space="0" w:color="auto" w:frame="1"/>
          <w:shd w:val="clear" w:color="auto" w:fill="FFFFFF"/>
        </w:rPr>
        <w:t>Favipiravir</w:t>
      </w:r>
    </w:p>
    <w:p w14:paraId="66034B10" w14:textId="77777777" w:rsidR="005033A4" w:rsidRPr="00C14E42" w:rsidRDefault="005033A4"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56179CF9" w14:textId="77777777" w:rsidR="005033A4"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Favipiravir este un inhibitor al ARN-polimerazei care s-a utilizat pentru gripă și infecția cu virusul Ebola. Din cauza efectelor teratogene, utilizarea sa a fost autorizată doar pentru situații speciale cum ar fi epidemii cu virusuri gripale noi.</w:t>
      </w:r>
    </w:p>
    <w:p w14:paraId="5D61E3D1" w14:textId="77777777" w:rsidR="005033A4" w:rsidRPr="00C14E42" w:rsidRDefault="005033A4"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7B660424" w14:textId="332648F5" w:rsidR="005033A4" w:rsidRPr="00C14E42" w:rsidRDefault="00022853" w:rsidP="00C14E42">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 xml:space="preserve"> Rezultatele unor studii publicate în ultimul an nu au aratat eficiența tratamentului cu Favipiravir pentru cazurile moderate sau medii în infecția SARS-CoV2 și de aceea utilizarea sa nu se mai justifică </w:t>
      </w:r>
      <w:r w:rsidRPr="00C14E42">
        <w:rPr>
          <w:rFonts w:ascii="Times New Roman" w:eastAsia="Times New Roman" w:hAnsi="Times New Roman" w:cs="Times New Roman"/>
          <w:sz w:val="24"/>
          <w:szCs w:val="24"/>
          <w:bdr w:val="none" w:sz="0" w:space="0" w:color="auto" w:frame="1"/>
          <w:shd w:val="clear" w:color="auto" w:fill="FFFFFF"/>
          <w:vertAlign w:val="superscript"/>
        </w:rPr>
        <w:t>[1,2]</w:t>
      </w:r>
      <w:r w:rsidRPr="00C14E42">
        <w:rPr>
          <w:rFonts w:ascii="Times New Roman" w:eastAsia="Times New Roman" w:hAnsi="Times New Roman" w:cs="Times New Roman"/>
          <w:sz w:val="24"/>
          <w:szCs w:val="24"/>
          <w:bdr w:val="none" w:sz="0" w:space="0" w:color="auto" w:frame="1"/>
          <w:shd w:val="clear" w:color="auto" w:fill="FFFFFF"/>
        </w:rPr>
        <w:t xml:space="preserve">. </w:t>
      </w:r>
    </w:p>
    <w:p w14:paraId="41E24EA4" w14:textId="7525BA30" w:rsidR="005033A4" w:rsidRPr="00C14E42" w:rsidRDefault="00022853" w:rsidP="00022853">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B.1.e</w:t>
      </w:r>
      <w:r w:rsidR="005033A4" w:rsidRPr="00C14E42">
        <w:rPr>
          <w:rFonts w:ascii="Times New Roman" w:eastAsia="Times New Roman" w:hAnsi="Times New Roman" w:cs="Times New Roman"/>
          <w:b/>
          <w:bCs/>
          <w:sz w:val="24"/>
          <w:szCs w:val="24"/>
          <w:bdr w:val="none" w:sz="0" w:space="0" w:color="auto" w:frame="1"/>
          <w:shd w:val="clear" w:color="auto" w:fill="FFFFFF"/>
        </w:rPr>
        <w:t xml:space="preserve">. </w:t>
      </w:r>
      <w:r w:rsidR="005033A4" w:rsidRPr="00C14E42">
        <w:rPr>
          <w:rFonts w:ascii="Times New Roman" w:eastAsia="Times New Roman" w:hAnsi="Times New Roman" w:cs="Times New Roman"/>
          <w:b/>
          <w:sz w:val="24"/>
          <w:szCs w:val="24"/>
          <w:bdr w:val="none" w:sz="0" w:space="0" w:color="auto" w:frame="1"/>
          <w:shd w:val="clear" w:color="auto" w:fill="FFFFFF"/>
        </w:rPr>
        <w:t>Molnupiravir</w:t>
      </w:r>
    </w:p>
    <w:p w14:paraId="087E96A6" w14:textId="77777777" w:rsidR="005033A4" w:rsidRPr="00C14E42" w:rsidRDefault="005033A4"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4364A8AA" w14:textId="77777777" w:rsidR="005033A4"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 xml:space="preserve">Molnupiravir este un antiviral oral care după activare este încorporat în ARN-ul viral; acumularea de mai multe astfel de erori în ARN blochează replicarea virală. Există date care susțin un beneficiu în cazul administrării precoce, în primele cinci zile de boală, la pacienți cu factori de risc pentru evoluție severă, </w:t>
      </w:r>
      <w:r w:rsidRPr="00C14E42">
        <w:rPr>
          <w:rFonts w:ascii="Times New Roman" w:eastAsia="Times New Roman" w:hAnsi="Times New Roman" w:cs="Times New Roman"/>
          <w:sz w:val="24"/>
          <w:szCs w:val="24"/>
          <w:bdr w:val="none" w:sz="0" w:space="0" w:color="auto" w:frame="1"/>
          <w:shd w:val="clear" w:color="auto" w:fill="FFFFFF"/>
        </w:rPr>
        <w:lastRenderedPageBreak/>
        <w:t>reducând semnificativ riscul de agravare și de deces. De asemeni, reduce durata perioadei de replicare virală.</w:t>
      </w:r>
    </w:p>
    <w:p w14:paraId="3CBC33DF" w14:textId="77777777" w:rsidR="005033A4" w:rsidRPr="00C14E42" w:rsidRDefault="005033A4"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1B1ECEB3" w14:textId="77777777" w:rsidR="005033A4"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Dozele folosite au fost de 800 mg la 12 ore timp de 5 zile, administrat oral. Nu a fost utilizat la copii și nu se administrează la gravide; pe durata tratamentului și cel puțin patru zile după ultima doză administrată la paciente din grupe de vârstă fertilă este necesară utilizarea de mijloace de contracepție.</w:t>
      </w:r>
    </w:p>
    <w:p w14:paraId="159C44E3" w14:textId="77777777" w:rsidR="005033A4" w:rsidRPr="00C14E42" w:rsidRDefault="005033A4"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3DECB445" w14:textId="77777777" w:rsidR="005033A4" w:rsidRPr="00C14E42" w:rsidRDefault="00022853" w:rsidP="00022853">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B.1.f.</w:t>
      </w:r>
      <w:r w:rsidRPr="00C14E42">
        <w:rPr>
          <w:rFonts w:ascii="Times New Roman" w:eastAsia="Times New Roman" w:hAnsi="Times New Roman" w:cs="Times New Roman"/>
          <w:b/>
          <w:sz w:val="24"/>
          <w:szCs w:val="24"/>
          <w:bdr w:val="dotted" w:sz="6" w:space="0" w:color="FEFEFE" w:frame="1"/>
          <w:shd w:val="clear" w:color="auto" w:fill="FFFFFF"/>
        </w:rPr>
        <w:t> </w:t>
      </w:r>
      <w:r w:rsidRPr="00C14E42">
        <w:rPr>
          <w:rFonts w:ascii="Times New Roman" w:eastAsia="Times New Roman" w:hAnsi="Times New Roman" w:cs="Times New Roman"/>
          <w:b/>
          <w:sz w:val="24"/>
          <w:szCs w:val="24"/>
          <w:bdr w:val="none" w:sz="0" w:space="0" w:color="auto" w:frame="1"/>
          <w:shd w:val="clear" w:color="auto" w:fill="FFFFFF"/>
        </w:rPr>
        <w:t>Pa</w:t>
      </w:r>
      <w:r w:rsidR="005033A4" w:rsidRPr="00C14E42">
        <w:rPr>
          <w:rFonts w:ascii="Times New Roman" w:eastAsia="Times New Roman" w:hAnsi="Times New Roman" w:cs="Times New Roman"/>
          <w:b/>
          <w:sz w:val="24"/>
          <w:szCs w:val="24"/>
          <w:bdr w:val="none" w:sz="0" w:space="0" w:color="auto" w:frame="1"/>
          <w:shd w:val="clear" w:color="auto" w:fill="FFFFFF"/>
        </w:rPr>
        <w:t>xlovid</w:t>
      </w:r>
    </w:p>
    <w:p w14:paraId="0FB2D75F" w14:textId="77777777" w:rsidR="005033A4" w:rsidRPr="00C14E42" w:rsidRDefault="005033A4"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37AFA830" w14:textId="77777777" w:rsidR="005033A4"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Paxlovidul este o asociere a unei substanțe (PF07321332) cu ritonavir; efectul antiviral al PF07321332 se exercită prin inhibarea efectului unei proteaze specifice coronavirusurilor, iar ritonavirul inhibă metabolizarea sa, prelungind timpul de acțiune. Există date care susțin un beneficiu în cazul administrării precoce, în primele cinci zile de boală, la pacienți cu factori de risc pentru evoluție severă, reducând semnificativ riscul de agravare și de deces.</w:t>
      </w:r>
    </w:p>
    <w:p w14:paraId="29C969EB" w14:textId="77777777" w:rsidR="005033A4" w:rsidRPr="00C14E42" w:rsidRDefault="005033A4"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2EF115FE" w14:textId="77777777" w:rsidR="005033A4"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Dozele folosite au fost de 300 mg asociat cu 100 mg de ritonavir la fiecare 12 ore pentru 5 zile, administrat oral. Doza de paxlovid se înjumătățește la pacienții cu insuficiență renală medie; la pacienții cu eFGR sub 30 ml/min. și la pacienții cu disfuncție hepatică severă produsul este complet interzis. O problemă importantă este riscul de reacții adverse determinate de medicația concomitentă, întrucât ritonavirul poate modifica dinamica metabolizării lor. Nu există date privind utilizarea la gravide, în timpul lactației sau la copii și de aceea nu se recomandă prescrierea sa la paciente însărcinate sau din grupe de vârstă fertile.</w:t>
      </w:r>
    </w:p>
    <w:p w14:paraId="0C421E4A" w14:textId="77777777" w:rsidR="005033A4" w:rsidRPr="00C14E42" w:rsidRDefault="005033A4"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6F0787CA" w14:textId="71E57EE5" w:rsidR="00022853"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În concluzie, tratamentul antiviral ar trebui început cât mai rapid după debutul simptomatologiei. Indicația de elecție este la pacienți cu risc de progresie către forme severe/critice de boală, iar alegerea antiviralelor va depinde de efectele adverse posibile, de afecțiunile preexistente, precum și de disponibilitatea unuia sau altuia dintre antivirale la un moment dat.</w:t>
      </w:r>
    </w:p>
    <w:p w14:paraId="199EC187" w14:textId="77777777" w:rsidR="00022853"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7A7328D0" w14:textId="77777777" w:rsidR="00022853"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Tabelul 1. Medicație cu efect antiviral propusă pentru tratamentul COVID-19</w:t>
      </w:r>
    </w:p>
    <w:p w14:paraId="5CF153DB" w14:textId="77777777" w:rsidR="005033A4" w:rsidRPr="00C14E42" w:rsidRDefault="005033A4"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tbl>
      <w:tblPr>
        <w:tblW w:w="10198"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268"/>
        <w:gridCol w:w="3404"/>
        <w:gridCol w:w="2700"/>
        <w:gridCol w:w="2826"/>
      </w:tblGrid>
      <w:tr w:rsidR="00C14E42" w:rsidRPr="00C14E42" w14:paraId="713E2E9F" w14:textId="77777777" w:rsidTr="009D4541">
        <w:tc>
          <w:tcPr>
            <w:tcW w:w="1268" w:type="dxa"/>
            <w:tcBorders>
              <w:top w:val="single" w:sz="6" w:space="0" w:color="000000"/>
              <w:left w:val="single" w:sz="6" w:space="0" w:color="000000"/>
              <w:bottom w:val="single" w:sz="6" w:space="0" w:color="000000"/>
              <w:right w:val="single" w:sz="6" w:space="0" w:color="000000"/>
            </w:tcBorders>
            <w:hideMark/>
          </w:tcPr>
          <w:p w14:paraId="724FC216" w14:textId="77777777" w:rsidR="005033A4" w:rsidRPr="00C14E42" w:rsidRDefault="005033A4" w:rsidP="009D4541">
            <w:pPr>
              <w:spacing w:after="0"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Medicament</w:t>
            </w:r>
          </w:p>
        </w:tc>
        <w:tc>
          <w:tcPr>
            <w:tcW w:w="3404" w:type="dxa"/>
            <w:tcBorders>
              <w:top w:val="single" w:sz="6" w:space="0" w:color="000000"/>
              <w:left w:val="single" w:sz="6" w:space="0" w:color="000000"/>
              <w:bottom w:val="single" w:sz="6" w:space="0" w:color="000000"/>
              <w:right w:val="single" w:sz="6" w:space="0" w:color="000000"/>
            </w:tcBorders>
            <w:hideMark/>
          </w:tcPr>
          <w:p w14:paraId="78D5B841" w14:textId="77777777" w:rsidR="005033A4" w:rsidRPr="00C14E42" w:rsidRDefault="005033A4" w:rsidP="009D4541">
            <w:pPr>
              <w:spacing w:after="0"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Doze</w:t>
            </w:r>
          </w:p>
        </w:tc>
        <w:tc>
          <w:tcPr>
            <w:tcW w:w="2700" w:type="dxa"/>
            <w:tcBorders>
              <w:top w:val="single" w:sz="6" w:space="0" w:color="000000"/>
              <w:left w:val="single" w:sz="6" w:space="0" w:color="000000"/>
              <w:bottom w:val="single" w:sz="6" w:space="0" w:color="000000"/>
              <w:right w:val="single" w:sz="6" w:space="0" w:color="000000"/>
            </w:tcBorders>
            <w:hideMark/>
          </w:tcPr>
          <w:p w14:paraId="3A0A95F7" w14:textId="77777777" w:rsidR="005033A4" w:rsidRPr="00C14E42" w:rsidRDefault="005033A4" w:rsidP="009D4541">
            <w:pPr>
              <w:spacing w:after="0"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Durată standard</w:t>
            </w:r>
          </w:p>
        </w:tc>
        <w:tc>
          <w:tcPr>
            <w:tcW w:w="2826" w:type="dxa"/>
            <w:tcBorders>
              <w:top w:val="single" w:sz="6" w:space="0" w:color="000000"/>
              <w:left w:val="single" w:sz="6" w:space="0" w:color="000000"/>
              <w:bottom w:val="single" w:sz="6" w:space="0" w:color="000000"/>
              <w:right w:val="single" w:sz="6" w:space="0" w:color="000000"/>
            </w:tcBorders>
            <w:hideMark/>
          </w:tcPr>
          <w:p w14:paraId="4328046A" w14:textId="77777777" w:rsidR="005033A4" w:rsidRPr="00C14E42" w:rsidRDefault="005033A4" w:rsidP="009D4541">
            <w:pPr>
              <w:spacing w:after="0"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Reacții adverse frecvente</w:t>
            </w:r>
          </w:p>
        </w:tc>
      </w:tr>
      <w:tr w:rsidR="00C14E42" w:rsidRPr="00C14E42" w14:paraId="0F52054B" w14:textId="77777777" w:rsidTr="009D4541">
        <w:tc>
          <w:tcPr>
            <w:tcW w:w="1268" w:type="dxa"/>
            <w:tcBorders>
              <w:top w:val="single" w:sz="6" w:space="0" w:color="000000"/>
              <w:left w:val="single" w:sz="6" w:space="0" w:color="000000"/>
              <w:bottom w:val="single" w:sz="6" w:space="0" w:color="000000"/>
              <w:right w:val="single" w:sz="6" w:space="0" w:color="000000"/>
            </w:tcBorders>
            <w:hideMark/>
          </w:tcPr>
          <w:p w14:paraId="798F7AFA" w14:textId="77777777" w:rsidR="005033A4" w:rsidRPr="00C14E42" w:rsidRDefault="005033A4" w:rsidP="009D4541">
            <w:pPr>
              <w:spacing w:after="0"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Remdesivir</w:t>
            </w:r>
          </w:p>
        </w:tc>
        <w:tc>
          <w:tcPr>
            <w:tcW w:w="3404" w:type="dxa"/>
            <w:tcBorders>
              <w:top w:val="single" w:sz="6" w:space="0" w:color="000000"/>
              <w:left w:val="single" w:sz="6" w:space="0" w:color="000000"/>
              <w:bottom w:val="single" w:sz="6" w:space="0" w:color="000000"/>
              <w:right w:val="single" w:sz="6" w:space="0" w:color="000000"/>
            </w:tcBorders>
            <w:hideMark/>
          </w:tcPr>
          <w:p w14:paraId="106DB458" w14:textId="77777777" w:rsidR="005033A4" w:rsidRPr="00C14E42" w:rsidRDefault="005033A4" w:rsidP="009D4541">
            <w:pPr>
              <w:spacing w:after="0"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200 mg/zi în ziua 1, apoi 100 mg/zi</w:t>
            </w:r>
          </w:p>
          <w:p w14:paraId="15C28B75" w14:textId="77777777" w:rsidR="009D4541" w:rsidRPr="00C14E42" w:rsidRDefault="009D4541" w:rsidP="009D4541">
            <w:pPr>
              <w:spacing w:after="0" w:line="240" w:lineRule="auto"/>
              <w:jc w:val="both"/>
              <w:rPr>
                <w:rFonts w:ascii="Times New Roman" w:eastAsia="Times New Roman" w:hAnsi="Times New Roman" w:cs="Times New Roman"/>
                <w:iCs/>
                <w:sz w:val="20"/>
                <w:szCs w:val="20"/>
                <w:lang w:eastAsia="ro-RO"/>
              </w:rPr>
            </w:pPr>
          </w:p>
          <w:p w14:paraId="5BAC609E" w14:textId="77777777" w:rsidR="005033A4" w:rsidRPr="00C14E42" w:rsidRDefault="005033A4" w:rsidP="009D4541">
            <w:pPr>
              <w:spacing w:after="0"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Copii sub 40 kg: 5 mg/kgc/zi în ziua 1, apoi 2,5 mg/kgc/zi</w:t>
            </w:r>
          </w:p>
        </w:tc>
        <w:tc>
          <w:tcPr>
            <w:tcW w:w="2700" w:type="dxa"/>
            <w:tcBorders>
              <w:top w:val="single" w:sz="6" w:space="0" w:color="000000"/>
              <w:left w:val="single" w:sz="6" w:space="0" w:color="000000"/>
              <w:bottom w:val="single" w:sz="6" w:space="0" w:color="000000"/>
              <w:right w:val="single" w:sz="6" w:space="0" w:color="000000"/>
            </w:tcBorders>
            <w:hideMark/>
          </w:tcPr>
          <w:p w14:paraId="7F0386A1" w14:textId="77777777" w:rsidR="005033A4" w:rsidRPr="00C14E42" w:rsidRDefault="005033A4" w:rsidP="009D4541">
            <w:pPr>
              <w:spacing w:after="0" w:line="240" w:lineRule="auto"/>
              <w:jc w:val="both"/>
              <w:rPr>
                <w:rFonts w:ascii="Times New Roman" w:eastAsia="Times New Roman" w:hAnsi="Times New Roman" w:cs="Times New Roman"/>
                <w:iCs/>
                <w:sz w:val="20"/>
                <w:szCs w:val="20"/>
                <w:lang w:eastAsia="ro-RO"/>
              </w:rPr>
            </w:pPr>
            <w:r w:rsidRPr="00C14E42">
              <w:rPr>
                <w:rFonts w:ascii="Times New Roman" w:eastAsia="Times New Roman" w:hAnsi="Times New Roman" w:cs="Times New Roman"/>
                <w:iCs/>
                <w:sz w:val="20"/>
                <w:szCs w:val="20"/>
                <w:lang w:eastAsia="ro-RO"/>
              </w:rPr>
              <w:t>3 zile la pacienți fără necesar de oxigen suplimentar</w:t>
            </w:r>
          </w:p>
          <w:p w14:paraId="4550CAA5" w14:textId="77777777" w:rsidR="005033A4" w:rsidRPr="00C14E42" w:rsidRDefault="005033A4" w:rsidP="009D4541">
            <w:pPr>
              <w:spacing w:after="0"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5 zile la pacienți cu necesar de oxigen suplimentar (10 zile la pacient IOT sau cu ECMO)</w:t>
            </w:r>
          </w:p>
        </w:tc>
        <w:tc>
          <w:tcPr>
            <w:tcW w:w="2826" w:type="dxa"/>
            <w:tcBorders>
              <w:top w:val="single" w:sz="6" w:space="0" w:color="000000"/>
              <w:left w:val="single" w:sz="6" w:space="0" w:color="000000"/>
              <w:bottom w:val="single" w:sz="6" w:space="0" w:color="000000"/>
              <w:right w:val="single" w:sz="6" w:space="0" w:color="000000"/>
            </w:tcBorders>
            <w:hideMark/>
          </w:tcPr>
          <w:p w14:paraId="477AF508" w14:textId="77777777" w:rsidR="005033A4" w:rsidRPr="00C14E42" w:rsidRDefault="005033A4" w:rsidP="009D4541">
            <w:pPr>
              <w:spacing w:after="0"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Citoliză hepatică</w:t>
            </w:r>
          </w:p>
          <w:p w14:paraId="53170C9F" w14:textId="77777777" w:rsidR="005033A4" w:rsidRPr="00C14E42" w:rsidRDefault="005033A4" w:rsidP="009D4541">
            <w:pPr>
              <w:spacing w:after="0"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Flebite</w:t>
            </w:r>
          </w:p>
          <w:p w14:paraId="364C0C00" w14:textId="77777777" w:rsidR="005033A4" w:rsidRPr="00C14E42" w:rsidRDefault="005033A4" w:rsidP="009D4541">
            <w:pPr>
              <w:spacing w:after="0"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Constipație, greață</w:t>
            </w:r>
          </w:p>
          <w:p w14:paraId="1E75267B" w14:textId="77777777" w:rsidR="005033A4" w:rsidRPr="00C14E42" w:rsidRDefault="005033A4" w:rsidP="009D4541">
            <w:pPr>
              <w:spacing w:after="0"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Afectare renală</w:t>
            </w:r>
          </w:p>
        </w:tc>
      </w:tr>
      <w:tr w:rsidR="00C14E42" w:rsidRPr="00C14E42" w14:paraId="1E191A95" w14:textId="77777777" w:rsidTr="009D4541">
        <w:tc>
          <w:tcPr>
            <w:tcW w:w="1268" w:type="dxa"/>
            <w:tcBorders>
              <w:top w:val="single" w:sz="6" w:space="0" w:color="000000"/>
              <w:left w:val="single" w:sz="6" w:space="0" w:color="000000"/>
              <w:bottom w:val="single" w:sz="6" w:space="0" w:color="000000"/>
              <w:right w:val="single" w:sz="6" w:space="0" w:color="000000"/>
            </w:tcBorders>
          </w:tcPr>
          <w:p w14:paraId="58A1C218" w14:textId="77777777" w:rsidR="005033A4" w:rsidRPr="00C14E42" w:rsidRDefault="005033A4" w:rsidP="009D4541">
            <w:pPr>
              <w:spacing w:after="0" w:line="240" w:lineRule="auto"/>
              <w:jc w:val="both"/>
              <w:rPr>
                <w:rFonts w:ascii="Times New Roman" w:eastAsia="Times New Roman" w:hAnsi="Times New Roman" w:cs="Times New Roman"/>
                <w:iCs/>
                <w:sz w:val="20"/>
                <w:szCs w:val="20"/>
                <w:lang w:eastAsia="ro-RO"/>
              </w:rPr>
            </w:pPr>
            <w:r w:rsidRPr="00C14E42">
              <w:rPr>
                <w:rFonts w:ascii="Times New Roman" w:eastAsia="Times New Roman" w:hAnsi="Times New Roman" w:cs="Times New Roman"/>
                <w:iCs/>
                <w:sz w:val="20"/>
                <w:szCs w:val="20"/>
                <w:lang w:eastAsia="ro-RO"/>
              </w:rPr>
              <w:t>Anticorpi monoclonali neutralizanți</w:t>
            </w:r>
          </w:p>
        </w:tc>
        <w:tc>
          <w:tcPr>
            <w:tcW w:w="3404" w:type="dxa"/>
            <w:tcBorders>
              <w:top w:val="single" w:sz="6" w:space="0" w:color="000000"/>
              <w:left w:val="single" w:sz="6" w:space="0" w:color="000000"/>
              <w:bottom w:val="single" w:sz="6" w:space="0" w:color="000000"/>
              <w:right w:val="single" w:sz="6" w:space="0" w:color="000000"/>
            </w:tcBorders>
          </w:tcPr>
          <w:p w14:paraId="50A0073B" w14:textId="77777777" w:rsidR="005033A4" w:rsidRPr="00C14E42" w:rsidRDefault="005033A4" w:rsidP="009D4541">
            <w:pPr>
              <w:spacing w:after="0" w:line="240" w:lineRule="auto"/>
              <w:jc w:val="both"/>
              <w:rPr>
                <w:rFonts w:ascii="Times New Roman" w:eastAsia="Times New Roman" w:hAnsi="Times New Roman" w:cs="Times New Roman"/>
                <w:iCs/>
                <w:sz w:val="20"/>
                <w:szCs w:val="20"/>
                <w:lang w:eastAsia="ro-RO"/>
              </w:rPr>
            </w:pPr>
            <w:r w:rsidRPr="00C14E42">
              <w:rPr>
                <w:rFonts w:ascii="Times New Roman" w:eastAsia="Times New Roman" w:hAnsi="Times New Roman" w:cs="Times New Roman"/>
                <w:iCs/>
                <w:sz w:val="20"/>
                <w:szCs w:val="20"/>
                <w:lang w:eastAsia="ro-RO"/>
              </w:rPr>
              <w:t>Variabil, în funcție de produs (a se vedea textul)</w:t>
            </w:r>
          </w:p>
        </w:tc>
        <w:tc>
          <w:tcPr>
            <w:tcW w:w="2700" w:type="dxa"/>
            <w:tcBorders>
              <w:top w:val="single" w:sz="6" w:space="0" w:color="000000"/>
              <w:left w:val="single" w:sz="6" w:space="0" w:color="000000"/>
              <w:bottom w:val="single" w:sz="6" w:space="0" w:color="000000"/>
              <w:right w:val="single" w:sz="6" w:space="0" w:color="000000"/>
            </w:tcBorders>
          </w:tcPr>
          <w:p w14:paraId="26424D95" w14:textId="77777777" w:rsidR="005033A4" w:rsidRPr="00C14E42" w:rsidRDefault="005033A4" w:rsidP="009D4541">
            <w:pPr>
              <w:spacing w:after="0" w:line="240" w:lineRule="auto"/>
              <w:jc w:val="both"/>
              <w:rPr>
                <w:rFonts w:ascii="Times New Roman" w:eastAsia="Times New Roman" w:hAnsi="Times New Roman" w:cs="Times New Roman"/>
                <w:iCs/>
                <w:sz w:val="20"/>
                <w:szCs w:val="20"/>
                <w:lang w:eastAsia="ro-RO"/>
              </w:rPr>
            </w:pPr>
            <w:r w:rsidRPr="00C14E42">
              <w:rPr>
                <w:rFonts w:ascii="Times New Roman" w:eastAsia="Times New Roman" w:hAnsi="Times New Roman" w:cs="Times New Roman"/>
                <w:iCs/>
                <w:sz w:val="20"/>
                <w:szCs w:val="20"/>
                <w:lang w:eastAsia="ro-RO"/>
              </w:rPr>
              <w:t>O administrare</w:t>
            </w:r>
          </w:p>
        </w:tc>
        <w:tc>
          <w:tcPr>
            <w:tcW w:w="2826" w:type="dxa"/>
            <w:tcBorders>
              <w:top w:val="single" w:sz="6" w:space="0" w:color="000000"/>
              <w:left w:val="single" w:sz="6" w:space="0" w:color="000000"/>
              <w:bottom w:val="single" w:sz="6" w:space="0" w:color="000000"/>
              <w:right w:val="single" w:sz="6" w:space="0" w:color="000000"/>
            </w:tcBorders>
          </w:tcPr>
          <w:p w14:paraId="58A71D3A" w14:textId="77777777" w:rsidR="005033A4" w:rsidRPr="00C14E42" w:rsidRDefault="005033A4" w:rsidP="009D4541">
            <w:pPr>
              <w:spacing w:after="0" w:line="240" w:lineRule="auto"/>
              <w:jc w:val="both"/>
              <w:rPr>
                <w:rFonts w:ascii="Times New Roman" w:eastAsia="Times New Roman" w:hAnsi="Times New Roman" w:cs="Times New Roman"/>
                <w:iCs/>
                <w:sz w:val="20"/>
                <w:szCs w:val="20"/>
                <w:lang w:eastAsia="ro-RO"/>
              </w:rPr>
            </w:pPr>
            <w:r w:rsidRPr="00C14E42">
              <w:rPr>
                <w:rFonts w:ascii="Times New Roman" w:eastAsia="Times New Roman" w:hAnsi="Times New Roman" w:cs="Times New Roman"/>
                <w:iCs/>
                <w:sz w:val="20"/>
                <w:szCs w:val="20"/>
                <w:lang w:eastAsia="ro-RO"/>
              </w:rPr>
              <w:t>Alergice</w:t>
            </w:r>
          </w:p>
        </w:tc>
      </w:tr>
      <w:tr w:rsidR="00C14E42" w:rsidRPr="00C14E42" w14:paraId="0DE270B5" w14:textId="77777777" w:rsidTr="009D4541">
        <w:tc>
          <w:tcPr>
            <w:tcW w:w="1268" w:type="dxa"/>
            <w:tcBorders>
              <w:top w:val="single" w:sz="6" w:space="0" w:color="000000"/>
              <w:left w:val="single" w:sz="6" w:space="0" w:color="000000"/>
              <w:bottom w:val="single" w:sz="6" w:space="0" w:color="000000"/>
              <w:right w:val="single" w:sz="6" w:space="0" w:color="000000"/>
            </w:tcBorders>
          </w:tcPr>
          <w:p w14:paraId="69CEF420" w14:textId="77777777" w:rsidR="005033A4" w:rsidRPr="00C14E42" w:rsidRDefault="005033A4" w:rsidP="009D4541">
            <w:pPr>
              <w:spacing w:after="0" w:line="240" w:lineRule="auto"/>
              <w:jc w:val="both"/>
              <w:rPr>
                <w:rFonts w:ascii="Times New Roman" w:eastAsia="Times New Roman" w:hAnsi="Times New Roman" w:cs="Times New Roman"/>
                <w:iCs/>
                <w:sz w:val="20"/>
                <w:szCs w:val="20"/>
                <w:lang w:eastAsia="ro-RO"/>
              </w:rPr>
            </w:pPr>
            <w:r w:rsidRPr="00C14E42">
              <w:rPr>
                <w:rFonts w:ascii="Times New Roman" w:eastAsia="Times New Roman" w:hAnsi="Times New Roman" w:cs="Times New Roman"/>
                <w:iCs/>
                <w:sz w:val="20"/>
                <w:szCs w:val="20"/>
                <w:lang w:eastAsia="ro-RO"/>
              </w:rPr>
              <w:t>Molnupiravir</w:t>
            </w:r>
          </w:p>
        </w:tc>
        <w:tc>
          <w:tcPr>
            <w:tcW w:w="3404" w:type="dxa"/>
            <w:tcBorders>
              <w:top w:val="single" w:sz="6" w:space="0" w:color="000000"/>
              <w:left w:val="single" w:sz="6" w:space="0" w:color="000000"/>
              <w:bottom w:val="single" w:sz="6" w:space="0" w:color="000000"/>
              <w:right w:val="single" w:sz="6" w:space="0" w:color="000000"/>
            </w:tcBorders>
          </w:tcPr>
          <w:p w14:paraId="43786E41" w14:textId="77777777" w:rsidR="005033A4" w:rsidRPr="00C14E42" w:rsidRDefault="005033A4" w:rsidP="009D4541">
            <w:pPr>
              <w:spacing w:after="0" w:line="240" w:lineRule="auto"/>
              <w:jc w:val="both"/>
              <w:rPr>
                <w:rFonts w:ascii="Times New Roman" w:eastAsia="Times New Roman" w:hAnsi="Times New Roman" w:cs="Times New Roman"/>
                <w:iCs/>
                <w:sz w:val="20"/>
                <w:szCs w:val="20"/>
                <w:lang w:eastAsia="ro-RO"/>
              </w:rPr>
            </w:pPr>
            <w:r w:rsidRPr="00C14E42">
              <w:rPr>
                <w:rFonts w:ascii="Times New Roman" w:eastAsia="Times New Roman" w:hAnsi="Times New Roman" w:cs="Times New Roman"/>
                <w:iCs/>
                <w:sz w:val="20"/>
                <w:szCs w:val="20"/>
                <w:lang w:eastAsia="ro-RO"/>
              </w:rPr>
              <w:t>800 mg la 12 ore</w:t>
            </w:r>
          </w:p>
        </w:tc>
        <w:tc>
          <w:tcPr>
            <w:tcW w:w="2700" w:type="dxa"/>
            <w:tcBorders>
              <w:top w:val="single" w:sz="6" w:space="0" w:color="000000"/>
              <w:left w:val="single" w:sz="6" w:space="0" w:color="000000"/>
              <w:bottom w:val="single" w:sz="6" w:space="0" w:color="000000"/>
              <w:right w:val="single" w:sz="6" w:space="0" w:color="000000"/>
            </w:tcBorders>
          </w:tcPr>
          <w:p w14:paraId="3DE8BA2F" w14:textId="77777777" w:rsidR="005033A4" w:rsidRPr="00C14E42" w:rsidRDefault="005033A4" w:rsidP="009D4541">
            <w:pPr>
              <w:spacing w:after="0" w:line="240" w:lineRule="auto"/>
              <w:jc w:val="both"/>
              <w:rPr>
                <w:rFonts w:ascii="Times New Roman" w:eastAsia="Times New Roman" w:hAnsi="Times New Roman" w:cs="Times New Roman"/>
                <w:iCs/>
                <w:sz w:val="20"/>
                <w:szCs w:val="20"/>
                <w:lang w:eastAsia="ro-RO"/>
              </w:rPr>
            </w:pPr>
            <w:r w:rsidRPr="00C14E42">
              <w:rPr>
                <w:rFonts w:ascii="Times New Roman" w:eastAsia="Times New Roman" w:hAnsi="Times New Roman" w:cs="Times New Roman"/>
                <w:iCs/>
                <w:sz w:val="20"/>
                <w:szCs w:val="20"/>
                <w:lang w:eastAsia="ro-RO"/>
              </w:rPr>
              <w:t>5 zile</w:t>
            </w:r>
          </w:p>
          <w:p w14:paraId="7E2A8C66" w14:textId="4950DADA" w:rsidR="003F7329" w:rsidRPr="00C14E42" w:rsidRDefault="003F7329" w:rsidP="009D4541">
            <w:pPr>
              <w:spacing w:after="0" w:line="240" w:lineRule="auto"/>
              <w:jc w:val="both"/>
              <w:rPr>
                <w:rFonts w:ascii="Times New Roman" w:eastAsia="Times New Roman" w:hAnsi="Times New Roman" w:cs="Times New Roman"/>
                <w:iCs/>
                <w:sz w:val="20"/>
                <w:szCs w:val="20"/>
                <w:lang w:eastAsia="ro-RO"/>
              </w:rPr>
            </w:pPr>
          </w:p>
        </w:tc>
        <w:tc>
          <w:tcPr>
            <w:tcW w:w="2826" w:type="dxa"/>
            <w:tcBorders>
              <w:top w:val="single" w:sz="6" w:space="0" w:color="000000"/>
              <w:left w:val="single" w:sz="6" w:space="0" w:color="000000"/>
              <w:bottom w:val="single" w:sz="6" w:space="0" w:color="000000"/>
              <w:right w:val="single" w:sz="6" w:space="0" w:color="000000"/>
            </w:tcBorders>
          </w:tcPr>
          <w:p w14:paraId="41592EA0" w14:textId="77777777" w:rsidR="005033A4" w:rsidRPr="00C14E42" w:rsidRDefault="005033A4" w:rsidP="009D4541">
            <w:pPr>
              <w:spacing w:after="0" w:line="240" w:lineRule="auto"/>
              <w:jc w:val="both"/>
              <w:rPr>
                <w:rFonts w:ascii="Times New Roman" w:eastAsia="Times New Roman" w:hAnsi="Times New Roman" w:cs="Times New Roman"/>
                <w:iCs/>
                <w:sz w:val="20"/>
                <w:szCs w:val="20"/>
                <w:lang w:eastAsia="ro-RO"/>
              </w:rPr>
            </w:pPr>
            <w:r w:rsidRPr="00C14E42">
              <w:rPr>
                <w:rFonts w:ascii="Times New Roman" w:eastAsia="Times New Roman" w:hAnsi="Times New Roman" w:cs="Times New Roman"/>
                <w:iCs/>
                <w:sz w:val="20"/>
                <w:szCs w:val="20"/>
                <w:lang w:eastAsia="ro-RO"/>
              </w:rPr>
              <w:t>Tulburari digestive</w:t>
            </w:r>
          </w:p>
          <w:p w14:paraId="155E767C" w14:textId="77777777" w:rsidR="005033A4" w:rsidRPr="00C14E42" w:rsidRDefault="005033A4" w:rsidP="009D4541">
            <w:pPr>
              <w:spacing w:after="0" w:line="240" w:lineRule="auto"/>
              <w:jc w:val="both"/>
              <w:rPr>
                <w:rFonts w:ascii="Times New Roman" w:eastAsia="Times New Roman" w:hAnsi="Times New Roman" w:cs="Times New Roman"/>
                <w:iCs/>
                <w:sz w:val="20"/>
                <w:szCs w:val="20"/>
                <w:lang w:eastAsia="ro-RO"/>
              </w:rPr>
            </w:pPr>
            <w:r w:rsidRPr="00C14E42">
              <w:rPr>
                <w:rFonts w:ascii="Times New Roman" w:eastAsia="Times New Roman" w:hAnsi="Times New Roman" w:cs="Times New Roman"/>
                <w:iCs/>
                <w:sz w:val="20"/>
                <w:szCs w:val="20"/>
                <w:lang w:eastAsia="ro-RO"/>
              </w:rPr>
              <w:t>Cefalee</w:t>
            </w:r>
          </w:p>
          <w:p w14:paraId="63F43C06" w14:textId="77777777" w:rsidR="005033A4" w:rsidRPr="00C14E42" w:rsidRDefault="005033A4" w:rsidP="009D4541">
            <w:pPr>
              <w:spacing w:after="0" w:line="240" w:lineRule="auto"/>
              <w:jc w:val="both"/>
              <w:rPr>
                <w:rFonts w:ascii="Times New Roman" w:eastAsia="Times New Roman" w:hAnsi="Times New Roman" w:cs="Times New Roman"/>
                <w:iCs/>
                <w:sz w:val="20"/>
                <w:szCs w:val="20"/>
                <w:lang w:eastAsia="ro-RO"/>
              </w:rPr>
            </w:pPr>
            <w:r w:rsidRPr="00C14E42">
              <w:rPr>
                <w:rFonts w:ascii="Times New Roman" w:eastAsia="Times New Roman" w:hAnsi="Times New Roman" w:cs="Times New Roman"/>
                <w:iCs/>
                <w:sz w:val="20"/>
                <w:szCs w:val="20"/>
                <w:lang w:eastAsia="ro-RO"/>
              </w:rPr>
              <w:t>Ameteli</w:t>
            </w:r>
          </w:p>
          <w:p w14:paraId="2BAFAF3D" w14:textId="14F2475A" w:rsidR="005033A4" w:rsidRPr="00C14E42" w:rsidRDefault="005033A4" w:rsidP="009D4541">
            <w:pPr>
              <w:spacing w:after="0" w:line="240" w:lineRule="auto"/>
              <w:jc w:val="both"/>
              <w:rPr>
                <w:rFonts w:ascii="Times New Roman" w:eastAsia="Times New Roman" w:hAnsi="Times New Roman" w:cs="Times New Roman"/>
                <w:iCs/>
                <w:sz w:val="20"/>
                <w:szCs w:val="20"/>
                <w:lang w:eastAsia="ro-RO"/>
              </w:rPr>
            </w:pPr>
            <w:r w:rsidRPr="00C14E42">
              <w:rPr>
                <w:rFonts w:ascii="Times New Roman" w:eastAsia="Times New Roman" w:hAnsi="Times New Roman" w:cs="Times New Roman"/>
                <w:iCs/>
                <w:sz w:val="20"/>
                <w:szCs w:val="20"/>
                <w:lang w:eastAsia="ro-RO"/>
              </w:rPr>
              <w:t>Posibil teratogen*)</w:t>
            </w:r>
          </w:p>
        </w:tc>
      </w:tr>
      <w:tr w:rsidR="00C14E42" w:rsidRPr="00C14E42" w14:paraId="08E0F08D" w14:textId="77777777" w:rsidTr="009D4541">
        <w:tc>
          <w:tcPr>
            <w:tcW w:w="1268" w:type="dxa"/>
            <w:tcBorders>
              <w:top w:val="single" w:sz="6" w:space="0" w:color="000000"/>
              <w:left w:val="single" w:sz="6" w:space="0" w:color="000000"/>
              <w:bottom w:val="single" w:sz="6" w:space="0" w:color="000000"/>
              <w:right w:val="single" w:sz="6" w:space="0" w:color="000000"/>
            </w:tcBorders>
          </w:tcPr>
          <w:p w14:paraId="430A9669" w14:textId="77777777" w:rsidR="005033A4" w:rsidRPr="00C14E42" w:rsidRDefault="005033A4" w:rsidP="009D4541">
            <w:pPr>
              <w:spacing w:after="0" w:line="240" w:lineRule="auto"/>
              <w:jc w:val="both"/>
              <w:rPr>
                <w:rFonts w:ascii="Times New Roman" w:eastAsia="Times New Roman" w:hAnsi="Times New Roman" w:cs="Times New Roman"/>
                <w:iCs/>
                <w:sz w:val="20"/>
                <w:szCs w:val="20"/>
                <w:lang w:eastAsia="ro-RO"/>
              </w:rPr>
            </w:pPr>
            <w:r w:rsidRPr="00C14E42">
              <w:rPr>
                <w:rFonts w:ascii="Times New Roman" w:eastAsia="Times New Roman" w:hAnsi="Times New Roman" w:cs="Times New Roman"/>
                <w:iCs/>
                <w:sz w:val="20"/>
                <w:szCs w:val="20"/>
                <w:lang w:eastAsia="ro-RO"/>
              </w:rPr>
              <w:t>Paxlovid</w:t>
            </w:r>
          </w:p>
        </w:tc>
        <w:tc>
          <w:tcPr>
            <w:tcW w:w="3404" w:type="dxa"/>
            <w:tcBorders>
              <w:top w:val="single" w:sz="6" w:space="0" w:color="000000"/>
              <w:left w:val="single" w:sz="6" w:space="0" w:color="000000"/>
              <w:bottom w:val="single" w:sz="6" w:space="0" w:color="000000"/>
              <w:right w:val="single" w:sz="6" w:space="0" w:color="000000"/>
            </w:tcBorders>
          </w:tcPr>
          <w:p w14:paraId="08391F00" w14:textId="77777777" w:rsidR="005033A4" w:rsidRPr="00C14E42" w:rsidRDefault="005033A4" w:rsidP="009D4541">
            <w:pPr>
              <w:spacing w:after="0" w:line="240" w:lineRule="auto"/>
              <w:jc w:val="both"/>
              <w:rPr>
                <w:rFonts w:ascii="Times New Roman" w:eastAsia="Times New Roman" w:hAnsi="Times New Roman" w:cs="Times New Roman"/>
                <w:iCs/>
                <w:sz w:val="20"/>
                <w:szCs w:val="20"/>
                <w:lang w:eastAsia="ro-RO"/>
              </w:rPr>
            </w:pPr>
            <w:r w:rsidRPr="00C14E42">
              <w:rPr>
                <w:rFonts w:ascii="Times New Roman" w:eastAsia="Times New Roman" w:hAnsi="Times New Roman" w:cs="Times New Roman"/>
                <w:iCs/>
                <w:sz w:val="20"/>
                <w:szCs w:val="20"/>
                <w:lang w:eastAsia="ro-RO"/>
              </w:rPr>
              <w:t>300 mg nirmatrelvir + 100 mg ritonavir la 12 ore</w:t>
            </w:r>
          </w:p>
        </w:tc>
        <w:tc>
          <w:tcPr>
            <w:tcW w:w="2700" w:type="dxa"/>
            <w:tcBorders>
              <w:top w:val="single" w:sz="6" w:space="0" w:color="000000"/>
              <w:left w:val="single" w:sz="6" w:space="0" w:color="000000"/>
              <w:bottom w:val="single" w:sz="6" w:space="0" w:color="000000"/>
              <w:right w:val="single" w:sz="6" w:space="0" w:color="000000"/>
            </w:tcBorders>
          </w:tcPr>
          <w:p w14:paraId="12670936" w14:textId="77777777" w:rsidR="005033A4" w:rsidRPr="00C14E42" w:rsidRDefault="005033A4" w:rsidP="009D4541">
            <w:pPr>
              <w:spacing w:after="0" w:line="240" w:lineRule="auto"/>
              <w:jc w:val="both"/>
              <w:rPr>
                <w:rFonts w:ascii="Times New Roman" w:eastAsia="Times New Roman" w:hAnsi="Times New Roman" w:cs="Times New Roman"/>
                <w:iCs/>
                <w:sz w:val="20"/>
                <w:szCs w:val="20"/>
                <w:lang w:eastAsia="ro-RO"/>
              </w:rPr>
            </w:pPr>
            <w:r w:rsidRPr="00C14E42">
              <w:rPr>
                <w:rFonts w:ascii="Times New Roman" w:eastAsia="Times New Roman" w:hAnsi="Times New Roman" w:cs="Times New Roman"/>
                <w:iCs/>
                <w:sz w:val="20"/>
                <w:szCs w:val="20"/>
                <w:lang w:eastAsia="ro-RO"/>
              </w:rPr>
              <w:t>5 zile</w:t>
            </w:r>
          </w:p>
        </w:tc>
        <w:tc>
          <w:tcPr>
            <w:tcW w:w="2826" w:type="dxa"/>
            <w:tcBorders>
              <w:top w:val="single" w:sz="6" w:space="0" w:color="000000"/>
              <w:left w:val="single" w:sz="6" w:space="0" w:color="000000"/>
              <w:bottom w:val="single" w:sz="6" w:space="0" w:color="000000"/>
              <w:right w:val="single" w:sz="6" w:space="0" w:color="000000"/>
            </w:tcBorders>
          </w:tcPr>
          <w:p w14:paraId="15D917AA" w14:textId="77777777" w:rsidR="005033A4" w:rsidRPr="00C14E42" w:rsidRDefault="005033A4" w:rsidP="009D4541">
            <w:pPr>
              <w:spacing w:after="0" w:line="240" w:lineRule="auto"/>
              <w:jc w:val="both"/>
              <w:rPr>
                <w:rFonts w:ascii="Times New Roman" w:eastAsia="Times New Roman" w:hAnsi="Times New Roman" w:cs="Times New Roman"/>
                <w:iCs/>
                <w:sz w:val="20"/>
                <w:szCs w:val="20"/>
                <w:lang w:eastAsia="ro-RO"/>
              </w:rPr>
            </w:pPr>
            <w:r w:rsidRPr="00C14E42">
              <w:rPr>
                <w:rFonts w:ascii="Times New Roman" w:eastAsia="Times New Roman" w:hAnsi="Times New Roman" w:cs="Times New Roman"/>
                <w:iCs/>
                <w:sz w:val="20"/>
                <w:szCs w:val="20"/>
                <w:lang w:eastAsia="ro-RO"/>
              </w:rPr>
              <w:t>Diaree, vărsături</w:t>
            </w:r>
          </w:p>
          <w:p w14:paraId="446D8D54" w14:textId="77777777" w:rsidR="005033A4" w:rsidRPr="00C14E42" w:rsidRDefault="005033A4" w:rsidP="009D4541">
            <w:pPr>
              <w:spacing w:after="0" w:line="240" w:lineRule="auto"/>
              <w:jc w:val="both"/>
              <w:rPr>
                <w:rFonts w:ascii="Times New Roman" w:eastAsia="Times New Roman" w:hAnsi="Times New Roman" w:cs="Times New Roman"/>
                <w:iCs/>
                <w:sz w:val="20"/>
                <w:szCs w:val="20"/>
                <w:lang w:eastAsia="ro-RO"/>
              </w:rPr>
            </w:pPr>
            <w:r w:rsidRPr="00C14E42">
              <w:rPr>
                <w:rFonts w:ascii="Times New Roman" w:eastAsia="Times New Roman" w:hAnsi="Times New Roman" w:cs="Times New Roman"/>
                <w:iCs/>
                <w:sz w:val="20"/>
                <w:szCs w:val="20"/>
                <w:lang w:eastAsia="ro-RO"/>
              </w:rPr>
              <w:t>Mioartralgii, astenie fizică</w:t>
            </w:r>
          </w:p>
          <w:p w14:paraId="39D3AEAD" w14:textId="77777777" w:rsidR="005033A4" w:rsidRPr="00C14E42" w:rsidRDefault="005033A4" w:rsidP="009D4541">
            <w:pPr>
              <w:spacing w:after="0" w:line="240" w:lineRule="auto"/>
              <w:jc w:val="both"/>
              <w:rPr>
                <w:rFonts w:ascii="Times New Roman" w:eastAsia="Times New Roman" w:hAnsi="Times New Roman" w:cs="Times New Roman"/>
                <w:iCs/>
                <w:sz w:val="20"/>
                <w:szCs w:val="20"/>
                <w:lang w:eastAsia="ro-RO"/>
              </w:rPr>
            </w:pPr>
            <w:r w:rsidRPr="00C14E42">
              <w:rPr>
                <w:rFonts w:ascii="Times New Roman" w:eastAsia="Times New Roman" w:hAnsi="Times New Roman" w:cs="Times New Roman"/>
                <w:iCs/>
                <w:sz w:val="20"/>
                <w:szCs w:val="20"/>
                <w:lang w:eastAsia="ro-RO"/>
              </w:rPr>
              <w:t>Erupții, inclusiv sindrom Stevens-Johnson</w:t>
            </w:r>
          </w:p>
        </w:tc>
      </w:tr>
      <w:tr w:rsidR="005033A4" w:rsidRPr="00C14E42" w14:paraId="21E5209C" w14:textId="77777777" w:rsidTr="005633B8">
        <w:tc>
          <w:tcPr>
            <w:tcW w:w="10198" w:type="dxa"/>
            <w:gridSpan w:val="4"/>
            <w:tcBorders>
              <w:top w:val="nil"/>
              <w:left w:val="nil"/>
              <w:bottom w:val="nil"/>
              <w:right w:val="nil"/>
            </w:tcBorders>
            <w:hideMark/>
          </w:tcPr>
          <w:p w14:paraId="36C0EA31" w14:textId="243B6083" w:rsidR="005033A4" w:rsidRPr="00C14E42" w:rsidRDefault="005033A4" w:rsidP="009D4541">
            <w:pPr>
              <w:spacing w:after="0"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 Se folosește doar împreună cu mijloace de contracepție la pacientele de vârstă fertilă și la pacienții cu capacitate de procreare.</w:t>
            </w:r>
          </w:p>
        </w:tc>
      </w:tr>
    </w:tbl>
    <w:p w14:paraId="78240E0F" w14:textId="77777777" w:rsidR="005033A4" w:rsidRPr="00C14E42" w:rsidRDefault="005033A4"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1A3C59A0" w14:textId="77777777" w:rsidR="005033A4" w:rsidRPr="00C14E42" w:rsidRDefault="005033A4" w:rsidP="009D4541">
      <w:pPr>
        <w:spacing w:after="0" w:line="240" w:lineRule="auto"/>
        <w:ind w:right="72"/>
        <w:jc w:val="both"/>
        <w:rPr>
          <w:rFonts w:ascii="Times New Roman" w:eastAsia="Times New Roman" w:hAnsi="Times New Roman" w:cs="Times New Roman"/>
          <w:sz w:val="24"/>
          <w:szCs w:val="24"/>
          <w:bdr w:val="none" w:sz="0" w:space="0" w:color="auto" w:frame="1"/>
          <w:shd w:val="clear" w:color="auto" w:fill="FFFFFF"/>
        </w:rPr>
      </w:pPr>
    </w:p>
    <w:p w14:paraId="1066EFDD" w14:textId="77777777" w:rsidR="009D4541"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B.2.</w:t>
      </w:r>
      <w:r w:rsidRPr="00C14E42">
        <w:rPr>
          <w:rFonts w:ascii="Times New Roman" w:eastAsia="Times New Roman" w:hAnsi="Times New Roman" w:cs="Times New Roman"/>
          <w:b/>
          <w:sz w:val="24"/>
          <w:szCs w:val="24"/>
          <w:bdr w:val="dotted" w:sz="6" w:space="0" w:color="FEFEFE" w:frame="1"/>
          <w:shd w:val="clear" w:color="auto" w:fill="FFFFFF"/>
        </w:rPr>
        <w:t> </w:t>
      </w:r>
      <w:r w:rsidRPr="00C14E42">
        <w:rPr>
          <w:rFonts w:ascii="Times New Roman" w:eastAsia="Times New Roman" w:hAnsi="Times New Roman" w:cs="Times New Roman"/>
          <w:b/>
          <w:sz w:val="24"/>
          <w:szCs w:val="24"/>
          <w:bdr w:val="none" w:sz="0" w:space="0" w:color="auto" w:frame="1"/>
          <w:shd w:val="clear" w:color="auto" w:fill="FFFFFF"/>
        </w:rPr>
        <w:t>Medicație antiinflamatorie și imunomodulatoare</w:t>
      </w:r>
      <w:r w:rsidRPr="00C14E42">
        <w:rPr>
          <w:rFonts w:ascii="Times New Roman" w:eastAsia="Times New Roman" w:hAnsi="Times New Roman" w:cs="Times New Roman"/>
          <w:sz w:val="24"/>
          <w:szCs w:val="24"/>
          <w:bdr w:val="none" w:sz="0" w:space="0" w:color="auto" w:frame="1"/>
          <w:shd w:val="clear" w:color="auto" w:fill="FFFFFF"/>
        </w:rPr>
        <w:t xml:space="preserve"> (tabelul 2)</w:t>
      </w:r>
    </w:p>
    <w:p w14:paraId="7AC89F99" w14:textId="77777777" w:rsidR="009D4541" w:rsidRPr="00C14E42" w:rsidRDefault="009D4541"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7D9FBCD8" w14:textId="77777777" w:rsidR="009D4541"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Faza inițială infecțioasă este urmată la unii pacienți de o a doua etapă, dominată de răspunsul inflamator.</w:t>
      </w:r>
    </w:p>
    <w:p w14:paraId="0AFA582A" w14:textId="77777777" w:rsidR="009D4541" w:rsidRPr="00C14E42" w:rsidRDefault="009D4541"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4115081E" w14:textId="77777777" w:rsidR="009D4541"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În plan clinic aceasta este asociată cu recrudescența/agravarea simptomatologiei, afectare pulmonară evidentă, iar o parte dintre pacienți ajung la evoluție nefavorabilă prin răspuns inflamator excesiv, uneori fără a exista factori de risc semnificativ. În același timp, un alt subset de pacienți poate avea un deficit de imunitate care împiedică realizarea controlului infecției SARS-CoV-2 și predispune la suprainfecții.</w:t>
      </w:r>
    </w:p>
    <w:p w14:paraId="1B87091F" w14:textId="77777777" w:rsidR="009D4541" w:rsidRPr="00C14E42" w:rsidRDefault="009D4541"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26759C51" w14:textId="77777777" w:rsidR="009D4541"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 xml:space="preserve">Este importantă monitorizarea biologică cât mai amplă pentru a surprinde momentul accentuării reacției inflamatorii și eventual al eliberării excesive de citokine cu ajutorul proteinei C reactive în creștere, </w:t>
      </w:r>
      <w:r w:rsidRPr="00C14E42">
        <w:rPr>
          <w:rFonts w:ascii="Times New Roman" w:eastAsia="Times New Roman" w:hAnsi="Times New Roman" w:cs="Times New Roman"/>
          <w:sz w:val="24"/>
          <w:szCs w:val="24"/>
          <w:bdr w:val="none" w:sz="0" w:space="0" w:color="auto" w:frame="1"/>
          <w:shd w:val="clear" w:color="auto" w:fill="FFFFFF"/>
        </w:rPr>
        <w:lastRenderedPageBreak/>
        <w:t>hemogramei (limfopenie, trombocitopenie), feritinei crescute, IL-6 în creștere, creșterii nivelului de fibrinogen și de D-dimeri, creșterii LDH.</w:t>
      </w:r>
    </w:p>
    <w:p w14:paraId="0F6B1359" w14:textId="77777777" w:rsidR="009D4541" w:rsidRPr="00C14E42" w:rsidRDefault="009D4541"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19D20471" w14:textId="77777777" w:rsidR="009D4541"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Prin administrarea de medicație antiinflamatorie sau imunomodulatoare se încearcă reducerea riscului de evoluție nefavorabilă, inclusiv a decesului la aceste categorii de pacienți. Riscurile asociate cu administrarea lor pot fi o imunodepresie prea intensă, cu întârzierea eradicării infecției SARS-CoV-2 și posibile reactivări de infecții cronice: tuberculoză, pneumocistoză, hepatite virale cronice.</w:t>
      </w:r>
    </w:p>
    <w:p w14:paraId="2BF4D1C2" w14:textId="77777777" w:rsidR="009D4541" w:rsidRPr="00C14E42" w:rsidRDefault="009D4541"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6A1FBCC4" w14:textId="77777777" w:rsidR="009D4541"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Principalele încercări terapeutice în acest scop s-au bazat pe corticoizi sistemici și imunosupresoare/modulatoare.</w:t>
      </w:r>
    </w:p>
    <w:p w14:paraId="45EA6221" w14:textId="77777777" w:rsidR="009D4541" w:rsidRPr="00C14E42" w:rsidRDefault="009D4541"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4BC364EE" w14:textId="77777777" w:rsidR="009D4541" w:rsidRPr="00C14E42" w:rsidRDefault="00022853" w:rsidP="00022853">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B.2.a.</w:t>
      </w:r>
      <w:r w:rsidRPr="00C14E42">
        <w:rPr>
          <w:rFonts w:ascii="Times New Roman" w:eastAsia="Times New Roman" w:hAnsi="Times New Roman" w:cs="Times New Roman"/>
          <w:b/>
          <w:sz w:val="24"/>
          <w:szCs w:val="24"/>
          <w:bdr w:val="dotted" w:sz="6" w:space="0" w:color="FEFEFE" w:frame="1"/>
          <w:shd w:val="clear" w:color="auto" w:fill="FFFFFF"/>
        </w:rPr>
        <w:t> </w:t>
      </w:r>
      <w:r w:rsidRPr="00C14E42">
        <w:rPr>
          <w:rFonts w:ascii="Times New Roman" w:eastAsia="Times New Roman" w:hAnsi="Times New Roman" w:cs="Times New Roman"/>
          <w:b/>
          <w:sz w:val="24"/>
          <w:szCs w:val="24"/>
          <w:bdr w:val="none" w:sz="0" w:space="0" w:color="auto" w:frame="1"/>
          <w:shd w:val="clear" w:color="auto" w:fill="FFFFFF"/>
        </w:rPr>
        <w:t>Corticoizi sistemici</w:t>
      </w:r>
    </w:p>
    <w:p w14:paraId="064C0DA5" w14:textId="77777777" w:rsidR="009D4541" w:rsidRPr="00C14E42" w:rsidRDefault="009D4541"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2EB4164F" w14:textId="77777777" w:rsidR="009D4541"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Corticoizii reprezintă un tratament important în controlul fazei inflamatorii a evoluției COVID-19 și pot reprezenta o alternativă de discutat în cazul sindromului de secreție excesivă de citokine.</w:t>
      </w:r>
    </w:p>
    <w:p w14:paraId="2555C765" w14:textId="77777777" w:rsidR="009D4541" w:rsidRPr="00C14E42" w:rsidRDefault="009D4541"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53AD474B" w14:textId="77777777" w:rsidR="009D4541" w:rsidRPr="00C14E42" w:rsidRDefault="00022853" w:rsidP="00022853">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1.</w:t>
      </w:r>
      <w:r w:rsidRPr="00C14E42">
        <w:rPr>
          <w:rFonts w:ascii="Times New Roman" w:eastAsia="Times New Roman" w:hAnsi="Times New Roman" w:cs="Times New Roman"/>
          <w:b/>
          <w:sz w:val="24"/>
          <w:szCs w:val="24"/>
          <w:bdr w:val="dotted" w:sz="6" w:space="0" w:color="FEFEFE" w:frame="1"/>
          <w:shd w:val="clear" w:color="auto" w:fill="FFFFFF"/>
        </w:rPr>
        <w:t> </w:t>
      </w:r>
      <w:r w:rsidRPr="00C14E42">
        <w:rPr>
          <w:rFonts w:ascii="Times New Roman" w:eastAsia="Times New Roman" w:hAnsi="Times New Roman" w:cs="Times New Roman"/>
          <w:b/>
          <w:sz w:val="24"/>
          <w:szCs w:val="24"/>
          <w:bdr w:val="none" w:sz="0" w:space="0" w:color="auto" w:frame="1"/>
          <w:shd w:val="clear" w:color="auto" w:fill="FFFFFF"/>
        </w:rPr>
        <w:t>Utilizarea de corticoizi sistemici în doză antiinflamatorie</w:t>
      </w:r>
    </w:p>
    <w:p w14:paraId="086155CE" w14:textId="77777777" w:rsidR="009D4541" w:rsidRPr="00C14E42" w:rsidRDefault="009D4541"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192587C5" w14:textId="77777777" w:rsidR="009D4541"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Beneficiul administrării de corticoizi s-a regăsit pentru diverse categorii de pacienți hipoxici, dar nu și pentru cei care nu necesitau oxigen suplimentar. Aceasta a determinat recomandarea utilizării de dexametazonă 6 mg/zi, iv sau oral, timp de 10 zile, la pacienții cu pneumonie COVID-19 care necesită oxigenoterapie. În cazul în care dexametazona nu este disponibilă sau nu se poate utiliza la un pacient se poate folosi metilprednisolon. Durata administrării se decide în funcție de evoluția pacientului.</w:t>
      </w:r>
    </w:p>
    <w:p w14:paraId="6C2512D6" w14:textId="77777777" w:rsidR="009D4541" w:rsidRPr="00C14E42" w:rsidRDefault="009D4541"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66CF3818" w14:textId="4FD6526E" w:rsidR="009D4541" w:rsidRPr="00C14E42" w:rsidRDefault="00022853" w:rsidP="00022853">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r w:rsidRPr="00C14E42">
        <w:rPr>
          <w:rFonts w:ascii="Times New Roman" w:eastAsia="Times New Roman" w:hAnsi="Times New Roman" w:cs="Times New Roman"/>
          <w:sz w:val="24"/>
          <w:szCs w:val="24"/>
          <w:u w:val="single"/>
          <w:bdr w:val="none" w:sz="0" w:space="0" w:color="auto" w:frame="1"/>
          <w:shd w:val="clear" w:color="auto" w:fill="FFFFFF"/>
        </w:rPr>
        <w:t>Corticoizii administrați la pacienți aflați în faza inițială infecțioasă pot favoriza replicarea virală și agrava/prelungi durata bolii</w:t>
      </w:r>
      <w:r w:rsidRPr="00C14E42">
        <w:rPr>
          <w:rFonts w:ascii="Times New Roman" w:eastAsia="Times New Roman" w:hAnsi="Times New Roman" w:cs="Times New Roman"/>
          <w:sz w:val="24"/>
          <w:szCs w:val="24"/>
          <w:bdr w:val="none" w:sz="0" w:space="0" w:color="auto" w:frame="1"/>
          <w:shd w:val="clear" w:color="auto" w:fill="FFFFFF"/>
        </w:rPr>
        <w:t xml:space="preserve">; datele statistice nu susțin un efect favorabil al corticoizilor administrați precoce. </w:t>
      </w:r>
      <w:r w:rsidRPr="00C14E42">
        <w:rPr>
          <w:rFonts w:ascii="Times New Roman" w:eastAsia="Times New Roman" w:hAnsi="Times New Roman" w:cs="Times New Roman"/>
          <w:b/>
          <w:sz w:val="24"/>
          <w:szCs w:val="24"/>
          <w:bdr w:val="none" w:sz="0" w:space="0" w:color="auto" w:frame="1"/>
          <w:shd w:val="clear" w:color="auto" w:fill="FFFFFF"/>
        </w:rPr>
        <w:t>De aceea, la pacienții care mențin o funcție respiratorie satisfăcătoare fără aport suplimentar de oxigen, corticoizii nu sunt recomandați și trebuie evitați.</w:t>
      </w:r>
    </w:p>
    <w:p w14:paraId="6031E92D" w14:textId="77777777" w:rsidR="009D4541" w:rsidRPr="00C14E42" w:rsidRDefault="009D4541"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65508384" w14:textId="77777777" w:rsidR="009D4541" w:rsidRPr="00C14E42" w:rsidRDefault="00022853" w:rsidP="00022853">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2.</w:t>
      </w:r>
      <w:r w:rsidRPr="00C14E42">
        <w:rPr>
          <w:rFonts w:ascii="Times New Roman" w:eastAsia="Times New Roman" w:hAnsi="Times New Roman" w:cs="Times New Roman"/>
          <w:b/>
          <w:sz w:val="24"/>
          <w:szCs w:val="24"/>
          <w:bdr w:val="dotted" w:sz="6" w:space="0" w:color="FEFEFE" w:frame="1"/>
          <w:shd w:val="clear" w:color="auto" w:fill="FFFFFF"/>
        </w:rPr>
        <w:t> </w:t>
      </w:r>
      <w:r w:rsidRPr="00C14E42">
        <w:rPr>
          <w:rFonts w:ascii="Times New Roman" w:eastAsia="Times New Roman" w:hAnsi="Times New Roman" w:cs="Times New Roman"/>
          <w:b/>
          <w:sz w:val="24"/>
          <w:szCs w:val="24"/>
          <w:bdr w:val="none" w:sz="0" w:space="0" w:color="auto" w:frame="1"/>
          <w:shd w:val="clear" w:color="auto" w:fill="FFFFFF"/>
        </w:rPr>
        <w:t>Utilizarea de doze mari (imunosupresoare) de corticosteroizi</w:t>
      </w:r>
    </w:p>
    <w:p w14:paraId="0B26AF66" w14:textId="77777777" w:rsidR="009D4541" w:rsidRPr="00C14E42" w:rsidRDefault="009D4541"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66239F1D" w14:textId="77777777" w:rsidR="009D4541"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La pacienții cu detresă respiratorie acută, mai ales în cazul unei creșteri bruște și importante a parametrilor biologici ce indică un exces de inflamație, se pot lua în considerare doze zilnice de corticoid cu efect imunosupresor (schemă propusă: 20 mg/zi în primele cinci zile, apoi 10 mg/zi, alte cinci zile).</w:t>
      </w:r>
    </w:p>
    <w:p w14:paraId="2065AFEA" w14:textId="77777777" w:rsidR="009D4541" w:rsidRPr="00C14E42" w:rsidRDefault="009D4541"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781A7381" w14:textId="77777777" w:rsidR="009D4541" w:rsidRPr="00C14E42" w:rsidRDefault="00022853" w:rsidP="00022853">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3.</w:t>
      </w:r>
      <w:r w:rsidRPr="00C14E42">
        <w:rPr>
          <w:rFonts w:ascii="Times New Roman" w:eastAsia="Times New Roman" w:hAnsi="Times New Roman" w:cs="Times New Roman"/>
          <w:b/>
          <w:sz w:val="24"/>
          <w:szCs w:val="24"/>
          <w:bdr w:val="dotted" w:sz="6" w:space="0" w:color="FEFEFE" w:frame="1"/>
          <w:shd w:val="clear" w:color="auto" w:fill="FFFFFF"/>
        </w:rPr>
        <w:t> </w:t>
      </w:r>
      <w:r w:rsidRPr="00C14E42">
        <w:rPr>
          <w:rFonts w:ascii="Times New Roman" w:eastAsia="Times New Roman" w:hAnsi="Times New Roman" w:cs="Times New Roman"/>
          <w:b/>
          <w:sz w:val="24"/>
          <w:szCs w:val="24"/>
          <w:bdr w:val="none" w:sz="0" w:space="0" w:color="auto" w:frame="1"/>
          <w:shd w:val="clear" w:color="auto" w:fill="FFFFFF"/>
        </w:rPr>
        <w:t>Alte indicații ale corticoterapiei sistemice</w:t>
      </w:r>
    </w:p>
    <w:p w14:paraId="617C7C57" w14:textId="77777777" w:rsidR="009D4541" w:rsidRPr="00C14E42" w:rsidRDefault="009D4541"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7FBAFCDA" w14:textId="77777777" w:rsidR="009D4541"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La pacienți cu COVID-19 este justificat să se administreze corticoizi și în alte câteva situații:</w:t>
      </w:r>
    </w:p>
    <w:p w14:paraId="1DABC1E3" w14:textId="3BFB328F" w:rsidR="009D4541" w:rsidRPr="00C14E42" w:rsidRDefault="00022853" w:rsidP="004B50B4">
      <w:pPr>
        <w:pStyle w:val="ListParagraph"/>
        <w:numPr>
          <w:ilvl w:val="2"/>
          <w:numId w:val="11"/>
        </w:numPr>
        <w:spacing w:after="0" w:line="240" w:lineRule="auto"/>
        <w:ind w:left="630" w:right="72" w:hanging="270"/>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în caz de șoc septic neresponsiv la amine vasopresoare (HHC, de regulă 50 mg la 6 ore);</w:t>
      </w:r>
    </w:p>
    <w:p w14:paraId="75CB577C" w14:textId="796AF34F" w:rsidR="009D4541" w:rsidRPr="00C14E42" w:rsidRDefault="00022853" w:rsidP="004B50B4">
      <w:pPr>
        <w:pStyle w:val="ListParagraph"/>
        <w:numPr>
          <w:ilvl w:val="2"/>
          <w:numId w:val="11"/>
        </w:numPr>
        <w:spacing w:after="0" w:line="240" w:lineRule="auto"/>
        <w:ind w:left="630" w:right="72" w:hanging="270"/>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la pacienții care au o altă indicație de utilizare a acestora, cum ar fi criza de astm bronșic, BPCO acutizat sau insuficiența suprarenaliană.</w:t>
      </w:r>
    </w:p>
    <w:p w14:paraId="1F27C495" w14:textId="77777777" w:rsidR="009D4541" w:rsidRPr="00C14E42" w:rsidRDefault="009D4541"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6C068336" w14:textId="77777777" w:rsidR="009D4541" w:rsidRPr="00C14E42" w:rsidRDefault="00022853" w:rsidP="00022853">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B.2.b.</w:t>
      </w:r>
      <w:r w:rsidRPr="00C14E42">
        <w:rPr>
          <w:rFonts w:ascii="Times New Roman" w:eastAsia="Times New Roman" w:hAnsi="Times New Roman" w:cs="Times New Roman"/>
          <w:b/>
          <w:sz w:val="24"/>
          <w:szCs w:val="24"/>
          <w:bdr w:val="dotted" w:sz="6" w:space="0" w:color="FEFEFE" w:frame="1"/>
          <w:shd w:val="clear" w:color="auto" w:fill="FFFFFF"/>
        </w:rPr>
        <w:t> </w:t>
      </w:r>
      <w:r w:rsidRPr="00C14E42">
        <w:rPr>
          <w:rFonts w:ascii="Times New Roman" w:eastAsia="Times New Roman" w:hAnsi="Times New Roman" w:cs="Times New Roman"/>
          <w:b/>
          <w:sz w:val="24"/>
          <w:szCs w:val="24"/>
          <w:bdr w:val="none" w:sz="0" w:space="0" w:color="auto" w:frame="1"/>
          <w:shd w:val="clear" w:color="auto" w:fill="FFFFFF"/>
        </w:rPr>
        <w:t>Imunomodulatoare</w:t>
      </w:r>
    </w:p>
    <w:p w14:paraId="6EC04F4B" w14:textId="77777777" w:rsidR="009D4541" w:rsidRPr="00C14E42" w:rsidRDefault="009D4541"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7A7FF218" w14:textId="03DB53EC" w:rsidR="009D4541" w:rsidRPr="00C14E42" w:rsidRDefault="00022853" w:rsidP="009D4541">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1.</w:t>
      </w:r>
      <w:r w:rsidRPr="00C14E42">
        <w:rPr>
          <w:rFonts w:ascii="Times New Roman" w:eastAsia="Times New Roman" w:hAnsi="Times New Roman" w:cs="Times New Roman"/>
          <w:b/>
          <w:sz w:val="24"/>
          <w:szCs w:val="24"/>
          <w:bdr w:val="dotted" w:sz="6" w:space="0" w:color="FEFEFE" w:frame="1"/>
          <w:shd w:val="clear" w:color="auto" w:fill="FFFFFF"/>
        </w:rPr>
        <w:t> </w:t>
      </w:r>
      <w:r w:rsidRPr="00C14E42">
        <w:rPr>
          <w:rFonts w:ascii="Times New Roman" w:eastAsia="Times New Roman" w:hAnsi="Times New Roman" w:cs="Times New Roman"/>
          <w:b/>
          <w:sz w:val="24"/>
          <w:szCs w:val="24"/>
          <w:bdr w:val="none" w:sz="0" w:space="0" w:color="auto" w:frame="1"/>
          <w:shd w:val="clear" w:color="auto" w:fill="FFFFFF"/>
        </w:rPr>
        <w:t>Tocilizumab</w:t>
      </w:r>
    </w:p>
    <w:p w14:paraId="04800884" w14:textId="77777777" w:rsidR="009D4541"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Acest antagonist de receptor de IL-6 are rezultate favorabile în reducerea ratei de decese și a duratei de spitalizare în terapie intensivă la un subgrup de pacienți cu forme severe de COVID-19 la care există o activare excesivă a inflamației. Anterior, tocilizumab a mai fost utilizat în tratamentul sindromului de eliberare de citokine.</w:t>
      </w:r>
    </w:p>
    <w:p w14:paraId="4C445F88" w14:textId="77777777" w:rsidR="009D4541" w:rsidRPr="00C14E42" w:rsidRDefault="009D4541"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73C16D4C" w14:textId="64A74686" w:rsidR="009D4541" w:rsidRPr="00C14E42" w:rsidRDefault="00022853" w:rsidP="009D4541">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Doza utilizată în perfuzie endovenoasă este de 8 mg/kgc (maximum 800 mg per administrare); se poate relua dacă răspunsul terapeutic lipsește. Au fost utilizate și doze mai mici, de 400 mg per doză la adult.</w:t>
      </w:r>
    </w:p>
    <w:p w14:paraId="1539C780" w14:textId="77777777" w:rsidR="009D4541" w:rsidRPr="00C14E42" w:rsidRDefault="009D4541"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19778433" w14:textId="00497865" w:rsidR="009D4541"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Utilizarea tocilizumabului se recomandă a fi făcută în asociere cu tratamentul corticoid, mai ales dacă se produc</w:t>
      </w:r>
      <w:r w:rsidR="009D4541" w:rsidRPr="00C14E42">
        <w:rPr>
          <w:rFonts w:ascii="Times New Roman" w:eastAsia="Times New Roman" w:hAnsi="Times New Roman" w:cs="Times New Roman"/>
          <w:sz w:val="24"/>
          <w:szCs w:val="24"/>
          <w:bdr w:val="none" w:sz="0" w:space="0" w:color="auto" w:frame="1"/>
          <w:shd w:val="clear" w:color="auto" w:fill="FFFFFF"/>
        </w:rPr>
        <w:t>e</w:t>
      </w:r>
      <w:r w:rsidRPr="00C14E42">
        <w:rPr>
          <w:rFonts w:ascii="Times New Roman" w:eastAsia="Times New Roman" w:hAnsi="Times New Roman" w:cs="Times New Roman"/>
          <w:sz w:val="24"/>
          <w:szCs w:val="24"/>
          <w:bdr w:val="none" w:sz="0" w:space="0" w:color="auto" w:frame="1"/>
          <w:shd w:val="clear" w:color="auto" w:fill="FFFFFF"/>
        </w:rPr>
        <w:t xml:space="preserve"> deteriorare clinică și creșterea valorii testelor de inflamație în pofida tratamentului anterior (valoarea propusă pentru a iniția tratamentul cu tocilizumab este cea a proteinei C reactive peste 75 mg/L).</w:t>
      </w:r>
    </w:p>
    <w:p w14:paraId="2D139C50" w14:textId="77777777" w:rsidR="009D4541" w:rsidRPr="00C14E42" w:rsidRDefault="009D4541"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64607DA8" w14:textId="77777777" w:rsidR="009D4541" w:rsidRPr="00C14E42" w:rsidRDefault="00022853" w:rsidP="00022853">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lastRenderedPageBreak/>
        <w:t>2.</w:t>
      </w:r>
      <w:r w:rsidRPr="00C14E42">
        <w:rPr>
          <w:rFonts w:ascii="Times New Roman" w:eastAsia="Times New Roman" w:hAnsi="Times New Roman" w:cs="Times New Roman"/>
          <w:b/>
          <w:sz w:val="24"/>
          <w:szCs w:val="24"/>
          <w:bdr w:val="dotted" w:sz="6" w:space="0" w:color="FEFEFE" w:frame="1"/>
          <w:shd w:val="clear" w:color="auto" w:fill="FFFFFF"/>
        </w:rPr>
        <w:t> </w:t>
      </w:r>
      <w:r w:rsidRPr="00C14E42">
        <w:rPr>
          <w:rFonts w:ascii="Times New Roman" w:eastAsia="Times New Roman" w:hAnsi="Times New Roman" w:cs="Times New Roman"/>
          <w:b/>
          <w:sz w:val="24"/>
          <w:szCs w:val="24"/>
          <w:bdr w:val="none" w:sz="0" w:space="0" w:color="auto" w:frame="1"/>
          <w:shd w:val="clear" w:color="auto" w:fill="FFFFFF"/>
        </w:rPr>
        <w:t>Anakinra</w:t>
      </w:r>
    </w:p>
    <w:p w14:paraId="480527D3" w14:textId="77777777" w:rsidR="00703B36"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Anakinra este un antagonist de receptori de IL-1, înregistrat în prezent în tratamentul poliartritei reumatoide și al bolii Still. Se administrează subcutanat, 100 mg/zi, dar în forme severe de boli inflamatorii se poate ajunge la 400 mg/zi.</w:t>
      </w:r>
    </w:p>
    <w:p w14:paraId="07442692" w14:textId="77777777" w:rsidR="00703B36" w:rsidRPr="00C14E42" w:rsidRDefault="00703B36"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5C885986" w14:textId="77777777" w:rsidR="00703B36"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În cazul COVID-19 s-a recurs la utilizarea de 200-400 mg/zi, administrate subcutanat, cu doze în scădere, timp de 7-10 zile. Datele observaționale și un RCT publicate referitor la tratamentul pacienților cu pneumonie COVID-19 au arătat o reducere a letalității la pacienții cu forme severe de boală, cu inflamație importantă.</w:t>
      </w:r>
    </w:p>
    <w:p w14:paraId="111FB7A3" w14:textId="77777777" w:rsidR="00703B36" w:rsidRPr="00C14E42" w:rsidRDefault="00703B36"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08D4AFED" w14:textId="77777777" w:rsidR="00703B36"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În cazul administrării la pacienți care nu au o afectare pulmonară importantă și nici inflamație severă, eficiența anakinra nu a fost dovedită. Nu a fost demonstrat un beneficiu al tratamentului cu anakinra nici la pacienții cu forme critice de boală, internați în servicii de terapie intensivă.</w:t>
      </w:r>
    </w:p>
    <w:p w14:paraId="28072654" w14:textId="77777777" w:rsidR="00703B36" w:rsidRPr="00C14E42" w:rsidRDefault="00703B36"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102F3A9C" w14:textId="626DC40E" w:rsidR="009D4541"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Aceste date sugerează utilizarea anakinra dacă pacientul are pneumonie care se agravează și inflamație în creștere, mai ales dacă administrarea de corticoid nu s-a reușit controlul bolii.</w:t>
      </w:r>
    </w:p>
    <w:p w14:paraId="2E7EC9C6" w14:textId="77777777" w:rsidR="009D4541" w:rsidRPr="00C14E42" w:rsidRDefault="009D4541"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510F8B38" w14:textId="77777777" w:rsidR="009D4541" w:rsidRPr="00C14E42" w:rsidRDefault="00022853" w:rsidP="00022853">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3.</w:t>
      </w:r>
      <w:r w:rsidRPr="00C14E42">
        <w:rPr>
          <w:rFonts w:ascii="Times New Roman" w:eastAsia="Times New Roman" w:hAnsi="Times New Roman" w:cs="Times New Roman"/>
          <w:b/>
          <w:sz w:val="24"/>
          <w:szCs w:val="24"/>
          <w:bdr w:val="dotted" w:sz="6" w:space="0" w:color="FEFEFE" w:frame="1"/>
          <w:shd w:val="clear" w:color="auto" w:fill="FFFFFF"/>
        </w:rPr>
        <w:t> </w:t>
      </w:r>
      <w:r w:rsidRPr="00C14E42">
        <w:rPr>
          <w:rFonts w:ascii="Times New Roman" w:eastAsia="Times New Roman" w:hAnsi="Times New Roman" w:cs="Times New Roman"/>
          <w:b/>
          <w:sz w:val="24"/>
          <w:szCs w:val="24"/>
          <w:bdr w:val="none" w:sz="0" w:space="0" w:color="auto" w:frame="1"/>
          <w:shd w:val="clear" w:color="auto" w:fill="FFFFFF"/>
        </w:rPr>
        <w:t>Baricitinib</w:t>
      </w:r>
    </w:p>
    <w:p w14:paraId="355624CE" w14:textId="77777777" w:rsidR="00703B36"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Baricitinib este un inhibitor de Janus kinază 1 și 2, administrat oral și indicat în prezent în tratamentul poliartritei reumatoide și al dermatitei atopice care necesită tratament sistemic, într-o doză de 4 mg/zi.</w:t>
      </w:r>
    </w:p>
    <w:p w14:paraId="4BAEA49B" w14:textId="77777777" w:rsidR="00703B36" w:rsidRPr="00C14E42" w:rsidRDefault="00703B36"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05EDB63D" w14:textId="77777777" w:rsidR="00703B36"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Rezultatele a două RCT susțin utilizarea sa la pacienții cu forme severe de COVID-19; FDA a decis emiterea unei autorizări provizorii pentru baricitinib asociat cu remdesivir.</w:t>
      </w:r>
    </w:p>
    <w:p w14:paraId="20A16428" w14:textId="77777777" w:rsidR="00703B36" w:rsidRPr="00C14E42" w:rsidRDefault="00703B36"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6C1D6DE4" w14:textId="0B74F32B" w:rsidR="009D4541"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 xml:space="preserve">Ghidul NIH recomandă baricitinib ca o alternativă a tocilizumabului, în asociere cu dexametazonă; de asemenea, ghidul IDSA </w:t>
      </w:r>
      <w:r w:rsidRPr="00C14E42">
        <w:rPr>
          <w:rFonts w:ascii="Times New Roman" w:eastAsia="Times New Roman" w:hAnsi="Times New Roman" w:cs="Times New Roman"/>
          <w:sz w:val="24"/>
          <w:szCs w:val="24"/>
          <w:u w:val="single"/>
          <w:bdr w:val="none" w:sz="0" w:space="0" w:color="auto" w:frame="1"/>
          <w:shd w:val="clear" w:color="auto" w:fill="FFFFFF"/>
        </w:rPr>
        <w:t>îl recomandă la pacienți cu forme severe de boală, atrăgând atenția că nu se asociază cu tocilizumab sau alți inhibitori de IL-6</w:t>
      </w:r>
      <w:r w:rsidRPr="00C14E42">
        <w:rPr>
          <w:rFonts w:ascii="Times New Roman" w:eastAsia="Times New Roman" w:hAnsi="Times New Roman" w:cs="Times New Roman"/>
          <w:sz w:val="24"/>
          <w:szCs w:val="24"/>
          <w:bdr w:val="none" w:sz="0" w:space="0" w:color="auto" w:frame="1"/>
          <w:shd w:val="clear" w:color="auto" w:fill="FFFFFF"/>
        </w:rPr>
        <w:t>. Nici IDSA și nici NIH nu recomandă baricitinib la pacientul deja intubat și ventilat mecanic. Durata de tratament propusă este de 14 zile sau până la externarea pacientului. Riscul tromboembolic legat de baricitinib ar trebui să fie și el luat în calcul în evaluarea oportunității administrării sale la pacienți cu COVID-19.</w:t>
      </w:r>
    </w:p>
    <w:p w14:paraId="69BEE8E4" w14:textId="77777777" w:rsidR="009D4541" w:rsidRPr="00C14E42" w:rsidRDefault="009D4541"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5BF96A90" w14:textId="77777777" w:rsidR="009D4541" w:rsidRPr="00C14E42" w:rsidRDefault="00022853" w:rsidP="00022853">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4.</w:t>
      </w:r>
      <w:r w:rsidRPr="00C14E42">
        <w:rPr>
          <w:rFonts w:ascii="Times New Roman" w:eastAsia="Times New Roman" w:hAnsi="Times New Roman" w:cs="Times New Roman"/>
          <w:b/>
          <w:sz w:val="24"/>
          <w:szCs w:val="24"/>
          <w:bdr w:val="dotted" w:sz="6" w:space="0" w:color="FEFEFE" w:frame="1"/>
          <w:shd w:val="clear" w:color="auto" w:fill="FFFFFF"/>
        </w:rPr>
        <w:t> </w:t>
      </w:r>
      <w:r w:rsidRPr="00C14E42">
        <w:rPr>
          <w:rFonts w:ascii="Times New Roman" w:eastAsia="Times New Roman" w:hAnsi="Times New Roman" w:cs="Times New Roman"/>
          <w:b/>
          <w:sz w:val="24"/>
          <w:szCs w:val="24"/>
          <w:bdr w:val="none" w:sz="0" w:space="0" w:color="auto" w:frame="1"/>
          <w:shd w:val="clear" w:color="auto" w:fill="FFFFFF"/>
        </w:rPr>
        <w:t>Alte imunomodulatoare</w:t>
      </w:r>
    </w:p>
    <w:p w14:paraId="64C753D1" w14:textId="77777777" w:rsidR="005633B8"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Nu au fost publicate rezultate suficiente pentru siltuximab (o serie de 30 de cazuri tratate în Italia, cu evoluție mai bună față de pacienții cu tratament standard), sarilumab (datele utilizate de IDSA arată o tendință nesemnificativă statistic către prevenirea formelor critice și reducerea riscului de deces), fluvoxamină (administrată precoce pentru a preveni agravarea către forme severe și critice de boală).</w:t>
      </w:r>
    </w:p>
    <w:p w14:paraId="422A8F2A" w14:textId="77777777" w:rsidR="005633B8" w:rsidRPr="00C14E42" w:rsidRDefault="005633B8"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75C30BCE" w14:textId="77777777" w:rsidR="005633B8"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 xml:space="preserve">În concluzie, tratamentul antiinflamator este indicat pacienților care se află în a doua fază a bolii, cea dominată de răspunsul inflamator, și ar trebui inițiat pe criterii de beneficiu/risc în funcție de nivelul inflamației, manifestările clinice induse și de efecte adverse posibile. Tratamentul imunomodulator este recomandat doar unor subseturi de pacienți cu răspunsuri exagerate la agresiunea infecțioasă. </w:t>
      </w:r>
    </w:p>
    <w:p w14:paraId="27581796" w14:textId="77777777" w:rsidR="005633B8" w:rsidRPr="00C14E42" w:rsidRDefault="005633B8"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798D9A93" w14:textId="77777777" w:rsidR="005633B8"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O abordare terapeutică rațională ar include două etape:</w:t>
      </w:r>
    </w:p>
    <w:p w14:paraId="07BF63FA" w14:textId="77777777" w:rsidR="005633B8"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a)</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bdr w:val="none" w:sz="0" w:space="0" w:color="auto" w:frame="1"/>
          <w:shd w:val="clear" w:color="auto" w:fill="FFFFFF"/>
        </w:rPr>
        <w:t>corticoizi în doză antiinflamatorie; și</w:t>
      </w:r>
    </w:p>
    <w:p w14:paraId="2DE906C6" w14:textId="77777777" w:rsidR="005633B8"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b)</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bdr w:val="none" w:sz="0" w:space="0" w:color="auto" w:frame="1"/>
          <w:shd w:val="clear" w:color="auto" w:fill="FFFFFF"/>
        </w:rPr>
        <w:t>în cazul ineficienței corticoizilor și al creșterii bruște a inflamației, imunosupresoare/modulatoare.</w:t>
      </w:r>
    </w:p>
    <w:p w14:paraId="3F79E7AE" w14:textId="77777777" w:rsidR="00C14E42" w:rsidRPr="00C14E42" w:rsidRDefault="00C14E42" w:rsidP="001F7E60">
      <w:pPr>
        <w:spacing w:after="0" w:line="240" w:lineRule="auto"/>
        <w:ind w:right="72"/>
        <w:jc w:val="both"/>
        <w:rPr>
          <w:rFonts w:ascii="Times New Roman" w:eastAsia="Times New Roman" w:hAnsi="Times New Roman" w:cs="Times New Roman"/>
          <w:sz w:val="24"/>
          <w:szCs w:val="24"/>
          <w:bdr w:val="none" w:sz="0" w:space="0" w:color="auto" w:frame="1"/>
          <w:shd w:val="clear" w:color="auto" w:fill="FFFFFF"/>
        </w:rPr>
      </w:pPr>
    </w:p>
    <w:p w14:paraId="53E08650" w14:textId="5FB59DD0" w:rsidR="00022853"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Tabelul 2. Medicație antiinflamatorie și imunomodulatoare propusă în tratamentul COVID-19</w:t>
      </w:r>
    </w:p>
    <w:p w14:paraId="119C8D11" w14:textId="77777777" w:rsidR="005633B8" w:rsidRPr="00C14E42" w:rsidRDefault="005633B8"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tbl>
      <w:tblPr>
        <w:tblW w:w="10116" w:type="dxa"/>
        <w:tblInd w:w="82"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753"/>
        <w:gridCol w:w="2835"/>
        <w:gridCol w:w="2572"/>
        <w:gridCol w:w="2956"/>
      </w:tblGrid>
      <w:tr w:rsidR="00C14E42" w:rsidRPr="00C14E42" w14:paraId="168EA92C" w14:textId="77777777" w:rsidTr="005633B8">
        <w:tc>
          <w:tcPr>
            <w:tcW w:w="1753" w:type="dxa"/>
            <w:tcBorders>
              <w:top w:val="single" w:sz="6" w:space="0" w:color="000000"/>
              <w:left w:val="single" w:sz="6" w:space="0" w:color="000000"/>
              <w:bottom w:val="single" w:sz="6" w:space="0" w:color="000000"/>
              <w:right w:val="single" w:sz="6" w:space="0" w:color="000000"/>
            </w:tcBorders>
            <w:hideMark/>
          </w:tcPr>
          <w:p w14:paraId="162058E1" w14:textId="77777777" w:rsidR="005633B8" w:rsidRPr="00C14E42" w:rsidRDefault="005633B8" w:rsidP="005633B8">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Medicament</w:t>
            </w:r>
          </w:p>
        </w:tc>
        <w:tc>
          <w:tcPr>
            <w:tcW w:w="2835" w:type="dxa"/>
            <w:tcBorders>
              <w:top w:val="single" w:sz="6" w:space="0" w:color="000000"/>
              <w:left w:val="single" w:sz="6" w:space="0" w:color="000000"/>
              <w:bottom w:val="single" w:sz="6" w:space="0" w:color="000000"/>
              <w:right w:val="single" w:sz="6" w:space="0" w:color="000000"/>
            </w:tcBorders>
            <w:hideMark/>
          </w:tcPr>
          <w:p w14:paraId="71FE7CFD" w14:textId="77777777" w:rsidR="005633B8" w:rsidRPr="00C14E42" w:rsidRDefault="005633B8" w:rsidP="005633B8">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Doze</w:t>
            </w:r>
          </w:p>
        </w:tc>
        <w:tc>
          <w:tcPr>
            <w:tcW w:w="2572" w:type="dxa"/>
            <w:tcBorders>
              <w:top w:val="single" w:sz="6" w:space="0" w:color="000000"/>
              <w:left w:val="single" w:sz="6" w:space="0" w:color="000000"/>
              <w:bottom w:val="single" w:sz="6" w:space="0" w:color="000000"/>
              <w:right w:val="single" w:sz="6" w:space="0" w:color="000000"/>
            </w:tcBorders>
            <w:hideMark/>
          </w:tcPr>
          <w:p w14:paraId="4B0DDA2A" w14:textId="77777777" w:rsidR="005633B8" w:rsidRPr="00C14E42" w:rsidRDefault="005633B8" w:rsidP="005633B8">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Durată standard</w:t>
            </w:r>
          </w:p>
        </w:tc>
        <w:tc>
          <w:tcPr>
            <w:tcW w:w="2956" w:type="dxa"/>
            <w:tcBorders>
              <w:top w:val="single" w:sz="6" w:space="0" w:color="000000"/>
              <w:left w:val="single" w:sz="6" w:space="0" w:color="000000"/>
              <w:bottom w:val="single" w:sz="6" w:space="0" w:color="000000"/>
              <w:right w:val="single" w:sz="6" w:space="0" w:color="000000"/>
            </w:tcBorders>
            <w:hideMark/>
          </w:tcPr>
          <w:p w14:paraId="6D775898" w14:textId="77777777" w:rsidR="005633B8" w:rsidRPr="00C14E42" w:rsidRDefault="005633B8" w:rsidP="005633B8">
            <w:pPr>
              <w:spacing w:after="0"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sz w:val="20"/>
                <w:szCs w:val="20"/>
                <w:lang w:eastAsia="ro-RO"/>
              </w:rPr>
              <w:t xml:space="preserve"> Reacții adverse posibile</w:t>
            </w:r>
          </w:p>
        </w:tc>
      </w:tr>
      <w:tr w:rsidR="00C14E42" w:rsidRPr="00C14E42" w14:paraId="1F674207" w14:textId="77777777" w:rsidTr="005633B8">
        <w:tc>
          <w:tcPr>
            <w:tcW w:w="1753" w:type="dxa"/>
            <w:tcBorders>
              <w:top w:val="single" w:sz="6" w:space="0" w:color="000000"/>
              <w:left w:val="single" w:sz="6" w:space="0" w:color="000000"/>
              <w:bottom w:val="single" w:sz="6" w:space="0" w:color="000000"/>
              <w:right w:val="single" w:sz="6" w:space="0" w:color="000000"/>
            </w:tcBorders>
            <w:hideMark/>
          </w:tcPr>
          <w:p w14:paraId="79FCAA76" w14:textId="77777777" w:rsidR="005633B8" w:rsidRPr="00C14E42" w:rsidRDefault="005633B8" w:rsidP="005633B8">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Dexametazonă</w:t>
            </w:r>
          </w:p>
          <w:p w14:paraId="6D247AE2" w14:textId="3DDC6D90" w:rsidR="005633B8" w:rsidRPr="00C14E42" w:rsidRDefault="005633B8" w:rsidP="005633B8">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(alternativ  metilprednisolon)</w:t>
            </w:r>
          </w:p>
        </w:tc>
        <w:tc>
          <w:tcPr>
            <w:tcW w:w="2835" w:type="dxa"/>
            <w:tcBorders>
              <w:top w:val="single" w:sz="6" w:space="0" w:color="000000"/>
              <w:left w:val="single" w:sz="6" w:space="0" w:color="000000"/>
              <w:bottom w:val="single" w:sz="6" w:space="0" w:color="000000"/>
              <w:right w:val="single" w:sz="6" w:space="0" w:color="000000"/>
            </w:tcBorders>
            <w:hideMark/>
          </w:tcPr>
          <w:p w14:paraId="2B8B206C" w14:textId="77777777" w:rsidR="005633B8" w:rsidRPr="00C14E42" w:rsidRDefault="005633B8" w:rsidP="005633B8">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Antiinflamator: 6 - 8 mg iv/zi</w:t>
            </w:r>
          </w:p>
          <w:p w14:paraId="13678D81" w14:textId="77777777" w:rsidR="005633B8" w:rsidRPr="00C14E42" w:rsidRDefault="005633B8" w:rsidP="005633B8">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Imunosupresie: 16 mg/zi</w:t>
            </w:r>
          </w:p>
          <w:p w14:paraId="06AC3F2C" w14:textId="77777777" w:rsidR="005633B8" w:rsidRPr="00C14E42" w:rsidRDefault="005633B8" w:rsidP="005633B8">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(24 mg/zi la persoane cu obezitate)</w:t>
            </w:r>
          </w:p>
        </w:tc>
        <w:tc>
          <w:tcPr>
            <w:tcW w:w="2572" w:type="dxa"/>
            <w:tcBorders>
              <w:top w:val="single" w:sz="6" w:space="0" w:color="000000"/>
              <w:left w:val="single" w:sz="6" w:space="0" w:color="000000"/>
              <w:bottom w:val="single" w:sz="6" w:space="0" w:color="000000"/>
              <w:right w:val="single" w:sz="6" w:space="0" w:color="000000"/>
            </w:tcBorders>
            <w:hideMark/>
          </w:tcPr>
          <w:p w14:paraId="19001C08" w14:textId="77777777" w:rsidR="005633B8" w:rsidRPr="00C14E42" w:rsidRDefault="005633B8" w:rsidP="005633B8">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10 zile</w:t>
            </w:r>
          </w:p>
        </w:tc>
        <w:tc>
          <w:tcPr>
            <w:tcW w:w="2956" w:type="dxa"/>
            <w:tcBorders>
              <w:top w:val="single" w:sz="6" w:space="0" w:color="000000"/>
              <w:left w:val="single" w:sz="6" w:space="0" w:color="000000"/>
              <w:bottom w:val="single" w:sz="6" w:space="0" w:color="000000"/>
              <w:right w:val="single" w:sz="6" w:space="0" w:color="000000"/>
            </w:tcBorders>
            <w:hideMark/>
          </w:tcPr>
          <w:p w14:paraId="3440165B" w14:textId="77777777" w:rsidR="005633B8" w:rsidRPr="00C14E42" w:rsidRDefault="005633B8" w:rsidP="005633B8">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Iritație mucoasă digestivă</w:t>
            </w:r>
          </w:p>
          <w:p w14:paraId="19A6646C" w14:textId="77777777" w:rsidR="005633B8" w:rsidRPr="00C14E42" w:rsidRDefault="005633B8" w:rsidP="005633B8">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Dezechilibrare diabet</w:t>
            </w:r>
          </w:p>
        </w:tc>
      </w:tr>
      <w:tr w:rsidR="00C14E42" w:rsidRPr="00C14E42" w14:paraId="2075B240" w14:textId="77777777" w:rsidTr="005633B8">
        <w:tc>
          <w:tcPr>
            <w:tcW w:w="1753" w:type="dxa"/>
            <w:tcBorders>
              <w:top w:val="single" w:sz="6" w:space="0" w:color="000000"/>
              <w:left w:val="single" w:sz="6" w:space="0" w:color="000000"/>
              <w:bottom w:val="single" w:sz="6" w:space="0" w:color="000000"/>
              <w:right w:val="single" w:sz="6" w:space="0" w:color="000000"/>
            </w:tcBorders>
            <w:hideMark/>
          </w:tcPr>
          <w:p w14:paraId="575CC242" w14:textId="77777777" w:rsidR="005633B8" w:rsidRPr="00C14E42" w:rsidRDefault="005633B8" w:rsidP="005633B8">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Tocilizumab</w:t>
            </w:r>
          </w:p>
        </w:tc>
        <w:tc>
          <w:tcPr>
            <w:tcW w:w="2835" w:type="dxa"/>
            <w:tcBorders>
              <w:top w:val="single" w:sz="6" w:space="0" w:color="000000"/>
              <w:left w:val="single" w:sz="6" w:space="0" w:color="000000"/>
              <w:bottom w:val="single" w:sz="6" w:space="0" w:color="000000"/>
              <w:right w:val="single" w:sz="6" w:space="0" w:color="000000"/>
            </w:tcBorders>
            <w:hideMark/>
          </w:tcPr>
          <w:p w14:paraId="1C955544" w14:textId="77777777" w:rsidR="005633B8" w:rsidRPr="00C14E42" w:rsidRDefault="005633B8" w:rsidP="005633B8">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8 mg/kg perfuzie endovenoasă,  (maximum 800 mg per administrare)</w:t>
            </w:r>
          </w:p>
        </w:tc>
        <w:tc>
          <w:tcPr>
            <w:tcW w:w="2572" w:type="dxa"/>
            <w:tcBorders>
              <w:top w:val="single" w:sz="6" w:space="0" w:color="000000"/>
              <w:left w:val="single" w:sz="6" w:space="0" w:color="000000"/>
              <w:bottom w:val="single" w:sz="6" w:space="0" w:color="000000"/>
              <w:right w:val="single" w:sz="6" w:space="0" w:color="000000"/>
            </w:tcBorders>
            <w:hideMark/>
          </w:tcPr>
          <w:p w14:paraId="27F4CBC6" w14:textId="77777777" w:rsidR="005633B8" w:rsidRPr="00C14E42" w:rsidRDefault="005633B8" w:rsidP="005633B8">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1 - 2 administrări, de preferat la 8 - 12 ore interval între ele</w:t>
            </w:r>
          </w:p>
        </w:tc>
        <w:tc>
          <w:tcPr>
            <w:tcW w:w="2956" w:type="dxa"/>
            <w:tcBorders>
              <w:top w:val="single" w:sz="6" w:space="0" w:color="000000"/>
              <w:left w:val="single" w:sz="6" w:space="0" w:color="000000"/>
              <w:bottom w:val="single" w:sz="6" w:space="0" w:color="000000"/>
              <w:right w:val="single" w:sz="6" w:space="0" w:color="000000"/>
            </w:tcBorders>
            <w:hideMark/>
          </w:tcPr>
          <w:p w14:paraId="753A3C00" w14:textId="77777777" w:rsidR="005633B8" w:rsidRPr="00C14E42" w:rsidRDefault="005633B8" w:rsidP="005633B8">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Reactivări ale unor infecții: tuberculoză, hepatită cronică cu VHB, infecții herpetice</w:t>
            </w:r>
          </w:p>
          <w:p w14:paraId="561CBA5E" w14:textId="77777777" w:rsidR="005633B8" w:rsidRPr="00C14E42" w:rsidRDefault="005633B8" w:rsidP="005633B8">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lastRenderedPageBreak/>
              <w:t>Afectare hepatică până la insuficiență hepatică</w:t>
            </w:r>
          </w:p>
          <w:p w14:paraId="2726976B" w14:textId="77777777" w:rsidR="005633B8" w:rsidRPr="00C14E42" w:rsidRDefault="005633B8" w:rsidP="005633B8">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Perforație intestinală</w:t>
            </w:r>
          </w:p>
          <w:p w14:paraId="0E8BB399" w14:textId="77777777" w:rsidR="005633B8" w:rsidRPr="00C14E42" w:rsidRDefault="005633B8" w:rsidP="005633B8">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Hipercolesterolemie</w:t>
            </w:r>
          </w:p>
        </w:tc>
      </w:tr>
      <w:tr w:rsidR="00C14E42" w:rsidRPr="00C14E42" w14:paraId="51391A2B" w14:textId="77777777" w:rsidTr="005633B8">
        <w:tc>
          <w:tcPr>
            <w:tcW w:w="1753" w:type="dxa"/>
            <w:tcBorders>
              <w:top w:val="single" w:sz="6" w:space="0" w:color="000000"/>
              <w:left w:val="single" w:sz="6" w:space="0" w:color="000000"/>
              <w:bottom w:val="single" w:sz="6" w:space="0" w:color="000000"/>
              <w:right w:val="single" w:sz="6" w:space="0" w:color="000000"/>
            </w:tcBorders>
            <w:hideMark/>
          </w:tcPr>
          <w:p w14:paraId="5E440788" w14:textId="77777777" w:rsidR="005633B8" w:rsidRPr="00C14E42" w:rsidRDefault="005633B8" w:rsidP="005633B8">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lastRenderedPageBreak/>
              <w:t>Anakinra</w:t>
            </w:r>
          </w:p>
        </w:tc>
        <w:tc>
          <w:tcPr>
            <w:tcW w:w="2835" w:type="dxa"/>
            <w:tcBorders>
              <w:top w:val="single" w:sz="6" w:space="0" w:color="000000"/>
              <w:left w:val="single" w:sz="6" w:space="0" w:color="000000"/>
              <w:bottom w:val="single" w:sz="6" w:space="0" w:color="000000"/>
              <w:right w:val="single" w:sz="6" w:space="0" w:color="000000"/>
            </w:tcBorders>
            <w:hideMark/>
          </w:tcPr>
          <w:p w14:paraId="72E1D4C7" w14:textId="77777777" w:rsidR="005633B8" w:rsidRPr="00C14E42" w:rsidRDefault="005633B8" w:rsidP="005633B8">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Subcutan, 200 - 400 mg/zi inițial, apoi 100 mg/zi</w:t>
            </w:r>
          </w:p>
        </w:tc>
        <w:tc>
          <w:tcPr>
            <w:tcW w:w="2572" w:type="dxa"/>
            <w:tcBorders>
              <w:top w:val="single" w:sz="6" w:space="0" w:color="000000"/>
              <w:left w:val="single" w:sz="6" w:space="0" w:color="000000"/>
              <w:bottom w:val="single" w:sz="6" w:space="0" w:color="000000"/>
              <w:right w:val="single" w:sz="6" w:space="0" w:color="000000"/>
            </w:tcBorders>
            <w:hideMark/>
          </w:tcPr>
          <w:p w14:paraId="5CACD778" w14:textId="77777777" w:rsidR="005633B8" w:rsidRPr="00C14E42" w:rsidRDefault="005633B8" w:rsidP="005633B8">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7 - 10 zile</w:t>
            </w:r>
          </w:p>
        </w:tc>
        <w:tc>
          <w:tcPr>
            <w:tcW w:w="2956" w:type="dxa"/>
            <w:tcBorders>
              <w:top w:val="single" w:sz="6" w:space="0" w:color="000000"/>
              <w:left w:val="single" w:sz="6" w:space="0" w:color="000000"/>
              <w:bottom w:val="single" w:sz="6" w:space="0" w:color="000000"/>
              <w:right w:val="single" w:sz="6" w:space="0" w:color="000000"/>
            </w:tcBorders>
            <w:hideMark/>
          </w:tcPr>
          <w:p w14:paraId="6DD2F620" w14:textId="77777777" w:rsidR="005633B8" w:rsidRPr="00C14E42" w:rsidRDefault="005633B8" w:rsidP="005633B8">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Afectare hepatică</w:t>
            </w:r>
          </w:p>
        </w:tc>
      </w:tr>
      <w:tr w:rsidR="005633B8" w:rsidRPr="00C14E42" w14:paraId="29F40625" w14:textId="77777777" w:rsidTr="005633B8">
        <w:tc>
          <w:tcPr>
            <w:tcW w:w="1753" w:type="dxa"/>
            <w:tcBorders>
              <w:top w:val="single" w:sz="6" w:space="0" w:color="000000"/>
              <w:left w:val="single" w:sz="6" w:space="0" w:color="000000"/>
              <w:bottom w:val="single" w:sz="6" w:space="0" w:color="000000"/>
              <w:right w:val="single" w:sz="6" w:space="0" w:color="000000"/>
            </w:tcBorders>
            <w:hideMark/>
          </w:tcPr>
          <w:p w14:paraId="16ADB6DF" w14:textId="77777777" w:rsidR="005633B8" w:rsidRPr="00C14E42" w:rsidRDefault="005633B8" w:rsidP="005633B8">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În curs de evaluare cu rezultate preliminare favorabile</w:t>
            </w:r>
          </w:p>
        </w:tc>
        <w:tc>
          <w:tcPr>
            <w:tcW w:w="8363" w:type="dxa"/>
            <w:gridSpan w:val="3"/>
            <w:tcBorders>
              <w:top w:val="single" w:sz="6" w:space="0" w:color="000000"/>
              <w:left w:val="single" w:sz="6" w:space="0" w:color="000000"/>
              <w:bottom w:val="single" w:sz="6" w:space="0" w:color="000000"/>
              <w:right w:val="single" w:sz="6" w:space="0" w:color="000000"/>
            </w:tcBorders>
            <w:hideMark/>
          </w:tcPr>
          <w:p w14:paraId="214D34EC" w14:textId="77777777" w:rsidR="005633B8" w:rsidRPr="00C14E42" w:rsidRDefault="005633B8" w:rsidP="005633B8">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Baricitinib, siltuximab,</w:t>
            </w:r>
            <w:r w:rsidRPr="00C14E42">
              <w:rPr>
                <w:rFonts w:ascii="Times New Roman" w:eastAsia="Times New Roman" w:hAnsi="Times New Roman" w:cs="Times New Roman"/>
                <w:sz w:val="20"/>
                <w:szCs w:val="20"/>
                <w:lang w:eastAsia="ro-RO"/>
              </w:rPr>
              <w:t xml:space="preserve"> sarilumab, fluvoxamină</w:t>
            </w:r>
          </w:p>
        </w:tc>
      </w:tr>
    </w:tbl>
    <w:p w14:paraId="59E813FB" w14:textId="77777777" w:rsidR="005633B8" w:rsidRPr="00C14E42" w:rsidRDefault="005633B8" w:rsidP="005633B8">
      <w:pPr>
        <w:spacing w:after="0" w:line="240" w:lineRule="auto"/>
        <w:ind w:right="72"/>
        <w:jc w:val="both"/>
        <w:rPr>
          <w:rFonts w:ascii="Times New Roman" w:eastAsia="Times New Roman" w:hAnsi="Times New Roman" w:cs="Times New Roman"/>
          <w:sz w:val="24"/>
          <w:szCs w:val="24"/>
          <w:bdr w:val="none" w:sz="0" w:space="0" w:color="auto" w:frame="1"/>
          <w:shd w:val="clear" w:color="auto" w:fill="FFFFFF"/>
        </w:rPr>
      </w:pPr>
    </w:p>
    <w:p w14:paraId="2744B0DB" w14:textId="77777777" w:rsidR="005633B8" w:rsidRPr="00C14E42" w:rsidRDefault="00022853" w:rsidP="00022853">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B.3.</w:t>
      </w:r>
      <w:r w:rsidRPr="00C14E42">
        <w:rPr>
          <w:rFonts w:ascii="Times New Roman" w:eastAsia="Times New Roman" w:hAnsi="Times New Roman" w:cs="Times New Roman"/>
          <w:b/>
          <w:sz w:val="24"/>
          <w:szCs w:val="24"/>
          <w:bdr w:val="dotted" w:sz="6" w:space="0" w:color="FEFEFE" w:frame="1"/>
          <w:shd w:val="clear" w:color="auto" w:fill="FFFFFF"/>
        </w:rPr>
        <w:t> </w:t>
      </w:r>
      <w:r w:rsidRPr="00C14E42">
        <w:rPr>
          <w:rFonts w:ascii="Times New Roman" w:eastAsia="Times New Roman" w:hAnsi="Times New Roman" w:cs="Times New Roman"/>
          <w:b/>
          <w:sz w:val="24"/>
          <w:szCs w:val="24"/>
          <w:bdr w:val="none" w:sz="0" w:space="0" w:color="auto" w:frame="1"/>
          <w:shd w:val="clear" w:color="auto" w:fill="FFFFFF"/>
        </w:rPr>
        <w:t>Managementul coagulopatiei</w:t>
      </w:r>
    </w:p>
    <w:p w14:paraId="18759D76" w14:textId="77777777" w:rsidR="005633B8" w:rsidRPr="00C14E42" w:rsidRDefault="005633B8"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43CDF546" w14:textId="77777777" w:rsidR="005633B8"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u w:val="single"/>
          <w:bdr w:val="none" w:sz="0" w:space="0" w:color="auto" w:frame="1"/>
          <w:shd w:val="clear" w:color="auto" w:fill="FFFFFF"/>
        </w:rPr>
        <w:t>Abrevieri</w:t>
      </w:r>
      <w:r w:rsidRPr="00C14E42">
        <w:rPr>
          <w:rFonts w:ascii="Times New Roman" w:eastAsia="Times New Roman" w:hAnsi="Times New Roman" w:cs="Times New Roman"/>
          <w:sz w:val="24"/>
          <w:szCs w:val="24"/>
          <w:bdr w:val="none" w:sz="0" w:space="0" w:color="auto" w:frame="1"/>
          <w:shd w:val="clear" w:color="auto" w:fill="FFFFFF"/>
        </w:rPr>
        <w:t xml:space="preserve">: </w:t>
      </w:r>
    </w:p>
    <w:p w14:paraId="7E76E7B8" w14:textId="77777777" w:rsidR="005633B8"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 xml:space="preserve">TEV = trombembolism venos; </w:t>
      </w:r>
    </w:p>
    <w:p w14:paraId="6A4DF212" w14:textId="77777777" w:rsidR="005633B8"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 xml:space="preserve">TVP = tromboză venoasă profundă; </w:t>
      </w:r>
    </w:p>
    <w:p w14:paraId="53D5A5D3" w14:textId="77777777" w:rsidR="005633B8"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 xml:space="preserve">HGMM = heparină cu greutate moleculară mică; </w:t>
      </w:r>
    </w:p>
    <w:p w14:paraId="3FDA1396" w14:textId="77777777" w:rsidR="005633B8"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 xml:space="preserve">NOAC = anticoagulante orale non-antivitamine K; </w:t>
      </w:r>
    </w:p>
    <w:p w14:paraId="732669B1" w14:textId="2C2E49A5" w:rsidR="005633B8"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ClCr = clearance creatinină.</w:t>
      </w:r>
    </w:p>
    <w:p w14:paraId="70D9B35F" w14:textId="77777777" w:rsidR="005633B8" w:rsidRPr="00C14E42" w:rsidRDefault="005633B8"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6AC32FDB" w14:textId="77777777" w:rsidR="005633B8" w:rsidRPr="00C14E42" w:rsidRDefault="00022853" w:rsidP="00022853">
      <w:pPr>
        <w:spacing w:after="0" w:line="240" w:lineRule="auto"/>
        <w:ind w:left="72" w:right="72"/>
        <w:jc w:val="both"/>
        <w:rPr>
          <w:rFonts w:ascii="Times New Roman" w:eastAsia="Times New Roman" w:hAnsi="Times New Roman" w:cs="Times New Roman"/>
          <w:b/>
          <w:sz w:val="24"/>
          <w:szCs w:val="24"/>
          <w:u w:val="single"/>
          <w:bdr w:val="none" w:sz="0" w:space="0" w:color="auto" w:frame="1"/>
          <w:shd w:val="clear" w:color="auto" w:fill="FFFFFF"/>
        </w:rPr>
      </w:pPr>
      <w:r w:rsidRPr="00C14E42">
        <w:rPr>
          <w:rFonts w:ascii="Times New Roman" w:eastAsia="Times New Roman" w:hAnsi="Times New Roman" w:cs="Times New Roman"/>
          <w:b/>
          <w:sz w:val="24"/>
          <w:szCs w:val="24"/>
          <w:u w:val="single"/>
          <w:bdr w:val="none" w:sz="0" w:space="0" w:color="auto" w:frame="1"/>
          <w:shd w:val="clear" w:color="auto" w:fill="FFFFFF"/>
        </w:rPr>
        <w:t>Teste de laborator</w:t>
      </w:r>
    </w:p>
    <w:p w14:paraId="5BE2E4BA" w14:textId="51652404" w:rsidR="005633B8"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La pacienții nespitalizați nu există argumente pentru valoarea predictivă a markerilor de coagulare (inclusiv D-dimeri, timp de protrombină, fibrinogen, număr trombocite), motiv pentru care aceș</w:t>
      </w:r>
      <w:r w:rsidR="005633B8" w:rsidRPr="00C14E42">
        <w:rPr>
          <w:rFonts w:ascii="Times New Roman" w:eastAsia="Times New Roman" w:hAnsi="Times New Roman" w:cs="Times New Roman"/>
          <w:sz w:val="24"/>
          <w:szCs w:val="24"/>
          <w:bdr w:val="none" w:sz="0" w:space="0" w:color="auto" w:frame="1"/>
          <w:shd w:val="clear" w:color="auto" w:fill="FFFFFF"/>
        </w:rPr>
        <w:t>tia nu trebuie dozați de rutină</w:t>
      </w:r>
    </w:p>
    <w:p w14:paraId="61F24E77" w14:textId="77777777" w:rsidR="009065A8" w:rsidRPr="00C14E42" w:rsidRDefault="009065A8"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4B12A192" w14:textId="5EFE6EEC" w:rsidR="005633B8"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La pacienții spitalizați se determină de rutină parametrii hematologici și de coagulare (inclusiv D-dimeri, timp de protrombină, fibrinogen, număr trombocite).</w:t>
      </w:r>
    </w:p>
    <w:p w14:paraId="0F89807D" w14:textId="77777777" w:rsidR="009065A8" w:rsidRPr="00C14E42" w:rsidRDefault="009065A8"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2912FBB4" w14:textId="77777777" w:rsidR="009065A8" w:rsidRPr="00C14E42" w:rsidRDefault="009065A8"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7030410C" w14:textId="030C724C" w:rsidR="005633B8"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Titrul hsTn se corelează mai probabil cu un răspuns cardiac inflamator decât eveniment coronarian, motiv pentru care interpretarea rezultatului trebuie făcută în contextul clinic.</w:t>
      </w:r>
    </w:p>
    <w:p w14:paraId="69B0CD23" w14:textId="77777777" w:rsidR="009065A8" w:rsidRPr="00C14E42" w:rsidRDefault="009065A8"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520A4057" w14:textId="66E7E7B4" w:rsidR="005633B8"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Monitorizarea ECG și repetarea biomarkerilor cardiaci (hsTn, BNP) zilnică sunt indicate la pacienți cu suspiciune de afectare miocardică, din cauza probabilității de modificări în dinamică.</w:t>
      </w:r>
    </w:p>
    <w:p w14:paraId="08F921C4" w14:textId="77777777" w:rsidR="005633B8" w:rsidRPr="00C14E42" w:rsidRDefault="005633B8"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58912183" w14:textId="77777777" w:rsidR="005633B8" w:rsidRPr="00C14E42" w:rsidRDefault="00022853" w:rsidP="00022853">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r w:rsidRPr="00C14E42">
        <w:rPr>
          <w:rFonts w:ascii="Times New Roman" w:eastAsia="Times New Roman" w:hAnsi="Times New Roman" w:cs="Times New Roman"/>
          <w:b/>
          <w:sz w:val="24"/>
          <w:szCs w:val="24"/>
          <w:bdr w:val="none" w:sz="0" w:space="0" w:color="auto" w:frame="1"/>
          <w:shd w:val="clear" w:color="auto" w:fill="FFFFFF"/>
        </w:rPr>
        <w:t>Terapia cronică anticoagulantă/antiplachetară</w:t>
      </w:r>
    </w:p>
    <w:p w14:paraId="1695C479" w14:textId="77777777" w:rsidR="005633B8"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Toți pacienții care primesc o astfel de terapie pentru condiții preexistente o vor primi în continuare, inclusiv în situația în care aceste condiții sunt depistate cu ocazia infecției cu COVID-19.</w:t>
      </w:r>
    </w:p>
    <w:p w14:paraId="12595794" w14:textId="77777777" w:rsidR="005633B8" w:rsidRPr="00C14E42" w:rsidRDefault="005633B8"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5F3FEC60" w14:textId="77777777" w:rsidR="0081696A"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La pacienții stabili cu indicație prealabilă de anticoagulare cu AVK pentru fibrilație atrială nonvalvulară sau TVP/TEV, dar la care nu se poate menține INR în intervalul terapeutic, se recomandă înlocuirea cu un NOAC, cu respectarea indicațiilor, contraindicațiilor, dozelor recomandate și cu verificarea interacțiunilor medicamentoase (tabelul B3-1).</w:t>
      </w:r>
    </w:p>
    <w:p w14:paraId="42B9D08F" w14:textId="77777777" w:rsidR="00C14E42" w:rsidRPr="00C14E42" w:rsidRDefault="00C14E42" w:rsidP="001F7E60">
      <w:pPr>
        <w:spacing w:after="0" w:line="240" w:lineRule="auto"/>
        <w:ind w:right="72"/>
        <w:jc w:val="both"/>
        <w:rPr>
          <w:rFonts w:ascii="Times New Roman" w:eastAsia="Times New Roman" w:hAnsi="Times New Roman" w:cs="Times New Roman"/>
          <w:b/>
          <w:sz w:val="24"/>
          <w:szCs w:val="24"/>
          <w:bdr w:val="none" w:sz="0" w:space="0" w:color="auto" w:frame="1"/>
          <w:shd w:val="clear" w:color="auto" w:fill="FFFFFF"/>
        </w:rPr>
      </w:pPr>
    </w:p>
    <w:p w14:paraId="0511A2AB" w14:textId="77777777" w:rsidR="0081696A" w:rsidRPr="00C14E42" w:rsidRDefault="00022853" w:rsidP="00022853">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r w:rsidRPr="00C14E42">
        <w:rPr>
          <w:rFonts w:ascii="Times New Roman" w:eastAsia="Times New Roman" w:hAnsi="Times New Roman" w:cs="Times New Roman"/>
          <w:b/>
          <w:sz w:val="24"/>
          <w:szCs w:val="24"/>
          <w:bdr w:val="none" w:sz="0" w:space="0" w:color="auto" w:frame="1"/>
          <w:shd w:val="clear" w:color="auto" w:fill="FFFFFF"/>
        </w:rPr>
        <w:t>Screening și profilaxie pentru tromboembolismul venos (TEV)</w:t>
      </w:r>
    </w:p>
    <w:p w14:paraId="1A32631B" w14:textId="7E5E11A9" w:rsidR="009065A8" w:rsidRPr="00C14E42" w:rsidRDefault="00022853" w:rsidP="00C14E42">
      <w:pPr>
        <w:pStyle w:val="ListParagraph"/>
        <w:numPr>
          <w:ilvl w:val="0"/>
          <w:numId w:val="20"/>
        </w:numPr>
        <w:tabs>
          <w:tab w:val="left" w:pos="540"/>
        </w:tabs>
        <w:spacing w:after="0" w:line="240" w:lineRule="auto"/>
        <w:ind w:left="450"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Nu se recomandă terapie</w:t>
      </w:r>
      <w:r w:rsidR="009065A8" w:rsidRPr="00C14E42">
        <w:rPr>
          <w:rFonts w:ascii="Times New Roman" w:eastAsia="Times New Roman" w:hAnsi="Times New Roman" w:cs="Times New Roman"/>
          <w:sz w:val="24"/>
          <w:szCs w:val="24"/>
          <w:bdr w:val="none" w:sz="0" w:space="0" w:color="auto" w:frame="1"/>
          <w:shd w:val="clear" w:color="auto" w:fill="FFFFFF"/>
        </w:rPr>
        <w:t xml:space="preserve"> antitrombotică (anticoagulant/</w:t>
      </w:r>
      <w:r w:rsidRPr="00C14E42">
        <w:rPr>
          <w:rFonts w:ascii="Times New Roman" w:eastAsia="Times New Roman" w:hAnsi="Times New Roman" w:cs="Times New Roman"/>
          <w:sz w:val="24"/>
          <w:szCs w:val="24"/>
          <w:bdr w:val="none" w:sz="0" w:space="0" w:color="auto" w:frame="1"/>
          <w:shd w:val="clear" w:color="auto" w:fill="FFFFFF"/>
        </w:rPr>
        <w:t>antiplachetar) de prevenție a tromboembolismului venos sau arterial la pacienții nespitalizați, cu forme ușoare de COVID-19 fără necesar de oxigen, în lipsa altor indicații pentru această terapie.</w:t>
      </w:r>
    </w:p>
    <w:p w14:paraId="1E6DEABF" w14:textId="25DA8F70" w:rsidR="009065A8" w:rsidRPr="00C14E42" w:rsidRDefault="00022853" w:rsidP="00C14E42">
      <w:pPr>
        <w:pStyle w:val="ListParagraph"/>
        <w:numPr>
          <w:ilvl w:val="0"/>
          <w:numId w:val="20"/>
        </w:numPr>
        <w:tabs>
          <w:tab w:val="left" w:pos="540"/>
        </w:tabs>
        <w:spacing w:after="0" w:line="240" w:lineRule="auto"/>
        <w:ind w:left="450"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Pacienții spitalizați pentru COVID-19, în absența unei contraindicații majore (sângerare activă, sângerare majoră în ultimele 24-48 de ore, trombocitopenie severă &lt; 50.000/cmc), vor primi terapie anticoagulantă profilactică cu HGMM (sau heparină nefracționată în cazul unui Cl creatinină &lt; 15 ml/min sau al pacienților dializați); Femeile gravide au protocol separat (a se vedea mai departe).</w:t>
      </w:r>
    </w:p>
    <w:p w14:paraId="1603323E" w14:textId="43F2849A" w:rsidR="009065A8" w:rsidRPr="00C14E42" w:rsidRDefault="00022853" w:rsidP="00C14E42">
      <w:pPr>
        <w:pStyle w:val="ListParagraph"/>
        <w:numPr>
          <w:ilvl w:val="0"/>
          <w:numId w:val="20"/>
        </w:numPr>
        <w:tabs>
          <w:tab w:val="left" w:pos="540"/>
        </w:tabs>
        <w:spacing w:after="0" w:line="240" w:lineRule="auto"/>
        <w:ind w:left="450"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Această terapie va fi aplicată cât mai precoce după spitalizarea pacientului.</w:t>
      </w:r>
    </w:p>
    <w:p w14:paraId="75307CEE" w14:textId="61440EE0" w:rsidR="009065A8" w:rsidRPr="00C14E42" w:rsidRDefault="00022853" w:rsidP="00C14E42">
      <w:pPr>
        <w:pStyle w:val="ListParagraph"/>
        <w:numPr>
          <w:ilvl w:val="0"/>
          <w:numId w:val="20"/>
        </w:numPr>
        <w:tabs>
          <w:tab w:val="left" w:pos="540"/>
        </w:tabs>
        <w:spacing w:after="0" w:line="240" w:lineRule="auto"/>
        <w:ind w:left="450"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 xml:space="preserve">Administrarea profilaxiei </w:t>
      </w:r>
      <w:r w:rsidRPr="00C14E42">
        <w:rPr>
          <w:rFonts w:ascii="Times New Roman" w:eastAsia="Times New Roman" w:hAnsi="Times New Roman" w:cs="Times New Roman"/>
          <w:b/>
          <w:sz w:val="24"/>
          <w:szCs w:val="24"/>
          <w:bdr w:val="none" w:sz="0" w:space="0" w:color="auto" w:frame="1"/>
          <w:shd w:val="clear" w:color="auto" w:fill="FFFFFF"/>
        </w:rPr>
        <w:t xml:space="preserve">NU </w:t>
      </w:r>
      <w:r w:rsidRPr="00C14E42">
        <w:rPr>
          <w:rFonts w:ascii="Times New Roman" w:eastAsia="Times New Roman" w:hAnsi="Times New Roman" w:cs="Times New Roman"/>
          <w:sz w:val="24"/>
          <w:szCs w:val="24"/>
          <w:bdr w:val="none" w:sz="0" w:space="0" w:color="auto" w:frame="1"/>
          <w:shd w:val="clear" w:color="auto" w:fill="FFFFFF"/>
        </w:rPr>
        <w:t>va fi gestionată exclusiv după nivelul D-dimer, fără evoluția clinică.</w:t>
      </w:r>
    </w:p>
    <w:p w14:paraId="16CF8D6A" w14:textId="69D2DB68" w:rsidR="009065A8" w:rsidRPr="00C14E42" w:rsidRDefault="00022853" w:rsidP="00C14E42">
      <w:pPr>
        <w:pStyle w:val="ListParagraph"/>
        <w:numPr>
          <w:ilvl w:val="0"/>
          <w:numId w:val="20"/>
        </w:numPr>
        <w:tabs>
          <w:tab w:val="left" w:pos="540"/>
        </w:tabs>
        <w:spacing w:after="0" w:line="240" w:lineRule="auto"/>
        <w:ind w:left="450" w:right="72"/>
        <w:jc w:val="both"/>
        <w:rPr>
          <w:rFonts w:ascii="Times New Roman" w:eastAsia="Times New Roman" w:hAnsi="Times New Roman" w:cs="Times New Roman"/>
          <w:b/>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 xml:space="preserve">Nu se va administra terapie profilactică pentru embolia arterială </w:t>
      </w:r>
      <w:r w:rsidRPr="00C14E42">
        <w:rPr>
          <w:rFonts w:ascii="Times New Roman" w:eastAsia="Times New Roman" w:hAnsi="Times New Roman" w:cs="Times New Roman"/>
          <w:b/>
          <w:sz w:val="24"/>
          <w:szCs w:val="24"/>
          <w:bdr w:val="none" w:sz="0" w:space="0" w:color="auto" w:frame="1"/>
          <w:shd w:val="clear" w:color="auto" w:fill="FFFFFF"/>
        </w:rPr>
        <w:t>în afara indicațiilor standard pentru pacienți non-COVID.</w:t>
      </w:r>
    </w:p>
    <w:p w14:paraId="2AFB3FA4" w14:textId="59B7D470" w:rsidR="009065A8" w:rsidRPr="00C14E42" w:rsidRDefault="00022853" w:rsidP="00C14E42">
      <w:pPr>
        <w:pStyle w:val="ListParagraph"/>
        <w:numPr>
          <w:ilvl w:val="0"/>
          <w:numId w:val="20"/>
        </w:numPr>
        <w:tabs>
          <w:tab w:val="left" w:pos="540"/>
        </w:tabs>
        <w:spacing w:after="0" w:line="240" w:lineRule="auto"/>
        <w:ind w:left="450"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lastRenderedPageBreak/>
        <w:t>Pentru profilaxia TVP/TEP la pacientul cu COVID-19, nu se recomandă anticoagularea cu dozele terapeutice.</w:t>
      </w:r>
    </w:p>
    <w:p w14:paraId="63AFD44D" w14:textId="1B8B4C53" w:rsidR="009065A8" w:rsidRPr="00C14E42" w:rsidRDefault="00022853" w:rsidP="00C14E42">
      <w:pPr>
        <w:pStyle w:val="ListParagraph"/>
        <w:numPr>
          <w:ilvl w:val="0"/>
          <w:numId w:val="20"/>
        </w:numPr>
        <w:tabs>
          <w:tab w:val="left" w:pos="540"/>
        </w:tabs>
        <w:spacing w:after="0" w:line="240" w:lineRule="auto"/>
        <w:ind w:left="450"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 xml:space="preserve">Pacienții spitalizați pentru COVID-19 </w:t>
      </w:r>
      <w:r w:rsidRPr="00C14E42">
        <w:rPr>
          <w:rFonts w:ascii="Times New Roman" w:eastAsia="Times New Roman" w:hAnsi="Times New Roman" w:cs="Times New Roman"/>
          <w:b/>
          <w:sz w:val="24"/>
          <w:szCs w:val="24"/>
          <w:bdr w:val="none" w:sz="0" w:space="0" w:color="auto" w:frame="1"/>
          <w:shd w:val="clear" w:color="auto" w:fill="FFFFFF"/>
        </w:rPr>
        <w:t>nu vor fi externați cu recomandarea de rutină de terapie anticoagulantă profilactică la domiciliu</w:t>
      </w:r>
      <w:r w:rsidRPr="00C14E42">
        <w:rPr>
          <w:rFonts w:ascii="Times New Roman" w:eastAsia="Times New Roman" w:hAnsi="Times New Roman" w:cs="Times New Roman"/>
          <w:sz w:val="24"/>
          <w:szCs w:val="24"/>
          <w:bdr w:val="none" w:sz="0" w:space="0" w:color="auto" w:frame="1"/>
          <w:shd w:val="clear" w:color="auto" w:fill="FFFFFF"/>
        </w:rPr>
        <w:t>, cu excepția pacienților cu risc mare de tromboză și risc mic de sângerare, reprezentat de (tabelul B3-3):</w:t>
      </w:r>
    </w:p>
    <w:p w14:paraId="57CBE8DD" w14:textId="47C8E2F1" w:rsidR="009065A8" w:rsidRPr="00C14E42" w:rsidRDefault="00022853" w:rsidP="00C14E42">
      <w:pPr>
        <w:pStyle w:val="ListParagraph"/>
        <w:numPr>
          <w:ilvl w:val="2"/>
          <w:numId w:val="22"/>
        </w:numPr>
        <w:tabs>
          <w:tab w:val="left" w:pos="540"/>
        </w:tabs>
        <w:spacing w:after="0" w:line="240" w:lineRule="auto"/>
        <w:ind w:left="720" w:right="72" w:hanging="270"/>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scor IMPROVE-VTE ≥ 4;</w:t>
      </w:r>
    </w:p>
    <w:p w14:paraId="60FB4604" w14:textId="15A5F009" w:rsidR="009065A8" w:rsidRPr="00C14E42" w:rsidRDefault="00022853" w:rsidP="00C14E42">
      <w:pPr>
        <w:pStyle w:val="ListParagraph"/>
        <w:numPr>
          <w:ilvl w:val="2"/>
          <w:numId w:val="22"/>
        </w:numPr>
        <w:tabs>
          <w:tab w:val="left" w:pos="540"/>
        </w:tabs>
        <w:spacing w:after="0" w:line="240" w:lineRule="auto"/>
        <w:ind w:left="720" w:right="72" w:hanging="270"/>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scor IMPROVE-VTE ≥ 2 și D-dimer &gt; 2 x limita superioară a normalului la internare.</w:t>
      </w:r>
    </w:p>
    <w:p w14:paraId="5413415D" w14:textId="22B9FA52" w:rsidR="009065A8" w:rsidRPr="00C14E42" w:rsidRDefault="00022853" w:rsidP="00C14E42">
      <w:pPr>
        <w:pStyle w:val="ListParagraph"/>
        <w:tabs>
          <w:tab w:val="left" w:pos="540"/>
        </w:tabs>
        <w:spacing w:after="0" w:line="240" w:lineRule="auto"/>
        <w:ind w:left="450"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În această situație se recomandă administrarea de enoxaparină 40 mg s.c. o dată/zi, dalteparină 5000 UI s.c. o dată/zi; sunt în evaluare utilizarea NOAC pentru aceste indicații; durata terapiei după externare este de maximum 40 de zile.</w:t>
      </w:r>
    </w:p>
    <w:p w14:paraId="63DE8AE3" w14:textId="60FA24E9" w:rsidR="009065A8" w:rsidRPr="00C14E42" w:rsidRDefault="00022853" w:rsidP="00C14E42">
      <w:pPr>
        <w:pStyle w:val="ListParagraph"/>
        <w:numPr>
          <w:ilvl w:val="0"/>
          <w:numId w:val="20"/>
        </w:numPr>
        <w:tabs>
          <w:tab w:val="left" w:pos="540"/>
        </w:tabs>
        <w:spacing w:after="0" w:line="240" w:lineRule="auto"/>
        <w:ind w:left="450"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Nu există suficiente argumente pentru screeningul de rutină al TVP, indiferent de valoarea markerilor trombotici, în absența semnelor sau simptomelor de TEV.</w:t>
      </w:r>
    </w:p>
    <w:p w14:paraId="73865B87" w14:textId="374AD42D" w:rsidR="009065A8" w:rsidRPr="00C14E42" w:rsidRDefault="00022853" w:rsidP="00C14E42">
      <w:pPr>
        <w:pStyle w:val="ListParagraph"/>
        <w:numPr>
          <w:ilvl w:val="0"/>
          <w:numId w:val="20"/>
        </w:numPr>
        <w:tabs>
          <w:tab w:val="left" w:pos="540"/>
        </w:tabs>
        <w:spacing w:after="0" w:line="240" w:lineRule="auto"/>
        <w:ind w:left="450"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Evaluarea posibilității de afectare tromboembolică trebuie considerată la orice pacient cu deteriorare rapidă cardiacă, pulmonară sau neurologică și în cazul unor semne acute, localizate de hipoperfuzie periferică.</w:t>
      </w:r>
    </w:p>
    <w:p w14:paraId="29B6B5EE" w14:textId="0323D960" w:rsidR="009065A8" w:rsidRPr="00C14E42" w:rsidRDefault="00022853" w:rsidP="00C14E42">
      <w:pPr>
        <w:pStyle w:val="ListParagraph"/>
        <w:numPr>
          <w:ilvl w:val="0"/>
          <w:numId w:val="20"/>
        </w:numPr>
        <w:tabs>
          <w:tab w:val="left" w:pos="540"/>
        </w:tabs>
        <w:spacing w:after="0" w:line="240" w:lineRule="auto"/>
        <w:ind w:left="450"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În cazul pacienților cu trombocitopenie heparin-indusă poate fi utilizată fondaparina.</w:t>
      </w:r>
    </w:p>
    <w:p w14:paraId="4421132F" w14:textId="2B44D413" w:rsidR="009065A8" w:rsidRPr="00C14E42" w:rsidRDefault="00022853" w:rsidP="00C14E42">
      <w:pPr>
        <w:pStyle w:val="ListParagraph"/>
        <w:numPr>
          <w:ilvl w:val="0"/>
          <w:numId w:val="20"/>
        </w:numPr>
        <w:tabs>
          <w:tab w:val="left" w:pos="540"/>
        </w:tabs>
        <w:spacing w:after="0" w:line="240" w:lineRule="auto"/>
        <w:ind w:left="450"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La pacienți cu contraindicații ferme de anticoagulare se vor folosi mijloace mecanice de profilaxie de compresie (ciorapi cu compresie gradată etc.).</w:t>
      </w:r>
    </w:p>
    <w:p w14:paraId="7DF84261" w14:textId="77777777" w:rsidR="009065A8" w:rsidRPr="00C14E42" w:rsidRDefault="009065A8"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38178324" w14:textId="77777777" w:rsidR="009065A8"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sz w:val="24"/>
          <w:szCs w:val="24"/>
          <w:bdr w:val="none" w:sz="0" w:space="0" w:color="auto" w:frame="1"/>
          <w:shd w:val="clear" w:color="auto" w:fill="FFFFFF"/>
        </w:rPr>
        <w:t>Copiii spitalizați pentru COVID-19</w:t>
      </w:r>
    </w:p>
    <w:p w14:paraId="616E2647" w14:textId="790ED850" w:rsidR="009065A8"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Pentru copiii spitalizați cu COVID-19 indicațiile și modalitățile (medicație, doze) de profilaxie antitrombotică vor fi stabilite în baza consultului medicului de specialitate.</w:t>
      </w:r>
    </w:p>
    <w:p w14:paraId="6C9B6AF2" w14:textId="77777777" w:rsidR="009065A8" w:rsidRPr="00C14E42" w:rsidRDefault="009065A8"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1E269099" w14:textId="77777777" w:rsidR="009065A8" w:rsidRPr="00C14E42" w:rsidRDefault="00022853" w:rsidP="00022853">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r w:rsidRPr="00C14E42">
        <w:rPr>
          <w:rFonts w:ascii="Times New Roman" w:eastAsia="Times New Roman" w:hAnsi="Times New Roman" w:cs="Times New Roman"/>
          <w:b/>
          <w:sz w:val="24"/>
          <w:szCs w:val="24"/>
          <w:bdr w:val="none" w:sz="0" w:space="0" w:color="auto" w:frame="1"/>
          <w:shd w:val="clear" w:color="auto" w:fill="FFFFFF"/>
        </w:rPr>
        <w:t>Doza terapeutică de anticoagulant</w:t>
      </w:r>
    </w:p>
    <w:p w14:paraId="19589CD3" w14:textId="4A56BDBF" w:rsidR="009065A8" w:rsidRPr="00C14E42" w:rsidRDefault="00022853" w:rsidP="009065A8">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a)</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bdr w:val="none" w:sz="0" w:space="0" w:color="auto" w:frame="1"/>
          <w:shd w:val="clear" w:color="auto" w:fill="FFFFFF"/>
        </w:rPr>
        <w:t>Pacienții COVID-19 care suferă o complicație tromboembolică sau au o suspiciune înaltă pentru o asemenea complicație vor fi tratați cu doza terapeutică de anticoagulant, conform protocoalelor pentru pacienții non-COVID (tabelul B3-2).</w:t>
      </w:r>
    </w:p>
    <w:p w14:paraId="625126A8" w14:textId="77777777" w:rsidR="00B07ADA"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b)</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bdr w:val="none" w:sz="0" w:space="0" w:color="auto" w:frame="1"/>
          <w:shd w:val="clear" w:color="auto" w:fill="FFFFFF"/>
        </w:rPr>
        <w:t>Pacienții care au nevoie de ECMO, terapie continuă de substituție renală sau care au tromboze de cateter sau filtre extracorporeale vor fi tratați cu doza terapeutică de anticoagulant conform ghidurilor pentru pacienții non-COVID.</w:t>
      </w:r>
    </w:p>
    <w:p w14:paraId="7784F98E" w14:textId="5E44E773" w:rsidR="009065A8"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c)</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bdr w:val="none" w:sz="0" w:space="0" w:color="auto" w:frame="1"/>
          <w:shd w:val="clear" w:color="auto" w:fill="FFFFFF"/>
        </w:rPr>
        <w:t>Tratamentul trombolitic în cazul TEV va fi administrat cu indicațiile, preparatele și dozele folosite în cazul pacienților non-COVID.</w:t>
      </w:r>
    </w:p>
    <w:p w14:paraId="55B63687" w14:textId="77777777" w:rsidR="009065A8" w:rsidRPr="00C14E42" w:rsidRDefault="009065A8"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7CBA2705" w14:textId="77777777" w:rsidR="009065A8" w:rsidRPr="00C14E42" w:rsidRDefault="00022853" w:rsidP="00022853">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r w:rsidRPr="00C14E42">
        <w:rPr>
          <w:rFonts w:ascii="Times New Roman" w:eastAsia="Times New Roman" w:hAnsi="Times New Roman" w:cs="Times New Roman"/>
          <w:b/>
          <w:sz w:val="24"/>
          <w:szCs w:val="24"/>
          <w:bdr w:val="none" w:sz="0" w:space="0" w:color="auto" w:frame="1"/>
          <w:shd w:val="clear" w:color="auto" w:fill="FFFFFF"/>
        </w:rPr>
        <w:t>Recomandări pentru gravide sau femei care alăptează</w:t>
      </w:r>
    </w:p>
    <w:p w14:paraId="6C1EB790" w14:textId="27232D05" w:rsidR="009065A8" w:rsidRPr="00C14E42" w:rsidRDefault="00022853" w:rsidP="00C14E42">
      <w:pPr>
        <w:pStyle w:val="ListParagraph"/>
        <w:numPr>
          <w:ilvl w:val="0"/>
          <w:numId w:val="23"/>
        </w:numPr>
        <w:spacing w:after="0" w:line="240" w:lineRule="auto"/>
        <w:ind w:left="360" w:right="72" w:hanging="270"/>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Dacă există indicații prealabile pentru terapie antitrombotică, această terapie se va continua.</w:t>
      </w:r>
    </w:p>
    <w:p w14:paraId="31124199" w14:textId="346E8D44" w:rsidR="009065A8" w:rsidRPr="00C14E42" w:rsidRDefault="00022853" w:rsidP="00C14E42">
      <w:pPr>
        <w:pStyle w:val="ListParagraph"/>
        <w:numPr>
          <w:ilvl w:val="0"/>
          <w:numId w:val="23"/>
        </w:numPr>
        <w:spacing w:after="0" w:line="240" w:lineRule="auto"/>
        <w:ind w:left="360" w:right="72" w:hanging="270"/>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Gravidele internate pentru forme severe de COVID-19 vor primi anticoagulare tromboprofilactică în absența contraindicațiilor, HGMM fiind preferate heparinei nefracționate.</w:t>
      </w:r>
    </w:p>
    <w:p w14:paraId="44F2EC2F" w14:textId="54F7429F" w:rsidR="009065A8" w:rsidRPr="00C14E42" w:rsidRDefault="00022853" w:rsidP="00C14E42">
      <w:pPr>
        <w:pStyle w:val="ListParagraph"/>
        <w:numPr>
          <w:ilvl w:val="0"/>
          <w:numId w:val="23"/>
        </w:numPr>
        <w:spacing w:after="0" w:line="240" w:lineRule="auto"/>
        <w:ind w:left="360" w:right="72" w:hanging="270"/>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Nu se recomandă continuarea de rutină a profilaxiei antitrombotice după externare.</w:t>
      </w:r>
    </w:p>
    <w:p w14:paraId="76162D35" w14:textId="721C292F" w:rsidR="009065A8" w:rsidRPr="00C14E42" w:rsidRDefault="00022853" w:rsidP="00C14E42">
      <w:pPr>
        <w:pStyle w:val="ListParagraph"/>
        <w:numPr>
          <w:ilvl w:val="0"/>
          <w:numId w:val="23"/>
        </w:numPr>
        <w:spacing w:after="0" w:line="240" w:lineRule="auto"/>
        <w:ind w:left="360" w:right="72" w:hanging="270"/>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Dozarea D-dimer are importanță limitată la gravide din cauza creșterii fiziologice în timpul perioadei de gestație.</w:t>
      </w:r>
    </w:p>
    <w:p w14:paraId="380831E8" w14:textId="0530A531" w:rsidR="009065A8" w:rsidRPr="00C14E42" w:rsidRDefault="00022853" w:rsidP="00C14E42">
      <w:pPr>
        <w:pStyle w:val="ListParagraph"/>
        <w:numPr>
          <w:ilvl w:val="0"/>
          <w:numId w:val="23"/>
        </w:numPr>
        <w:spacing w:after="0" w:line="240" w:lineRule="auto"/>
        <w:ind w:left="360" w:right="72" w:hanging="270"/>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Nu există date privind siguranța NOAC la gravide, în consecință nu se recomandă utilizarea lor.</w:t>
      </w:r>
    </w:p>
    <w:p w14:paraId="23FD9200" w14:textId="7CAD1D7A" w:rsidR="009065A8" w:rsidRPr="00C14E42" w:rsidRDefault="00022853" w:rsidP="00C14E42">
      <w:pPr>
        <w:pStyle w:val="ListParagraph"/>
        <w:numPr>
          <w:ilvl w:val="0"/>
          <w:numId w:val="23"/>
        </w:numPr>
        <w:spacing w:after="0" w:line="240" w:lineRule="auto"/>
        <w:ind w:left="360" w:right="72" w:hanging="270"/>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Utilizarea AVK este contraindicată în principal în timpul primului trimestru, din cauza riscului teratogen.</w:t>
      </w:r>
    </w:p>
    <w:p w14:paraId="37E78F35" w14:textId="789603DE" w:rsidR="009065A8" w:rsidRPr="00C14E42" w:rsidRDefault="00022853" w:rsidP="00C14E42">
      <w:pPr>
        <w:pStyle w:val="ListParagraph"/>
        <w:numPr>
          <w:ilvl w:val="0"/>
          <w:numId w:val="23"/>
        </w:numPr>
        <w:spacing w:after="0" w:line="240" w:lineRule="auto"/>
        <w:ind w:left="360" w:right="72" w:hanging="270"/>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HGMM și AVK nu se concentrează în laptele matern și pot fi utilizate la femeile care alaptează.</w:t>
      </w:r>
    </w:p>
    <w:p w14:paraId="77EE4B94" w14:textId="7C412E77" w:rsidR="00022853" w:rsidRPr="00C14E42" w:rsidRDefault="00022853" w:rsidP="00C14E42">
      <w:pPr>
        <w:pStyle w:val="ListParagraph"/>
        <w:numPr>
          <w:ilvl w:val="0"/>
          <w:numId w:val="23"/>
        </w:numPr>
        <w:spacing w:after="0" w:line="240" w:lineRule="auto"/>
        <w:ind w:left="360" w:right="72" w:hanging="270"/>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Anticoagularea în timpul travaliului la pacientele cu COVID-19 presupune protocol și planificare specială.</w:t>
      </w:r>
    </w:p>
    <w:p w14:paraId="46B1CB10" w14:textId="77777777" w:rsidR="00022853" w:rsidRPr="00C14E42" w:rsidRDefault="00022853" w:rsidP="00B07ADA">
      <w:pPr>
        <w:spacing w:after="0" w:line="240" w:lineRule="auto"/>
        <w:ind w:right="72"/>
        <w:jc w:val="both"/>
        <w:rPr>
          <w:rFonts w:ascii="Times New Roman" w:eastAsia="Times New Roman" w:hAnsi="Times New Roman" w:cs="Times New Roman"/>
          <w:sz w:val="24"/>
          <w:szCs w:val="24"/>
          <w:bdr w:val="none" w:sz="0" w:space="0" w:color="auto" w:frame="1"/>
          <w:shd w:val="clear" w:color="auto" w:fill="FFFFFF"/>
        </w:rPr>
      </w:pPr>
    </w:p>
    <w:p w14:paraId="2DC7F7AF" w14:textId="77777777" w:rsidR="00022853"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Tabel B3-1. Preparate și doze pentru NOAC în indicațiile aprobate</w:t>
      </w:r>
    </w:p>
    <w:p w14:paraId="1470209D" w14:textId="77777777" w:rsidR="00B07ADA" w:rsidRPr="00C14E42" w:rsidRDefault="00B07ADA"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tbl>
      <w:tblPr>
        <w:tblStyle w:val="TableGrid"/>
        <w:tblW w:w="10116" w:type="dxa"/>
        <w:tblInd w:w="85" w:type="dxa"/>
        <w:tblLook w:val="04A0" w:firstRow="1" w:lastRow="0" w:firstColumn="1" w:lastColumn="0" w:noHBand="0" w:noVBand="1"/>
      </w:tblPr>
      <w:tblGrid>
        <w:gridCol w:w="1585"/>
        <w:gridCol w:w="4137"/>
        <w:gridCol w:w="4394"/>
      </w:tblGrid>
      <w:tr w:rsidR="00C14E42" w:rsidRPr="00C14E42" w14:paraId="34D4E32D" w14:textId="77777777" w:rsidTr="001F7E60">
        <w:tc>
          <w:tcPr>
            <w:tcW w:w="1585" w:type="dxa"/>
          </w:tcPr>
          <w:p w14:paraId="5B57902B" w14:textId="77777777" w:rsidR="00B07ADA" w:rsidRPr="00C14E42" w:rsidRDefault="00B07ADA" w:rsidP="00182DD4">
            <w:pPr>
              <w:jc w:val="center"/>
              <w:rPr>
                <w:rFonts w:ascii="Times New Roman" w:eastAsia="Calibri Light" w:hAnsi="Times New Roman" w:cs="Times New Roman"/>
                <w:sz w:val="20"/>
                <w:szCs w:val="20"/>
              </w:rPr>
            </w:pPr>
            <w:r w:rsidRPr="00C14E42">
              <w:rPr>
                <w:rFonts w:ascii="Times New Roman" w:eastAsia="Calibri Light" w:hAnsi="Times New Roman" w:cs="Times New Roman"/>
                <w:sz w:val="20"/>
                <w:szCs w:val="20"/>
              </w:rPr>
              <w:t>Anticoagulant</w:t>
            </w:r>
          </w:p>
        </w:tc>
        <w:tc>
          <w:tcPr>
            <w:tcW w:w="4137" w:type="dxa"/>
          </w:tcPr>
          <w:p w14:paraId="4942B250" w14:textId="77777777" w:rsidR="00B07ADA" w:rsidRPr="00C14E42" w:rsidRDefault="00B07ADA" w:rsidP="00182DD4">
            <w:pPr>
              <w:jc w:val="center"/>
              <w:rPr>
                <w:rFonts w:ascii="Times New Roman" w:eastAsia="Calibri Light" w:hAnsi="Times New Roman" w:cs="Times New Roman"/>
                <w:sz w:val="20"/>
                <w:szCs w:val="20"/>
                <w:vertAlign w:val="superscript"/>
              </w:rPr>
            </w:pPr>
            <w:proofErr w:type="spellStart"/>
            <w:r w:rsidRPr="00C14E42">
              <w:rPr>
                <w:rFonts w:ascii="Times New Roman" w:eastAsia="Calibri Light" w:hAnsi="Times New Roman" w:cs="Times New Roman"/>
                <w:sz w:val="20"/>
                <w:szCs w:val="20"/>
              </w:rPr>
              <w:t>Fibrilație</w:t>
            </w:r>
            <w:proofErr w:type="spellEnd"/>
            <w:r w:rsidRPr="00C14E42">
              <w:rPr>
                <w:rFonts w:ascii="Times New Roman" w:eastAsia="Calibri Light" w:hAnsi="Times New Roman" w:cs="Times New Roman"/>
                <w:sz w:val="20"/>
                <w:szCs w:val="20"/>
              </w:rPr>
              <w:t xml:space="preserve"> </w:t>
            </w:r>
            <w:proofErr w:type="spellStart"/>
            <w:r w:rsidRPr="00C14E42">
              <w:rPr>
                <w:rFonts w:ascii="Times New Roman" w:eastAsia="Calibri Light" w:hAnsi="Times New Roman" w:cs="Times New Roman"/>
                <w:sz w:val="20"/>
                <w:szCs w:val="20"/>
              </w:rPr>
              <w:t>atrială</w:t>
            </w:r>
            <w:proofErr w:type="spellEnd"/>
          </w:p>
        </w:tc>
        <w:tc>
          <w:tcPr>
            <w:tcW w:w="4394" w:type="dxa"/>
          </w:tcPr>
          <w:p w14:paraId="1EBF8819" w14:textId="77777777" w:rsidR="00B07ADA" w:rsidRPr="00C14E42" w:rsidRDefault="00B07ADA" w:rsidP="00182DD4">
            <w:pPr>
              <w:jc w:val="center"/>
              <w:rPr>
                <w:rFonts w:ascii="Times New Roman" w:eastAsia="Calibri Light" w:hAnsi="Times New Roman" w:cs="Times New Roman"/>
                <w:sz w:val="20"/>
                <w:szCs w:val="20"/>
                <w:vertAlign w:val="superscript"/>
              </w:rPr>
            </w:pPr>
            <w:r w:rsidRPr="00C14E42">
              <w:rPr>
                <w:rFonts w:ascii="Times New Roman" w:eastAsia="Calibri Light" w:hAnsi="Times New Roman" w:cs="Times New Roman"/>
                <w:sz w:val="20"/>
                <w:szCs w:val="20"/>
              </w:rPr>
              <w:t>TVP / TEV</w:t>
            </w:r>
          </w:p>
        </w:tc>
      </w:tr>
      <w:tr w:rsidR="00C14E42" w:rsidRPr="00C14E42" w14:paraId="44C4CE6A" w14:textId="77777777" w:rsidTr="001F7E60">
        <w:tc>
          <w:tcPr>
            <w:tcW w:w="1585" w:type="dxa"/>
          </w:tcPr>
          <w:p w14:paraId="661C02BF" w14:textId="77777777" w:rsidR="00B07ADA" w:rsidRPr="00C14E42" w:rsidRDefault="00B07ADA" w:rsidP="00182DD4">
            <w:pPr>
              <w:rPr>
                <w:rFonts w:ascii="Times New Roman" w:eastAsia="Calibri Light" w:hAnsi="Times New Roman" w:cs="Times New Roman"/>
                <w:sz w:val="20"/>
                <w:szCs w:val="20"/>
              </w:rPr>
            </w:pPr>
            <w:proofErr w:type="spellStart"/>
            <w:r w:rsidRPr="00C14E42">
              <w:rPr>
                <w:rFonts w:ascii="Times New Roman" w:eastAsia="Calibri Light" w:hAnsi="Times New Roman" w:cs="Times New Roman"/>
                <w:sz w:val="20"/>
                <w:szCs w:val="20"/>
              </w:rPr>
              <w:t>Apixaban</w:t>
            </w:r>
            <w:proofErr w:type="spellEnd"/>
          </w:p>
        </w:tc>
        <w:tc>
          <w:tcPr>
            <w:tcW w:w="4137" w:type="dxa"/>
          </w:tcPr>
          <w:p w14:paraId="5BA24B93" w14:textId="77777777" w:rsidR="00B07ADA" w:rsidRPr="00C14E42" w:rsidRDefault="00B07ADA" w:rsidP="00182DD4">
            <w:pPr>
              <w:rPr>
                <w:rFonts w:ascii="Times New Roman" w:eastAsia="Calibri Light" w:hAnsi="Times New Roman" w:cs="Times New Roman"/>
                <w:sz w:val="20"/>
                <w:szCs w:val="20"/>
              </w:rPr>
            </w:pPr>
            <w:r w:rsidRPr="00C14E42">
              <w:rPr>
                <w:rFonts w:ascii="Times New Roman" w:eastAsia="Calibri Light" w:hAnsi="Times New Roman" w:cs="Times New Roman"/>
                <w:sz w:val="20"/>
                <w:szCs w:val="20"/>
              </w:rPr>
              <w:t>5 mg - 2x /</w:t>
            </w:r>
            <w:proofErr w:type="spellStart"/>
            <w:r w:rsidRPr="00C14E42">
              <w:rPr>
                <w:rFonts w:ascii="Times New Roman" w:eastAsia="Calibri Light" w:hAnsi="Times New Roman" w:cs="Times New Roman"/>
                <w:sz w:val="20"/>
                <w:szCs w:val="20"/>
              </w:rPr>
              <w:t>zi</w:t>
            </w:r>
            <w:proofErr w:type="spellEnd"/>
          </w:p>
          <w:p w14:paraId="7C3A3FB5" w14:textId="77777777" w:rsidR="00B07ADA" w:rsidRPr="00C14E42" w:rsidRDefault="00B07ADA" w:rsidP="00182DD4">
            <w:pPr>
              <w:rPr>
                <w:rFonts w:ascii="Times New Roman" w:eastAsia="Calibri Light" w:hAnsi="Times New Roman" w:cs="Times New Roman"/>
                <w:sz w:val="20"/>
                <w:szCs w:val="20"/>
              </w:rPr>
            </w:pPr>
            <w:proofErr w:type="spellStart"/>
            <w:r w:rsidRPr="00C14E42">
              <w:rPr>
                <w:rFonts w:ascii="Times New Roman" w:eastAsia="Calibri Light" w:hAnsi="Times New Roman" w:cs="Times New Roman"/>
                <w:sz w:val="20"/>
                <w:szCs w:val="20"/>
              </w:rPr>
              <w:t>sau</w:t>
            </w:r>
            <w:proofErr w:type="spellEnd"/>
          </w:p>
          <w:p w14:paraId="61AB05E0" w14:textId="77777777" w:rsidR="00B07ADA" w:rsidRPr="00C14E42" w:rsidRDefault="00B07ADA" w:rsidP="00182DD4">
            <w:pPr>
              <w:rPr>
                <w:rFonts w:ascii="Times New Roman" w:eastAsia="Calibri Light" w:hAnsi="Times New Roman" w:cs="Times New Roman"/>
                <w:sz w:val="20"/>
                <w:szCs w:val="20"/>
              </w:rPr>
            </w:pPr>
            <w:r w:rsidRPr="00C14E42">
              <w:rPr>
                <w:rFonts w:ascii="Times New Roman" w:eastAsia="Calibri Light" w:hAnsi="Times New Roman" w:cs="Times New Roman"/>
                <w:sz w:val="20"/>
                <w:szCs w:val="20"/>
              </w:rPr>
              <w:t>2.5 mg - 2x /</w:t>
            </w:r>
            <w:proofErr w:type="spellStart"/>
            <w:r w:rsidRPr="00C14E42">
              <w:rPr>
                <w:rFonts w:ascii="Times New Roman" w:eastAsia="Calibri Light" w:hAnsi="Times New Roman" w:cs="Times New Roman"/>
                <w:sz w:val="20"/>
                <w:szCs w:val="20"/>
              </w:rPr>
              <w:t>zi</w:t>
            </w:r>
            <w:proofErr w:type="spellEnd"/>
          </w:p>
          <w:p w14:paraId="790D5DC7" w14:textId="77777777" w:rsidR="00B07ADA" w:rsidRPr="00C14E42" w:rsidRDefault="00B07ADA" w:rsidP="00182DD4">
            <w:pPr>
              <w:rPr>
                <w:rFonts w:ascii="Times New Roman" w:eastAsia="Calibri Light" w:hAnsi="Times New Roman" w:cs="Times New Roman"/>
                <w:sz w:val="20"/>
                <w:szCs w:val="20"/>
              </w:rPr>
            </w:pPr>
            <w:proofErr w:type="spellStart"/>
            <w:r w:rsidRPr="00C14E42">
              <w:rPr>
                <w:rFonts w:ascii="Times New Roman" w:eastAsia="Calibri Light" w:hAnsi="Times New Roman" w:cs="Times New Roman"/>
                <w:sz w:val="20"/>
                <w:szCs w:val="20"/>
              </w:rPr>
              <w:t>dacă</w:t>
            </w:r>
            <w:proofErr w:type="spellEnd"/>
            <w:r w:rsidRPr="00C14E42">
              <w:rPr>
                <w:rFonts w:ascii="Times New Roman" w:eastAsia="Calibri Light" w:hAnsi="Times New Roman" w:cs="Times New Roman"/>
                <w:sz w:val="20"/>
                <w:szCs w:val="20"/>
              </w:rPr>
              <w:t xml:space="preserve"> </w:t>
            </w:r>
            <w:proofErr w:type="spellStart"/>
            <w:r w:rsidRPr="00C14E42">
              <w:rPr>
                <w:rFonts w:ascii="Times New Roman" w:eastAsia="Calibri Light" w:hAnsi="Times New Roman" w:cs="Times New Roman"/>
                <w:sz w:val="20"/>
                <w:szCs w:val="20"/>
              </w:rPr>
              <w:t>există</w:t>
            </w:r>
            <w:proofErr w:type="spellEnd"/>
            <w:r w:rsidRPr="00C14E42">
              <w:rPr>
                <w:rFonts w:ascii="Times New Roman" w:eastAsia="Calibri Light" w:hAnsi="Times New Roman" w:cs="Times New Roman"/>
                <w:sz w:val="20"/>
                <w:szCs w:val="20"/>
              </w:rPr>
              <w:t xml:space="preserve"> </w:t>
            </w:r>
            <w:r w:rsidRPr="00C14E42">
              <w:rPr>
                <w:rFonts w:ascii="Times New Roman" w:hAnsi="Times New Roman" w:cs="Times New Roman"/>
                <w:sz w:val="20"/>
                <w:szCs w:val="20"/>
              </w:rPr>
              <w:t xml:space="preserve">≥2 </w:t>
            </w:r>
            <w:r w:rsidRPr="00C14E42">
              <w:rPr>
                <w:rFonts w:ascii="Times New Roman" w:eastAsia="Calibri Light" w:hAnsi="Times New Roman" w:cs="Times New Roman"/>
                <w:sz w:val="20"/>
                <w:szCs w:val="20"/>
              </w:rPr>
              <w:t xml:space="preserve">din </w:t>
            </w:r>
            <w:proofErr w:type="spellStart"/>
            <w:r w:rsidRPr="00C14E42">
              <w:rPr>
                <w:rFonts w:ascii="Times New Roman" w:eastAsia="Calibri Light" w:hAnsi="Times New Roman" w:cs="Times New Roman"/>
                <w:sz w:val="20"/>
                <w:szCs w:val="20"/>
              </w:rPr>
              <w:t>următoarele</w:t>
            </w:r>
            <w:proofErr w:type="spellEnd"/>
            <w:r w:rsidRPr="00C14E42">
              <w:rPr>
                <w:rFonts w:ascii="Times New Roman" w:eastAsia="Calibri Light" w:hAnsi="Times New Roman" w:cs="Times New Roman"/>
                <w:sz w:val="20"/>
                <w:szCs w:val="20"/>
              </w:rPr>
              <w:t xml:space="preserve"> </w:t>
            </w:r>
            <w:proofErr w:type="spellStart"/>
            <w:r w:rsidRPr="00C14E42">
              <w:rPr>
                <w:rFonts w:ascii="Times New Roman" w:eastAsia="Calibri Light" w:hAnsi="Times New Roman" w:cs="Times New Roman"/>
                <w:sz w:val="20"/>
                <w:szCs w:val="20"/>
              </w:rPr>
              <w:t>condiții</w:t>
            </w:r>
            <w:proofErr w:type="spellEnd"/>
            <w:r w:rsidRPr="00C14E42">
              <w:rPr>
                <w:rFonts w:ascii="Times New Roman" w:eastAsia="Calibri Light" w:hAnsi="Times New Roman" w:cs="Times New Roman"/>
                <w:sz w:val="20"/>
                <w:szCs w:val="20"/>
              </w:rPr>
              <w:t xml:space="preserve">: </w:t>
            </w:r>
            <w:proofErr w:type="spellStart"/>
            <w:r w:rsidRPr="00C14E42">
              <w:rPr>
                <w:rFonts w:ascii="Times New Roman" w:eastAsia="Calibri Light" w:hAnsi="Times New Roman" w:cs="Times New Roman"/>
                <w:sz w:val="20"/>
                <w:szCs w:val="20"/>
              </w:rPr>
              <w:t>vârsta</w:t>
            </w:r>
            <w:proofErr w:type="spellEnd"/>
            <w:r w:rsidRPr="00C14E42">
              <w:rPr>
                <w:rFonts w:ascii="Times New Roman" w:eastAsia="Calibri Light" w:hAnsi="Times New Roman" w:cs="Times New Roman"/>
                <w:sz w:val="20"/>
                <w:szCs w:val="20"/>
              </w:rPr>
              <w:t xml:space="preserve"> </w:t>
            </w:r>
            <w:r w:rsidRPr="00C14E42">
              <w:rPr>
                <w:rFonts w:ascii="Times New Roman" w:hAnsi="Times New Roman" w:cs="Times New Roman"/>
                <w:sz w:val="20"/>
                <w:szCs w:val="20"/>
              </w:rPr>
              <w:t xml:space="preserve">≥80 </w:t>
            </w:r>
            <w:proofErr w:type="spellStart"/>
            <w:r w:rsidRPr="00C14E42">
              <w:rPr>
                <w:rFonts w:ascii="Times New Roman" w:hAnsi="Times New Roman" w:cs="Times New Roman"/>
                <w:sz w:val="20"/>
                <w:szCs w:val="20"/>
              </w:rPr>
              <w:t>ani</w:t>
            </w:r>
            <w:proofErr w:type="spellEnd"/>
            <w:r w:rsidRPr="00C14E42">
              <w:rPr>
                <w:rFonts w:ascii="Times New Roman" w:hAnsi="Times New Roman" w:cs="Times New Roman"/>
                <w:sz w:val="20"/>
                <w:szCs w:val="20"/>
              </w:rPr>
              <w:t xml:space="preserve">; </w:t>
            </w:r>
            <w:r w:rsidRPr="00C14E42">
              <w:rPr>
                <w:rFonts w:ascii="Times New Roman" w:eastAsia="Calibri Light" w:hAnsi="Times New Roman" w:cs="Times New Roman"/>
                <w:sz w:val="20"/>
                <w:szCs w:val="20"/>
              </w:rPr>
              <w:t>G ≤60 kg; Cr serică</w:t>
            </w:r>
            <w:r w:rsidRPr="00C14E42">
              <w:rPr>
                <w:rFonts w:ascii="Times New Roman" w:hAnsi="Times New Roman" w:cs="Times New Roman"/>
                <w:sz w:val="20"/>
                <w:szCs w:val="20"/>
              </w:rPr>
              <w:t>≥1.5 mg/dl</w:t>
            </w:r>
          </w:p>
        </w:tc>
        <w:tc>
          <w:tcPr>
            <w:tcW w:w="4394" w:type="dxa"/>
          </w:tcPr>
          <w:p w14:paraId="10D3A1B8" w14:textId="77777777" w:rsidR="00B07ADA" w:rsidRPr="00C14E42" w:rsidRDefault="00B07ADA" w:rsidP="00182DD4">
            <w:pPr>
              <w:rPr>
                <w:rFonts w:ascii="Times New Roman" w:eastAsia="Calibri Light" w:hAnsi="Times New Roman" w:cs="Times New Roman"/>
                <w:sz w:val="20"/>
                <w:szCs w:val="20"/>
              </w:rPr>
            </w:pPr>
            <w:r w:rsidRPr="00C14E42">
              <w:rPr>
                <w:rFonts w:ascii="Times New Roman" w:eastAsia="Calibri Light" w:hAnsi="Times New Roman" w:cs="Times New Roman"/>
                <w:sz w:val="20"/>
                <w:szCs w:val="20"/>
              </w:rPr>
              <w:t>5 mg - 2x /</w:t>
            </w:r>
            <w:proofErr w:type="spellStart"/>
            <w:r w:rsidRPr="00C14E42">
              <w:rPr>
                <w:rFonts w:ascii="Times New Roman" w:eastAsia="Calibri Light" w:hAnsi="Times New Roman" w:cs="Times New Roman"/>
                <w:sz w:val="20"/>
                <w:szCs w:val="20"/>
              </w:rPr>
              <w:t>zi</w:t>
            </w:r>
            <w:proofErr w:type="spellEnd"/>
          </w:p>
          <w:p w14:paraId="21EFBE3A" w14:textId="77777777" w:rsidR="00B07ADA" w:rsidRPr="00C14E42" w:rsidRDefault="00B07ADA" w:rsidP="00182DD4">
            <w:pPr>
              <w:rPr>
                <w:rFonts w:ascii="Times New Roman" w:eastAsia="Calibri Light" w:hAnsi="Times New Roman" w:cs="Times New Roman"/>
                <w:sz w:val="20"/>
                <w:szCs w:val="20"/>
              </w:rPr>
            </w:pPr>
            <w:proofErr w:type="spellStart"/>
            <w:r w:rsidRPr="00C14E42">
              <w:rPr>
                <w:rFonts w:ascii="Times New Roman" w:eastAsia="Calibri Light" w:hAnsi="Times New Roman" w:cs="Times New Roman"/>
                <w:sz w:val="20"/>
                <w:szCs w:val="20"/>
              </w:rPr>
              <w:t>după</w:t>
            </w:r>
            <w:proofErr w:type="spellEnd"/>
            <w:r w:rsidRPr="00C14E42">
              <w:rPr>
                <w:rFonts w:ascii="Times New Roman" w:eastAsia="Calibri Light" w:hAnsi="Times New Roman" w:cs="Times New Roman"/>
                <w:sz w:val="20"/>
                <w:szCs w:val="20"/>
              </w:rPr>
              <w:t xml:space="preserve"> 6 </w:t>
            </w:r>
            <w:proofErr w:type="spellStart"/>
            <w:r w:rsidRPr="00C14E42">
              <w:rPr>
                <w:rFonts w:ascii="Times New Roman" w:eastAsia="Calibri Light" w:hAnsi="Times New Roman" w:cs="Times New Roman"/>
                <w:sz w:val="20"/>
                <w:szCs w:val="20"/>
              </w:rPr>
              <w:t>luni</w:t>
            </w:r>
            <w:proofErr w:type="spellEnd"/>
            <w:r w:rsidRPr="00C14E42">
              <w:rPr>
                <w:rFonts w:ascii="Times New Roman" w:eastAsia="Calibri Light" w:hAnsi="Times New Roman" w:cs="Times New Roman"/>
                <w:sz w:val="20"/>
                <w:szCs w:val="20"/>
              </w:rPr>
              <w:t xml:space="preserve">, </w:t>
            </w:r>
            <w:proofErr w:type="spellStart"/>
            <w:r w:rsidRPr="00C14E42">
              <w:rPr>
                <w:rFonts w:ascii="Times New Roman" w:eastAsia="Calibri Light" w:hAnsi="Times New Roman" w:cs="Times New Roman"/>
                <w:sz w:val="20"/>
                <w:szCs w:val="20"/>
              </w:rPr>
              <w:t>dacă</w:t>
            </w:r>
            <w:proofErr w:type="spellEnd"/>
            <w:r w:rsidRPr="00C14E42">
              <w:rPr>
                <w:rFonts w:ascii="Times New Roman" w:eastAsia="Calibri Light" w:hAnsi="Times New Roman" w:cs="Times New Roman"/>
                <w:sz w:val="20"/>
                <w:szCs w:val="20"/>
              </w:rPr>
              <w:t xml:space="preserve"> se </w:t>
            </w:r>
            <w:proofErr w:type="spellStart"/>
            <w:r w:rsidRPr="00C14E42">
              <w:rPr>
                <w:rFonts w:ascii="Times New Roman" w:eastAsia="Calibri Light" w:hAnsi="Times New Roman" w:cs="Times New Roman"/>
                <w:sz w:val="20"/>
                <w:szCs w:val="20"/>
              </w:rPr>
              <w:t>continuă</w:t>
            </w:r>
            <w:proofErr w:type="spellEnd"/>
            <w:r w:rsidRPr="00C14E42">
              <w:rPr>
                <w:rFonts w:ascii="Times New Roman" w:eastAsia="Calibri Light" w:hAnsi="Times New Roman" w:cs="Times New Roman"/>
                <w:sz w:val="20"/>
                <w:szCs w:val="20"/>
              </w:rPr>
              <w:t xml:space="preserve"> </w:t>
            </w:r>
            <w:proofErr w:type="spellStart"/>
            <w:r w:rsidRPr="00C14E42">
              <w:rPr>
                <w:rFonts w:ascii="Times New Roman" w:eastAsia="Calibri Light" w:hAnsi="Times New Roman" w:cs="Times New Roman"/>
                <w:sz w:val="20"/>
                <w:szCs w:val="20"/>
              </w:rPr>
              <w:t>în</w:t>
            </w:r>
            <w:proofErr w:type="spellEnd"/>
            <w:r w:rsidRPr="00C14E42">
              <w:rPr>
                <w:rFonts w:ascii="Times New Roman" w:eastAsia="Calibri Light" w:hAnsi="Times New Roman" w:cs="Times New Roman"/>
                <w:sz w:val="20"/>
                <w:szCs w:val="20"/>
              </w:rPr>
              <w:t xml:space="preserve"> </w:t>
            </w:r>
            <w:proofErr w:type="spellStart"/>
            <w:r w:rsidRPr="00C14E42">
              <w:rPr>
                <w:rFonts w:ascii="Times New Roman" w:eastAsia="Calibri Light" w:hAnsi="Times New Roman" w:cs="Times New Roman"/>
                <w:sz w:val="20"/>
                <w:szCs w:val="20"/>
              </w:rPr>
              <w:t>profilaxie</w:t>
            </w:r>
            <w:proofErr w:type="spellEnd"/>
            <w:r w:rsidRPr="00C14E42">
              <w:rPr>
                <w:rFonts w:ascii="Times New Roman" w:eastAsia="Calibri Light" w:hAnsi="Times New Roman" w:cs="Times New Roman"/>
                <w:sz w:val="20"/>
                <w:szCs w:val="20"/>
              </w:rPr>
              <w:t xml:space="preserve"> </w:t>
            </w:r>
            <w:proofErr w:type="spellStart"/>
            <w:r w:rsidRPr="00C14E42">
              <w:rPr>
                <w:rFonts w:ascii="Times New Roman" w:eastAsia="Calibri Light" w:hAnsi="Times New Roman" w:cs="Times New Roman"/>
                <w:sz w:val="20"/>
                <w:szCs w:val="20"/>
              </w:rPr>
              <w:t>secundară</w:t>
            </w:r>
            <w:proofErr w:type="spellEnd"/>
            <w:r w:rsidRPr="00C14E42">
              <w:rPr>
                <w:rFonts w:ascii="Times New Roman" w:eastAsia="Calibri Light" w:hAnsi="Times New Roman" w:cs="Times New Roman"/>
                <w:sz w:val="20"/>
                <w:szCs w:val="20"/>
              </w:rPr>
              <w:t xml:space="preserve"> </w:t>
            </w:r>
          </w:p>
          <w:p w14:paraId="05617B42" w14:textId="77777777" w:rsidR="00B07ADA" w:rsidRPr="00C14E42" w:rsidRDefault="00B07ADA" w:rsidP="00182DD4">
            <w:pPr>
              <w:rPr>
                <w:rFonts w:ascii="Times New Roman" w:eastAsia="Calibri Light" w:hAnsi="Times New Roman" w:cs="Times New Roman"/>
                <w:sz w:val="20"/>
                <w:szCs w:val="20"/>
              </w:rPr>
            </w:pPr>
            <w:r w:rsidRPr="00C14E42">
              <w:rPr>
                <w:rFonts w:ascii="Times New Roman" w:eastAsia="Calibri Light" w:hAnsi="Times New Roman" w:cs="Times New Roman"/>
                <w:sz w:val="20"/>
                <w:szCs w:val="20"/>
              </w:rPr>
              <w:t>2.5 mg - 2x /</w:t>
            </w:r>
            <w:proofErr w:type="spellStart"/>
            <w:r w:rsidRPr="00C14E42">
              <w:rPr>
                <w:rFonts w:ascii="Times New Roman" w:eastAsia="Calibri Light" w:hAnsi="Times New Roman" w:cs="Times New Roman"/>
                <w:sz w:val="20"/>
                <w:szCs w:val="20"/>
              </w:rPr>
              <w:t>zi</w:t>
            </w:r>
            <w:proofErr w:type="spellEnd"/>
          </w:p>
          <w:p w14:paraId="07C251B2" w14:textId="77777777" w:rsidR="00B07ADA" w:rsidRPr="00C14E42" w:rsidRDefault="00B07ADA" w:rsidP="00182DD4">
            <w:pPr>
              <w:rPr>
                <w:rFonts w:ascii="Times New Roman" w:eastAsia="Calibri Light" w:hAnsi="Times New Roman" w:cs="Times New Roman"/>
                <w:sz w:val="20"/>
                <w:szCs w:val="20"/>
              </w:rPr>
            </w:pPr>
          </w:p>
        </w:tc>
      </w:tr>
      <w:tr w:rsidR="00C14E42" w:rsidRPr="00C14E42" w14:paraId="0DCAAB5B" w14:textId="77777777" w:rsidTr="001F7E60">
        <w:tc>
          <w:tcPr>
            <w:tcW w:w="1585" w:type="dxa"/>
          </w:tcPr>
          <w:p w14:paraId="4D2F8D8D" w14:textId="77777777" w:rsidR="00B07ADA" w:rsidRPr="00C14E42" w:rsidRDefault="00B07ADA" w:rsidP="00182DD4">
            <w:pPr>
              <w:rPr>
                <w:rFonts w:ascii="Times New Roman" w:eastAsia="Calibri Light" w:hAnsi="Times New Roman" w:cs="Times New Roman"/>
                <w:sz w:val="20"/>
                <w:szCs w:val="20"/>
              </w:rPr>
            </w:pPr>
            <w:proofErr w:type="spellStart"/>
            <w:r w:rsidRPr="00C14E42">
              <w:rPr>
                <w:rFonts w:ascii="Times New Roman" w:eastAsia="Calibri Light" w:hAnsi="Times New Roman" w:cs="Times New Roman"/>
                <w:sz w:val="20"/>
                <w:szCs w:val="20"/>
              </w:rPr>
              <w:t>Edoxaban</w:t>
            </w:r>
            <w:proofErr w:type="spellEnd"/>
          </w:p>
        </w:tc>
        <w:tc>
          <w:tcPr>
            <w:tcW w:w="4137" w:type="dxa"/>
          </w:tcPr>
          <w:p w14:paraId="34563A48" w14:textId="77777777" w:rsidR="00B07ADA" w:rsidRPr="00C14E42" w:rsidRDefault="00B07ADA" w:rsidP="00182DD4">
            <w:pPr>
              <w:rPr>
                <w:rFonts w:ascii="Times New Roman" w:eastAsia="Calibri Light" w:hAnsi="Times New Roman" w:cs="Times New Roman"/>
                <w:sz w:val="20"/>
                <w:szCs w:val="20"/>
              </w:rPr>
            </w:pPr>
            <w:r w:rsidRPr="00C14E42">
              <w:rPr>
                <w:rFonts w:ascii="Times New Roman" w:eastAsia="Calibri Light" w:hAnsi="Times New Roman" w:cs="Times New Roman"/>
                <w:sz w:val="20"/>
                <w:szCs w:val="20"/>
              </w:rPr>
              <w:t xml:space="preserve">60 mg o </w:t>
            </w:r>
            <w:proofErr w:type="spellStart"/>
            <w:r w:rsidRPr="00C14E42">
              <w:rPr>
                <w:rFonts w:ascii="Times New Roman" w:eastAsia="Calibri Light" w:hAnsi="Times New Roman" w:cs="Times New Roman"/>
                <w:sz w:val="20"/>
                <w:szCs w:val="20"/>
              </w:rPr>
              <w:t>dată</w:t>
            </w:r>
            <w:proofErr w:type="spellEnd"/>
            <w:r w:rsidRPr="00C14E42">
              <w:rPr>
                <w:rFonts w:ascii="Times New Roman" w:eastAsia="Calibri Light" w:hAnsi="Times New Roman" w:cs="Times New Roman"/>
                <w:sz w:val="20"/>
                <w:szCs w:val="20"/>
              </w:rPr>
              <w:t>/</w:t>
            </w:r>
            <w:proofErr w:type="spellStart"/>
            <w:r w:rsidRPr="00C14E42">
              <w:rPr>
                <w:rFonts w:ascii="Times New Roman" w:eastAsia="Calibri Light" w:hAnsi="Times New Roman" w:cs="Times New Roman"/>
                <w:sz w:val="20"/>
                <w:szCs w:val="20"/>
              </w:rPr>
              <w:t>zi</w:t>
            </w:r>
            <w:proofErr w:type="spellEnd"/>
          </w:p>
          <w:p w14:paraId="6B06B0BF" w14:textId="77777777" w:rsidR="00B07ADA" w:rsidRPr="00C14E42" w:rsidRDefault="00B07ADA" w:rsidP="00182DD4">
            <w:pPr>
              <w:rPr>
                <w:rFonts w:ascii="Times New Roman" w:eastAsia="Calibri Light" w:hAnsi="Times New Roman" w:cs="Times New Roman"/>
                <w:sz w:val="20"/>
                <w:szCs w:val="20"/>
              </w:rPr>
            </w:pPr>
            <w:proofErr w:type="spellStart"/>
            <w:r w:rsidRPr="00C14E42">
              <w:rPr>
                <w:rFonts w:ascii="Times New Roman" w:eastAsia="Calibri Light" w:hAnsi="Times New Roman" w:cs="Times New Roman"/>
                <w:sz w:val="20"/>
                <w:szCs w:val="20"/>
              </w:rPr>
              <w:t>sau</w:t>
            </w:r>
            <w:proofErr w:type="spellEnd"/>
          </w:p>
          <w:p w14:paraId="7AB7925C" w14:textId="77777777" w:rsidR="00B07ADA" w:rsidRPr="00C14E42" w:rsidRDefault="00B07ADA" w:rsidP="00182DD4">
            <w:pPr>
              <w:rPr>
                <w:rFonts w:ascii="Times New Roman" w:hAnsi="Times New Roman" w:cs="Times New Roman"/>
                <w:sz w:val="20"/>
                <w:szCs w:val="20"/>
              </w:rPr>
            </w:pPr>
            <w:r w:rsidRPr="00C14E42">
              <w:rPr>
                <w:rFonts w:ascii="Times New Roman" w:hAnsi="Times New Roman" w:cs="Times New Roman"/>
                <w:sz w:val="20"/>
                <w:szCs w:val="20"/>
              </w:rPr>
              <w:t xml:space="preserve">30 mg o </w:t>
            </w:r>
            <w:proofErr w:type="spellStart"/>
            <w:r w:rsidRPr="00C14E42">
              <w:rPr>
                <w:rFonts w:ascii="Times New Roman" w:hAnsi="Times New Roman" w:cs="Times New Roman"/>
                <w:sz w:val="20"/>
                <w:szCs w:val="20"/>
              </w:rPr>
              <w:t>dată</w:t>
            </w:r>
            <w:proofErr w:type="spellEnd"/>
            <w:r w:rsidRPr="00C14E42">
              <w:rPr>
                <w:rFonts w:ascii="Times New Roman" w:hAnsi="Times New Roman" w:cs="Times New Roman"/>
                <w:sz w:val="20"/>
                <w:szCs w:val="20"/>
              </w:rPr>
              <w:t xml:space="preserve"> /</w:t>
            </w:r>
            <w:proofErr w:type="spellStart"/>
            <w:r w:rsidRPr="00C14E42">
              <w:rPr>
                <w:rFonts w:ascii="Times New Roman" w:hAnsi="Times New Roman" w:cs="Times New Roman"/>
                <w:sz w:val="20"/>
                <w:szCs w:val="20"/>
              </w:rPr>
              <w:t>zi</w:t>
            </w:r>
            <w:proofErr w:type="spellEnd"/>
          </w:p>
          <w:p w14:paraId="6F76C0BD" w14:textId="77777777" w:rsidR="00B07ADA" w:rsidRPr="00C14E42" w:rsidRDefault="00B07ADA" w:rsidP="00182DD4">
            <w:pPr>
              <w:rPr>
                <w:rFonts w:ascii="Times New Roman" w:hAnsi="Times New Roman" w:cs="Times New Roman"/>
                <w:sz w:val="20"/>
                <w:szCs w:val="20"/>
              </w:rPr>
            </w:pPr>
            <w:proofErr w:type="spellStart"/>
            <w:r w:rsidRPr="00C14E42">
              <w:rPr>
                <w:rFonts w:ascii="Times New Roman" w:eastAsia="Calibri Light" w:hAnsi="Times New Roman" w:cs="Times New Roman"/>
                <w:sz w:val="20"/>
                <w:szCs w:val="20"/>
              </w:rPr>
              <w:lastRenderedPageBreak/>
              <w:t>dacă</w:t>
            </w:r>
            <w:proofErr w:type="spellEnd"/>
            <w:r w:rsidRPr="00C14E42">
              <w:rPr>
                <w:rFonts w:ascii="Times New Roman" w:eastAsia="Calibri Light" w:hAnsi="Times New Roman" w:cs="Times New Roman"/>
                <w:sz w:val="20"/>
                <w:szCs w:val="20"/>
              </w:rPr>
              <w:t xml:space="preserve"> </w:t>
            </w:r>
            <w:proofErr w:type="spellStart"/>
            <w:r w:rsidRPr="00C14E42">
              <w:rPr>
                <w:rFonts w:ascii="Times New Roman" w:eastAsia="Calibri Light" w:hAnsi="Times New Roman" w:cs="Times New Roman"/>
                <w:sz w:val="20"/>
                <w:szCs w:val="20"/>
              </w:rPr>
              <w:t>există</w:t>
            </w:r>
            <w:proofErr w:type="spellEnd"/>
            <w:r w:rsidRPr="00C14E42">
              <w:rPr>
                <w:rFonts w:ascii="Times New Roman" w:eastAsia="Calibri Light" w:hAnsi="Times New Roman" w:cs="Times New Roman"/>
                <w:sz w:val="20"/>
                <w:szCs w:val="20"/>
              </w:rPr>
              <w:t xml:space="preserve"> </w:t>
            </w:r>
            <w:r w:rsidRPr="00C14E42">
              <w:rPr>
                <w:rFonts w:ascii="Times New Roman" w:hAnsi="Times New Roman" w:cs="Times New Roman"/>
                <w:sz w:val="20"/>
                <w:szCs w:val="20"/>
              </w:rPr>
              <w:t>≥</w:t>
            </w:r>
            <w:proofErr w:type="spellStart"/>
            <w:r w:rsidRPr="00C14E42">
              <w:rPr>
                <w:rFonts w:ascii="Times New Roman" w:hAnsi="Times New Roman" w:cs="Times New Roman"/>
                <w:sz w:val="20"/>
                <w:szCs w:val="20"/>
              </w:rPr>
              <w:t>una</w:t>
            </w:r>
            <w:proofErr w:type="spellEnd"/>
            <w:r w:rsidRPr="00C14E42">
              <w:rPr>
                <w:rFonts w:ascii="Times New Roman" w:hAnsi="Times New Roman" w:cs="Times New Roman"/>
                <w:sz w:val="20"/>
                <w:szCs w:val="20"/>
              </w:rPr>
              <w:t xml:space="preserve"> </w:t>
            </w:r>
            <w:r w:rsidRPr="00C14E42">
              <w:rPr>
                <w:rFonts w:ascii="Times New Roman" w:eastAsia="Calibri Light" w:hAnsi="Times New Roman" w:cs="Times New Roman"/>
                <w:sz w:val="20"/>
                <w:szCs w:val="20"/>
              </w:rPr>
              <w:t xml:space="preserve">din </w:t>
            </w:r>
            <w:proofErr w:type="spellStart"/>
            <w:r w:rsidRPr="00C14E42">
              <w:rPr>
                <w:rFonts w:ascii="Times New Roman" w:eastAsia="Calibri Light" w:hAnsi="Times New Roman" w:cs="Times New Roman"/>
                <w:sz w:val="20"/>
                <w:szCs w:val="20"/>
              </w:rPr>
              <w:t>următoarele</w:t>
            </w:r>
            <w:proofErr w:type="spellEnd"/>
            <w:r w:rsidRPr="00C14E42">
              <w:rPr>
                <w:rFonts w:ascii="Times New Roman" w:eastAsia="Calibri Light" w:hAnsi="Times New Roman" w:cs="Times New Roman"/>
                <w:sz w:val="20"/>
                <w:szCs w:val="20"/>
              </w:rPr>
              <w:t xml:space="preserve"> </w:t>
            </w:r>
            <w:proofErr w:type="spellStart"/>
            <w:r w:rsidRPr="00C14E42">
              <w:rPr>
                <w:rFonts w:ascii="Times New Roman" w:eastAsia="Calibri Light" w:hAnsi="Times New Roman" w:cs="Times New Roman"/>
                <w:sz w:val="20"/>
                <w:szCs w:val="20"/>
              </w:rPr>
              <w:t>condiții</w:t>
            </w:r>
            <w:proofErr w:type="spellEnd"/>
            <w:r w:rsidRPr="00C14E42">
              <w:rPr>
                <w:rFonts w:ascii="Times New Roman" w:eastAsia="Calibri Light" w:hAnsi="Times New Roman" w:cs="Times New Roman"/>
                <w:sz w:val="20"/>
                <w:szCs w:val="20"/>
              </w:rPr>
              <w:t xml:space="preserve">: G ≤60 kg; </w:t>
            </w:r>
            <w:proofErr w:type="spellStart"/>
            <w:r w:rsidRPr="00C14E42">
              <w:rPr>
                <w:rFonts w:ascii="Times New Roman" w:eastAsia="Calibri Light" w:hAnsi="Times New Roman" w:cs="Times New Roman"/>
                <w:sz w:val="20"/>
                <w:szCs w:val="20"/>
              </w:rPr>
              <w:t>ClCr</w:t>
            </w:r>
            <w:proofErr w:type="spellEnd"/>
            <w:r w:rsidRPr="00C14E42">
              <w:rPr>
                <w:rFonts w:ascii="Times New Roman" w:eastAsia="Calibri Light" w:hAnsi="Times New Roman" w:cs="Times New Roman"/>
                <w:sz w:val="20"/>
                <w:szCs w:val="20"/>
              </w:rPr>
              <w:t xml:space="preserve"> 15-50 ml/min;</w:t>
            </w:r>
            <w:r w:rsidRPr="00C14E42">
              <w:rPr>
                <w:rFonts w:ascii="Times New Roman" w:hAnsi="Times New Roman" w:cs="Times New Roman"/>
                <w:sz w:val="20"/>
                <w:szCs w:val="20"/>
              </w:rPr>
              <w:t xml:space="preserve"> </w:t>
            </w:r>
            <w:proofErr w:type="spellStart"/>
            <w:r w:rsidRPr="00C14E42">
              <w:rPr>
                <w:rFonts w:ascii="Times New Roman" w:hAnsi="Times New Roman" w:cs="Times New Roman"/>
                <w:sz w:val="20"/>
                <w:szCs w:val="20"/>
              </w:rPr>
              <w:t>folosire</w:t>
            </w:r>
            <w:proofErr w:type="spellEnd"/>
            <w:r w:rsidRPr="00C14E42">
              <w:rPr>
                <w:rFonts w:ascii="Times New Roman" w:hAnsi="Times New Roman" w:cs="Times New Roman"/>
                <w:sz w:val="20"/>
                <w:szCs w:val="20"/>
              </w:rPr>
              <w:t xml:space="preserve"> </w:t>
            </w:r>
            <w:proofErr w:type="spellStart"/>
            <w:r w:rsidRPr="00C14E42">
              <w:rPr>
                <w:rFonts w:ascii="Times New Roman" w:hAnsi="Times New Roman" w:cs="Times New Roman"/>
                <w:sz w:val="20"/>
                <w:szCs w:val="20"/>
              </w:rPr>
              <w:t>concomitentă</w:t>
            </w:r>
            <w:proofErr w:type="spellEnd"/>
            <w:r w:rsidRPr="00C14E42">
              <w:rPr>
                <w:rFonts w:ascii="Times New Roman" w:hAnsi="Times New Roman" w:cs="Times New Roman"/>
                <w:sz w:val="20"/>
                <w:szCs w:val="20"/>
              </w:rPr>
              <w:t xml:space="preserve"> de inhibitor P-</w:t>
            </w:r>
            <w:proofErr w:type="spellStart"/>
            <w:r w:rsidRPr="00C14E42">
              <w:rPr>
                <w:rFonts w:ascii="Times New Roman" w:hAnsi="Times New Roman" w:cs="Times New Roman"/>
                <w:sz w:val="20"/>
                <w:szCs w:val="20"/>
              </w:rPr>
              <w:t>gp</w:t>
            </w:r>
            <w:proofErr w:type="spellEnd"/>
            <w:r w:rsidRPr="00C14E42">
              <w:rPr>
                <w:rFonts w:ascii="Times New Roman" w:hAnsi="Times New Roman" w:cs="Times New Roman"/>
                <w:sz w:val="20"/>
                <w:szCs w:val="20"/>
              </w:rPr>
              <w:t xml:space="preserve"> (</w:t>
            </w:r>
            <w:proofErr w:type="spellStart"/>
            <w:r w:rsidRPr="00C14E42">
              <w:rPr>
                <w:rFonts w:ascii="Times New Roman" w:hAnsi="Times New Roman" w:cs="Times New Roman"/>
                <w:sz w:val="20"/>
                <w:szCs w:val="20"/>
              </w:rPr>
              <w:t>ciclosporină</w:t>
            </w:r>
            <w:proofErr w:type="spellEnd"/>
            <w:r w:rsidRPr="00C14E42">
              <w:rPr>
                <w:rFonts w:ascii="Times New Roman" w:hAnsi="Times New Roman" w:cs="Times New Roman"/>
                <w:sz w:val="20"/>
                <w:szCs w:val="20"/>
              </w:rPr>
              <w:t xml:space="preserve">, </w:t>
            </w:r>
            <w:proofErr w:type="spellStart"/>
            <w:r w:rsidRPr="00C14E42">
              <w:rPr>
                <w:rFonts w:ascii="Times New Roman" w:hAnsi="Times New Roman" w:cs="Times New Roman"/>
                <w:sz w:val="20"/>
                <w:szCs w:val="20"/>
              </w:rPr>
              <w:t>dronedaronă</w:t>
            </w:r>
            <w:proofErr w:type="spellEnd"/>
            <w:r w:rsidRPr="00C14E42">
              <w:rPr>
                <w:rFonts w:ascii="Times New Roman" w:hAnsi="Times New Roman" w:cs="Times New Roman"/>
                <w:sz w:val="20"/>
                <w:szCs w:val="20"/>
              </w:rPr>
              <w:t xml:space="preserve">, </w:t>
            </w:r>
            <w:proofErr w:type="spellStart"/>
            <w:r w:rsidRPr="00C14E42">
              <w:rPr>
                <w:rFonts w:ascii="Times New Roman" w:hAnsi="Times New Roman" w:cs="Times New Roman"/>
                <w:sz w:val="20"/>
                <w:szCs w:val="20"/>
              </w:rPr>
              <w:t>eritromicină</w:t>
            </w:r>
            <w:proofErr w:type="spellEnd"/>
            <w:r w:rsidRPr="00C14E42">
              <w:rPr>
                <w:rFonts w:ascii="Times New Roman" w:hAnsi="Times New Roman" w:cs="Times New Roman"/>
                <w:sz w:val="20"/>
                <w:szCs w:val="20"/>
              </w:rPr>
              <w:t xml:space="preserve">, </w:t>
            </w:r>
            <w:proofErr w:type="spellStart"/>
            <w:r w:rsidRPr="00C14E42">
              <w:rPr>
                <w:rFonts w:ascii="Times New Roman" w:hAnsi="Times New Roman" w:cs="Times New Roman"/>
                <w:sz w:val="20"/>
                <w:szCs w:val="20"/>
              </w:rPr>
              <w:t>ketoconazol</w:t>
            </w:r>
            <w:proofErr w:type="spellEnd"/>
            <w:r w:rsidRPr="00C14E42">
              <w:rPr>
                <w:rFonts w:ascii="Times New Roman" w:hAnsi="Times New Roman" w:cs="Times New Roman"/>
                <w:sz w:val="20"/>
                <w:szCs w:val="20"/>
              </w:rPr>
              <w:t>)</w:t>
            </w:r>
          </w:p>
        </w:tc>
        <w:tc>
          <w:tcPr>
            <w:tcW w:w="4394" w:type="dxa"/>
          </w:tcPr>
          <w:p w14:paraId="39CD1376" w14:textId="77777777" w:rsidR="00B07ADA" w:rsidRPr="00C14E42" w:rsidRDefault="00B07ADA" w:rsidP="00182DD4">
            <w:pPr>
              <w:rPr>
                <w:rFonts w:ascii="Times New Roman" w:eastAsia="Calibri Light" w:hAnsi="Times New Roman" w:cs="Times New Roman"/>
                <w:sz w:val="20"/>
                <w:szCs w:val="20"/>
              </w:rPr>
            </w:pPr>
            <w:r w:rsidRPr="00C14E42">
              <w:rPr>
                <w:rFonts w:ascii="Times New Roman" w:eastAsia="Calibri Light" w:hAnsi="Times New Roman" w:cs="Times New Roman"/>
                <w:sz w:val="20"/>
                <w:szCs w:val="20"/>
              </w:rPr>
              <w:lastRenderedPageBreak/>
              <w:t xml:space="preserve">60 mg o </w:t>
            </w:r>
            <w:proofErr w:type="spellStart"/>
            <w:r w:rsidRPr="00C14E42">
              <w:rPr>
                <w:rFonts w:ascii="Times New Roman" w:eastAsia="Calibri Light" w:hAnsi="Times New Roman" w:cs="Times New Roman"/>
                <w:sz w:val="20"/>
                <w:szCs w:val="20"/>
              </w:rPr>
              <w:t>dată</w:t>
            </w:r>
            <w:proofErr w:type="spellEnd"/>
            <w:r w:rsidRPr="00C14E42">
              <w:rPr>
                <w:rFonts w:ascii="Times New Roman" w:eastAsia="Calibri Light" w:hAnsi="Times New Roman" w:cs="Times New Roman"/>
                <w:sz w:val="20"/>
                <w:szCs w:val="20"/>
              </w:rPr>
              <w:t>/</w:t>
            </w:r>
            <w:proofErr w:type="spellStart"/>
            <w:r w:rsidRPr="00C14E42">
              <w:rPr>
                <w:rFonts w:ascii="Times New Roman" w:eastAsia="Calibri Light" w:hAnsi="Times New Roman" w:cs="Times New Roman"/>
                <w:sz w:val="20"/>
                <w:szCs w:val="20"/>
              </w:rPr>
              <w:t>zi</w:t>
            </w:r>
            <w:proofErr w:type="spellEnd"/>
          </w:p>
          <w:p w14:paraId="0B707900" w14:textId="77777777" w:rsidR="00B07ADA" w:rsidRPr="00C14E42" w:rsidRDefault="00B07ADA" w:rsidP="00182DD4">
            <w:pPr>
              <w:rPr>
                <w:rFonts w:ascii="Times New Roman" w:eastAsia="Calibri Light" w:hAnsi="Times New Roman" w:cs="Times New Roman"/>
                <w:sz w:val="20"/>
                <w:szCs w:val="20"/>
              </w:rPr>
            </w:pPr>
            <w:proofErr w:type="spellStart"/>
            <w:r w:rsidRPr="00C14E42">
              <w:rPr>
                <w:rFonts w:ascii="Times New Roman" w:eastAsia="Calibri Light" w:hAnsi="Times New Roman" w:cs="Times New Roman"/>
                <w:sz w:val="20"/>
                <w:szCs w:val="20"/>
              </w:rPr>
              <w:t>sau</w:t>
            </w:r>
            <w:proofErr w:type="spellEnd"/>
          </w:p>
          <w:p w14:paraId="74DEB463" w14:textId="77777777" w:rsidR="00B07ADA" w:rsidRPr="00C14E42" w:rsidRDefault="00B07ADA" w:rsidP="00182DD4">
            <w:pPr>
              <w:rPr>
                <w:rFonts w:ascii="Times New Roman" w:hAnsi="Times New Roman" w:cs="Times New Roman"/>
                <w:sz w:val="20"/>
                <w:szCs w:val="20"/>
              </w:rPr>
            </w:pPr>
            <w:r w:rsidRPr="00C14E42">
              <w:rPr>
                <w:rFonts w:ascii="Times New Roman" w:hAnsi="Times New Roman" w:cs="Times New Roman"/>
                <w:sz w:val="20"/>
                <w:szCs w:val="20"/>
              </w:rPr>
              <w:t xml:space="preserve">30 mg o </w:t>
            </w:r>
            <w:proofErr w:type="spellStart"/>
            <w:r w:rsidRPr="00C14E42">
              <w:rPr>
                <w:rFonts w:ascii="Times New Roman" w:hAnsi="Times New Roman" w:cs="Times New Roman"/>
                <w:sz w:val="20"/>
                <w:szCs w:val="20"/>
              </w:rPr>
              <w:t>dată</w:t>
            </w:r>
            <w:proofErr w:type="spellEnd"/>
            <w:r w:rsidRPr="00C14E42">
              <w:rPr>
                <w:rFonts w:ascii="Times New Roman" w:hAnsi="Times New Roman" w:cs="Times New Roman"/>
                <w:sz w:val="20"/>
                <w:szCs w:val="20"/>
              </w:rPr>
              <w:t xml:space="preserve"> /</w:t>
            </w:r>
            <w:proofErr w:type="spellStart"/>
            <w:r w:rsidRPr="00C14E42">
              <w:rPr>
                <w:rFonts w:ascii="Times New Roman" w:hAnsi="Times New Roman" w:cs="Times New Roman"/>
                <w:sz w:val="20"/>
                <w:szCs w:val="20"/>
              </w:rPr>
              <w:t>zi</w:t>
            </w:r>
            <w:proofErr w:type="spellEnd"/>
          </w:p>
          <w:p w14:paraId="1EBB2D6F" w14:textId="77777777" w:rsidR="00B07ADA" w:rsidRPr="00C14E42" w:rsidRDefault="00B07ADA" w:rsidP="00182DD4">
            <w:pPr>
              <w:rPr>
                <w:rFonts w:ascii="Times New Roman" w:eastAsia="Calibri Light" w:hAnsi="Times New Roman" w:cs="Times New Roman"/>
                <w:sz w:val="20"/>
                <w:szCs w:val="20"/>
              </w:rPr>
            </w:pPr>
            <w:proofErr w:type="spellStart"/>
            <w:r w:rsidRPr="00C14E42">
              <w:rPr>
                <w:rFonts w:ascii="Times New Roman" w:eastAsia="Calibri Light" w:hAnsi="Times New Roman" w:cs="Times New Roman"/>
                <w:sz w:val="20"/>
                <w:szCs w:val="20"/>
              </w:rPr>
              <w:lastRenderedPageBreak/>
              <w:t>dacă</w:t>
            </w:r>
            <w:proofErr w:type="spellEnd"/>
            <w:r w:rsidRPr="00C14E42">
              <w:rPr>
                <w:rFonts w:ascii="Times New Roman" w:eastAsia="Calibri Light" w:hAnsi="Times New Roman" w:cs="Times New Roman"/>
                <w:sz w:val="20"/>
                <w:szCs w:val="20"/>
              </w:rPr>
              <w:t xml:space="preserve"> </w:t>
            </w:r>
            <w:proofErr w:type="spellStart"/>
            <w:r w:rsidRPr="00C14E42">
              <w:rPr>
                <w:rFonts w:ascii="Times New Roman" w:eastAsia="Calibri Light" w:hAnsi="Times New Roman" w:cs="Times New Roman"/>
                <w:sz w:val="20"/>
                <w:szCs w:val="20"/>
              </w:rPr>
              <w:t>exista</w:t>
            </w:r>
            <w:proofErr w:type="spellEnd"/>
            <w:r w:rsidRPr="00C14E42">
              <w:rPr>
                <w:rFonts w:ascii="Times New Roman" w:eastAsia="Calibri Light" w:hAnsi="Times New Roman" w:cs="Times New Roman"/>
                <w:sz w:val="20"/>
                <w:szCs w:val="20"/>
              </w:rPr>
              <w:t xml:space="preserve"> </w:t>
            </w:r>
            <w:r w:rsidRPr="00C14E42">
              <w:rPr>
                <w:rFonts w:ascii="Times New Roman" w:hAnsi="Times New Roman" w:cs="Times New Roman"/>
                <w:sz w:val="20"/>
                <w:szCs w:val="20"/>
              </w:rPr>
              <w:t>≥</w:t>
            </w:r>
            <w:proofErr w:type="spellStart"/>
            <w:r w:rsidRPr="00C14E42">
              <w:rPr>
                <w:rFonts w:ascii="Times New Roman" w:hAnsi="Times New Roman" w:cs="Times New Roman"/>
                <w:sz w:val="20"/>
                <w:szCs w:val="20"/>
              </w:rPr>
              <w:t>una</w:t>
            </w:r>
            <w:proofErr w:type="spellEnd"/>
            <w:r w:rsidRPr="00C14E42">
              <w:rPr>
                <w:rFonts w:ascii="Times New Roman" w:hAnsi="Times New Roman" w:cs="Times New Roman"/>
                <w:sz w:val="20"/>
                <w:szCs w:val="20"/>
              </w:rPr>
              <w:t xml:space="preserve"> </w:t>
            </w:r>
            <w:r w:rsidRPr="00C14E42">
              <w:rPr>
                <w:rFonts w:ascii="Times New Roman" w:eastAsia="Calibri Light" w:hAnsi="Times New Roman" w:cs="Times New Roman"/>
                <w:sz w:val="20"/>
                <w:szCs w:val="20"/>
              </w:rPr>
              <w:t xml:space="preserve">din </w:t>
            </w:r>
            <w:proofErr w:type="spellStart"/>
            <w:r w:rsidRPr="00C14E42">
              <w:rPr>
                <w:rFonts w:ascii="Times New Roman" w:eastAsia="Calibri Light" w:hAnsi="Times New Roman" w:cs="Times New Roman"/>
                <w:sz w:val="20"/>
                <w:szCs w:val="20"/>
              </w:rPr>
              <w:t>următoarele</w:t>
            </w:r>
            <w:proofErr w:type="spellEnd"/>
            <w:r w:rsidRPr="00C14E42">
              <w:rPr>
                <w:rFonts w:ascii="Times New Roman" w:eastAsia="Calibri Light" w:hAnsi="Times New Roman" w:cs="Times New Roman"/>
                <w:sz w:val="20"/>
                <w:szCs w:val="20"/>
              </w:rPr>
              <w:t xml:space="preserve"> </w:t>
            </w:r>
            <w:proofErr w:type="spellStart"/>
            <w:r w:rsidRPr="00C14E42">
              <w:rPr>
                <w:rFonts w:ascii="Times New Roman" w:eastAsia="Calibri Light" w:hAnsi="Times New Roman" w:cs="Times New Roman"/>
                <w:sz w:val="20"/>
                <w:szCs w:val="20"/>
              </w:rPr>
              <w:t>condiții</w:t>
            </w:r>
            <w:proofErr w:type="spellEnd"/>
            <w:r w:rsidRPr="00C14E42">
              <w:rPr>
                <w:rFonts w:ascii="Times New Roman" w:eastAsia="Calibri Light" w:hAnsi="Times New Roman" w:cs="Times New Roman"/>
                <w:sz w:val="20"/>
                <w:szCs w:val="20"/>
              </w:rPr>
              <w:t xml:space="preserve">: G ≤60 kg; </w:t>
            </w:r>
            <w:proofErr w:type="spellStart"/>
            <w:r w:rsidRPr="00C14E42">
              <w:rPr>
                <w:rFonts w:ascii="Times New Roman" w:eastAsia="Calibri Light" w:hAnsi="Times New Roman" w:cs="Times New Roman"/>
                <w:sz w:val="20"/>
                <w:szCs w:val="20"/>
              </w:rPr>
              <w:t>ClCr</w:t>
            </w:r>
            <w:proofErr w:type="spellEnd"/>
            <w:r w:rsidRPr="00C14E42">
              <w:rPr>
                <w:rFonts w:ascii="Times New Roman" w:eastAsia="Calibri Light" w:hAnsi="Times New Roman" w:cs="Times New Roman"/>
                <w:sz w:val="20"/>
                <w:szCs w:val="20"/>
              </w:rPr>
              <w:t xml:space="preserve"> 15-50 ml/min;</w:t>
            </w:r>
            <w:r w:rsidRPr="00C14E42">
              <w:rPr>
                <w:rFonts w:ascii="Times New Roman" w:hAnsi="Times New Roman" w:cs="Times New Roman"/>
                <w:sz w:val="20"/>
                <w:szCs w:val="20"/>
              </w:rPr>
              <w:t xml:space="preserve"> </w:t>
            </w:r>
            <w:proofErr w:type="spellStart"/>
            <w:r w:rsidRPr="00C14E42">
              <w:rPr>
                <w:rFonts w:ascii="Times New Roman" w:hAnsi="Times New Roman" w:cs="Times New Roman"/>
                <w:sz w:val="20"/>
                <w:szCs w:val="20"/>
              </w:rPr>
              <w:t>folosire</w:t>
            </w:r>
            <w:proofErr w:type="spellEnd"/>
            <w:r w:rsidRPr="00C14E42">
              <w:rPr>
                <w:rFonts w:ascii="Times New Roman" w:hAnsi="Times New Roman" w:cs="Times New Roman"/>
                <w:sz w:val="20"/>
                <w:szCs w:val="20"/>
              </w:rPr>
              <w:t xml:space="preserve"> </w:t>
            </w:r>
            <w:proofErr w:type="spellStart"/>
            <w:r w:rsidRPr="00C14E42">
              <w:rPr>
                <w:rFonts w:ascii="Times New Roman" w:hAnsi="Times New Roman" w:cs="Times New Roman"/>
                <w:sz w:val="20"/>
                <w:szCs w:val="20"/>
              </w:rPr>
              <w:t>concomitentă</w:t>
            </w:r>
            <w:proofErr w:type="spellEnd"/>
            <w:r w:rsidRPr="00C14E42">
              <w:rPr>
                <w:rFonts w:ascii="Times New Roman" w:hAnsi="Times New Roman" w:cs="Times New Roman"/>
                <w:sz w:val="20"/>
                <w:szCs w:val="20"/>
              </w:rPr>
              <w:t xml:space="preserve"> de inhibitor P-</w:t>
            </w:r>
            <w:proofErr w:type="spellStart"/>
            <w:r w:rsidRPr="00C14E42">
              <w:rPr>
                <w:rFonts w:ascii="Times New Roman" w:hAnsi="Times New Roman" w:cs="Times New Roman"/>
                <w:sz w:val="20"/>
                <w:szCs w:val="20"/>
              </w:rPr>
              <w:t>gp</w:t>
            </w:r>
            <w:proofErr w:type="spellEnd"/>
            <w:r w:rsidRPr="00C14E42">
              <w:rPr>
                <w:rFonts w:ascii="Times New Roman" w:hAnsi="Times New Roman" w:cs="Times New Roman"/>
                <w:sz w:val="20"/>
                <w:szCs w:val="20"/>
              </w:rPr>
              <w:t xml:space="preserve"> (</w:t>
            </w:r>
            <w:proofErr w:type="spellStart"/>
            <w:r w:rsidRPr="00C14E42">
              <w:rPr>
                <w:rFonts w:ascii="Times New Roman" w:hAnsi="Times New Roman" w:cs="Times New Roman"/>
                <w:sz w:val="20"/>
                <w:szCs w:val="20"/>
              </w:rPr>
              <w:t>ciclosporină</w:t>
            </w:r>
            <w:proofErr w:type="spellEnd"/>
            <w:r w:rsidRPr="00C14E42">
              <w:rPr>
                <w:rFonts w:ascii="Times New Roman" w:hAnsi="Times New Roman" w:cs="Times New Roman"/>
                <w:sz w:val="20"/>
                <w:szCs w:val="20"/>
              </w:rPr>
              <w:t xml:space="preserve">, </w:t>
            </w:r>
            <w:proofErr w:type="spellStart"/>
            <w:r w:rsidRPr="00C14E42">
              <w:rPr>
                <w:rFonts w:ascii="Times New Roman" w:hAnsi="Times New Roman" w:cs="Times New Roman"/>
                <w:sz w:val="20"/>
                <w:szCs w:val="20"/>
              </w:rPr>
              <w:t>dronedaronă</w:t>
            </w:r>
            <w:proofErr w:type="spellEnd"/>
            <w:r w:rsidRPr="00C14E42">
              <w:rPr>
                <w:rFonts w:ascii="Times New Roman" w:hAnsi="Times New Roman" w:cs="Times New Roman"/>
                <w:sz w:val="20"/>
                <w:szCs w:val="20"/>
              </w:rPr>
              <w:t xml:space="preserve">, </w:t>
            </w:r>
            <w:proofErr w:type="spellStart"/>
            <w:r w:rsidRPr="00C14E42">
              <w:rPr>
                <w:rFonts w:ascii="Times New Roman" w:hAnsi="Times New Roman" w:cs="Times New Roman"/>
                <w:sz w:val="20"/>
                <w:szCs w:val="20"/>
              </w:rPr>
              <w:t>eritromicină</w:t>
            </w:r>
            <w:proofErr w:type="spellEnd"/>
            <w:r w:rsidRPr="00C14E42">
              <w:rPr>
                <w:rFonts w:ascii="Times New Roman" w:hAnsi="Times New Roman" w:cs="Times New Roman"/>
                <w:sz w:val="20"/>
                <w:szCs w:val="20"/>
              </w:rPr>
              <w:t xml:space="preserve">, </w:t>
            </w:r>
            <w:proofErr w:type="spellStart"/>
            <w:r w:rsidRPr="00C14E42">
              <w:rPr>
                <w:rFonts w:ascii="Times New Roman" w:hAnsi="Times New Roman" w:cs="Times New Roman"/>
                <w:sz w:val="20"/>
                <w:szCs w:val="20"/>
              </w:rPr>
              <w:t>ketoconazol</w:t>
            </w:r>
            <w:proofErr w:type="spellEnd"/>
            <w:r w:rsidRPr="00C14E42">
              <w:rPr>
                <w:rFonts w:ascii="Times New Roman" w:hAnsi="Times New Roman" w:cs="Times New Roman"/>
                <w:sz w:val="20"/>
                <w:szCs w:val="20"/>
              </w:rPr>
              <w:t>)</w:t>
            </w:r>
          </w:p>
        </w:tc>
      </w:tr>
      <w:tr w:rsidR="00C14E42" w:rsidRPr="00C14E42" w14:paraId="322F95A3" w14:textId="77777777" w:rsidTr="001F7E60">
        <w:tc>
          <w:tcPr>
            <w:tcW w:w="1585" w:type="dxa"/>
          </w:tcPr>
          <w:p w14:paraId="331C8618" w14:textId="77777777" w:rsidR="00B07ADA" w:rsidRPr="00C14E42" w:rsidRDefault="00B07ADA" w:rsidP="00182DD4">
            <w:pPr>
              <w:rPr>
                <w:rFonts w:ascii="Times New Roman" w:eastAsia="Calibri Light" w:hAnsi="Times New Roman" w:cs="Times New Roman"/>
                <w:sz w:val="20"/>
                <w:szCs w:val="20"/>
              </w:rPr>
            </w:pPr>
            <w:r w:rsidRPr="00C14E42">
              <w:rPr>
                <w:rFonts w:ascii="Times New Roman" w:eastAsia="Calibri Light" w:hAnsi="Times New Roman" w:cs="Times New Roman"/>
                <w:sz w:val="20"/>
                <w:szCs w:val="20"/>
              </w:rPr>
              <w:lastRenderedPageBreak/>
              <w:t>Rivaroxaban</w:t>
            </w:r>
          </w:p>
        </w:tc>
        <w:tc>
          <w:tcPr>
            <w:tcW w:w="4137" w:type="dxa"/>
          </w:tcPr>
          <w:p w14:paraId="68511DDC" w14:textId="77777777" w:rsidR="00B07ADA" w:rsidRPr="00C14E42" w:rsidRDefault="00B07ADA" w:rsidP="00182DD4">
            <w:pPr>
              <w:rPr>
                <w:rFonts w:ascii="Times New Roman" w:eastAsia="Calibri Light" w:hAnsi="Times New Roman" w:cs="Times New Roman"/>
                <w:sz w:val="20"/>
                <w:szCs w:val="20"/>
              </w:rPr>
            </w:pPr>
            <w:r w:rsidRPr="00C14E42">
              <w:rPr>
                <w:rFonts w:ascii="Times New Roman" w:eastAsia="Calibri Light" w:hAnsi="Times New Roman" w:cs="Times New Roman"/>
                <w:sz w:val="20"/>
                <w:szCs w:val="20"/>
              </w:rPr>
              <w:t xml:space="preserve">20 mg o </w:t>
            </w:r>
            <w:proofErr w:type="spellStart"/>
            <w:r w:rsidRPr="00C14E42">
              <w:rPr>
                <w:rFonts w:ascii="Times New Roman" w:eastAsia="Calibri Light" w:hAnsi="Times New Roman" w:cs="Times New Roman"/>
                <w:sz w:val="20"/>
                <w:szCs w:val="20"/>
              </w:rPr>
              <w:t>dată</w:t>
            </w:r>
            <w:proofErr w:type="spellEnd"/>
            <w:r w:rsidRPr="00C14E42">
              <w:rPr>
                <w:rFonts w:ascii="Times New Roman" w:eastAsia="Calibri Light" w:hAnsi="Times New Roman" w:cs="Times New Roman"/>
                <w:sz w:val="20"/>
                <w:szCs w:val="20"/>
              </w:rPr>
              <w:t>/</w:t>
            </w:r>
            <w:proofErr w:type="spellStart"/>
            <w:r w:rsidRPr="00C14E42">
              <w:rPr>
                <w:rFonts w:ascii="Times New Roman" w:eastAsia="Calibri Light" w:hAnsi="Times New Roman" w:cs="Times New Roman"/>
                <w:sz w:val="20"/>
                <w:szCs w:val="20"/>
              </w:rPr>
              <w:t>zi</w:t>
            </w:r>
            <w:proofErr w:type="spellEnd"/>
          </w:p>
          <w:p w14:paraId="0AF36448" w14:textId="77777777" w:rsidR="00B07ADA" w:rsidRPr="00C14E42" w:rsidRDefault="00B07ADA" w:rsidP="00182DD4">
            <w:pPr>
              <w:rPr>
                <w:rFonts w:ascii="Times New Roman" w:eastAsia="Calibri Light" w:hAnsi="Times New Roman" w:cs="Times New Roman"/>
                <w:sz w:val="20"/>
                <w:szCs w:val="20"/>
              </w:rPr>
            </w:pPr>
            <w:proofErr w:type="spellStart"/>
            <w:r w:rsidRPr="00C14E42">
              <w:rPr>
                <w:rFonts w:ascii="Times New Roman" w:eastAsia="Calibri Light" w:hAnsi="Times New Roman" w:cs="Times New Roman"/>
                <w:sz w:val="20"/>
                <w:szCs w:val="20"/>
              </w:rPr>
              <w:t>sau</w:t>
            </w:r>
            <w:proofErr w:type="spellEnd"/>
          </w:p>
          <w:p w14:paraId="365ACC17" w14:textId="77777777" w:rsidR="00B07ADA" w:rsidRPr="00C14E42" w:rsidRDefault="00B07ADA" w:rsidP="00182DD4">
            <w:pPr>
              <w:rPr>
                <w:rFonts w:ascii="Times New Roman" w:hAnsi="Times New Roman" w:cs="Times New Roman"/>
                <w:sz w:val="20"/>
                <w:szCs w:val="20"/>
              </w:rPr>
            </w:pPr>
            <w:r w:rsidRPr="00C14E42">
              <w:rPr>
                <w:rFonts w:ascii="Times New Roman" w:hAnsi="Times New Roman" w:cs="Times New Roman"/>
                <w:sz w:val="20"/>
                <w:szCs w:val="20"/>
              </w:rPr>
              <w:t xml:space="preserve">15 mg o </w:t>
            </w:r>
            <w:proofErr w:type="spellStart"/>
            <w:r w:rsidRPr="00C14E42">
              <w:rPr>
                <w:rFonts w:ascii="Times New Roman" w:hAnsi="Times New Roman" w:cs="Times New Roman"/>
                <w:sz w:val="20"/>
                <w:szCs w:val="20"/>
              </w:rPr>
              <w:t>dată</w:t>
            </w:r>
            <w:proofErr w:type="spellEnd"/>
            <w:r w:rsidRPr="00C14E42">
              <w:rPr>
                <w:rFonts w:ascii="Times New Roman" w:hAnsi="Times New Roman" w:cs="Times New Roman"/>
                <w:sz w:val="20"/>
                <w:szCs w:val="20"/>
              </w:rPr>
              <w:t xml:space="preserve"> /</w:t>
            </w:r>
            <w:proofErr w:type="spellStart"/>
            <w:r w:rsidRPr="00C14E42">
              <w:rPr>
                <w:rFonts w:ascii="Times New Roman" w:hAnsi="Times New Roman" w:cs="Times New Roman"/>
                <w:sz w:val="20"/>
                <w:szCs w:val="20"/>
              </w:rPr>
              <w:t>zi</w:t>
            </w:r>
            <w:proofErr w:type="spellEnd"/>
          </w:p>
          <w:p w14:paraId="54544F18" w14:textId="77777777" w:rsidR="00B07ADA" w:rsidRPr="00C14E42" w:rsidRDefault="00B07ADA" w:rsidP="00182DD4">
            <w:pPr>
              <w:jc w:val="both"/>
              <w:rPr>
                <w:rFonts w:ascii="Times New Roman" w:eastAsia="Calibri Light" w:hAnsi="Times New Roman" w:cs="Times New Roman"/>
                <w:sz w:val="20"/>
                <w:szCs w:val="20"/>
              </w:rPr>
            </w:pPr>
            <w:proofErr w:type="spellStart"/>
            <w:r w:rsidRPr="00C14E42">
              <w:rPr>
                <w:rFonts w:ascii="Times New Roman" w:eastAsia="Calibri Light" w:hAnsi="Times New Roman" w:cs="Times New Roman"/>
                <w:sz w:val="20"/>
                <w:szCs w:val="20"/>
              </w:rPr>
              <w:t>dacă</w:t>
            </w:r>
            <w:proofErr w:type="spellEnd"/>
            <w:r w:rsidRPr="00C14E42">
              <w:rPr>
                <w:rFonts w:ascii="Times New Roman" w:eastAsia="Calibri Light" w:hAnsi="Times New Roman" w:cs="Times New Roman"/>
                <w:sz w:val="20"/>
                <w:szCs w:val="20"/>
              </w:rPr>
              <w:t xml:space="preserve"> </w:t>
            </w:r>
            <w:proofErr w:type="spellStart"/>
            <w:r w:rsidRPr="00C14E42">
              <w:rPr>
                <w:rFonts w:ascii="Times New Roman" w:eastAsia="Calibri Light" w:hAnsi="Times New Roman" w:cs="Times New Roman"/>
                <w:sz w:val="20"/>
                <w:szCs w:val="20"/>
              </w:rPr>
              <w:t>ClCr</w:t>
            </w:r>
            <w:proofErr w:type="spellEnd"/>
            <w:r w:rsidRPr="00C14E42">
              <w:rPr>
                <w:rFonts w:ascii="Times New Roman" w:eastAsia="Calibri Light" w:hAnsi="Times New Roman" w:cs="Times New Roman"/>
                <w:sz w:val="20"/>
                <w:szCs w:val="20"/>
              </w:rPr>
              <w:t xml:space="preserve"> 15-49 ml/min</w:t>
            </w:r>
          </w:p>
        </w:tc>
        <w:tc>
          <w:tcPr>
            <w:tcW w:w="4394" w:type="dxa"/>
          </w:tcPr>
          <w:p w14:paraId="416B2329" w14:textId="77777777" w:rsidR="00B07ADA" w:rsidRPr="00C14E42" w:rsidRDefault="00B07ADA" w:rsidP="00182DD4">
            <w:pPr>
              <w:rPr>
                <w:rFonts w:ascii="Times New Roman" w:eastAsia="Calibri Light" w:hAnsi="Times New Roman" w:cs="Times New Roman"/>
                <w:sz w:val="20"/>
                <w:szCs w:val="20"/>
              </w:rPr>
            </w:pPr>
            <w:r w:rsidRPr="00C14E42">
              <w:rPr>
                <w:rFonts w:ascii="Times New Roman" w:eastAsia="Calibri Light" w:hAnsi="Times New Roman" w:cs="Times New Roman"/>
                <w:sz w:val="20"/>
                <w:szCs w:val="20"/>
              </w:rPr>
              <w:t xml:space="preserve">20 mg o </w:t>
            </w:r>
            <w:proofErr w:type="spellStart"/>
            <w:r w:rsidRPr="00C14E42">
              <w:rPr>
                <w:rFonts w:ascii="Times New Roman" w:eastAsia="Calibri Light" w:hAnsi="Times New Roman" w:cs="Times New Roman"/>
                <w:sz w:val="20"/>
                <w:szCs w:val="20"/>
              </w:rPr>
              <w:t>dată</w:t>
            </w:r>
            <w:proofErr w:type="spellEnd"/>
            <w:r w:rsidRPr="00C14E42">
              <w:rPr>
                <w:rFonts w:ascii="Times New Roman" w:eastAsia="Calibri Light" w:hAnsi="Times New Roman" w:cs="Times New Roman"/>
                <w:sz w:val="20"/>
                <w:szCs w:val="20"/>
              </w:rPr>
              <w:t>/</w:t>
            </w:r>
            <w:proofErr w:type="spellStart"/>
            <w:r w:rsidRPr="00C14E42">
              <w:rPr>
                <w:rFonts w:ascii="Times New Roman" w:eastAsia="Calibri Light" w:hAnsi="Times New Roman" w:cs="Times New Roman"/>
                <w:sz w:val="20"/>
                <w:szCs w:val="20"/>
              </w:rPr>
              <w:t>zi</w:t>
            </w:r>
            <w:proofErr w:type="spellEnd"/>
          </w:p>
          <w:p w14:paraId="4630B4C2" w14:textId="77777777" w:rsidR="00B07ADA" w:rsidRPr="00C14E42" w:rsidRDefault="00B07ADA" w:rsidP="00182DD4">
            <w:pPr>
              <w:rPr>
                <w:rFonts w:ascii="Times New Roman" w:eastAsia="Calibri Light" w:hAnsi="Times New Roman" w:cs="Times New Roman"/>
                <w:sz w:val="20"/>
                <w:szCs w:val="20"/>
              </w:rPr>
            </w:pPr>
            <w:proofErr w:type="spellStart"/>
            <w:r w:rsidRPr="00C14E42">
              <w:rPr>
                <w:rFonts w:ascii="Times New Roman" w:eastAsia="Calibri Light" w:hAnsi="Times New Roman" w:cs="Times New Roman"/>
                <w:sz w:val="20"/>
                <w:szCs w:val="20"/>
              </w:rPr>
              <w:t>după</w:t>
            </w:r>
            <w:proofErr w:type="spellEnd"/>
            <w:r w:rsidRPr="00C14E42">
              <w:rPr>
                <w:rFonts w:ascii="Times New Roman" w:eastAsia="Calibri Light" w:hAnsi="Times New Roman" w:cs="Times New Roman"/>
                <w:sz w:val="20"/>
                <w:szCs w:val="20"/>
              </w:rPr>
              <w:t xml:space="preserve"> 6 </w:t>
            </w:r>
            <w:proofErr w:type="spellStart"/>
            <w:r w:rsidRPr="00C14E42">
              <w:rPr>
                <w:rFonts w:ascii="Times New Roman" w:eastAsia="Calibri Light" w:hAnsi="Times New Roman" w:cs="Times New Roman"/>
                <w:sz w:val="20"/>
                <w:szCs w:val="20"/>
              </w:rPr>
              <w:t>luni</w:t>
            </w:r>
            <w:proofErr w:type="spellEnd"/>
            <w:r w:rsidRPr="00C14E42">
              <w:rPr>
                <w:rFonts w:ascii="Times New Roman" w:eastAsia="Calibri Light" w:hAnsi="Times New Roman" w:cs="Times New Roman"/>
                <w:sz w:val="20"/>
                <w:szCs w:val="20"/>
              </w:rPr>
              <w:t xml:space="preserve">, </w:t>
            </w:r>
            <w:proofErr w:type="spellStart"/>
            <w:r w:rsidRPr="00C14E42">
              <w:rPr>
                <w:rFonts w:ascii="Times New Roman" w:eastAsia="Calibri Light" w:hAnsi="Times New Roman" w:cs="Times New Roman"/>
                <w:sz w:val="20"/>
                <w:szCs w:val="20"/>
              </w:rPr>
              <w:t>dacă</w:t>
            </w:r>
            <w:proofErr w:type="spellEnd"/>
            <w:r w:rsidRPr="00C14E42">
              <w:rPr>
                <w:rFonts w:ascii="Times New Roman" w:eastAsia="Calibri Light" w:hAnsi="Times New Roman" w:cs="Times New Roman"/>
                <w:sz w:val="20"/>
                <w:szCs w:val="20"/>
              </w:rPr>
              <w:t xml:space="preserve"> se </w:t>
            </w:r>
            <w:proofErr w:type="spellStart"/>
            <w:r w:rsidRPr="00C14E42">
              <w:rPr>
                <w:rFonts w:ascii="Times New Roman" w:eastAsia="Calibri Light" w:hAnsi="Times New Roman" w:cs="Times New Roman"/>
                <w:sz w:val="20"/>
                <w:szCs w:val="20"/>
              </w:rPr>
              <w:t>continuă</w:t>
            </w:r>
            <w:proofErr w:type="spellEnd"/>
            <w:r w:rsidRPr="00C14E42">
              <w:rPr>
                <w:rFonts w:ascii="Times New Roman" w:eastAsia="Calibri Light" w:hAnsi="Times New Roman" w:cs="Times New Roman"/>
                <w:sz w:val="20"/>
                <w:szCs w:val="20"/>
              </w:rPr>
              <w:t xml:space="preserve"> </w:t>
            </w:r>
            <w:proofErr w:type="spellStart"/>
            <w:r w:rsidRPr="00C14E42">
              <w:rPr>
                <w:rFonts w:ascii="Times New Roman" w:eastAsia="Calibri Light" w:hAnsi="Times New Roman" w:cs="Times New Roman"/>
                <w:sz w:val="20"/>
                <w:szCs w:val="20"/>
              </w:rPr>
              <w:t>în</w:t>
            </w:r>
            <w:proofErr w:type="spellEnd"/>
            <w:r w:rsidRPr="00C14E42">
              <w:rPr>
                <w:rFonts w:ascii="Times New Roman" w:eastAsia="Calibri Light" w:hAnsi="Times New Roman" w:cs="Times New Roman"/>
                <w:sz w:val="20"/>
                <w:szCs w:val="20"/>
              </w:rPr>
              <w:t xml:space="preserve"> </w:t>
            </w:r>
            <w:proofErr w:type="spellStart"/>
            <w:r w:rsidRPr="00C14E42">
              <w:rPr>
                <w:rFonts w:ascii="Times New Roman" w:eastAsia="Calibri Light" w:hAnsi="Times New Roman" w:cs="Times New Roman"/>
                <w:sz w:val="20"/>
                <w:szCs w:val="20"/>
              </w:rPr>
              <w:t>profilaxie</w:t>
            </w:r>
            <w:proofErr w:type="spellEnd"/>
            <w:r w:rsidRPr="00C14E42">
              <w:rPr>
                <w:rFonts w:ascii="Times New Roman" w:eastAsia="Calibri Light" w:hAnsi="Times New Roman" w:cs="Times New Roman"/>
                <w:sz w:val="20"/>
                <w:szCs w:val="20"/>
              </w:rPr>
              <w:t xml:space="preserve"> </w:t>
            </w:r>
            <w:proofErr w:type="spellStart"/>
            <w:r w:rsidRPr="00C14E42">
              <w:rPr>
                <w:rFonts w:ascii="Times New Roman" w:eastAsia="Calibri Light" w:hAnsi="Times New Roman" w:cs="Times New Roman"/>
                <w:sz w:val="20"/>
                <w:szCs w:val="20"/>
              </w:rPr>
              <w:t>secundară</w:t>
            </w:r>
            <w:proofErr w:type="spellEnd"/>
          </w:p>
          <w:p w14:paraId="559360A6" w14:textId="77777777" w:rsidR="00B07ADA" w:rsidRPr="00C14E42" w:rsidRDefault="00B07ADA" w:rsidP="00182DD4">
            <w:pPr>
              <w:rPr>
                <w:rFonts w:ascii="Times New Roman" w:eastAsia="Calibri Light" w:hAnsi="Times New Roman" w:cs="Times New Roman"/>
                <w:sz w:val="20"/>
                <w:szCs w:val="20"/>
              </w:rPr>
            </w:pPr>
            <w:r w:rsidRPr="00C14E42">
              <w:rPr>
                <w:rFonts w:ascii="Times New Roman" w:eastAsia="Calibri Light" w:hAnsi="Times New Roman" w:cs="Times New Roman"/>
                <w:sz w:val="20"/>
                <w:szCs w:val="20"/>
              </w:rPr>
              <w:t xml:space="preserve">10 </w:t>
            </w:r>
            <w:proofErr w:type="spellStart"/>
            <w:r w:rsidRPr="00C14E42">
              <w:rPr>
                <w:rFonts w:ascii="Times New Roman" w:eastAsia="Calibri Light" w:hAnsi="Times New Roman" w:cs="Times New Roman"/>
                <w:sz w:val="20"/>
                <w:szCs w:val="20"/>
              </w:rPr>
              <w:t>sau</w:t>
            </w:r>
            <w:proofErr w:type="spellEnd"/>
            <w:r w:rsidRPr="00C14E42">
              <w:rPr>
                <w:rFonts w:ascii="Times New Roman" w:eastAsia="Calibri Light" w:hAnsi="Times New Roman" w:cs="Times New Roman"/>
                <w:sz w:val="20"/>
                <w:szCs w:val="20"/>
              </w:rPr>
              <w:t xml:space="preserve"> 20 mg o </w:t>
            </w:r>
            <w:proofErr w:type="spellStart"/>
            <w:r w:rsidRPr="00C14E42">
              <w:rPr>
                <w:rFonts w:ascii="Times New Roman" w:eastAsia="Calibri Light" w:hAnsi="Times New Roman" w:cs="Times New Roman"/>
                <w:sz w:val="20"/>
                <w:szCs w:val="20"/>
              </w:rPr>
              <w:t>dată</w:t>
            </w:r>
            <w:proofErr w:type="spellEnd"/>
            <w:r w:rsidRPr="00C14E42">
              <w:rPr>
                <w:rFonts w:ascii="Times New Roman" w:eastAsia="Calibri Light" w:hAnsi="Times New Roman" w:cs="Times New Roman"/>
                <w:sz w:val="20"/>
                <w:szCs w:val="20"/>
              </w:rPr>
              <w:t>/</w:t>
            </w:r>
            <w:proofErr w:type="spellStart"/>
            <w:r w:rsidRPr="00C14E42">
              <w:rPr>
                <w:rFonts w:ascii="Times New Roman" w:eastAsia="Calibri Light" w:hAnsi="Times New Roman" w:cs="Times New Roman"/>
                <w:sz w:val="20"/>
                <w:szCs w:val="20"/>
              </w:rPr>
              <w:t>zi</w:t>
            </w:r>
            <w:proofErr w:type="spellEnd"/>
          </w:p>
          <w:p w14:paraId="11EFA8E8" w14:textId="77777777" w:rsidR="00B07ADA" w:rsidRPr="00C14E42" w:rsidRDefault="00B07ADA" w:rsidP="00182DD4">
            <w:pPr>
              <w:rPr>
                <w:rFonts w:ascii="Times New Roman" w:eastAsia="Calibri Light" w:hAnsi="Times New Roman" w:cs="Times New Roman"/>
                <w:sz w:val="20"/>
                <w:szCs w:val="20"/>
              </w:rPr>
            </w:pPr>
          </w:p>
        </w:tc>
      </w:tr>
      <w:tr w:rsidR="00C14E42" w:rsidRPr="00C14E42" w14:paraId="48255D33" w14:textId="77777777" w:rsidTr="001F7E60">
        <w:tc>
          <w:tcPr>
            <w:tcW w:w="1585" w:type="dxa"/>
          </w:tcPr>
          <w:p w14:paraId="668C6162" w14:textId="77777777" w:rsidR="00B07ADA" w:rsidRPr="00C14E42" w:rsidRDefault="00B07ADA" w:rsidP="00182DD4">
            <w:pPr>
              <w:rPr>
                <w:rFonts w:ascii="Times New Roman" w:eastAsia="Calibri Light" w:hAnsi="Times New Roman" w:cs="Times New Roman"/>
                <w:sz w:val="20"/>
                <w:szCs w:val="20"/>
              </w:rPr>
            </w:pPr>
            <w:r w:rsidRPr="00C14E42">
              <w:rPr>
                <w:rFonts w:ascii="Times New Roman" w:eastAsia="Calibri Light" w:hAnsi="Times New Roman" w:cs="Times New Roman"/>
                <w:sz w:val="20"/>
                <w:szCs w:val="20"/>
              </w:rPr>
              <w:t>Dabigatran</w:t>
            </w:r>
          </w:p>
        </w:tc>
        <w:tc>
          <w:tcPr>
            <w:tcW w:w="4137" w:type="dxa"/>
          </w:tcPr>
          <w:p w14:paraId="3280DE45" w14:textId="77777777" w:rsidR="00B07ADA" w:rsidRPr="00C14E42" w:rsidRDefault="00B07ADA" w:rsidP="00182DD4">
            <w:pPr>
              <w:rPr>
                <w:rFonts w:ascii="Times New Roman" w:eastAsia="Calibri Light" w:hAnsi="Times New Roman" w:cs="Times New Roman"/>
                <w:sz w:val="20"/>
                <w:szCs w:val="20"/>
              </w:rPr>
            </w:pPr>
            <w:r w:rsidRPr="00C14E42">
              <w:rPr>
                <w:rFonts w:ascii="Times New Roman" w:eastAsia="Calibri Light" w:hAnsi="Times New Roman" w:cs="Times New Roman"/>
                <w:sz w:val="20"/>
                <w:szCs w:val="20"/>
              </w:rPr>
              <w:t>150 mg - 2x /</w:t>
            </w:r>
            <w:proofErr w:type="spellStart"/>
            <w:r w:rsidRPr="00C14E42">
              <w:rPr>
                <w:rFonts w:ascii="Times New Roman" w:eastAsia="Calibri Light" w:hAnsi="Times New Roman" w:cs="Times New Roman"/>
                <w:sz w:val="20"/>
                <w:szCs w:val="20"/>
              </w:rPr>
              <w:t>zi</w:t>
            </w:r>
            <w:proofErr w:type="spellEnd"/>
          </w:p>
          <w:p w14:paraId="14DBC59A" w14:textId="77777777" w:rsidR="00B07ADA" w:rsidRPr="00C14E42" w:rsidRDefault="00B07ADA" w:rsidP="00182DD4">
            <w:pPr>
              <w:rPr>
                <w:rFonts w:ascii="Times New Roman" w:eastAsia="Calibri Light" w:hAnsi="Times New Roman" w:cs="Times New Roman"/>
                <w:sz w:val="20"/>
                <w:szCs w:val="20"/>
              </w:rPr>
            </w:pPr>
            <w:proofErr w:type="spellStart"/>
            <w:r w:rsidRPr="00C14E42">
              <w:rPr>
                <w:rFonts w:ascii="Times New Roman" w:eastAsia="Calibri Light" w:hAnsi="Times New Roman" w:cs="Times New Roman"/>
                <w:sz w:val="20"/>
                <w:szCs w:val="20"/>
              </w:rPr>
              <w:t>sau</w:t>
            </w:r>
            <w:proofErr w:type="spellEnd"/>
          </w:p>
          <w:p w14:paraId="4E3851D4" w14:textId="77777777" w:rsidR="00B07ADA" w:rsidRPr="00C14E42" w:rsidRDefault="00B07ADA" w:rsidP="00182DD4">
            <w:pPr>
              <w:rPr>
                <w:rFonts w:ascii="Times New Roman" w:eastAsia="Calibri Light" w:hAnsi="Times New Roman" w:cs="Times New Roman"/>
                <w:sz w:val="20"/>
                <w:szCs w:val="20"/>
              </w:rPr>
            </w:pPr>
            <w:r w:rsidRPr="00C14E42">
              <w:rPr>
                <w:rFonts w:ascii="Times New Roman" w:eastAsia="Calibri Light" w:hAnsi="Times New Roman" w:cs="Times New Roman"/>
                <w:sz w:val="20"/>
                <w:szCs w:val="20"/>
              </w:rPr>
              <w:t>110 mg - 2x /</w:t>
            </w:r>
            <w:proofErr w:type="spellStart"/>
            <w:r w:rsidRPr="00C14E42">
              <w:rPr>
                <w:rFonts w:ascii="Times New Roman" w:eastAsia="Calibri Light" w:hAnsi="Times New Roman" w:cs="Times New Roman"/>
                <w:sz w:val="20"/>
                <w:szCs w:val="20"/>
              </w:rPr>
              <w:t>zi</w:t>
            </w:r>
            <w:proofErr w:type="spellEnd"/>
          </w:p>
          <w:p w14:paraId="61A80449" w14:textId="77777777" w:rsidR="00B07ADA" w:rsidRPr="00C14E42" w:rsidRDefault="00B07ADA" w:rsidP="00182DD4">
            <w:pPr>
              <w:rPr>
                <w:rFonts w:ascii="Times New Roman" w:eastAsia="Calibri Light" w:hAnsi="Times New Roman" w:cs="Times New Roman"/>
                <w:sz w:val="20"/>
                <w:szCs w:val="20"/>
              </w:rPr>
            </w:pPr>
            <w:r w:rsidRPr="00C14E42">
              <w:rPr>
                <w:rFonts w:ascii="Times New Roman" w:eastAsia="Calibri Light" w:hAnsi="Times New Roman" w:cs="Times New Roman"/>
                <w:sz w:val="20"/>
                <w:szCs w:val="20"/>
              </w:rPr>
              <w:t xml:space="preserve">la </w:t>
            </w:r>
            <w:proofErr w:type="spellStart"/>
            <w:r w:rsidRPr="00C14E42">
              <w:rPr>
                <w:rFonts w:ascii="Times New Roman" w:eastAsia="Calibri Light" w:hAnsi="Times New Roman" w:cs="Times New Roman"/>
                <w:sz w:val="20"/>
                <w:szCs w:val="20"/>
              </w:rPr>
              <w:t>pacienții</w:t>
            </w:r>
            <w:proofErr w:type="spellEnd"/>
            <w:r w:rsidRPr="00C14E42">
              <w:rPr>
                <w:rFonts w:ascii="Times New Roman" w:eastAsia="Calibri Light" w:hAnsi="Times New Roman" w:cs="Times New Roman"/>
                <w:sz w:val="20"/>
                <w:szCs w:val="20"/>
              </w:rPr>
              <w:t xml:space="preserve"> cu </w:t>
            </w:r>
            <w:proofErr w:type="spellStart"/>
            <w:r w:rsidRPr="00C14E42">
              <w:rPr>
                <w:rFonts w:ascii="Times New Roman" w:eastAsia="Calibri Light" w:hAnsi="Times New Roman" w:cs="Times New Roman"/>
                <w:sz w:val="20"/>
                <w:szCs w:val="20"/>
              </w:rPr>
              <w:t>risc</w:t>
            </w:r>
            <w:proofErr w:type="spellEnd"/>
            <w:r w:rsidRPr="00C14E42">
              <w:rPr>
                <w:rFonts w:ascii="Times New Roman" w:eastAsia="Calibri Light" w:hAnsi="Times New Roman" w:cs="Times New Roman"/>
                <w:sz w:val="20"/>
                <w:szCs w:val="20"/>
              </w:rPr>
              <w:t xml:space="preserve"> mare de </w:t>
            </w:r>
            <w:proofErr w:type="spellStart"/>
            <w:r w:rsidRPr="00C14E42">
              <w:rPr>
                <w:rFonts w:ascii="Times New Roman" w:eastAsia="Calibri Light" w:hAnsi="Times New Roman" w:cs="Times New Roman"/>
                <w:sz w:val="20"/>
                <w:szCs w:val="20"/>
              </w:rPr>
              <w:t>sângerare</w:t>
            </w:r>
            <w:proofErr w:type="spellEnd"/>
          </w:p>
        </w:tc>
        <w:tc>
          <w:tcPr>
            <w:tcW w:w="4394" w:type="dxa"/>
          </w:tcPr>
          <w:p w14:paraId="05B94F4C" w14:textId="77777777" w:rsidR="00B07ADA" w:rsidRPr="00C14E42" w:rsidRDefault="00B07ADA" w:rsidP="00182DD4">
            <w:pPr>
              <w:rPr>
                <w:rFonts w:ascii="Times New Roman" w:eastAsia="Calibri Light" w:hAnsi="Times New Roman" w:cs="Times New Roman"/>
                <w:sz w:val="20"/>
                <w:szCs w:val="20"/>
              </w:rPr>
            </w:pPr>
            <w:r w:rsidRPr="00C14E42">
              <w:rPr>
                <w:rFonts w:ascii="Times New Roman" w:eastAsia="Calibri Light" w:hAnsi="Times New Roman" w:cs="Times New Roman"/>
                <w:sz w:val="20"/>
                <w:szCs w:val="20"/>
              </w:rPr>
              <w:t>150 mg - 2x /</w:t>
            </w:r>
            <w:proofErr w:type="spellStart"/>
            <w:r w:rsidRPr="00C14E42">
              <w:rPr>
                <w:rFonts w:ascii="Times New Roman" w:eastAsia="Calibri Light" w:hAnsi="Times New Roman" w:cs="Times New Roman"/>
                <w:sz w:val="20"/>
                <w:szCs w:val="20"/>
              </w:rPr>
              <w:t>zi</w:t>
            </w:r>
            <w:proofErr w:type="spellEnd"/>
          </w:p>
          <w:p w14:paraId="3123C3DE" w14:textId="77777777" w:rsidR="00B07ADA" w:rsidRPr="00C14E42" w:rsidRDefault="00B07ADA" w:rsidP="00182DD4">
            <w:pPr>
              <w:rPr>
                <w:rFonts w:ascii="Times New Roman" w:eastAsia="Calibri Light" w:hAnsi="Times New Roman" w:cs="Times New Roman"/>
                <w:sz w:val="20"/>
                <w:szCs w:val="20"/>
              </w:rPr>
            </w:pPr>
            <w:proofErr w:type="spellStart"/>
            <w:r w:rsidRPr="00C14E42">
              <w:rPr>
                <w:rFonts w:ascii="Times New Roman" w:eastAsia="Calibri Light" w:hAnsi="Times New Roman" w:cs="Times New Roman"/>
                <w:sz w:val="20"/>
                <w:szCs w:val="20"/>
              </w:rPr>
              <w:t>sau</w:t>
            </w:r>
            <w:proofErr w:type="spellEnd"/>
          </w:p>
          <w:p w14:paraId="441DEA66" w14:textId="77777777" w:rsidR="00B07ADA" w:rsidRPr="00C14E42" w:rsidRDefault="00B07ADA" w:rsidP="00182DD4">
            <w:pPr>
              <w:rPr>
                <w:rFonts w:ascii="Times New Roman" w:eastAsia="Calibri Light" w:hAnsi="Times New Roman" w:cs="Times New Roman"/>
                <w:sz w:val="20"/>
                <w:szCs w:val="20"/>
              </w:rPr>
            </w:pPr>
            <w:r w:rsidRPr="00C14E42">
              <w:rPr>
                <w:rFonts w:ascii="Times New Roman" w:eastAsia="Calibri Light" w:hAnsi="Times New Roman" w:cs="Times New Roman"/>
                <w:sz w:val="20"/>
                <w:szCs w:val="20"/>
              </w:rPr>
              <w:t>110 mg - 2x /</w:t>
            </w:r>
            <w:proofErr w:type="spellStart"/>
            <w:r w:rsidRPr="00C14E42">
              <w:rPr>
                <w:rFonts w:ascii="Times New Roman" w:eastAsia="Calibri Light" w:hAnsi="Times New Roman" w:cs="Times New Roman"/>
                <w:sz w:val="20"/>
                <w:szCs w:val="20"/>
              </w:rPr>
              <w:t>zi</w:t>
            </w:r>
            <w:proofErr w:type="spellEnd"/>
          </w:p>
          <w:p w14:paraId="4AB62139" w14:textId="77777777" w:rsidR="00B07ADA" w:rsidRPr="00C14E42" w:rsidRDefault="00B07ADA" w:rsidP="00182DD4">
            <w:pPr>
              <w:rPr>
                <w:rFonts w:ascii="Times New Roman" w:eastAsia="Calibri Light" w:hAnsi="Times New Roman" w:cs="Times New Roman"/>
                <w:sz w:val="20"/>
                <w:szCs w:val="20"/>
              </w:rPr>
            </w:pPr>
            <w:r w:rsidRPr="00C14E42">
              <w:rPr>
                <w:rFonts w:ascii="Times New Roman" w:eastAsia="Calibri Light" w:hAnsi="Times New Roman" w:cs="Times New Roman"/>
                <w:sz w:val="20"/>
                <w:szCs w:val="20"/>
              </w:rPr>
              <w:t xml:space="preserve">la </w:t>
            </w:r>
            <w:proofErr w:type="spellStart"/>
            <w:r w:rsidRPr="00C14E42">
              <w:rPr>
                <w:rFonts w:ascii="Times New Roman" w:eastAsia="Calibri Light" w:hAnsi="Times New Roman" w:cs="Times New Roman"/>
                <w:sz w:val="20"/>
                <w:szCs w:val="20"/>
              </w:rPr>
              <w:t>pacienții</w:t>
            </w:r>
            <w:proofErr w:type="spellEnd"/>
            <w:r w:rsidRPr="00C14E42">
              <w:rPr>
                <w:rFonts w:ascii="Times New Roman" w:eastAsia="Calibri Light" w:hAnsi="Times New Roman" w:cs="Times New Roman"/>
                <w:sz w:val="20"/>
                <w:szCs w:val="20"/>
              </w:rPr>
              <w:t xml:space="preserve"> cu </w:t>
            </w:r>
            <w:proofErr w:type="spellStart"/>
            <w:r w:rsidRPr="00C14E42">
              <w:rPr>
                <w:rFonts w:ascii="Times New Roman" w:eastAsia="Calibri Light" w:hAnsi="Times New Roman" w:cs="Times New Roman"/>
                <w:sz w:val="20"/>
                <w:szCs w:val="20"/>
              </w:rPr>
              <w:t>risc</w:t>
            </w:r>
            <w:proofErr w:type="spellEnd"/>
            <w:r w:rsidRPr="00C14E42">
              <w:rPr>
                <w:rFonts w:ascii="Times New Roman" w:eastAsia="Calibri Light" w:hAnsi="Times New Roman" w:cs="Times New Roman"/>
                <w:sz w:val="20"/>
                <w:szCs w:val="20"/>
              </w:rPr>
              <w:t xml:space="preserve"> mare de </w:t>
            </w:r>
            <w:proofErr w:type="spellStart"/>
            <w:r w:rsidRPr="00C14E42">
              <w:rPr>
                <w:rFonts w:ascii="Times New Roman" w:eastAsia="Calibri Light" w:hAnsi="Times New Roman" w:cs="Times New Roman"/>
                <w:sz w:val="20"/>
                <w:szCs w:val="20"/>
              </w:rPr>
              <w:t>sângerare</w:t>
            </w:r>
            <w:proofErr w:type="spellEnd"/>
          </w:p>
        </w:tc>
      </w:tr>
    </w:tbl>
    <w:p w14:paraId="30F5F9A1" w14:textId="77777777" w:rsidR="00B07ADA" w:rsidRPr="00C14E42" w:rsidRDefault="00B07ADA" w:rsidP="00B07ADA">
      <w:pPr>
        <w:spacing w:after="0" w:line="240" w:lineRule="auto"/>
        <w:ind w:right="72"/>
        <w:jc w:val="both"/>
        <w:rPr>
          <w:rFonts w:ascii="Times New Roman" w:eastAsia="Times New Roman" w:hAnsi="Times New Roman" w:cs="Times New Roman"/>
          <w:sz w:val="24"/>
          <w:szCs w:val="24"/>
          <w:bdr w:val="none" w:sz="0" w:space="0" w:color="auto" w:frame="1"/>
          <w:shd w:val="clear" w:color="auto" w:fill="FFFFFF"/>
        </w:rPr>
      </w:pPr>
    </w:p>
    <w:p w14:paraId="67766A88" w14:textId="77777777" w:rsidR="00B07ADA" w:rsidRPr="00C14E42" w:rsidRDefault="00B07ADA"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71C3C5F5" w14:textId="77777777" w:rsidR="00B07ADA" w:rsidRPr="00C14E42" w:rsidRDefault="00022853" w:rsidP="00022853">
      <w:pPr>
        <w:spacing w:after="0" w:line="240" w:lineRule="auto"/>
        <w:ind w:left="72" w:right="72"/>
        <w:jc w:val="both"/>
        <w:rPr>
          <w:rFonts w:ascii="Times New Roman" w:eastAsia="Times New Roman" w:hAnsi="Times New Roman" w:cs="Times New Roman"/>
          <w:sz w:val="20"/>
          <w:szCs w:val="20"/>
          <w:bdr w:val="none" w:sz="0" w:space="0" w:color="auto" w:frame="1"/>
          <w:shd w:val="clear" w:color="auto" w:fill="FFFFFF"/>
        </w:rPr>
      </w:pPr>
      <w:r w:rsidRPr="00C14E42">
        <w:rPr>
          <w:rFonts w:ascii="Times New Roman" w:eastAsia="Times New Roman" w:hAnsi="Times New Roman" w:cs="Times New Roman"/>
          <w:sz w:val="20"/>
          <w:szCs w:val="20"/>
          <w:bdr w:val="none" w:sz="0" w:space="0" w:color="auto" w:frame="1"/>
          <w:shd w:val="clear" w:color="auto" w:fill="FFFFFF"/>
        </w:rPr>
        <w:t>NOTE:</w:t>
      </w:r>
    </w:p>
    <w:p w14:paraId="2ECF809F" w14:textId="77777777" w:rsidR="00B07ADA" w:rsidRPr="00C14E42" w:rsidRDefault="00022853" w:rsidP="00022853">
      <w:pPr>
        <w:spacing w:after="0" w:line="240" w:lineRule="auto"/>
        <w:ind w:left="72" w:right="72"/>
        <w:jc w:val="both"/>
        <w:rPr>
          <w:rFonts w:ascii="Times New Roman" w:eastAsia="Times New Roman" w:hAnsi="Times New Roman" w:cs="Times New Roman"/>
          <w:sz w:val="20"/>
          <w:szCs w:val="20"/>
          <w:bdr w:val="none" w:sz="0" w:space="0" w:color="auto" w:frame="1"/>
          <w:shd w:val="clear" w:color="auto" w:fill="FFFFFF"/>
        </w:rPr>
      </w:pPr>
      <w:r w:rsidRPr="00C14E42">
        <w:rPr>
          <w:rFonts w:ascii="Times New Roman" w:eastAsia="Times New Roman" w:hAnsi="Times New Roman" w:cs="Times New Roman"/>
          <w:sz w:val="20"/>
          <w:szCs w:val="20"/>
          <w:bdr w:val="none" w:sz="0" w:space="0" w:color="auto" w:frame="1"/>
          <w:shd w:val="clear" w:color="auto" w:fill="FFFFFF"/>
        </w:rPr>
        <w:t>NOAC sunt susceptibile la interacțiuni medicamentoase, relevante pentru pacienții cu COVID-19 fiind cele cu dexametazonă și posibil medicația antivirală. Este necesară consultarea datelor disponibile în acest sens pentru a stabili profilul de siguranță și dozajul adecvat.</w:t>
      </w:r>
    </w:p>
    <w:p w14:paraId="56E1948C" w14:textId="77777777" w:rsidR="00B07ADA" w:rsidRPr="00C14E42" w:rsidRDefault="00022853" w:rsidP="00022853">
      <w:pPr>
        <w:spacing w:after="0" w:line="240" w:lineRule="auto"/>
        <w:ind w:left="72" w:right="72"/>
        <w:jc w:val="both"/>
        <w:rPr>
          <w:rFonts w:ascii="Times New Roman" w:eastAsia="Times New Roman" w:hAnsi="Times New Roman" w:cs="Times New Roman"/>
          <w:sz w:val="20"/>
          <w:szCs w:val="20"/>
          <w:bdr w:val="none" w:sz="0" w:space="0" w:color="auto" w:frame="1"/>
          <w:shd w:val="clear" w:color="auto" w:fill="FFFFFF"/>
        </w:rPr>
      </w:pPr>
      <w:r w:rsidRPr="00C14E42">
        <w:rPr>
          <w:rFonts w:ascii="Times New Roman" w:eastAsia="Times New Roman" w:hAnsi="Times New Roman" w:cs="Times New Roman"/>
          <w:sz w:val="20"/>
          <w:szCs w:val="20"/>
          <w:bdr w:val="none" w:sz="0" w:space="0" w:color="auto" w:frame="1"/>
          <w:shd w:val="clear" w:color="auto" w:fill="FFFFFF"/>
        </w:rPr>
        <w:t>ClCr se va estima prin formula Cockcroft-Gault.</w:t>
      </w:r>
    </w:p>
    <w:p w14:paraId="0F9B915E" w14:textId="270C9062" w:rsidR="00022853" w:rsidRPr="00C14E42" w:rsidRDefault="00022853" w:rsidP="00022853">
      <w:pPr>
        <w:spacing w:after="0" w:line="240" w:lineRule="auto"/>
        <w:ind w:left="72" w:right="72"/>
        <w:jc w:val="both"/>
        <w:rPr>
          <w:rFonts w:ascii="Times New Roman" w:eastAsia="Times New Roman" w:hAnsi="Times New Roman" w:cs="Times New Roman"/>
          <w:sz w:val="20"/>
          <w:szCs w:val="20"/>
          <w:bdr w:val="none" w:sz="0" w:space="0" w:color="auto" w:frame="1"/>
          <w:shd w:val="clear" w:color="auto" w:fill="FFFFFF"/>
        </w:rPr>
      </w:pPr>
      <w:r w:rsidRPr="00C14E42">
        <w:rPr>
          <w:rFonts w:ascii="Times New Roman" w:eastAsia="Times New Roman" w:hAnsi="Times New Roman" w:cs="Times New Roman"/>
          <w:sz w:val="20"/>
          <w:szCs w:val="20"/>
          <w:bdr w:val="none" w:sz="0" w:space="0" w:color="auto" w:frame="1"/>
          <w:shd w:val="clear" w:color="auto" w:fill="FFFFFF"/>
        </w:rPr>
        <w:t>Apixaban și rivaroxaban sunt contraindicate la un ClCr &lt; 15 ml/min. și trebuie folosite cu precauție la ClCr 15-29 ml/min.; edoxaban este nerecomandat la ClCr &lt; 30 ml/min.; dabigatran este contraindicat la ClCr &lt; 30 ml/min.</w:t>
      </w:r>
    </w:p>
    <w:p w14:paraId="5E248263" w14:textId="77777777" w:rsidR="00022853"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39AAF57E" w14:textId="77777777" w:rsidR="00022853"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Tabel B3-2. Preparate și doze pentru HGMM</w:t>
      </w:r>
    </w:p>
    <w:p w14:paraId="6779AE8D" w14:textId="77777777" w:rsidR="00B07ADA" w:rsidRPr="00C14E42" w:rsidRDefault="00B07ADA"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tbl>
      <w:tblPr>
        <w:tblStyle w:val="TableGrid"/>
        <w:tblW w:w="10116" w:type="dxa"/>
        <w:tblInd w:w="85" w:type="dxa"/>
        <w:tblLook w:val="04A0" w:firstRow="1" w:lastRow="0" w:firstColumn="1" w:lastColumn="0" w:noHBand="0" w:noVBand="1"/>
      </w:tblPr>
      <w:tblGrid>
        <w:gridCol w:w="2072"/>
        <w:gridCol w:w="3792"/>
        <w:gridCol w:w="4252"/>
      </w:tblGrid>
      <w:tr w:rsidR="00C14E42" w:rsidRPr="00C14E42" w14:paraId="73D9BEB2" w14:textId="77777777" w:rsidTr="001F7E60">
        <w:tc>
          <w:tcPr>
            <w:tcW w:w="2072" w:type="dxa"/>
          </w:tcPr>
          <w:p w14:paraId="588F5C34" w14:textId="77777777" w:rsidR="00B07ADA" w:rsidRPr="00C14E42" w:rsidRDefault="00B07ADA" w:rsidP="00182DD4">
            <w:pPr>
              <w:jc w:val="center"/>
              <w:rPr>
                <w:rFonts w:ascii="Times New Roman" w:eastAsia="Calibri Light" w:hAnsi="Times New Roman" w:cs="Times New Roman"/>
                <w:b/>
                <w:bCs/>
                <w:sz w:val="20"/>
                <w:szCs w:val="20"/>
                <w:lang w:val="ro-RO"/>
              </w:rPr>
            </w:pPr>
            <w:r w:rsidRPr="00C14E42">
              <w:rPr>
                <w:rFonts w:ascii="Times New Roman" w:eastAsia="Calibri Light" w:hAnsi="Times New Roman" w:cs="Times New Roman"/>
                <w:b/>
                <w:bCs/>
                <w:sz w:val="20"/>
                <w:szCs w:val="20"/>
                <w:lang w:val="ro-RO"/>
              </w:rPr>
              <w:t>Anticoagulant</w:t>
            </w:r>
          </w:p>
        </w:tc>
        <w:tc>
          <w:tcPr>
            <w:tcW w:w="3792" w:type="dxa"/>
          </w:tcPr>
          <w:p w14:paraId="0ED110BC" w14:textId="77777777" w:rsidR="00B07ADA" w:rsidRPr="00C14E42" w:rsidRDefault="00B07ADA" w:rsidP="00182DD4">
            <w:pPr>
              <w:jc w:val="center"/>
              <w:rPr>
                <w:rFonts w:ascii="Times New Roman" w:eastAsia="Calibri Light" w:hAnsi="Times New Roman" w:cs="Times New Roman"/>
                <w:sz w:val="20"/>
                <w:szCs w:val="20"/>
                <w:vertAlign w:val="superscript"/>
                <w:lang w:val="ro-RO"/>
              </w:rPr>
            </w:pPr>
            <w:r w:rsidRPr="00C14E42">
              <w:rPr>
                <w:rFonts w:ascii="Times New Roman" w:eastAsia="Calibri Light" w:hAnsi="Times New Roman" w:cs="Times New Roman"/>
                <w:b/>
                <w:bCs/>
                <w:sz w:val="20"/>
                <w:szCs w:val="20"/>
                <w:lang w:val="ro-RO"/>
              </w:rPr>
              <w:t xml:space="preserve">Doza profilactică </w:t>
            </w:r>
          </w:p>
        </w:tc>
        <w:tc>
          <w:tcPr>
            <w:tcW w:w="4252" w:type="dxa"/>
          </w:tcPr>
          <w:p w14:paraId="057BA79C" w14:textId="77777777" w:rsidR="00B07ADA" w:rsidRPr="00C14E42" w:rsidRDefault="00B07ADA" w:rsidP="00182DD4">
            <w:pPr>
              <w:jc w:val="center"/>
              <w:rPr>
                <w:rFonts w:ascii="Times New Roman" w:eastAsia="Calibri Light" w:hAnsi="Times New Roman" w:cs="Times New Roman"/>
                <w:sz w:val="20"/>
                <w:szCs w:val="20"/>
                <w:vertAlign w:val="superscript"/>
                <w:lang w:val="ro-RO"/>
              </w:rPr>
            </w:pPr>
            <w:r w:rsidRPr="00C14E42">
              <w:rPr>
                <w:rFonts w:ascii="Times New Roman" w:eastAsia="Calibri Light" w:hAnsi="Times New Roman" w:cs="Times New Roman"/>
                <w:b/>
                <w:bCs/>
                <w:sz w:val="20"/>
                <w:szCs w:val="20"/>
                <w:lang w:val="ro-RO"/>
              </w:rPr>
              <w:t xml:space="preserve">Doza terapeutică </w:t>
            </w:r>
          </w:p>
        </w:tc>
      </w:tr>
      <w:tr w:rsidR="00C14E42" w:rsidRPr="00C14E42" w14:paraId="61B1F1E0" w14:textId="77777777" w:rsidTr="001F7E60">
        <w:tc>
          <w:tcPr>
            <w:tcW w:w="2072" w:type="dxa"/>
          </w:tcPr>
          <w:p w14:paraId="0375A742" w14:textId="77777777" w:rsidR="00B07ADA" w:rsidRPr="00C14E42" w:rsidRDefault="00B07ADA" w:rsidP="00182DD4">
            <w:pPr>
              <w:rPr>
                <w:rFonts w:ascii="Times New Roman" w:eastAsia="Calibri Light" w:hAnsi="Times New Roman" w:cs="Times New Roman"/>
                <w:sz w:val="20"/>
                <w:szCs w:val="20"/>
                <w:lang w:val="ro-RO"/>
              </w:rPr>
            </w:pPr>
            <w:r w:rsidRPr="00C14E42">
              <w:rPr>
                <w:rFonts w:ascii="Times New Roman" w:eastAsia="Calibri Light" w:hAnsi="Times New Roman" w:cs="Times New Roman"/>
                <w:sz w:val="20"/>
                <w:szCs w:val="20"/>
                <w:lang w:val="ro-RO"/>
              </w:rPr>
              <w:t>Enoxaparina</w:t>
            </w:r>
          </w:p>
        </w:tc>
        <w:tc>
          <w:tcPr>
            <w:tcW w:w="3792" w:type="dxa"/>
          </w:tcPr>
          <w:p w14:paraId="539E345D" w14:textId="77777777" w:rsidR="00B07ADA" w:rsidRPr="00C14E42" w:rsidRDefault="00B07ADA" w:rsidP="00182DD4">
            <w:pPr>
              <w:rPr>
                <w:rFonts w:ascii="Times New Roman" w:eastAsia="Calibri Light" w:hAnsi="Times New Roman" w:cs="Times New Roman"/>
                <w:sz w:val="20"/>
                <w:szCs w:val="20"/>
                <w:lang w:val="ro-RO"/>
              </w:rPr>
            </w:pPr>
            <w:r w:rsidRPr="00C14E42">
              <w:rPr>
                <w:rFonts w:ascii="Times New Roman" w:eastAsia="Calibri Light" w:hAnsi="Times New Roman" w:cs="Times New Roman"/>
                <w:sz w:val="20"/>
                <w:szCs w:val="20"/>
                <w:lang w:val="ro-RO"/>
              </w:rPr>
              <w:t>40 mg sc o dată/zi</w:t>
            </w:r>
          </w:p>
          <w:p w14:paraId="774BC61F" w14:textId="77777777" w:rsidR="00B07ADA" w:rsidRPr="00C14E42" w:rsidRDefault="00B07ADA" w:rsidP="00182DD4">
            <w:pPr>
              <w:rPr>
                <w:rFonts w:ascii="Times New Roman" w:eastAsia="Calibri Light" w:hAnsi="Times New Roman" w:cs="Times New Roman"/>
                <w:sz w:val="20"/>
                <w:szCs w:val="20"/>
                <w:lang w:val="ro-RO"/>
              </w:rPr>
            </w:pPr>
            <w:r w:rsidRPr="00C14E42">
              <w:rPr>
                <w:rFonts w:ascii="Times New Roman" w:eastAsia="Calibri Light" w:hAnsi="Times New Roman" w:cs="Times New Roman"/>
                <w:sz w:val="20"/>
                <w:szCs w:val="20"/>
                <w:lang w:val="ro-RO"/>
              </w:rPr>
              <w:t>40 mg sc la 12 ore (</w:t>
            </w:r>
            <w:r w:rsidRPr="00C14E42">
              <w:rPr>
                <w:rFonts w:ascii="Times New Roman" w:hAnsi="Times New Roman" w:cs="Times New Roman"/>
                <w:sz w:val="20"/>
                <w:szCs w:val="20"/>
                <w:lang w:val="ro-RO"/>
              </w:rPr>
              <w:t>IMC ≥ 40 kg/m</w:t>
            </w:r>
            <w:r w:rsidRPr="00C14E42">
              <w:rPr>
                <w:rFonts w:ascii="Times New Roman" w:hAnsi="Times New Roman" w:cs="Times New Roman"/>
                <w:sz w:val="20"/>
                <w:szCs w:val="20"/>
                <w:vertAlign w:val="superscript"/>
                <w:lang w:val="ro-RO"/>
              </w:rPr>
              <w:t>2</w:t>
            </w:r>
            <w:r w:rsidRPr="00C14E42">
              <w:rPr>
                <w:rFonts w:ascii="Times New Roman" w:hAnsi="Times New Roman" w:cs="Times New Roman"/>
                <w:sz w:val="20"/>
                <w:szCs w:val="20"/>
                <w:lang w:val="ro-RO"/>
              </w:rPr>
              <w:t xml:space="preserve"> sau G ≥ 120 kg)</w:t>
            </w:r>
          </w:p>
        </w:tc>
        <w:tc>
          <w:tcPr>
            <w:tcW w:w="4252" w:type="dxa"/>
          </w:tcPr>
          <w:p w14:paraId="30FC9A82" w14:textId="77777777" w:rsidR="00B07ADA" w:rsidRPr="00C14E42" w:rsidRDefault="00B07ADA" w:rsidP="00182DD4">
            <w:pPr>
              <w:rPr>
                <w:rFonts w:ascii="Times New Roman" w:eastAsia="Calibri Light" w:hAnsi="Times New Roman" w:cs="Times New Roman"/>
                <w:sz w:val="20"/>
                <w:szCs w:val="20"/>
                <w:lang w:val="ro-RO"/>
              </w:rPr>
            </w:pPr>
            <w:r w:rsidRPr="00C14E42">
              <w:rPr>
                <w:rFonts w:ascii="Times New Roman" w:eastAsia="Calibri Light" w:hAnsi="Times New Roman" w:cs="Times New Roman"/>
                <w:sz w:val="20"/>
                <w:szCs w:val="20"/>
                <w:lang w:val="ro-RO"/>
              </w:rPr>
              <w:t>1 mg/kg sc la 12 ore</w:t>
            </w:r>
          </w:p>
          <w:p w14:paraId="65C041D2" w14:textId="77777777" w:rsidR="00B07ADA" w:rsidRPr="00C14E42" w:rsidRDefault="00B07ADA" w:rsidP="00182DD4">
            <w:pPr>
              <w:rPr>
                <w:rFonts w:ascii="Times New Roman" w:eastAsia="Calibri Light" w:hAnsi="Times New Roman" w:cs="Times New Roman"/>
                <w:sz w:val="20"/>
                <w:szCs w:val="20"/>
                <w:lang w:val="ro-RO"/>
              </w:rPr>
            </w:pPr>
            <w:r w:rsidRPr="00C14E42">
              <w:rPr>
                <w:rFonts w:ascii="Times New Roman" w:eastAsia="Calibri Light" w:hAnsi="Times New Roman" w:cs="Times New Roman"/>
                <w:sz w:val="20"/>
                <w:szCs w:val="20"/>
                <w:lang w:val="ro-RO"/>
              </w:rPr>
              <w:t>( sau 1,5 mg/kg o dată/zi)</w:t>
            </w:r>
          </w:p>
          <w:p w14:paraId="1BA9F1E7" w14:textId="77777777" w:rsidR="00B07ADA" w:rsidRPr="00C14E42" w:rsidRDefault="00B07ADA" w:rsidP="00182DD4">
            <w:pPr>
              <w:rPr>
                <w:rFonts w:ascii="Times New Roman" w:eastAsia="Calibri Light" w:hAnsi="Times New Roman" w:cs="Times New Roman"/>
                <w:sz w:val="20"/>
                <w:szCs w:val="20"/>
                <w:lang w:val="ro-RO"/>
              </w:rPr>
            </w:pPr>
            <w:r w:rsidRPr="00C14E42">
              <w:rPr>
                <w:rFonts w:ascii="Times New Roman" w:eastAsia="Calibri Light" w:hAnsi="Times New Roman" w:cs="Times New Roman"/>
                <w:sz w:val="20"/>
                <w:szCs w:val="20"/>
                <w:lang w:val="ro-RO"/>
              </w:rPr>
              <w:t>1 mg/kg sc o dată/zi (ClCr &lt; 30 ml/min/m</w:t>
            </w:r>
            <w:r w:rsidRPr="00C14E42">
              <w:rPr>
                <w:rFonts w:ascii="Times New Roman" w:eastAsia="Calibri Light" w:hAnsi="Times New Roman" w:cs="Times New Roman"/>
                <w:sz w:val="20"/>
                <w:szCs w:val="20"/>
                <w:vertAlign w:val="superscript"/>
                <w:lang w:val="ro-RO"/>
              </w:rPr>
              <w:t>2</w:t>
            </w:r>
            <w:r w:rsidRPr="00C14E42">
              <w:rPr>
                <w:rFonts w:ascii="Times New Roman" w:eastAsia="Calibri Light" w:hAnsi="Times New Roman" w:cs="Times New Roman"/>
                <w:sz w:val="20"/>
                <w:szCs w:val="20"/>
                <w:lang w:val="ro-RO"/>
              </w:rPr>
              <w:t>)</w:t>
            </w:r>
          </w:p>
        </w:tc>
      </w:tr>
      <w:tr w:rsidR="00C14E42" w:rsidRPr="00C14E42" w14:paraId="00E0F4B5" w14:textId="77777777" w:rsidTr="001F7E60">
        <w:tc>
          <w:tcPr>
            <w:tcW w:w="2072" w:type="dxa"/>
          </w:tcPr>
          <w:p w14:paraId="0298F8BE" w14:textId="77777777" w:rsidR="00B07ADA" w:rsidRPr="00C14E42" w:rsidRDefault="00B07ADA" w:rsidP="00182DD4">
            <w:pPr>
              <w:rPr>
                <w:rFonts w:ascii="Times New Roman" w:eastAsia="Calibri Light" w:hAnsi="Times New Roman" w:cs="Times New Roman"/>
                <w:sz w:val="20"/>
                <w:szCs w:val="20"/>
                <w:lang w:val="ro-RO"/>
              </w:rPr>
            </w:pPr>
            <w:r w:rsidRPr="00C14E42">
              <w:rPr>
                <w:rFonts w:ascii="Times New Roman" w:eastAsia="Calibri Light" w:hAnsi="Times New Roman" w:cs="Times New Roman"/>
                <w:sz w:val="20"/>
                <w:szCs w:val="20"/>
                <w:lang w:val="ro-RO"/>
              </w:rPr>
              <w:t>Dalteparina</w:t>
            </w:r>
          </w:p>
        </w:tc>
        <w:tc>
          <w:tcPr>
            <w:tcW w:w="3792" w:type="dxa"/>
          </w:tcPr>
          <w:p w14:paraId="418B46BF" w14:textId="77777777" w:rsidR="00B07ADA" w:rsidRPr="00C14E42" w:rsidRDefault="00B07ADA" w:rsidP="00182DD4">
            <w:pPr>
              <w:rPr>
                <w:rFonts w:ascii="Times New Roman" w:eastAsia="Calibri Light" w:hAnsi="Times New Roman" w:cs="Times New Roman"/>
                <w:sz w:val="20"/>
                <w:szCs w:val="20"/>
                <w:lang w:val="ro-RO"/>
              </w:rPr>
            </w:pPr>
            <w:r w:rsidRPr="00C14E42">
              <w:rPr>
                <w:rFonts w:ascii="Times New Roman" w:eastAsia="Calibri Light" w:hAnsi="Times New Roman" w:cs="Times New Roman"/>
                <w:sz w:val="20"/>
                <w:szCs w:val="20"/>
                <w:lang w:val="ro-RO"/>
              </w:rPr>
              <w:t>5000 u sc o dată/zi</w:t>
            </w:r>
          </w:p>
          <w:p w14:paraId="1725F04C" w14:textId="77777777" w:rsidR="00B07ADA" w:rsidRPr="00C14E42" w:rsidRDefault="00B07ADA" w:rsidP="00182DD4">
            <w:pPr>
              <w:rPr>
                <w:rFonts w:ascii="Times New Roman" w:eastAsia="Calibri Light" w:hAnsi="Times New Roman" w:cs="Times New Roman"/>
                <w:sz w:val="20"/>
                <w:szCs w:val="20"/>
                <w:lang w:val="ro-RO"/>
              </w:rPr>
            </w:pPr>
            <w:r w:rsidRPr="00C14E42">
              <w:rPr>
                <w:rFonts w:ascii="Times New Roman" w:eastAsia="Calibri Light" w:hAnsi="Times New Roman" w:cs="Times New Roman"/>
                <w:sz w:val="20"/>
                <w:szCs w:val="20"/>
                <w:lang w:val="ro-RO"/>
              </w:rPr>
              <w:t>7500 u sc o dată/zi (</w:t>
            </w:r>
            <w:r w:rsidRPr="00C14E42">
              <w:rPr>
                <w:rFonts w:ascii="Times New Roman" w:hAnsi="Times New Roman" w:cs="Times New Roman"/>
                <w:sz w:val="20"/>
                <w:szCs w:val="20"/>
                <w:lang w:val="ro-RO"/>
              </w:rPr>
              <w:t>IMC ≥ 40 kg/m</w:t>
            </w:r>
            <w:r w:rsidRPr="00C14E42">
              <w:rPr>
                <w:rFonts w:ascii="Times New Roman" w:hAnsi="Times New Roman" w:cs="Times New Roman"/>
                <w:sz w:val="20"/>
                <w:szCs w:val="20"/>
                <w:vertAlign w:val="superscript"/>
                <w:lang w:val="ro-RO"/>
              </w:rPr>
              <w:t>2</w:t>
            </w:r>
            <w:r w:rsidRPr="00C14E42">
              <w:rPr>
                <w:rFonts w:ascii="Times New Roman" w:hAnsi="Times New Roman" w:cs="Times New Roman"/>
                <w:sz w:val="20"/>
                <w:szCs w:val="20"/>
                <w:lang w:val="ro-RO"/>
              </w:rPr>
              <w:t xml:space="preserve"> sau G ≥ 120 kg)</w:t>
            </w:r>
          </w:p>
        </w:tc>
        <w:tc>
          <w:tcPr>
            <w:tcW w:w="4252" w:type="dxa"/>
          </w:tcPr>
          <w:p w14:paraId="25805519" w14:textId="77777777" w:rsidR="00B07ADA" w:rsidRPr="00C14E42" w:rsidRDefault="00B07ADA" w:rsidP="00182DD4">
            <w:pPr>
              <w:rPr>
                <w:rFonts w:ascii="Times New Roman" w:eastAsia="Calibri Light" w:hAnsi="Times New Roman" w:cs="Times New Roman"/>
                <w:sz w:val="20"/>
                <w:szCs w:val="20"/>
                <w:lang w:val="ro-RO"/>
              </w:rPr>
            </w:pPr>
            <w:r w:rsidRPr="00C14E42">
              <w:rPr>
                <w:rFonts w:ascii="Times New Roman" w:eastAsia="Calibri Light" w:hAnsi="Times New Roman" w:cs="Times New Roman"/>
                <w:sz w:val="20"/>
                <w:szCs w:val="20"/>
                <w:lang w:val="ro-RO"/>
              </w:rPr>
              <w:t xml:space="preserve">100 u/kg sc la 12 ore </w:t>
            </w:r>
            <w:r w:rsidRPr="00C14E42">
              <w:rPr>
                <w:rFonts w:ascii="Times New Roman" w:eastAsia="Calibri Light" w:hAnsi="Times New Roman" w:cs="Times New Roman"/>
                <w:iCs/>
                <w:sz w:val="20"/>
                <w:szCs w:val="20"/>
                <w:lang w:val="ro-RO"/>
              </w:rPr>
              <w:t>sau</w:t>
            </w:r>
          </w:p>
          <w:p w14:paraId="474D707B" w14:textId="77777777" w:rsidR="00B07ADA" w:rsidRPr="00C14E42" w:rsidRDefault="00B07ADA" w:rsidP="00182DD4">
            <w:pPr>
              <w:rPr>
                <w:rFonts w:ascii="Times New Roman" w:eastAsia="Calibri Light" w:hAnsi="Times New Roman" w:cs="Times New Roman"/>
                <w:sz w:val="20"/>
                <w:szCs w:val="20"/>
                <w:lang w:val="ro-RO"/>
              </w:rPr>
            </w:pPr>
            <w:r w:rsidRPr="00C14E42">
              <w:rPr>
                <w:rFonts w:ascii="Times New Roman" w:eastAsia="Calibri Light" w:hAnsi="Times New Roman" w:cs="Times New Roman"/>
                <w:sz w:val="20"/>
                <w:szCs w:val="20"/>
                <w:lang w:val="ro-RO"/>
              </w:rPr>
              <w:t>200 u/kg sc o dată/zi</w:t>
            </w:r>
          </w:p>
        </w:tc>
      </w:tr>
      <w:tr w:rsidR="00C14E42" w:rsidRPr="00C14E42" w14:paraId="14172EC7" w14:textId="77777777" w:rsidTr="001F7E60">
        <w:tc>
          <w:tcPr>
            <w:tcW w:w="2072" w:type="dxa"/>
          </w:tcPr>
          <w:p w14:paraId="511864F2" w14:textId="77777777" w:rsidR="00B07ADA" w:rsidRPr="00C14E42" w:rsidRDefault="00B07ADA" w:rsidP="00182DD4">
            <w:pPr>
              <w:rPr>
                <w:rFonts w:ascii="Times New Roman" w:eastAsia="Calibri Light" w:hAnsi="Times New Roman" w:cs="Times New Roman"/>
                <w:sz w:val="20"/>
                <w:szCs w:val="20"/>
                <w:lang w:val="ro-RO"/>
              </w:rPr>
            </w:pPr>
            <w:r w:rsidRPr="00C14E42">
              <w:rPr>
                <w:rFonts w:ascii="Times New Roman" w:eastAsia="Calibri Light" w:hAnsi="Times New Roman" w:cs="Times New Roman"/>
                <w:sz w:val="20"/>
                <w:szCs w:val="20"/>
                <w:lang w:val="ro-RO"/>
              </w:rPr>
              <w:t>Nadroparina</w:t>
            </w:r>
          </w:p>
        </w:tc>
        <w:tc>
          <w:tcPr>
            <w:tcW w:w="3792" w:type="dxa"/>
          </w:tcPr>
          <w:p w14:paraId="2FE583AA" w14:textId="77777777" w:rsidR="00B07ADA" w:rsidRPr="00C14E42" w:rsidRDefault="00B07ADA" w:rsidP="00182DD4">
            <w:pPr>
              <w:jc w:val="both"/>
              <w:rPr>
                <w:rFonts w:ascii="Times New Roman" w:eastAsia="Calibri Light" w:hAnsi="Times New Roman" w:cs="Times New Roman"/>
                <w:sz w:val="20"/>
                <w:szCs w:val="20"/>
                <w:lang w:val="ro-RO"/>
              </w:rPr>
            </w:pPr>
            <w:r w:rsidRPr="00C14E42">
              <w:rPr>
                <w:rFonts w:ascii="Times New Roman" w:eastAsia="Calibri Light" w:hAnsi="Times New Roman" w:cs="Times New Roman"/>
                <w:sz w:val="20"/>
                <w:szCs w:val="20"/>
                <w:lang w:val="ro-RO"/>
              </w:rPr>
              <w:t xml:space="preserve">G ≤70 kg – sc 3800 unitati  o dată/zi </w:t>
            </w:r>
          </w:p>
          <w:p w14:paraId="12F8D758" w14:textId="77777777" w:rsidR="00B07ADA" w:rsidRPr="00C14E42" w:rsidRDefault="00B07ADA" w:rsidP="00182DD4">
            <w:pPr>
              <w:jc w:val="both"/>
              <w:rPr>
                <w:rFonts w:ascii="Times New Roman" w:eastAsia="Calibri Light" w:hAnsi="Times New Roman" w:cs="Times New Roman"/>
                <w:sz w:val="20"/>
                <w:szCs w:val="20"/>
                <w:lang w:val="ro-RO"/>
              </w:rPr>
            </w:pPr>
            <w:r w:rsidRPr="00C14E42">
              <w:rPr>
                <w:rFonts w:ascii="Times New Roman" w:eastAsia="Calibri Light" w:hAnsi="Times New Roman" w:cs="Times New Roman"/>
                <w:sz w:val="20"/>
                <w:szCs w:val="20"/>
                <w:lang w:val="ro-RO"/>
              </w:rPr>
              <w:t>G &gt;70 kg – sc 5700 unitați o dată/zi</w:t>
            </w:r>
          </w:p>
          <w:p w14:paraId="6F6A027D" w14:textId="77777777" w:rsidR="00B07ADA" w:rsidRPr="00C14E42" w:rsidRDefault="00B07ADA" w:rsidP="00182DD4">
            <w:pPr>
              <w:rPr>
                <w:rFonts w:ascii="Times New Roman" w:eastAsia="Calibri Light" w:hAnsi="Times New Roman" w:cs="Times New Roman"/>
                <w:sz w:val="20"/>
                <w:szCs w:val="20"/>
                <w:lang w:val="ro-RO"/>
              </w:rPr>
            </w:pPr>
          </w:p>
        </w:tc>
        <w:tc>
          <w:tcPr>
            <w:tcW w:w="4252" w:type="dxa"/>
          </w:tcPr>
          <w:p w14:paraId="50EE661A" w14:textId="77777777" w:rsidR="00B07ADA" w:rsidRPr="00C14E42" w:rsidRDefault="00B07ADA" w:rsidP="00182DD4">
            <w:pPr>
              <w:rPr>
                <w:rFonts w:ascii="Times New Roman" w:eastAsia="Calibri Light" w:hAnsi="Times New Roman" w:cs="Times New Roman"/>
                <w:sz w:val="20"/>
                <w:szCs w:val="20"/>
                <w:lang w:val="ro-RO"/>
              </w:rPr>
            </w:pPr>
            <w:r w:rsidRPr="00C14E42">
              <w:rPr>
                <w:rFonts w:ascii="Times New Roman" w:eastAsia="Calibri Light" w:hAnsi="Times New Roman" w:cs="Times New Roman"/>
                <w:sz w:val="20"/>
                <w:szCs w:val="20"/>
                <w:lang w:val="ro-RO"/>
              </w:rPr>
              <w:t xml:space="preserve">86 UI/kg sc la 12 ore </w:t>
            </w:r>
            <w:r w:rsidRPr="00C14E42">
              <w:rPr>
                <w:rFonts w:ascii="Times New Roman" w:eastAsia="Calibri Light" w:hAnsi="Times New Roman" w:cs="Times New Roman"/>
                <w:iCs/>
                <w:sz w:val="20"/>
                <w:szCs w:val="20"/>
                <w:lang w:val="ro-RO"/>
              </w:rPr>
              <w:t>sau</w:t>
            </w:r>
          </w:p>
          <w:p w14:paraId="64CFD47A" w14:textId="77777777" w:rsidR="00B07ADA" w:rsidRPr="00C14E42" w:rsidRDefault="00B07ADA" w:rsidP="00182DD4">
            <w:pPr>
              <w:rPr>
                <w:rFonts w:ascii="Times New Roman" w:eastAsia="Calibri Light" w:hAnsi="Times New Roman" w:cs="Times New Roman"/>
                <w:sz w:val="20"/>
                <w:szCs w:val="20"/>
                <w:lang w:val="ro-RO"/>
              </w:rPr>
            </w:pPr>
            <w:r w:rsidRPr="00C14E42">
              <w:rPr>
                <w:rFonts w:ascii="Times New Roman" w:eastAsia="Calibri Light" w:hAnsi="Times New Roman" w:cs="Times New Roman"/>
                <w:sz w:val="20"/>
                <w:szCs w:val="20"/>
                <w:lang w:val="ro-RO"/>
              </w:rPr>
              <w:t>171 UI/kg sc o dată pe zi</w:t>
            </w:r>
          </w:p>
        </w:tc>
      </w:tr>
      <w:tr w:rsidR="00C14E42" w:rsidRPr="00C14E42" w14:paraId="559E8A34" w14:textId="77777777" w:rsidTr="001F7E60">
        <w:tc>
          <w:tcPr>
            <w:tcW w:w="2072" w:type="dxa"/>
          </w:tcPr>
          <w:p w14:paraId="586A55B1" w14:textId="77777777" w:rsidR="00B07ADA" w:rsidRPr="00C14E42" w:rsidRDefault="00B07ADA" w:rsidP="00182DD4">
            <w:pPr>
              <w:rPr>
                <w:rFonts w:ascii="Times New Roman" w:eastAsia="Calibri Light" w:hAnsi="Times New Roman" w:cs="Times New Roman"/>
                <w:sz w:val="20"/>
                <w:szCs w:val="20"/>
                <w:lang w:val="ro-RO"/>
              </w:rPr>
            </w:pPr>
            <w:r w:rsidRPr="00C14E42">
              <w:rPr>
                <w:rFonts w:ascii="Times New Roman" w:eastAsia="Calibri Light" w:hAnsi="Times New Roman" w:cs="Times New Roman"/>
                <w:sz w:val="20"/>
                <w:szCs w:val="20"/>
                <w:lang w:val="ro-RO"/>
              </w:rPr>
              <w:t>Tinzaparina</w:t>
            </w:r>
          </w:p>
        </w:tc>
        <w:tc>
          <w:tcPr>
            <w:tcW w:w="3792" w:type="dxa"/>
          </w:tcPr>
          <w:p w14:paraId="0266597F" w14:textId="77777777" w:rsidR="00B07ADA" w:rsidRPr="00C14E42" w:rsidRDefault="00B07ADA" w:rsidP="00182DD4">
            <w:pPr>
              <w:rPr>
                <w:rFonts w:ascii="Times New Roman" w:eastAsia="Calibri Light" w:hAnsi="Times New Roman" w:cs="Times New Roman"/>
                <w:sz w:val="20"/>
                <w:szCs w:val="20"/>
                <w:lang w:val="ro-RO"/>
              </w:rPr>
            </w:pPr>
            <w:r w:rsidRPr="00C14E42">
              <w:rPr>
                <w:rFonts w:ascii="Times New Roman" w:eastAsia="Calibri Light" w:hAnsi="Times New Roman" w:cs="Times New Roman"/>
                <w:sz w:val="20"/>
                <w:szCs w:val="20"/>
                <w:lang w:val="ro-RO"/>
              </w:rPr>
              <w:t>4500 u sc o dată/zi</w:t>
            </w:r>
          </w:p>
          <w:p w14:paraId="2B8409B8" w14:textId="77777777" w:rsidR="00B07ADA" w:rsidRPr="00C14E42" w:rsidRDefault="00B07ADA" w:rsidP="00182DD4">
            <w:pPr>
              <w:rPr>
                <w:rFonts w:ascii="Times New Roman" w:eastAsia="Calibri Light" w:hAnsi="Times New Roman" w:cs="Times New Roman"/>
                <w:sz w:val="20"/>
                <w:szCs w:val="20"/>
                <w:lang w:val="ro-RO"/>
              </w:rPr>
            </w:pPr>
            <w:r w:rsidRPr="00C14E42">
              <w:rPr>
                <w:rFonts w:ascii="Times New Roman" w:eastAsia="Calibri Light" w:hAnsi="Times New Roman" w:cs="Times New Roman"/>
                <w:sz w:val="20"/>
                <w:szCs w:val="20"/>
                <w:lang w:val="ro-RO"/>
              </w:rPr>
              <w:t>8000 u sc o dată/zi (</w:t>
            </w:r>
            <w:r w:rsidRPr="00C14E42">
              <w:rPr>
                <w:rFonts w:ascii="Times New Roman" w:hAnsi="Times New Roman" w:cs="Times New Roman"/>
                <w:sz w:val="20"/>
                <w:szCs w:val="20"/>
                <w:lang w:val="ro-RO"/>
              </w:rPr>
              <w:t>IMC ≥ 40 kg/m</w:t>
            </w:r>
            <w:r w:rsidRPr="00C14E42">
              <w:rPr>
                <w:rFonts w:ascii="Times New Roman" w:hAnsi="Times New Roman" w:cs="Times New Roman"/>
                <w:sz w:val="20"/>
                <w:szCs w:val="20"/>
                <w:vertAlign w:val="superscript"/>
                <w:lang w:val="ro-RO"/>
              </w:rPr>
              <w:t>2</w:t>
            </w:r>
            <w:r w:rsidRPr="00C14E42">
              <w:rPr>
                <w:rFonts w:ascii="Times New Roman" w:hAnsi="Times New Roman" w:cs="Times New Roman"/>
                <w:sz w:val="20"/>
                <w:szCs w:val="20"/>
                <w:lang w:val="ro-RO"/>
              </w:rPr>
              <w:t xml:space="preserve"> sau G ≥ 120 kg)</w:t>
            </w:r>
          </w:p>
        </w:tc>
        <w:tc>
          <w:tcPr>
            <w:tcW w:w="4252" w:type="dxa"/>
          </w:tcPr>
          <w:p w14:paraId="0375B49D" w14:textId="77777777" w:rsidR="00B07ADA" w:rsidRPr="00C14E42" w:rsidRDefault="00B07ADA" w:rsidP="00182DD4">
            <w:pPr>
              <w:rPr>
                <w:rFonts w:ascii="Times New Roman" w:eastAsia="Calibri Light" w:hAnsi="Times New Roman" w:cs="Times New Roman"/>
                <w:sz w:val="20"/>
                <w:szCs w:val="20"/>
                <w:lang w:val="ro-RO"/>
              </w:rPr>
            </w:pPr>
            <w:r w:rsidRPr="00C14E42">
              <w:rPr>
                <w:rFonts w:ascii="Times New Roman" w:eastAsia="Calibri Light" w:hAnsi="Times New Roman" w:cs="Times New Roman"/>
                <w:sz w:val="20"/>
                <w:szCs w:val="20"/>
                <w:lang w:val="ro-RO"/>
              </w:rPr>
              <w:t>175 u/kg sc o dată/zi</w:t>
            </w:r>
          </w:p>
        </w:tc>
      </w:tr>
      <w:tr w:rsidR="00C14E42" w:rsidRPr="00C14E42" w14:paraId="19C58D25" w14:textId="77777777" w:rsidTr="001F7E60">
        <w:tc>
          <w:tcPr>
            <w:tcW w:w="2072" w:type="dxa"/>
          </w:tcPr>
          <w:p w14:paraId="3E28DC4F" w14:textId="77777777" w:rsidR="00B07ADA" w:rsidRPr="00C14E42" w:rsidRDefault="00B07ADA" w:rsidP="00182DD4">
            <w:pPr>
              <w:rPr>
                <w:rFonts w:ascii="Times New Roman" w:eastAsia="Calibri Light" w:hAnsi="Times New Roman" w:cs="Times New Roman"/>
                <w:sz w:val="20"/>
                <w:szCs w:val="20"/>
                <w:lang w:val="ro-RO"/>
              </w:rPr>
            </w:pPr>
            <w:r w:rsidRPr="00C14E42">
              <w:rPr>
                <w:rFonts w:ascii="Times New Roman" w:eastAsia="Calibri Light" w:hAnsi="Times New Roman" w:cs="Times New Roman"/>
                <w:sz w:val="20"/>
                <w:szCs w:val="20"/>
                <w:lang w:val="ro-RO"/>
              </w:rPr>
              <w:t>Fondaparina</w:t>
            </w:r>
          </w:p>
        </w:tc>
        <w:tc>
          <w:tcPr>
            <w:tcW w:w="3792" w:type="dxa"/>
          </w:tcPr>
          <w:p w14:paraId="4098A05C" w14:textId="77777777" w:rsidR="00B07ADA" w:rsidRPr="00C14E42" w:rsidRDefault="00B07ADA" w:rsidP="00182DD4">
            <w:pPr>
              <w:rPr>
                <w:rFonts w:ascii="Times New Roman" w:eastAsia="Calibri Light" w:hAnsi="Times New Roman" w:cs="Times New Roman"/>
                <w:sz w:val="20"/>
                <w:szCs w:val="20"/>
                <w:lang w:val="ro-RO"/>
              </w:rPr>
            </w:pPr>
            <w:r w:rsidRPr="00C14E42">
              <w:rPr>
                <w:rFonts w:ascii="Times New Roman" w:eastAsia="Calibri Light" w:hAnsi="Times New Roman" w:cs="Times New Roman"/>
                <w:sz w:val="20"/>
                <w:szCs w:val="20"/>
                <w:lang w:val="ro-RO"/>
              </w:rPr>
              <w:t>2,5 mg sc o dată/zi</w:t>
            </w:r>
          </w:p>
        </w:tc>
        <w:tc>
          <w:tcPr>
            <w:tcW w:w="4252" w:type="dxa"/>
          </w:tcPr>
          <w:p w14:paraId="3A4CC536" w14:textId="77777777" w:rsidR="00B07ADA" w:rsidRPr="00C14E42" w:rsidRDefault="00B07ADA" w:rsidP="00182DD4">
            <w:pPr>
              <w:rPr>
                <w:rFonts w:ascii="Times New Roman" w:eastAsia="Calibri Light" w:hAnsi="Times New Roman" w:cs="Times New Roman"/>
                <w:sz w:val="20"/>
                <w:szCs w:val="20"/>
                <w:lang w:val="ro-RO"/>
              </w:rPr>
            </w:pPr>
            <w:r w:rsidRPr="00C14E42">
              <w:rPr>
                <w:rFonts w:ascii="Times New Roman" w:eastAsia="Calibri Light" w:hAnsi="Times New Roman" w:cs="Times New Roman"/>
                <w:sz w:val="20"/>
                <w:szCs w:val="20"/>
                <w:lang w:val="ro-RO"/>
              </w:rPr>
              <w:t>sc o dată/zi</w:t>
            </w:r>
          </w:p>
          <w:p w14:paraId="2E366FA7" w14:textId="77777777" w:rsidR="00B07ADA" w:rsidRPr="00C14E42" w:rsidRDefault="00B07ADA" w:rsidP="004B50B4">
            <w:pPr>
              <w:pStyle w:val="ListParagraph"/>
              <w:numPr>
                <w:ilvl w:val="0"/>
                <w:numId w:val="1"/>
              </w:numPr>
              <w:rPr>
                <w:rFonts w:ascii="Times New Roman" w:eastAsia="Calibri Light" w:hAnsi="Times New Roman" w:cs="Times New Roman"/>
                <w:sz w:val="20"/>
                <w:szCs w:val="20"/>
                <w:lang w:val="ro-RO"/>
              </w:rPr>
            </w:pPr>
            <w:r w:rsidRPr="00C14E42">
              <w:rPr>
                <w:rFonts w:ascii="Times New Roman" w:eastAsia="Calibri Light" w:hAnsi="Times New Roman" w:cs="Times New Roman"/>
                <w:sz w:val="20"/>
                <w:szCs w:val="20"/>
                <w:lang w:val="ro-RO"/>
              </w:rPr>
              <w:t>5 mg (</w:t>
            </w:r>
            <w:r w:rsidRPr="00C14E42">
              <w:rPr>
                <w:rFonts w:ascii="Times New Roman" w:eastAsia="Calibri Light" w:hAnsi="Times New Roman" w:cs="Times New Roman"/>
                <w:sz w:val="20"/>
                <w:szCs w:val="20"/>
              </w:rPr>
              <w:t>&lt; 50 kg)</w:t>
            </w:r>
          </w:p>
          <w:p w14:paraId="796614A2" w14:textId="77777777" w:rsidR="00B07ADA" w:rsidRPr="00C14E42" w:rsidRDefault="00B07ADA" w:rsidP="004B50B4">
            <w:pPr>
              <w:pStyle w:val="ListParagraph"/>
              <w:numPr>
                <w:ilvl w:val="0"/>
                <w:numId w:val="1"/>
              </w:numPr>
              <w:rPr>
                <w:rFonts w:ascii="Times New Roman" w:eastAsia="Calibri Light" w:hAnsi="Times New Roman" w:cs="Times New Roman"/>
                <w:sz w:val="20"/>
                <w:szCs w:val="20"/>
                <w:lang w:val="ro-RO"/>
              </w:rPr>
            </w:pPr>
            <w:r w:rsidRPr="00C14E42">
              <w:rPr>
                <w:rFonts w:ascii="Times New Roman" w:eastAsia="Calibri Light" w:hAnsi="Times New Roman" w:cs="Times New Roman"/>
                <w:sz w:val="20"/>
                <w:szCs w:val="20"/>
              </w:rPr>
              <w:t>7,5 mg (50-100 kg)</w:t>
            </w:r>
          </w:p>
          <w:p w14:paraId="5C32892E" w14:textId="77777777" w:rsidR="00B07ADA" w:rsidRPr="00C14E42" w:rsidRDefault="00B07ADA" w:rsidP="004B50B4">
            <w:pPr>
              <w:pStyle w:val="ListParagraph"/>
              <w:numPr>
                <w:ilvl w:val="0"/>
                <w:numId w:val="1"/>
              </w:numPr>
              <w:rPr>
                <w:rFonts w:ascii="Times New Roman" w:eastAsia="Calibri Light" w:hAnsi="Times New Roman" w:cs="Times New Roman"/>
                <w:sz w:val="20"/>
                <w:szCs w:val="20"/>
                <w:lang w:val="ro-RO"/>
              </w:rPr>
            </w:pPr>
            <w:r w:rsidRPr="00C14E42">
              <w:rPr>
                <w:rFonts w:ascii="Times New Roman" w:eastAsia="Calibri Light" w:hAnsi="Times New Roman" w:cs="Times New Roman"/>
                <w:sz w:val="20"/>
                <w:szCs w:val="20"/>
                <w:lang w:val="ro-RO"/>
              </w:rPr>
              <w:t>10 mg (&gt; 100 kg)</w:t>
            </w:r>
          </w:p>
        </w:tc>
      </w:tr>
      <w:tr w:rsidR="00C14E42" w:rsidRPr="00C14E42" w14:paraId="2FC9BE91" w14:textId="77777777" w:rsidTr="001F7E60">
        <w:tc>
          <w:tcPr>
            <w:tcW w:w="2072" w:type="dxa"/>
          </w:tcPr>
          <w:p w14:paraId="4AC47957" w14:textId="77777777" w:rsidR="00B07ADA" w:rsidRPr="00C14E42" w:rsidRDefault="00B07ADA" w:rsidP="00182DD4">
            <w:pPr>
              <w:rPr>
                <w:rFonts w:ascii="Times New Roman" w:eastAsia="Calibri Light" w:hAnsi="Times New Roman" w:cs="Times New Roman"/>
                <w:sz w:val="20"/>
                <w:szCs w:val="20"/>
                <w:lang w:val="ro-RO"/>
              </w:rPr>
            </w:pPr>
            <w:r w:rsidRPr="00C14E42">
              <w:rPr>
                <w:rFonts w:ascii="Times New Roman" w:eastAsia="Calibri Light" w:hAnsi="Times New Roman" w:cs="Times New Roman"/>
                <w:sz w:val="20"/>
                <w:szCs w:val="20"/>
                <w:lang w:val="ro-RO"/>
              </w:rPr>
              <w:t>Heparina nefracționată</w:t>
            </w:r>
          </w:p>
        </w:tc>
        <w:tc>
          <w:tcPr>
            <w:tcW w:w="3792" w:type="dxa"/>
          </w:tcPr>
          <w:p w14:paraId="6E6FE195" w14:textId="77777777" w:rsidR="00B07ADA" w:rsidRPr="00C14E42" w:rsidRDefault="00B07ADA" w:rsidP="00182DD4">
            <w:pPr>
              <w:rPr>
                <w:rFonts w:ascii="Times New Roman" w:eastAsia="Calibri Light" w:hAnsi="Times New Roman" w:cs="Times New Roman"/>
                <w:sz w:val="20"/>
                <w:szCs w:val="20"/>
                <w:lang w:val="ro-RO"/>
              </w:rPr>
            </w:pPr>
            <w:r w:rsidRPr="00C14E42">
              <w:rPr>
                <w:rFonts w:ascii="Times New Roman" w:eastAsia="Calibri Light" w:hAnsi="Times New Roman" w:cs="Times New Roman"/>
                <w:sz w:val="20"/>
                <w:szCs w:val="20"/>
                <w:lang w:val="ro-RO"/>
              </w:rPr>
              <w:t>5000 u sc la 8-12 ore</w:t>
            </w:r>
          </w:p>
          <w:p w14:paraId="552E0F4F" w14:textId="77777777" w:rsidR="00B07ADA" w:rsidRPr="00C14E42" w:rsidRDefault="00B07ADA" w:rsidP="00182DD4">
            <w:pPr>
              <w:rPr>
                <w:rFonts w:ascii="Times New Roman" w:eastAsia="Calibri Light" w:hAnsi="Times New Roman" w:cs="Times New Roman"/>
                <w:sz w:val="20"/>
                <w:szCs w:val="20"/>
                <w:lang w:val="ro-RO"/>
              </w:rPr>
            </w:pPr>
            <w:r w:rsidRPr="00C14E42">
              <w:rPr>
                <w:rFonts w:ascii="Times New Roman" w:eastAsia="Calibri Light" w:hAnsi="Times New Roman" w:cs="Times New Roman"/>
                <w:sz w:val="20"/>
                <w:szCs w:val="20"/>
                <w:lang w:val="ro-RO"/>
              </w:rPr>
              <w:t>7500 u sc la 12 ore (</w:t>
            </w:r>
            <w:r w:rsidRPr="00C14E42">
              <w:rPr>
                <w:rFonts w:ascii="Times New Roman" w:hAnsi="Times New Roman" w:cs="Times New Roman"/>
                <w:sz w:val="20"/>
                <w:szCs w:val="20"/>
                <w:lang w:val="ro-RO"/>
              </w:rPr>
              <w:t>IMC ≥ 40 kg/m</w:t>
            </w:r>
            <w:r w:rsidRPr="00C14E42">
              <w:rPr>
                <w:rFonts w:ascii="Times New Roman" w:hAnsi="Times New Roman" w:cs="Times New Roman"/>
                <w:sz w:val="20"/>
                <w:szCs w:val="20"/>
                <w:vertAlign w:val="superscript"/>
                <w:lang w:val="ro-RO"/>
              </w:rPr>
              <w:t>2</w:t>
            </w:r>
            <w:r w:rsidRPr="00C14E42">
              <w:rPr>
                <w:rFonts w:ascii="Times New Roman" w:hAnsi="Times New Roman" w:cs="Times New Roman"/>
                <w:sz w:val="20"/>
                <w:szCs w:val="20"/>
                <w:lang w:val="ro-RO"/>
              </w:rPr>
              <w:t xml:space="preserve"> sau G ≥ 120 kg)</w:t>
            </w:r>
          </w:p>
        </w:tc>
        <w:tc>
          <w:tcPr>
            <w:tcW w:w="4252" w:type="dxa"/>
          </w:tcPr>
          <w:p w14:paraId="630E1F0A" w14:textId="77777777" w:rsidR="00B07ADA" w:rsidRPr="00C14E42" w:rsidRDefault="00B07ADA" w:rsidP="00182DD4">
            <w:pPr>
              <w:rPr>
                <w:rFonts w:ascii="Times New Roman" w:eastAsia="Calibri Light" w:hAnsi="Times New Roman" w:cs="Times New Roman"/>
                <w:sz w:val="20"/>
                <w:szCs w:val="20"/>
                <w:lang w:val="ro-RO"/>
              </w:rPr>
            </w:pPr>
            <w:r w:rsidRPr="00C14E42">
              <w:rPr>
                <w:rFonts w:ascii="Times New Roman" w:eastAsia="Calibri Light" w:hAnsi="Times New Roman" w:cs="Times New Roman"/>
                <w:sz w:val="20"/>
                <w:szCs w:val="20"/>
                <w:lang w:val="ro-RO"/>
              </w:rPr>
              <w:t>60-70 UI/kg bolus, apoi perfuzie continuă 12-15 UI/kg/h (maxim 1000 UI/h), aPTT 1,5-2,5 x valori control</w:t>
            </w:r>
          </w:p>
        </w:tc>
      </w:tr>
    </w:tbl>
    <w:p w14:paraId="4DD43757" w14:textId="77777777" w:rsidR="00022853" w:rsidRPr="00C14E42" w:rsidRDefault="00022853" w:rsidP="00B07ADA">
      <w:pPr>
        <w:spacing w:after="0" w:line="240" w:lineRule="auto"/>
        <w:ind w:right="72"/>
        <w:jc w:val="both"/>
        <w:rPr>
          <w:rFonts w:ascii="Times New Roman" w:eastAsia="Times New Roman" w:hAnsi="Times New Roman" w:cs="Times New Roman"/>
          <w:sz w:val="24"/>
          <w:szCs w:val="24"/>
          <w:bdr w:val="none" w:sz="0" w:space="0" w:color="auto" w:frame="1"/>
          <w:shd w:val="clear" w:color="auto" w:fill="FFFFFF"/>
        </w:rPr>
      </w:pPr>
    </w:p>
    <w:p w14:paraId="77B331B3" w14:textId="77777777" w:rsidR="00C14E42" w:rsidRDefault="00C14E42" w:rsidP="001F7E60">
      <w:pPr>
        <w:spacing w:after="0" w:line="240" w:lineRule="auto"/>
        <w:ind w:right="72"/>
        <w:jc w:val="both"/>
        <w:rPr>
          <w:rFonts w:ascii="Times New Roman" w:eastAsia="Times New Roman" w:hAnsi="Times New Roman" w:cs="Times New Roman"/>
          <w:sz w:val="24"/>
          <w:szCs w:val="24"/>
          <w:bdr w:val="none" w:sz="0" w:space="0" w:color="auto" w:frame="1"/>
          <w:shd w:val="clear" w:color="auto" w:fill="FFFFFF"/>
        </w:rPr>
      </w:pPr>
    </w:p>
    <w:p w14:paraId="615BDDD8" w14:textId="77777777" w:rsidR="00022853"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Tabel B3-3. Scorul IMPROVE-VTE</w:t>
      </w:r>
    </w:p>
    <w:p w14:paraId="4E12F121" w14:textId="77777777" w:rsidR="00B07ADA" w:rsidRPr="00C14E42" w:rsidRDefault="00B07ADA"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tbl>
      <w:tblPr>
        <w:tblStyle w:val="TableGrid"/>
        <w:tblW w:w="10003" w:type="dxa"/>
        <w:tblInd w:w="198" w:type="dxa"/>
        <w:tblLook w:val="04A0" w:firstRow="1" w:lastRow="0" w:firstColumn="1" w:lastColumn="0" w:noHBand="0" w:noVBand="1"/>
      </w:tblPr>
      <w:tblGrid>
        <w:gridCol w:w="5751"/>
        <w:gridCol w:w="4252"/>
      </w:tblGrid>
      <w:tr w:rsidR="00C14E42" w:rsidRPr="00C14E42" w14:paraId="67D1FA71" w14:textId="77777777" w:rsidTr="00C14E42">
        <w:tc>
          <w:tcPr>
            <w:tcW w:w="5751" w:type="dxa"/>
          </w:tcPr>
          <w:p w14:paraId="2F744C21" w14:textId="77777777" w:rsidR="00B07ADA" w:rsidRPr="00C14E42" w:rsidRDefault="00B07ADA" w:rsidP="00182DD4">
            <w:pPr>
              <w:jc w:val="center"/>
              <w:rPr>
                <w:rFonts w:ascii="Times New Roman" w:eastAsia="Calibri Light" w:hAnsi="Times New Roman" w:cs="Times New Roman"/>
                <w:b/>
                <w:bCs/>
                <w:sz w:val="20"/>
                <w:szCs w:val="20"/>
                <w:lang w:val="ro-RO"/>
              </w:rPr>
            </w:pPr>
            <w:r w:rsidRPr="00C14E42">
              <w:rPr>
                <w:rFonts w:ascii="Times New Roman" w:eastAsia="Calibri Light" w:hAnsi="Times New Roman" w:cs="Times New Roman"/>
                <w:b/>
                <w:bCs/>
                <w:sz w:val="20"/>
                <w:szCs w:val="20"/>
                <w:lang w:val="ro-RO"/>
              </w:rPr>
              <w:t>Factor de risc TVE</w:t>
            </w:r>
          </w:p>
        </w:tc>
        <w:tc>
          <w:tcPr>
            <w:tcW w:w="4252" w:type="dxa"/>
          </w:tcPr>
          <w:p w14:paraId="1B996C07" w14:textId="77777777" w:rsidR="00B07ADA" w:rsidRPr="00C14E42" w:rsidRDefault="00B07ADA" w:rsidP="00182DD4">
            <w:pPr>
              <w:jc w:val="center"/>
              <w:rPr>
                <w:rFonts w:ascii="Times New Roman" w:eastAsia="Calibri Light" w:hAnsi="Times New Roman" w:cs="Times New Roman"/>
                <w:b/>
                <w:bCs/>
                <w:sz w:val="20"/>
                <w:szCs w:val="20"/>
                <w:lang w:val="ro-RO"/>
              </w:rPr>
            </w:pPr>
            <w:r w:rsidRPr="00C14E42">
              <w:rPr>
                <w:rFonts w:ascii="Times New Roman" w:eastAsia="Calibri Light" w:hAnsi="Times New Roman" w:cs="Times New Roman"/>
                <w:b/>
                <w:bCs/>
                <w:sz w:val="20"/>
                <w:szCs w:val="20"/>
                <w:lang w:val="ro-RO"/>
              </w:rPr>
              <w:t>Scor risc TVE</w:t>
            </w:r>
          </w:p>
        </w:tc>
      </w:tr>
      <w:tr w:rsidR="00C14E42" w:rsidRPr="00C14E42" w14:paraId="19077B71" w14:textId="77777777" w:rsidTr="00C14E42">
        <w:tc>
          <w:tcPr>
            <w:tcW w:w="5751" w:type="dxa"/>
          </w:tcPr>
          <w:p w14:paraId="7D81C033" w14:textId="77777777" w:rsidR="00B07ADA" w:rsidRPr="00C14E42" w:rsidRDefault="00B07ADA" w:rsidP="00182DD4">
            <w:pPr>
              <w:jc w:val="both"/>
              <w:rPr>
                <w:rFonts w:ascii="Times New Roman" w:eastAsia="Calibri Light" w:hAnsi="Times New Roman" w:cs="Times New Roman"/>
                <w:sz w:val="20"/>
                <w:szCs w:val="20"/>
                <w:lang w:val="ro-RO"/>
              </w:rPr>
            </w:pPr>
            <w:r w:rsidRPr="00C14E42">
              <w:rPr>
                <w:rFonts w:ascii="Times New Roman" w:eastAsia="Calibri Light" w:hAnsi="Times New Roman" w:cs="Times New Roman"/>
                <w:sz w:val="20"/>
                <w:szCs w:val="20"/>
                <w:lang w:val="ro-RO"/>
              </w:rPr>
              <w:t>Antecedente TVE</w:t>
            </w:r>
          </w:p>
        </w:tc>
        <w:tc>
          <w:tcPr>
            <w:tcW w:w="4252" w:type="dxa"/>
          </w:tcPr>
          <w:p w14:paraId="75B76E18" w14:textId="77777777" w:rsidR="00B07ADA" w:rsidRPr="00C14E42" w:rsidRDefault="00B07ADA" w:rsidP="00182DD4">
            <w:pPr>
              <w:jc w:val="both"/>
              <w:rPr>
                <w:rFonts w:ascii="Times New Roman" w:eastAsia="Calibri Light" w:hAnsi="Times New Roman" w:cs="Times New Roman"/>
                <w:sz w:val="20"/>
                <w:szCs w:val="20"/>
                <w:lang w:val="ro-RO"/>
              </w:rPr>
            </w:pPr>
            <w:r w:rsidRPr="00C14E42">
              <w:rPr>
                <w:rFonts w:ascii="Times New Roman" w:eastAsia="Calibri Light" w:hAnsi="Times New Roman" w:cs="Times New Roman"/>
                <w:sz w:val="20"/>
                <w:szCs w:val="20"/>
                <w:lang w:val="ro-RO"/>
              </w:rPr>
              <w:t>3</w:t>
            </w:r>
          </w:p>
        </w:tc>
      </w:tr>
      <w:tr w:rsidR="00C14E42" w:rsidRPr="00C14E42" w14:paraId="2C445B62" w14:textId="77777777" w:rsidTr="00C14E42">
        <w:tc>
          <w:tcPr>
            <w:tcW w:w="5751" w:type="dxa"/>
          </w:tcPr>
          <w:p w14:paraId="4F17671B" w14:textId="77777777" w:rsidR="00B07ADA" w:rsidRPr="00C14E42" w:rsidRDefault="00B07ADA" w:rsidP="00182DD4">
            <w:pPr>
              <w:jc w:val="both"/>
              <w:rPr>
                <w:rFonts w:ascii="Times New Roman" w:eastAsia="Calibri Light" w:hAnsi="Times New Roman" w:cs="Times New Roman"/>
                <w:sz w:val="20"/>
                <w:szCs w:val="20"/>
                <w:lang w:val="ro-RO"/>
              </w:rPr>
            </w:pPr>
            <w:r w:rsidRPr="00C14E42">
              <w:rPr>
                <w:rFonts w:ascii="Times New Roman" w:eastAsia="Calibri Light" w:hAnsi="Times New Roman" w:cs="Times New Roman"/>
                <w:sz w:val="20"/>
                <w:szCs w:val="20"/>
                <w:lang w:val="ro-RO"/>
              </w:rPr>
              <w:t>Trombofilie cunoscută</w:t>
            </w:r>
          </w:p>
        </w:tc>
        <w:tc>
          <w:tcPr>
            <w:tcW w:w="4252" w:type="dxa"/>
          </w:tcPr>
          <w:p w14:paraId="4FDB5478" w14:textId="77777777" w:rsidR="00B07ADA" w:rsidRPr="00C14E42" w:rsidRDefault="00B07ADA" w:rsidP="00182DD4">
            <w:pPr>
              <w:jc w:val="both"/>
              <w:rPr>
                <w:rFonts w:ascii="Times New Roman" w:eastAsia="Calibri Light" w:hAnsi="Times New Roman" w:cs="Times New Roman"/>
                <w:sz w:val="20"/>
                <w:szCs w:val="20"/>
                <w:lang w:val="ro-RO"/>
              </w:rPr>
            </w:pPr>
            <w:r w:rsidRPr="00C14E42">
              <w:rPr>
                <w:rFonts w:ascii="Times New Roman" w:eastAsia="Calibri Light" w:hAnsi="Times New Roman" w:cs="Times New Roman"/>
                <w:sz w:val="20"/>
                <w:szCs w:val="20"/>
                <w:lang w:val="ro-RO"/>
              </w:rPr>
              <w:t>2</w:t>
            </w:r>
          </w:p>
        </w:tc>
      </w:tr>
      <w:tr w:rsidR="00C14E42" w:rsidRPr="00C14E42" w14:paraId="599ED80A" w14:textId="77777777" w:rsidTr="00C14E42">
        <w:tc>
          <w:tcPr>
            <w:tcW w:w="5751" w:type="dxa"/>
          </w:tcPr>
          <w:p w14:paraId="557285A2" w14:textId="77777777" w:rsidR="00B07ADA" w:rsidRPr="00C14E42" w:rsidRDefault="00B07ADA" w:rsidP="00182DD4">
            <w:pPr>
              <w:jc w:val="both"/>
              <w:rPr>
                <w:rFonts w:ascii="Times New Roman" w:eastAsia="Calibri Light" w:hAnsi="Times New Roman" w:cs="Times New Roman"/>
                <w:sz w:val="20"/>
                <w:szCs w:val="20"/>
                <w:lang w:val="ro-RO"/>
              </w:rPr>
            </w:pPr>
            <w:r w:rsidRPr="00C14E42">
              <w:rPr>
                <w:rFonts w:ascii="Times New Roman" w:eastAsia="Calibri Light" w:hAnsi="Times New Roman" w:cs="Times New Roman"/>
                <w:sz w:val="20"/>
                <w:szCs w:val="20"/>
                <w:lang w:val="ro-RO"/>
              </w:rPr>
              <w:t>Paralizie / pareză membre inferioare</w:t>
            </w:r>
          </w:p>
        </w:tc>
        <w:tc>
          <w:tcPr>
            <w:tcW w:w="4252" w:type="dxa"/>
          </w:tcPr>
          <w:p w14:paraId="257D792F" w14:textId="77777777" w:rsidR="00B07ADA" w:rsidRPr="00C14E42" w:rsidRDefault="00B07ADA" w:rsidP="00182DD4">
            <w:pPr>
              <w:jc w:val="both"/>
              <w:rPr>
                <w:rFonts w:ascii="Times New Roman" w:eastAsia="Calibri Light" w:hAnsi="Times New Roman" w:cs="Times New Roman"/>
                <w:sz w:val="20"/>
                <w:szCs w:val="20"/>
                <w:lang w:val="ro-RO"/>
              </w:rPr>
            </w:pPr>
            <w:r w:rsidRPr="00C14E42">
              <w:rPr>
                <w:rFonts w:ascii="Times New Roman" w:eastAsia="Calibri Light" w:hAnsi="Times New Roman" w:cs="Times New Roman"/>
                <w:sz w:val="20"/>
                <w:szCs w:val="20"/>
                <w:lang w:val="ro-RO"/>
              </w:rPr>
              <w:t>2</w:t>
            </w:r>
          </w:p>
        </w:tc>
      </w:tr>
      <w:tr w:rsidR="00C14E42" w:rsidRPr="00C14E42" w14:paraId="71F07819" w14:textId="77777777" w:rsidTr="00C14E42">
        <w:tc>
          <w:tcPr>
            <w:tcW w:w="5751" w:type="dxa"/>
          </w:tcPr>
          <w:p w14:paraId="3DD2DAEA" w14:textId="77777777" w:rsidR="00B07ADA" w:rsidRPr="00C14E42" w:rsidRDefault="00B07ADA" w:rsidP="00182DD4">
            <w:pPr>
              <w:jc w:val="both"/>
              <w:rPr>
                <w:rFonts w:ascii="Times New Roman" w:eastAsia="Calibri Light" w:hAnsi="Times New Roman" w:cs="Times New Roman"/>
                <w:sz w:val="20"/>
                <w:szCs w:val="20"/>
                <w:lang w:val="ro-RO"/>
              </w:rPr>
            </w:pPr>
            <w:r w:rsidRPr="00C14E42">
              <w:rPr>
                <w:rFonts w:ascii="Times New Roman" w:eastAsia="Calibri Light" w:hAnsi="Times New Roman" w:cs="Times New Roman"/>
                <w:sz w:val="20"/>
                <w:szCs w:val="20"/>
                <w:lang w:val="ro-RO"/>
              </w:rPr>
              <w:t>Istoric de cancer</w:t>
            </w:r>
          </w:p>
        </w:tc>
        <w:tc>
          <w:tcPr>
            <w:tcW w:w="4252" w:type="dxa"/>
          </w:tcPr>
          <w:p w14:paraId="5D251055" w14:textId="77777777" w:rsidR="00B07ADA" w:rsidRPr="00C14E42" w:rsidRDefault="00B07ADA" w:rsidP="00182DD4">
            <w:pPr>
              <w:jc w:val="both"/>
              <w:rPr>
                <w:rFonts w:ascii="Times New Roman" w:eastAsia="Calibri Light" w:hAnsi="Times New Roman" w:cs="Times New Roman"/>
                <w:sz w:val="20"/>
                <w:szCs w:val="20"/>
                <w:lang w:val="ro-RO"/>
              </w:rPr>
            </w:pPr>
            <w:r w:rsidRPr="00C14E42">
              <w:rPr>
                <w:rFonts w:ascii="Times New Roman" w:eastAsia="Calibri Light" w:hAnsi="Times New Roman" w:cs="Times New Roman"/>
                <w:sz w:val="20"/>
                <w:szCs w:val="20"/>
                <w:lang w:val="ro-RO"/>
              </w:rPr>
              <w:t>2</w:t>
            </w:r>
          </w:p>
        </w:tc>
      </w:tr>
      <w:tr w:rsidR="00C14E42" w:rsidRPr="00C14E42" w14:paraId="26F56BFB" w14:textId="77777777" w:rsidTr="00C14E42">
        <w:tc>
          <w:tcPr>
            <w:tcW w:w="5751" w:type="dxa"/>
          </w:tcPr>
          <w:p w14:paraId="313C5483" w14:textId="77777777" w:rsidR="00B07ADA" w:rsidRPr="00C14E42" w:rsidRDefault="00B07ADA" w:rsidP="00182DD4">
            <w:pPr>
              <w:jc w:val="both"/>
              <w:rPr>
                <w:rFonts w:ascii="Times New Roman" w:eastAsia="Calibri Light" w:hAnsi="Times New Roman" w:cs="Times New Roman"/>
                <w:sz w:val="20"/>
                <w:szCs w:val="20"/>
                <w:lang w:val="ro-RO"/>
              </w:rPr>
            </w:pPr>
            <w:r w:rsidRPr="00C14E42">
              <w:rPr>
                <w:rFonts w:ascii="Times New Roman" w:eastAsia="Calibri Light" w:hAnsi="Times New Roman" w:cs="Times New Roman"/>
                <w:sz w:val="20"/>
                <w:szCs w:val="20"/>
                <w:lang w:val="ro-RO"/>
              </w:rPr>
              <w:t>Spitalizare în terapie intensivă (ATI/USTAC)</w:t>
            </w:r>
          </w:p>
        </w:tc>
        <w:tc>
          <w:tcPr>
            <w:tcW w:w="4252" w:type="dxa"/>
          </w:tcPr>
          <w:p w14:paraId="72830220" w14:textId="77777777" w:rsidR="00B07ADA" w:rsidRPr="00C14E42" w:rsidRDefault="00B07ADA" w:rsidP="00182DD4">
            <w:pPr>
              <w:jc w:val="both"/>
              <w:rPr>
                <w:rFonts w:ascii="Times New Roman" w:eastAsia="Calibri Light" w:hAnsi="Times New Roman" w:cs="Times New Roman"/>
                <w:sz w:val="20"/>
                <w:szCs w:val="20"/>
                <w:lang w:val="ro-RO"/>
              </w:rPr>
            </w:pPr>
            <w:r w:rsidRPr="00C14E42">
              <w:rPr>
                <w:rFonts w:ascii="Times New Roman" w:eastAsia="Calibri Light" w:hAnsi="Times New Roman" w:cs="Times New Roman"/>
                <w:sz w:val="20"/>
                <w:szCs w:val="20"/>
                <w:lang w:val="ro-RO"/>
              </w:rPr>
              <w:t>1</w:t>
            </w:r>
          </w:p>
        </w:tc>
      </w:tr>
      <w:tr w:rsidR="00C14E42" w:rsidRPr="00C14E42" w14:paraId="11F73692" w14:textId="77777777" w:rsidTr="00C14E42">
        <w:tc>
          <w:tcPr>
            <w:tcW w:w="5751" w:type="dxa"/>
          </w:tcPr>
          <w:p w14:paraId="303C3475" w14:textId="77777777" w:rsidR="00B07ADA" w:rsidRPr="00C14E42" w:rsidRDefault="00B07ADA" w:rsidP="00182DD4">
            <w:pPr>
              <w:jc w:val="both"/>
              <w:rPr>
                <w:rFonts w:ascii="Times New Roman" w:eastAsia="Calibri Light" w:hAnsi="Times New Roman" w:cs="Times New Roman"/>
                <w:sz w:val="20"/>
                <w:szCs w:val="20"/>
                <w:lang w:val="ro-RO"/>
              </w:rPr>
            </w:pPr>
            <w:r w:rsidRPr="00C14E42">
              <w:rPr>
                <w:rFonts w:ascii="Times New Roman" w:eastAsia="Calibri Light" w:hAnsi="Times New Roman" w:cs="Times New Roman"/>
                <w:sz w:val="20"/>
                <w:szCs w:val="20"/>
                <w:lang w:val="ro-RO"/>
              </w:rPr>
              <w:t xml:space="preserve">Imobilizare completă </w:t>
            </w:r>
            <w:r w:rsidRPr="00C14E42">
              <w:rPr>
                <w:rFonts w:ascii="Times New Roman" w:hAnsi="Times New Roman" w:cs="Times New Roman"/>
                <w:sz w:val="20"/>
                <w:szCs w:val="20"/>
                <w:lang w:val="ro-RO"/>
              </w:rPr>
              <w:t>≥ o zi</w:t>
            </w:r>
          </w:p>
        </w:tc>
        <w:tc>
          <w:tcPr>
            <w:tcW w:w="4252" w:type="dxa"/>
          </w:tcPr>
          <w:p w14:paraId="10B52FCB" w14:textId="77777777" w:rsidR="00B07ADA" w:rsidRPr="00C14E42" w:rsidRDefault="00B07ADA" w:rsidP="00182DD4">
            <w:pPr>
              <w:jc w:val="both"/>
              <w:rPr>
                <w:rFonts w:ascii="Times New Roman" w:eastAsia="Calibri Light" w:hAnsi="Times New Roman" w:cs="Times New Roman"/>
                <w:sz w:val="20"/>
                <w:szCs w:val="20"/>
                <w:lang w:val="ro-RO"/>
              </w:rPr>
            </w:pPr>
            <w:r w:rsidRPr="00C14E42">
              <w:rPr>
                <w:rFonts w:ascii="Times New Roman" w:eastAsia="Calibri Light" w:hAnsi="Times New Roman" w:cs="Times New Roman"/>
                <w:sz w:val="20"/>
                <w:szCs w:val="20"/>
                <w:lang w:val="ro-RO"/>
              </w:rPr>
              <w:t>1</w:t>
            </w:r>
          </w:p>
        </w:tc>
      </w:tr>
      <w:tr w:rsidR="00C14E42" w:rsidRPr="00C14E42" w14:paraId="1F82EA7A" w14:textId="77777777" w:rsidTr="00C14E42">
        <w:tc>
          <w:tcPr>
            <w:tcW w:w="5751" w:type="dxa"/>
          </w:tcPr>
          <w:p w14:paraId="53F53EE1" w14:textId="77777777" w:rsidR="00B07ADA" w:rsidRPr="00C14E42" w:rsidRDefault="00B07ADA" w:rsidP="00182DD4">
            <w:pPr>
              <w:jc w:val="both"/>
              <w:rPr>
                <w:rFonts w:ascii="Times New Roman" w:eastAsia="Calibri Light" w:hAnsi="Times New Roman" w:cs="Times New Roman"/>
                <w:sz w:val="20"/>
                <w:szCs w:val="20"/>
                <w:lang w:val="ro-RO"/>
              </w:rPr>
            </w:pPr>
            <w:r w:rsidRPr="00C14E42">
              <w:rPr>
                <w:rFonts w:ascii="Times New Roman" w:eastAsia="Calibri Light" w:hAnsi="Times New Roman" w:cs="Times New Roman"/>
                <w:sz w:val="20"/>
                <w:szCs w:val="20"/>
                <w:lang w:val="ro-RO"/>
              </w:rPr>
              <w:t xml:space="preserve">Vârsta </w:t>
            </w:r>
            <w:r w:rsidRPr="00C14E42">
              <w:rPr>
                <w:rFonts w:ascii="Times New Roman" w:hAnsi="Times New Roman" w:cs="Times New Roman"/>
                <w:sz w:val="20"/>
                <w:szCs w:val="20"/>
                <w:lang w:val="ro-RO"/>
              </w:rPr>
              <w:t>≥ 60 ani</w:t>
            </w:r>
          </w:p>
        </w:tc>
        <w:tc>
          <w:tcPr>
            <w:tcW w:w="4252" w:type="dxa"/>
          </w:tcPr>
          <w:p w14:paraId="027A0E4A" w14:textId="77777777" w:rsidR="00B07ADA" w:rsidRPr="00C14E42" w:rsidRDefault="00B07ADA" w:rsidP="00182DD4">
            <w:pPr>
              <w:jc w:val="both"/>
              <w:rPr>
                <w:rFonts w:ascii="Times New Roman" w:eastAsia="Calibri Light" w:hAnsi="Times New Roman" w:cs="Times New Roman"/>
                <w:sz w:val="20"/>
                <w:szCs w:val="20"/>
                <w:lang w:val="ro-RO"/>
              </w:rPr>
            </w:pPr>
            <w:r w:rsidRPr="00C14E42">
              <w:rPr>
                <w:rFonts w:ascii="Times New Roman" w:eastAsia="Calibri Light" w:hAnsi="Times New Roman" w:cs="Times New Roman"/>
                <w:sz w:val="20"/>
                <w:szCs w:val="20"/>
                <w:lang w:val="ro-RO"/>
              </w:rPr>
              <w:t>1</w:t>
            </w:r>
          </w:p>
        </w:tc>
      </w:tr>
    </w:tbl>
    <w:p w14:paraId="0B008F5B" w14:textId="77777777" w:rsidR="00B07ADA" w:rsidRPr="00C14E42" w:rsidRDefault="00B07ADA"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2F884125" w14:textId="77777777" w:rsidR="00B07ADA"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B.4.</w:t>
      </w:r>
      <w:r w:rsidRPr="00C14E42">
        <w:rPr>
          <w:rFonts w:ascii="Times New Roman" w:eastAsia="Times New Roman" w:hAnsi="Times New Roman" w:cs="Times New Roman"/>
          <w:b/>
          <w:sz w:val="24"/>
          <w:szCs w:val="24"/>
          <w:bdr w:val="dotted" w:sz="6" w:space="0" w:color="FEFEFE" w:frame="1"/>
          <w:shd w:val="clear" w:color="auto" w:fill="FFFFFF"/>
        </w:rPr>
        <w:t> </w:t>
      </w:r>
      <w:r w:rsidRPr="00C14E42">
        <w:rPr>
          <w:rFonts w:ascii="Times New Roman" w:eastAsia="Times New Roman" w:hAnsi="Times New Roman" w:cs="Times New Roman"/>
          <w:b/>
          <w:sz w:val="24"/>
          <w:szCs w:val="24"/>
          <w:bdr w:val="none" w:sz="0" w:space="0" w:color="auto" w:frame="1"/>
          <w:shd w:val="clear" w:color="auto" w:fill="FFFFFF"/>
        </w:rPr>
        <w:t xml:space="preserve">Antibiotice și alte medicații antiinfecțioase </w:t>
      </w:r>
      <w:r w:rsidRPr="00C14E42">
        <w:rPr>
          <w:rFonts w:ascii="Times New Roman" w:eastAsia="Times New Roman" w:hAnsi="Times New Roman" w:cs="Times New Roman"/>
          <w:sz w:val="24"/>
          <w:szCs w:val="24"/>
          <w:bdr w:val="none" w:sz="0" w:space="0" w:color="auto" w:frame="1"/>
          <w:shd w:val="clear" w:color="auto" w:fill="FFFFFF"/>
        </w:rPr>
        <w:t>(cu excepția celor antivirale specifice COVID-19)</w:t>
      </w:r>
    </w:p>
    <w:p w14:paraId="11891AB0" w14:textId="77777777" w:rsidR="00B07ADA" w:rsidRPr="00C14E42" w:rsidRDefault="00B07ADA"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2D73D542" w14:textId="77777777" w:rsidR="00B07ADA"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Administrarea de antibiotice și alte antiinfecțioase nu este necesară în cadrul tratamentului pacienților cu COVID-19; ea reprezintă o atitudine de excepție, indicată în situații bine definite:</w:t>
      </w:r>
    </w:p>
    <w:p w14:paraId="53D19C91" w14:textId="046CB19A" w:rsidR="00B07ADA" w:rsidRPr="00C14E42" w:rsidRDefault="00022853" w:rsidP="004B50B4">
      <w:pPr>
        <w:pStyle w:val="ListParagraph"/>
        <w:numPr>
          <w:ilvl w:val="2"/>
          <w:numId w:val="13"/>
        </w:numPr>
        <w:spacing w:after="0" w:line="240" w:lineRule="auto"/>
        <w:ind w:left="900"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tratarea infecțiilor concomitente COVID-19 (de exemplu, pneumonii bacteriene);</w:t>
      </w:r>
    </w:p>
    <w:p w14:paraId="0BE95F52" w14:textId="3815904B" w:rsidR="00B07ADA" w:rsidRPr="00C14E42" w:rsidRDefault="00022853" w:rsidP="004B50B4">
      <w:pPr>
        <w:pStyle w:val="ListParagraph"/>
        <w:numPr>
          <w:ilvl w:val="2"/>
          <w:numId w:val="13"/>
        </w:numPr>
        <w:spacing w:after="0" w:line="240" w:lineRule="auto"/>
        <w:ind w:left="900"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lastRenderedPageBreak/>
        <w:t>tratarea infecțiilor asociate asistenței medicale ce apar la pacienții cu COVID-19 în timpul îngrijirii lor în spitale, mai frecvent respiratorii (pneumonii asociate asistenței medicale), dar și cu alte localizări: de părți moi, septicemii sau șoc septic, infecții cu C. difficile;</w:t>
      </w:r>
    </w:p>
    <w:p w14:paraId="6FCD1F52" w14:textId="1AA5A420" w:rsidR="00B07ADA" w:rsidRPr="00C14E42" w:rsidRDefault="00022853" w:rsidP="004B50B4">
      <w:pPr>
        <w:pStyle w:val="ListParagraph"/>
        <w:numPr>
          <w:ilvl w:val="2"/>
          <w:numId w:val="13"/>
        </w:numPr>
        <w:spacing w:after="0" w:line="240" w:lineRule="auto"/>
        <w:ind w:left="900"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reactivarea unor infecții la pacienții care primesc tratament imunosupresor (tuberculoză, infecții herpetice, pneumocistoză etc.).</w:t>
      </w:r>
    </w:p>
    <w:p w14:paraId="0D5C7BB2" w14:textId="77777777" w:rsidR="00B07ADA" w:rsidRPr="00C14E42" w:rsidRDefault="00B07ADA"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099E3E80" w14:textId="77777777" w:rsidR="00F11BBE"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În prima perioadă de evoluție a bolii, pacientul cu COVID-19 poate avea infecții bacteriene concomitente, într-o proporție care nu depășește 10% în mai multe studii publicate; riscul de infecții bacteriene concomitente pare să fie semnificativ mai mic decât la pacienții cu gripă. Infecțiile concomitente COVID-19 sunt de regulă pneumonii bacteriene, care asociază frecvent procalcitonină serică crescută sau în creștere, leucocitoză cu neutrofilie, aspect radiologic de opacități pulmonare alveolare. În cazul unor astfel de manifestări este util un screening bacteriologic cu testarea prezenței urinare de antigene de pneumococ sau de Legionella, serologii pentru bacterii atipice, hemoculturi.</w:t>
      </w:r>
    </w:p>
    <w:p w14:paraId="54C16D06" w14:textId="77777777" w:rsidR="00F11BBE" w:rsidRPr="00C14E42" w:rsidRDefault="00F11BBE"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1B8070B3" w14:textId="77777777" w:rsidR="00F11BBE"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Antibioticele recomandate în pneumonie bacteriană precoce instalată sunt cele recomandate pentru pneumoniile comunitare:</w:t>
      </w:r>
    </w:p>
    <w:p w14:paraId="51F8D840" w14:textId="04A7DACA" w:rsidR="00F11BBE" w:rsidRPr="00C14E42" w:rsidRDefault="00022853" w:rsidP="004B50B4">
      <w:pPr>
        <w:pStyle w:val="ListParagraph"/>
        <w:numPr>
          <w:ilvl w:val="2"/>
          <w:numId w:val="14"/>
        </w:numPr>
        <w:spacing w:after="0" w:line="240" w:lineRule="auto"/>
        <w:ind w:left="900"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amoxicilină clavulanat la 8 ore + doxiciclină 100 mg la 12 ore;</w:t>
      </w:r>
    </w:p>
    <w:p w14:paraId="0197D763" w14:textId="7BA7949B" w:rsidR="00F11BBE" w:rsidRPr="00C14E42" w:rsidRDefault="00022853" w:rsidP="004B50B4">
      <w:pPr>
        <w:pStyle w:val="ListParagraph"/>
        <w:numPr>
          <w:ilvl w:val="2"/>
          <w:numId w:val="14"/>
        </w:numPr>
        <w:spacing w:after="0" w:line="240" w:lineRule="auto"/>
        <w:ind w:left="900"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pentru gravide: ceftriaxonă + azitromicină;</w:t>
      </w:r>
    </w:p>
    <w:p w14:paraId="26FF6CE6" w14:textId="5938C1B0" w:rsidR="00F11BBE" w:rsidRPr="00C14E42" w:rsidRDefault="00022853" w:rsidP="004B50B4">
      <w:pPr>
        <w:pStyle w:val="ListParagraph"/>
        <w:numPr>
          <w:ilvl w:val="2"/>
          <w:numId w:val="14"/>
        </w:numPr>
        <w:spacing w:after="0" w:line="240" w:lineRule="auto"/>
        <w:ind w:left="900"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pentru alergici la beta-lactamine: moxifloxacină 400 mg/zi.</w:t>
      </w:r>
    </w:p>
    <w:p w14:paraId="716B659C" w14:textId="77777777" w:rsidR="00F11BBE"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Durata de administrare nu va depăși 5-7 zile. În mod anecdotic doxiciclinei i-a fost atribuit un rol favorabil suplimentar, de posibil inhibitor al IL-6. Fluorochinolona și macrolidele (inclusiv azitromicina) trebuie evitate la pacienții cunoscuți cu tulburări de ritm sau de conducere, din cauza riscului de a declanșa asemenea manifestări prin alungirea intervalului QT. Nu se poate susține includerea azitromicinei în tratamentul standard al COVID-19 și/sau al coinfecțiilor bacteriene în condițiile rezistenței frecvente a pneumococilor și posibil și a Mycoplasma pneumoniae la macrolide în România.</w:t>
      </w:r>
    </w:p>
    <w:p w14:paraId="0E1B8079" w14:textId="77777777" w:rsidR="00F11BBE" w:rsidRPr="00C14E42" w:rsidRDefault="00F11BBE"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501C6DA2" w14:textId="77777777" w:rsidR="00F11BBE"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Apariția pneumoniei asociate ventilației mecanice a fost rară la pacienții cu COVID-19, de la mai puțin de 10% la 20%, chiar dacă durata medie de ventilație a fost de aproximativ 3 săptămâni. În cazul apariției unei pneumonii asociate ventilației mecanice se va utiliza o schemă de tratament adaptată circulației microbiene din respectivul serviciu de terapie intensivă.</w:t>
      </w:r>
    </w:p>
    <w:p w14:paraId="32CF2EB6" w14:textId="77777777" w:rsidR="00F11BBE" w:rsidRPr="00C14E42" w:rsidRDefault="00F11BBE"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513FD043" w14:textId="77777777" w:rsidR="00F11BBE"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După administrarea de imunosupresoare pentru controlul inflamației excesive, pacientul trebuie supravegheat pentru riscul de suprainfecții bacteriene și de reactivare a unor infecții latente. Pentru a putea evalua cât mai corect aceste riscuri, recomandăm alături de anamneză și recoltarea și stocarea unei probe de sânge anterior primei administrări de imunosupresor, din care să se poată efectua teste serologice (HSV), Quantiferon TB-Gold, alte teste.</w:t>
      </w:r>
    </w:p>
    <w:p w14:paraId="6FCCFB8B" w14:textId="77777777" w:rsidR="00F11BBE" w:rsidRPr="00C14E42" w:rsidRDefault="00F11BBE"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392647DC" w14:textId="77777777" w:rsidR="00434BEE"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În concluzie, administrarea de medicație antiinfecțioasă, în afara celei specifice pentru COVID-19, nu este indicată în general, ci doar selectiv și bine justificat. Utilizarea corectă a anamnezei, a examenului fizic, a testelor biologice (procalcitonina și hemoleucograma), a explorărilor imagistice și a testelor microbiologice permite identificarea pacienților care necesită antibiotice pentru rezolvarea problemelor infecțioase asociate COVID-19. Având în vedere relativa raritate a infecțiilor asociate acestui sindrom, situația actuală ar putea să aibă o consecință neintenționată favorabilă, și anume limitarea presiunii de selecție de bacterii rezistente la antibiotice și restrângerea circulației acestor microorganisme.</w:t>
      </w:r>
    </w:p>
    <w:p w14:paraId="61819FB1" w14:textId="77777777" w:rsidR="00434BEE" w:rsidRPr="00C14E42" w:rsidRDefault="00434BEE"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44D83ABE" w14:textId="77777777" w:rsidR="00434BEE" w:rsidRPr="00C14E42" w:rsidRDefault="00022853" w:rsidP="00022853">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B.5.</w:t>
      </w:r>
      <w:r w:rsidRPr="00C14E42">
        <w:rPr>
          <w:rFonts w:ascii="Times New Roman" w:eastAsia="Times New Roman" w:hAnsi="Times New Roman" w:cs="Times New Roman"/>
          <w:b/>
          <w:sz w:val="24"/>
          <w:szCs w:val="24"/>
          <w:bdr w:val="dotted" w:sz="6" w:space="0" w:color="FEFEFE" w:frame="1"/>
          <w:shd w:val="clear" w:color="auto" w:fill="FFFFFF"/>
        </w:rPr>
        <w:t> </w:t>
      </w:r>
      <w:r w:rsidRPr="00C14E42">
        <w:rPr>
          <w:rFonts w:ascii="Times New Roman" w:eastAsia="Times New Roman" w:hAnsi="Times New Roman" w:cs="Times New Roman"/>
          <w:b/>
          <w:sz w:val="24"/>
          <w:szCs w:val="24"/>
          <w:bdr w:val="none" w:sz="0" w:space="0" w:color="auto" w:frame="1"/>
          <w:shd w:val="clear" w:color="auto" w:fill="FFFFFF"/>
        </w:rPr>
        <w:t>Suportul funcțiilor vitale</w:t>
      </w:r>
    </w:p>
    <w:p w14:paraId="11FA03B4" w14:textId="77777777" w:rsidR="00434BEE" w:rsidRPr="00C14E42" w:rsidRDefault="00434BEE" w:rsidP="00022853">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p>
    <w:p w14:paraId="3F6CBB2D" w14:textId="77777777" w:rsidR="00434BEE"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Îngrijirea pacienților cu forme critice de COVID-19 se va face de către medici de terapie intensivă.</w:t>
      </w:r>
    </w:p>
    <w:p w14:paraId="6F8F40DC" w14:textId="39F720ED" w:rsidR="00434BEE"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Deși există multiple sindroame care pot pune în pericol prognosticul pacientului cu COVID-19 (disfuncții hemodinamice, insuficiență renală acută, suprainfecții bacteriene severe), principalul risc vital rămâne afectarea respiratorie severă și de aceea o atenție deosebită trebuie acordată monitorizării și susținerii funcției respiratorii la pacientul cu COV</w:t>
      </w:r>
      <w:r w:rsidR="00434BEE" w:rsidRPr="00C14E42">
        <w:rPr>
          <w:rFonts w:ascii="Times New Roman" w:eastAsia="Times New Roman" w:hAnsi="Times New Roman" w:cs="Times New Roman"/>
          <w:sz w:val="24"/>
          <w:szCs w:val="24"/>
          <w:bdr w:val="none" w:sz="0" w:space="0" w:color="auto" w:frame="1"/>
          <w:shd w:val="clear" w:color="auto" w:fill="FFFFFF"/>
        </w:rPr>
        <w:t>ID-19. Scăderea saturației de O</w:t>
      </w:r>
      <w:r w:rsidRPr="00C14E42">
        <w:rPr>
          <w:rFonts w:ascii="Times New Roman" w:eastAsia="Times New Roman" w:hAnsi="Times New Roman" w:cs="Times New Roman"/>
          <w:sz w:val="24"/>
          <w:szCs w:val="24"/>
          <w:bdr w:val="none" w:sz="0" w:space="0" w:color="auto" w:frame="1"/>
          <w:shd w:val="clear" w:color="auto" w:fill="FFFFFF"/>
          <w:vertAlign w:val="subscript"/>
        </w:rPr>
        <w:t>2</w:t>
      </w:r>
      <w:r w:rsidRPr="00C14E42">
        <w:rPr>
          <w:rFonts w:ascii="Times New Roman" w:eastAsia="Times New Roman" w:hAnsi="Times New Roman" w:cs="Times New Roman"/>
          <w:sz w:val="24"/>
          <w:szCs w:val="24"/>
          <w:bdr w:val="none" w:sz="0" w:space="0" w:color="auto" w:frame="1"/>
          <w:shd w:val="clear" w:color="auto" w:fill="FFFFFF"/>
        </w:rPr>
        <w:t xml:space="preserve"> sub 94% în aerul atmosferic la pacienți în repaus, fără suferință respiratorie anterioară, impune evaluarea rapidă a gazometriei arteriale și îmbogățirea aerului inspirat cu oxigen. Măsuri suplimentare pentru reducerea hipoxemiei pot fi oricând decise în funcție de dificultatea de a corecta hipoxemia. Obiectivul este de a evita agravarea hipoxiei tisulare care determină leziuni greu reversibile.</w:t>
      </w:r>
    </w:p>
    <w:p w14:paraId="64CCF222" w14:textId="77777777" w:rsidR="00434BEE" w:rsidRPr="00C14E42" w:rsidRDefault="00434BEE"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25720062" w14:textId="77777777" w:rsidR="00434BEE"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lastRenderedPageBreak/>
        <w:t>Elementele de detaliu în această privință depășesc scopul acestui protocol terapeutic. Un protocol privind tratamentul cu oxigen este elaborat pentru a detalia intervențiile necesare la diferite categorii de pacienți.</w:t>
      </w:r>
    </w:p>
    <w:p w14:paraId="1833658A" w14:textId="77777777" w:rsidR="00434BEE" w:rsidRPr="00C14E42" w:rsidRDefault="00434BEE"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58B7062D" w14:textId="77777777" w:rsidR="00434BEE"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B.6.</w:t>
      </w:r>
      <w:r w:rsidRPr="00C14E42">
        <w:rPr>
          <w:rFonts w:ascii="Times New Roman" w:eastAsia="Times New Roman" w:hAnsi="Times New Roman" w:cs="Times New Roman"/>
          <w:b/>
          <w:sz w:val="24"/>
          <w:szCs w:val="24"/>
          <w:bdr w:val="dotted" w:sz="6" w:space="0" w:color="FEFEFE" w:frame="1"/>
          <w:shd w:val="clear" w:color="auto" w:fill="FFFFFF"/>
        </w:rPr>
        <w:t> </w:t>
      </w:r>
      <w:r w:rsidRPr="00C14E42">
        <w:rPr>
          <w:rFonts w:ascii="Times New Roman" w:eastAsia="Times New Roman" w:hAnsi="Times New Roman" w:cs="Times New Roman"/>
          <w:b/>
          <w:sz w:val="24"/>
          <w:szCs w:val="24"/>
          <w:bdr w:val="none" w:sz="0" w:space="0" w:color="auto" w:frame="1"/>
          <w:shd w:val="clear" w:color="auto" w:fill="FFFFFF"/>
        </w:rPr>
        <w:t>Simptomatice și alte măsuri terapeutice</w:t>
      </w:r>
      <w:r w:rsidRPr="00C14E42">
        <w:rPr>
          <w:rFonts w:ascii="Times New Roman" w:eastAsia="Times New Roman" w:hAnsi="Times New Roman" w:cs="Times New Roman"/>
          <w:sz w:val="24"/>
          <w:szCs w:val="24"/>
          <w:bdr w:val="none" w:sz="0" w:space="0" w:color="auto" w:frame="1"/>
          <w:shd w:val="clear" w:color="auto" w:fill="FFFFFF"/>
        </w:rPr>
        <w:t xml:space="preserve"> care pot fi utile în majoritatea cazurilor:</w:t>
      </w:r>
    </w:p>
    <w:p w14:paraId="1F4D9E49" w14:textId="10755236" w:rsidR="00434BEE" w:rsidRPr="00C14E42" w:rsidRDefault="00022853" w:rsidP="004B50B4">
      <w:pPr>
        <w:pStyle w:val="ListParagraph"/>
        <w:numPr>
          <w:ilvl w:val="2"/>
          <w:numId w:val="15"/>
        </w:numPr>
        <w:spacing w:after="0" w:line="240" w:lineRule="auto"/>
        <w:ind w:left="990"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combaterea febrei (acetaminofen), a mialgiilor;</w:t>
      </w:r>
    </w:p>
    <w:p w14:paraId="3D01C5BA" w14:textId="192468FF" w:rsidR="00434BEE" w:rsidRPr="00C14E42" w:rsidRDefault="00022853" w:rsidP="004B50B4">
      <w:pPr>
        <w:pStyle w:val="ListParagraph"/>
        <w:numPr>
          <w:ilvl w:val="2"/>
          <w:numId w:val="15"/>
        </w:numPr>
        <w:spacing w:after="0" w:line="240" w:lineRule="auto"/>
        <w:ind w:left="990"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combaterea insomniilor;</w:t>
      </w:r>
    </w:p>
    <w:p w14:paraId="33DC33B2" w14:textId="6E9747CB" w:rsidR="00434BEE" w:rsidRPr="00C14E42" w:rsidRDefault="00022853" w:rsidP="004B50B4">
      <w:pPr>
        <w:pStyle w:val="ListParagraph"/>
        <w:numPr>
          <w:ilvl w:val="2"/>
          <w:numId w:val="15"/>
        </w:numPr>
        <w:spacing w:after="0" w:line="240" w:lineRule="auto"/>
        <w:ind w:left="990"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limitarea anxietății pentru ameliorarea stării generale - lorazepam;</w:t>
      </w:r>
    </w:p>
    <w:p w14:paraId="2E215192" w14:textId="7218E535" w:rsidR="00434BEE" w:rsidRPr="00C14E42" w:rsidRDefault="00022853" w:rsidP="004B50B4">
      <w:pPr>
        <w:pStyle w:val="ListParagraph"/>
        <w:numPr>
          <w:ilvl w:val="2"/>
          <w:numId w:val="15"/>
        </w:numPr>
        <w:spacing w:after="0" w:line="240" w:lineRule="auto"/>
        <w:ind w:left="990"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combaterea greței, vărsăturilor - metoclopramid, ondasetron, eventual dexametazonă;</w:t>
      </w:r>
    </w:p>
    <w:p w14:paraId="5AD71D04" w14:textId="3CD54ADF" w:rsidR="00434BEE" w:rsidRPr="00C14E42" w:rsidRDefault="00022853" w:rsidP="004B50B4">
      <w:pPr>
        <w:pStyle w:val="ListParagraph"/>
        <w:numPr>
          <w:ilvl w:val="2"/>
          <w:numId w:val="15"/>
        </w:numPr>
        <w:spacing w:after="0" w:line="240" w:lineRule="auto"/>
        <w:ind w:left="990"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fluidifierea secrețiilor respiratorii prin hidratare corespunzătoare, nebulizare cu soluție hipertonă 3%, nebulizări cu betamimetice;</w:t>
      </w:r>
    </w:p>
    <w:p w14:paraId="387D6B54" w14:textId="31B8F0A8" w:rsidR="00434BEE" w:rsidRPr="00C14E42" w:rsidRDefault="00022853" w:rsidP="004B50B4">
      <w:pPr>
        <w:pStyle w:val="ListParagraph"/>
        <w:numPr>
          <w:ilvl w:val="2"/>
          <w:numId w:val="15"/>
        </w:numPr>
        <w:spacing w:after="0" w:line="240" w:lineRule="auto"/>
        <w:ind w:left="990"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profilaxia escarelor la pacientul imobilizat/sever;</w:t>
      </w:r>
    </w:p>
    <w:p w14:paraId="7E510BAE" w14:textId="5F5B6E91" w:rsidR="00434BEE" w:rsidRPr="00C14E42" w:rsidRDefault="00022853" w:rsidP="004B50B4">
      <w:pPr>
        <w:pStyle w:val="ListParagraph"/>
        <w:numPr>
          <w:ilvl w:val="2"/>
          <w:numId w:val="15"/>
        </w:numPr>
        <w:spacing w:after="0" w:line="240" w:lineRule="auto"/>
        <w:ind w:left="990"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profilaxia ulcerului de stres prin antisecretorii gastrice și nutriție enterală;</w:t>
      </w:r>
    </w:p>
    <w:p w14:paraId="7C06C814" w14:textId="67E85AA3" w:rsidR="00434BEE" w:rsidRPr="00C14E42" w:rsidRDefault="00022853" w:rsidP="004B50B4">
      <w:pPr>
        <w:pStyle w:val="ListParagraph"/>
        <w:numPr>
          <w:ilvl w:val="2"/>
          <w:numId w:val="15"/>
        </w:numPr>
        <w:spacing w:after="0" w:line="240" w:lineRule="auto"/>
        <w:ind w:left="990"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în formele cu inflamație importantă și/sau hipoxemie la pacienți diabetici riscul de cetoacidoză este mai mare și se recomandă corectare cu insulină cu acțiune rapidă;</w:t>
      </w:r>
    </w:p>
    <w:p w14:paraId="6CAF024C" w14:textId="54912058" w:rsidR="00434BEE" w:rsidRPr="00C14E42" w:rsidRDefault="00022853" w:rsidP="004B50B4">
      <w:pPr>
        <w:pStyle w:val="ListParagraph"/>
        <w:numPr>
          <w:ilvl w:val="2"/>
          <w:numId w:val="15"/>
        </w:numPr>
        <w:spacing w:after="0" w:line="240" w:lineRule="auto"/>
        <w:ind w:left="990"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întreruperea fumatului.</w:t>
      </w:r>
    </w:p>
    <w:p w14:paraId="265479E2" w14:textId="77777777" w:rsidR="00434BEE" w:rsidRPr="00C14E42" w:rsidRDefault="00434BEE"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39B714E2" w14:textId="77777777" w:rsidR="00434BEE" w:rsidRPr="00C14E42" w:rsidRDefault="00022853" w:rsidP="00022853">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B.7.</w:t>
      </w:r>
      <w:r w:rsidRPr="00C14E42">
        <w:rPr>
          <w:rFonts w:ascii="Times New Roman" w:eastAsia="Times New Roman" w:hAnsi="Times New Roman" w:cs="Times New Roman"/>
          <w:b/>
          <w:sz w:val="24"/>
          <w:szCs w:val="24"/>
          <w:bdr w:val="dotted" w:sz="6" w:space="0" w:color="FEFEFE" w:frame="1"/>
          <w:shd w:val="clear" w:color="auto" w:fill="FFFFFF"/>
        </w:rPr>
        <w:t> </w:t>
      </w:r>
      <w:r w:rsidRPr="00C14E42">
        <w:rPr>
          <w:rFonts w:ascii="Times New Roman" w:eastAsia="Times New Roman" w:hAnsi="Times New Roman" w:cs="Times New Roman"/>
          <w:b/>
          <w:sz w:val="24"/>
          <w:szCs w:val="24"/>
          <w:bdr w:val="none" w:sz="0" w:space="0" w:color="auto" w:frame="1"/>
          <w:shd w:val="clear" w:color="auto" w:fill="FFFFFF"/>
        </w:rPr>
        <w:t>Intervenții terapeutice controversate</w:t>
      </w:r>
    </w:p>
    <w:p w14:paraId="11D4A0A8" w14:textId="77777777" w:rsidR="00434BEE" w:rsidRPr="00C14E42" w:rsidRDefault="00434BEE" w:rsidP="00022853">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p>
    <w:p w14:paraId="698C2F76" w14:textId="77777777" w:rsidR="00434BEE" w:rsidRPr="00C14E42" w:rsidRDefault="00022853" w:rsidP="00434BEE">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Deși s-a discutat necesitatea înlocuirii inhibitorilor ACE și/sau a sartanilor din tratamentul pacientului cu COVID-19, Societatea Europeană de Cardiologie a emis la 13 martie 2020 o recomandare de a fi menținuți în schemele de tratament. O recomandare identică a fost emisă în SUA în 17 martie 2020 de către Asociația Americană de Cardiologie.</w:t>
      </w:r>
    </w:p>
    <w:p w14:paraId="6D35F4C9" w14:textId="77777777" w:rsidR="00434BEE" w:rsidRPr="00C14E42" w:rsidRDefault="00434BEE" w:rsidP="00434BEE">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49FCA926" w14:textId="77777777" w:rsidR="00434BEE" w:rsidRPr="00C14E42" w:rsidRDefault="00022853" w:rsidP="00434BEE">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A existat o reticență privind utilizarea AINS în tratamentul COVID-19, legată de inhibarea efectului benefic al inflamației, susținută de date clinice restrânse. Este rațional să se administreze în scop simptomatic fie antitermice, fie AINS, ținându-se cont de contraindicații generale și de efectele adverse posibile ale fiecărei categorii de medicamente. Pacienții aflați în tratament cu AINS pentru diverse afecțiuni pot continua dacă nu există interacțiuni medicamentoase majore cu medicația pentru COVID-19, cu monitorizarea efectelor adverse.</w:t>
      </w:r>
    </w:p>
    <w:p w14:paraId="663CD78C" w14:textId="77777777" w:rsidR="00434BEE" w:rsidRPr="00C14E42" w:rsidRDefault="00434BEE" w:rsidP="00434BEE">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4725F731" w14:textId="77777777" w:rsidR="00434BEE" w:rsidRPr="00C14E42" w:rsidRDefault="00022853" w:rsidP="00434BEE">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Sunt considerate inutile și chiar nocive: imunoglobuline de administrare intravenoasă, refacerea volemiei cu soluții coloidale (discutabil, pentru albumină), bilanțul hidric pozitiv la cazurile severe.</w:t>
      </w:r>
    </w:p>
    <w:p w14:paraId="1DA3447C" w14:textId="77777777" w:rsidR="00434BEE" w:rsidRPr="00C14E42" w:rsidRDefault="00434BEE" w:rsidP="00434BEE">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1B871660" w14:textId="55EB1B73" w:rsidR="00434BEE" w:rsidRPr="00C14E42" w:rsidRDefault="00434BEE" w:rsidP="00434BEE">
      <w:pPr>
        <w:spacing w:after="0" w:line="240" w:lineRule="auto"/>
        <w:ind w:left="72" w:right="72"/>
        <w:jc w:val="both"/>
        <w:rPr>
          <w:rFonts w:ascii="Times New Roman" w:eastAsia="Times New Roman" w:hAnsi="Times New Roman" w:cs="Times New Roman"/>
          <w:b/>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C.</w:t>
      </w:r>
      <w:r w:rsidRPr="00C14E42">
        <w:rPr>
          <w:rFonts w:ascii="Times New Roman" w:eastAsia="Times New Roman" w:hAnsi="Times New Roman" w:cs="Times New Roman"/>
          <w:b/>
          <w:sz w:val="24"/>
          <w:szCs w:val="24"/>
          <w:bdr w:val="dotted" w:sz="6" w:space="0" w:color="FEFEFE" w:frame="1"/>
          <w:shd w:val="clear" w:color="auto" w:fill="FFFFFF"/>
        </w:rPr>
        <w:t> </w:t>
      </w:r>
      <w:r w:rsidRPr="00C14E42">
        <w:rPr>
          <w:rFonts w:ascii="Times New Roman" w:eastAsia="Times New Roman" w:hAnsi="Times New Roman" w:cs="Times New Roman"/>
          <w:b/>
          <w:sz w:val="24"/>
          <w:szCs w:val="24"/>
          <w:bdr w:val="none" w:sz="0" w:space="0" w:color="auto" w:frame="1"/>
          <w:shd w:val="clear" w:color="auto" w:fill="FFFFFF"/>
        </w:rPr>
        <w:t>RECOMANDĂRI PRIVIND TRATAMENTUL CAZURILOR SPITALIZATE</w:t>
      </w:r>
    </w:p>
    <w:p w14:paraId="3788FF71" w14:textId="77777777" w:rsidR="00434BEE" w:rsidRPr="00C14E42" w:rsidRDefault="00434BEE" w:rsidP="00434BEE">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51E78AA1" w14:textId="287225BC" w:rsidR="00022853" w:rsidRPr="00C14E42" w:rsidRDefault="00022853" w:rsidP="00434BEE">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Sumarul recomandărilor privind tratamentul cazurilor de COVID-19 spitalizate în funcție de severitatea bolii este prezentat în tabelul 4.</w:t>
      </w:r>
    </w:p>
    <w:p w14:paraId="16B15BFD" w14:textId="77777777" w:rsidR="00C14E42" w:rsidRDefault="00C14E42" w:rsidP="001F7E60">
      <w:pPr>
        <w:spacing w:after="0" w:line="240" w:lineRule="auto"/>
        <w:ind w:right="72"/>
        <w:jc w:val="both"/>
        <w:rPr>
          <w:rFonts w:ascii="Times New Roman" w:eastAsia="Times New Roman" w:hAnsi="Times New Roman" w:cs="Times New Roman"/>
          <w:sz w:val="24"/>
          <w:szCs w:val="24"/>
          <w:bdr w:val="none" w:sz="0" w:space="0" w:color="auto" w:frame="1"/>
          <w:shd w:val="clear" w:color="auto" w:fill="FFFFFF"/>
        </w:rPr>
      </w:pPr>
    </w:p>
    <w:p w14:paraId="2D25F399" w14:textId="77777777" w:rsidR="00022853"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Tabelul 4. Tratament propus în funcție de severitatea cazului de COVID-19 la pacienții spitalizați</w:t>
      </w:r>
    </w:p>
    <w:p w14:paraId="1DBC64C6" w14:textId="77777777" w:rsidR="00434BEE" w:rsidRPr="00C14E42" w:rsidRDefault="00434BEE"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tbl>
      <w:tblPr>
        <w:tblW w:w="10198"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912"/>
        <w:gridCol w:w="5026"/>
        <w:gridCol w:w="3260"/>
      </w:tblGrid>
      <w:tr w:rsidR="00C14E42" w:rsidRPr="00C14E42" w14:paraId="7E72CE59" w14:textId="77777777" w:rsidTr="00182DD4">
        <w:trPr>
          <w:trHeight w:val="331"/>
        </w:trPr>
        <w:tc>
          <w:tcPr>
            <w:tcW w:w="1912" w:type="dxa"/>
            <w:tcBorders>
              <w:top w:val="single" w:sz="6" w:space="0" w:color="000000"/>
              <w:left w:val="single" w:sz="6" w:space="0" w:color="000000"/>
              <w:bottom w:val="single" w:sz="6" w:space="0" w:color="000000"/>
              <w:right w:val="single" w:sz="6" w:space="0" w:color="000000"/>
            </w:tcBorders>
            <w:hideMark/>
          </w:tcPr>
          <w:p w14:paraId="2A990A93" w14:textId="77777777" w:rsidR="00986B1A" w:rsidRPr="00C14E42" w:rsidRDefault="00986B1A"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Forma de boală(severitate)</w:t>
            </w:r>
          </w:p>
        </w:tc>
        <w:tc>
          <w:tcPr>
            <w:tcW w:w="5026" w:type="dxa"/>
            <w:tcBorders>
              <w:top w:val="single" w:sz="6" w:space="0" w:color="000000"/>
              <w:left w:val="single" w:sz="6" w:space="0" w:color="000000"/>
              <w:bottom w:val="single" w:sz="6" w:space="0" w:color="000000"/>
              <w:right w:val="single" w:sz="6" w:space="0" w:color="000000"/>
            </w:tcBorders>
            <w:hideMark/>
          </w:tcPr>
          <w:p w14:paraId="4C3767F8" w14:textId="77777777" w:rsidR="00986B1A" w:rsidRPr="00C14E42" w:rsidRDefault="00986B1A"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Tratament recomandat</w:t>
            </w:r>
          </w:p>
        </w:tc>
        <w:tc>
          <w:tcPr>
            <w:tcW w:w="3260" w:type="dxa"/>
            <w:tcBorders>
              <w:top w:val="single" w:sz="6" w:space="0" w:color="000000"/>
              <w:left w:val="single" w:sz="6" w:space="0" w:color="000000"/>
              <w:bottom w:val="single" w:sz="6" w:space="0" w:color="000000"/>
              <w:right w:val="single" w:sz="6" w:space="0" w:color="000000"/>
            </w:tcBorders>
            <w:hideMark/>
          </w:tcPr>
          <w:p w14:paraId="049C6246" w14:textId="77777777" w:rsidR="00986B1A" w:rsidRPr="00C14E42" w:rsidRDefault="00986B1A"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Durata recomandată</w:t>
            </w:r>
          </w:p>
        </w:tc>
      </w:tr>
      <w:tr w:rsidR="00C14E42" w:rsidRPr="00C14E42" w14:paraId="4D960114" w14:textId="77777777" w:rsidTr="00182DD4">
        <w:tc>
          <w:tcPr>
            <w:tcW w:w="1912" w:type="dxa"/>
            <w:tcBorders>
              <w:top w:val="single" w:sz="6" w:space="0" w:color="000000"/>
              <w:left w:val="single" w:sz="6" w:space="0" w:color="000000"/>
              <w:bottom w:val="single" w:sz="6" w:space="0" w:color="000000"/>
              <w:right w:val="single" w:sz="6" w:space="0" w:color="000000"/>
            </w:tcBorders>
            <w:hideMark/>
          </w:tcPr>
          <w:p w14:paraId="15633202" w14:textId="77777777" w:rsidR="00986B1A" w:rsidRPr="00C14E42" w:rsidRDefault="00986B1A"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Asimptomatic</w:t>
            </w:r>
          </w:p>
        </w:tc>
        <w:tc>
          <w:tcPr>
            <w:tcW w:w="5026" w:type="dxa"/>
            <w:tcBorders>
              <w:top w:val="single" w:sz="6" w:space="0" w:color="000000"/>
              <w:left w:val="single" w:sz="6" w:space="0" w:color="000000"/>
              <w:bottom w:val="single" w:sz="6" w:space="0" w:color="000000"/>
              <w:right w:val="single" w:sz="6" w:space="0" w:color="000000"/>
            </w:tcBorders>
            <w:hideMark/>
          </w:tcPr>
          <w:p w14:paraId="19822C01" w14:textId="77777777" w:rsidR="00986B1A" w:rsidRPr="00C14E42" w:rsidRDefault="00986B1A"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Nu</w:t>
            </w:r>
          </w:p>
        </w:tc>
        <w:tc>
          <w:tcPr>
            <w:tcW w:w="3260" w:type="dxa"/>
            <w:tcBorders>
              <w:top w:val="single" w:sz="6" w:space="0" w:color="000000"/>
              <w:left w:val="single" w:sz="6" w:space="0" w:color="000000"/>
              <w:bottom w:val="single" w:sz="6" w:space="0" w:color="000000"/>
              <w:right w:val="single" w:sz="6" w:space="0" w:color="000000"/>
            </w:tcBorders>
            <w:hideMark/>
          </w:tcPr>
          <w:p w14:paraId="31DEDB76" w14:textId="77777777" w:rsidR="00986B1A" w:rsidRPr="00C14E42" w:rsidRDefault="00986B1A"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w:t>
            </w:r>
          </w:p>
        </w:tc>
      </w:tr>
      <w:tr w:rsidR="00C14E42" w:rsidRPr="00C14E42" w14:paraId="5392FB7A" w14:textId="77777777" w:rsidTr="00182DD4">
        <w:tc>
          <w:tcPr>
            <w:tcW w:w="1912" w:type="dxa"/>
            <w:tcBorders>
              <w:top w:val="single" w:sz="6" w:space="0" w:color="000000"/>
              <w:left w:val="single" w:sz="6" w:space="0" w:color="000000"/>
              <w:bottom w:val="single" w:sz="6" w:space="0" w:color="000000"/>
              <w:right w:val="single" w:sz="6" w:space="0" w:color="000000"/>
            </w:tcBorders>
            <w:hideMark/>
          </w:tcPr>
          <w:p w14:paraId="0EB4337C" w14:textId="77777777" w:rsidR="00986B1A" w:rsidRPr="00C14E42" w:rsidRDefault="00986B1A" w:rsidP="00182DD4">
            <w:pPr>
              <w:spacing w:before="100" w:beforeAutospacing="1" w:after="100" w:afterAutospacing="1" w:line="240" w:lineRule="auto"/>
              <w:jc w:val="both"/>
              <w:rPr>
                <w:rFonts w:ascii="Times New Roman" w:eastAsia="Times New Roman" w:hAnsi="Times New Roman" w:cs="Times New Roman"/>
                <w:iCs/>
                <w:sz w:val="20"/>
                <w:szCs w:val="20"/>
                <w:lang w:eastAsia="ro-RO"/>
              </w:rPr>
            </w:pPr>
            <w:r w:rsidRPr="00C14E42">
              <w:rPr>
                <w:rFonts w:ascii="Times New Roman" w:eastAsia="Times New Roman" w:hAnsi="Times New Roman" w:cs="Times New Roman"/>
                <w:iCs/>
                <w:sz w:val="20"/>
                <w:szCs w:val="20"/>
                <w:lang w:eastAsia="ro-RO"/>
              </w:rPr>
              <w:t>Ușoară</w:t>
            </w:r>
          </w:p>
          <w:p w14:paraId="3227E002" w14:textId="77777777" w:rsidR="00986B1A" w:rsidRPr="00C14E42" w:rsidRDefault="00986B1A"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Manifestări de IACRS</w:t>
            </w:r>
          </w:p>
        </w:tc>
        <w:tc>
          <w:tcPr>
            <w:tcW w:w="5026" w:type="dxa"/>
            <w:tcBorders>
              <w:top w:val="single" w:sz="6" w:space="0" w:color="000000"/>
              <w:left w:val="single" w:sz="6" w:space="0" w:color="000000"/>
              <w:bottom w:val="single" w:sz="6" w:space="0" w:color="000000"/>
              <w:right w:val="single" w:sz="6" w:space="0" w:color="000000"/>
            </w:tcBorders>
            <w:hideMark/>
          </w:tcPr>
          <w:p w14:paraId="3EC97CE6" w14:textId="77777777" w:rsidR="00986B1A" w:rsidRPr="00C14E42" w:rsidRDefault="00986B1A"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Simptomatice</w:t>
            </w:r>
          </w:p>
          <w:p w14:paraId="52C96B08" w14:textId="77777777" w:rsidR="00986B1A" w:rsidRPr="00C14E42" w:rsidRDefault="00986B1A"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Antiviral pentru pacientul cu factori de risc evolutiv sever</w:t>
            </w:r>
          </w:p>
          <w:p w14:paraId="141BE5D4" w14:textId="77777777" w:rsidR="00986B1A" w:rsidRPr="00C14E42" w:rsidRDefault="00986B1A"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Profilaxie anticoagulantă recomandată în cazul în care pacientul nu are în curs tratament anticoagulant</w:t>
            </w:r>
          </w:p>
        </w:tc>
        <w:tc>
          <w:tcPr>
            <w:tcW w:w="3260" w:type="dxa"/>
            <w:tcBorders>
              <w:top w:val="single" w:sz="6" w:space="0" w:color="000000"/>
              <w:left w:val="single" w:sz="6" w:space="0" w:color="000000"/>
              <w:bottom w:val="single" w:sz="6" w:space="0" w:color="000000"/>
              <w:right w:val="single" w:sz="6" w:space="0" w:color="000000"/>
            </w:tcBorders>
            <w:hideMark/>
          </w:tcPr>
          <w:p w14:paraId="0D4CBA47" w14:textId="77777777" w:rsidR="00986B1A" w:rsidRPr="00C14E42" w:rsidRDefault="00986B1A"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Depinde de evoluția pacientului.</w:t>
            </w:r>
          </w:p>
        </w:tc>
      </w:tr>
      <w:tr w:rsidR="00C14E42" w:rsidRPr="00C14E42" w14:paraId="7DA70F94" w14:textId="77777777" w:rsidTr="00182DD4">
        <w:tc>
          <w:tcPr>
            <w:tcW w:w="1912" w:type="dxa"/>
            <w:tcBorders>
              <w:top w:val="single" w:sz="6" w:space="0" w:color="000000"/>
              <w:left w:val="single" w:sz="6" w:space="0" w:color="000000"/>
              <w:bottom w:val="single" w:sz="6" w:space="0" w:color="000000"/>
              <w:right w:val="single" w:sz="6" w:space="0" w:color="000000"/>
            </w:tcBorders>
            <w:hideMark/>
          </w:tcPr>
          <w:p w14:paraId="48C64E50" w14:textId="77777777" w:rsidR="00986B1A" w:rsidRPr="00C14E42" w:rsidRDefault="00986B1A"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Medie</w:t>
            </w:r>
          </w:p>
          <w:p w14:paraId="7AB7287A" w14:textId="77777777" w:rsidR="00986B1A" w:rsidRPr="00C14E42" w:rsidRDefault="00986B1A"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Pneumonie fără criterii de formă severă</w:t>
            </w:r>
          </w:p>
        </w:tc>
        <w:tc>
          <w:tcPr>
            <w:tcW w:w="5026" w:type="dxa"/>
            <w:tcBorders>
              <w:top w:val="single" w:sz="6" w:space="0" w:color="000000"/>
              <w:left w:val="single" w:sz="6" w:space="0" w:color="000000"/>
              <w:bottom w:val="single" w:sz="6" w:space="0" w:color="000000"/>
              <w:right w:val="single" w:sz="6" w:space="0" w:color="000000"/>
            </w:tcBorders>
            <w:hideMark/>
          </w:tcPr>
          <w:p w14:paraId="5F98D338" w14:textId="77777777" w:rsidR="00986B1A" w:rsidRPr="00C14E42" w:rsidRDefault="00986B1A"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Simptomatice</w:t>
            </w:r>
          </w:p>
          <w:p w14:paraId="04EBF1C6" w14:textId="77777777" w:rsidR="00986B1A" w:rsidRPr="00C14E42" w:rsidRDefault="00986B1A"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Antiviral de administrat cât mai precoce</w:t>
            </w:r>
          </w:p>
          <w:p w14:paraId="6AA6F804" w14:textId="77777777" w:rsidR="00986B1A" w:rsidRPr="00C14E42" w:rsidRDefault="00986B1A"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Anticoagulante - profilaxie dacă au și altă indicație sau continuarea tratamentului cronic</w:t>
            </w:r>
          </w:p>
        </w:tc>
        <w:tc>
          <w:tcPr>
            <w:tcW w:w="3260" w:type="dxa"/>
            <w:tcBorders>
              <w:top w:val="single" w:sz="6" w:space="0" w:color="000000"/>
              <w:left w:val="single" w:sz="6" w:space="0" w:color="000000"/>
              <w:bottom w:val="single" w:sz="6" w:space="0" w:color="000000"/>
              <w:right w:val="single" w:sz="6" w:space="0" w:color="000000"/>
            </w:tcBorders>
            <w:hideMark/>
          </w:tcPr>
          <w:p w14:paraId="2285AF69" w14:textId="77777777" w:rsidR="00986B1A" w:rsidRPr="00C14E42" w:rsidRDefault="00986B1A"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Depinde de evoluția pacientului.</w:t>
            </w:r>
          </w:p>
        </w:tc>
      </w:tr>
      <w:tr w:rsidR="00C14E42" w:rsidRPr="00C14E42" w14:paraId="222D4986" w14:textId="77777777" w:rsidTr="00182DD4">
        <w:tc>
          <w:tcPr>
            <w:tcW w:w="1912" w:type="dxa"/>
            <w:tcBorders>
              <w:top w:val="single" w:sz="6" w:space="0" w:color="000000"/>
              <w:left w:val="single" w:sz="6" w:space="0" w:color="000000"/>
              <w:bottom w:val="single" w:sz="6" w:space="0" w:color="000000"/>
              <w:right w:val="single" w:sz="6" w:space="0" w:color="000000"/>
            </w:tcBorders>
            <w:hideMark/>
          </w:tcPr>
          <w:p w14:paraId="0D0DA910" w14:textId="77777777" w:rsidR="00986B1A" w:rsidRPr="00C14E42" w:rsidRDefault="00986B1A"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Severă*)/Critică**)</w:t>
            </w:r>
          </w:p>
        </w:tc>
        <w:tc>
          <w:tcPr>
            <w:tcW w:w="5026" w:type="dxa"/>
            <w:tcBorders>
              <w:top w:val="single" w:sz="6" w:space="0" w:color="000000"/>
              <w:left w:val="single" w:sz="6" w:space="0" w:color="000000"/>
              <w:bottom w:val="single" w:sz="6" w:space="0" w:color="000000"/>
              <w:right w:val="single" w:sz="6" w:space="0" w:color="000000"/>
            </w:tcBorders>
            <w:hideMark/>
          </w:tcPr>
          <w:p w14:paraId="601B8DDF" w14:textId="77777777" w:rsidR="00986B1A" w:rsidRPr="00C14E42" w:rsidRDefault="00986B1A"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Antivirale (rol clinic discutabil dincolo de 14 zile de la debutul simptomelor; poate favoriza limitarea transmiterii)</w:t>
            </w:r>
          </w:p>
          <w:p w14:paraId="1C1E93A8" w14:textId="77777777" w:rsidR="00986B1A" w:rsidRPr="00C14E42" w:rsidRDefault="00986B1A"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lastRenderedPageBreak/>
              <w:t>+ anticoagulant - profilaxie sau terapie</w:t>
            </w:r>
          </w:p>
          <w:p w14:paraId="5C13603B" w14:textId="77777777" w:rsidR="00986B1A" w:rsidRPr="00C14E42" w:rsidRDefault="00986B1A"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 dexametazonă (corticoid), 10 zile sau în funcție de evoluție</w:t>
            </w:r>
          </w:p>
          <w:p w14:paraId="6E5FAD38" w14:textId="77777777" w:rsidR="00986B1A" w:rsidRPr="00C14E42" w:rsidRDefault="00986B1A"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 imunomodulare în cazuri selectate</w:t>
            </w:r>
          </w:p>
          <w:p w14:paraId="67852BDC" w14:textId="77777777" w:rsidR="00986B1A" w:rsidRPr="00C14E42" w:rsidRDefault="00986B1A" w:rsidP="00182DD4">
            <w:pPr>
              <w:spacing w:before="100" w:beforeAutospacing="1" w:after="100" w:afterAutospacing="1" w:line="240" w:lineRule="auto"/>
              <w:jc w:val="both"/>
              <w:rPr>
                <w:rFonts w:ascii="Times New Roman" w:eastAsia="Times New Roman" w:hAnsi="Times New Roman" w:cs="Times New Roman"/>
                <w:iCs/>
                <w:sz w:val="20"/>
                <w:szCs w:val="20"/>
                <w:lang w:eastAsia="ro-RO"/>
              </w:rPr>
            </w:pPr>
            <w:r w:rsidRPr="00C14E42">
              <w:rPr>
                <w:rFonts w:ascii="Times New Roman" w:eastAsia="Times New Roman" w:hAnsi="Times New Roman" w:cs="Times New Roman"/>
                <w:iCs/>
                <w:sz w:val="20"/>
                <w:szCs w:val="20"/>
                <w:lang w:eastAsia="ro-RO"/>
              </w:rPr>
              <w:t>În caz de coinfecții sau suprainfecții bacteriene: antibiotice</w:t>
            </w:r>
          </w:p>
          <w:p w14:paraId="7AF09420" w14:textId="77777777" w:rsidR="00986B1A" w:rsidRPr="00C14E42" w:rsidRDefault="00986B1A"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sz w:val="20"/>
                <w:szCs w:val="20"/>
                <w:lang w:eastAsia="ro-RO"/>
              </w:rPr>
              <w:t>Discutabil: plasma de convalescent la pacienți cu deficit de imunitate umorală</w:t>
            </w:r>
          </w:p>
        </w:tc>
        <w:tc>
          <w:tcPr>
            <w:tcW w:w="3260" w:type="dxa"/>
            <w:tcBorders>
              <w:top w:val="single" w:sz="6" w:space="0" w:color="000000"/>
              <w:left w:val="single" w:sz="6" w:space="0" w:color="000000"/>
              <w:bottom w:val="single" w:sz="6" w:space="0" w:color="000000"/>
              <w:right w:val="single" w:sz="6" w:space="0" w:color="000000"/>
            </w:tcBorders>
            <w:hideMark/>
          </w:tcPr>
          <w:p w14:paraId="7A6F7D77" w14:textId="77777777" w:rsidR="00986B1A" w:rsidRPr="00C14E42" w:rsidRDefault="00986B1A"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lastRenderedPageBreak/>
              <w:t>Depinde de evoluția pacientului.</w:t>
            </w:r>
          </w:p>
        </w:tc>
      </w:tr>
      <w:tr w:rsidR="00C14E42" w:rsidRPr="00C14E42" w14:paraId="12FB9CB8" w14:textId="77777777" w:rsidTr="00182DD4">
        <w:tc>
          <w:tcPr>
            <w:tcW w:w="10198" w:type="dxa"/>
            <w:gridSpan w:val="3"/>
            <w:tcBorders>
              <w:top w:val="single" w:sz="6" w:space="0" w:color="000000"/>
              <w:left w:val="nil"/>
              <w:bottom w:val="nil"/>
              <w:right w:val="nil"/>
            </w:tcBorders>
            <w:hideMark/>
          </w:tcPr>
          <w:p w14:paraId="3E6A66EE" w14:textId="77777777" w:rsidR="00986B1A" w:rsidRPr="00C14E42" w:rsidRDefault="00986B1A"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 Sever = minimum unul dintre: frecvența respiratorie ≥ 30/min (≥ 40/min la preșcolar); SaO2 ≤ 93%; PaO2/FiO2 &lt; 300; infiltrate pulmonare care cresc cu mai mult de 50% în 24 - 48 ore.</w:t>
            </w:r>
          </w:p>
        </w:tc>
      </w:tr>
      <w:tr w:rsidR="00986B1A" w:rsidRPr="00C14E42" w14:paraId="010BC323" w14:textId="77777777" w:rsidTr="00182DD4">
        <w:tc>
          <w:tcPr>
            <w:tcW w:w="10198" w:type="dxa"/>
            <w:gridSpan w:val="3"/>
            <w:tcBorders>
              <w:top w:val="nil"/>
              <w:left w:val="nil"/>
              <w:bottom w:val="nil"/>
              <w:right w:val="nil"/>
            </w:tcBorders>
            <w:hideMark/>
          </w:tcPr>
          <w:p w14:paraId="59B7F3AB" w14:textId="77777777" w:rsidR="00986B1A" w:rsidRPr="00C14E42" w:rsidRDefault="00986B1A"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 Critic = minimum unul dintre: detresă respiratorie acută; sepsis; alterarea conștienței; MSOF.</w:t>
            </w:r>
          </w:p>
        </w:tc>
      </w:tr>
    </w:tbl>
    <w:p w14:paraId="448050A0" w14:textId="77777777" w:rsidR="00986B1A" w:rsidRPr="00C14E42" w:rsidRDefault="00986B1A" w:rsidP="00986B1A">
      <w:pPr>
        <w:spacing w:after="0" w:line="240" w:lineRule="auto"/>
        <w:jc w:val="both"/>
        <w:rPr>
          <w:rFonts w:ascii="Times New Roman" w:eastAsia="Times New Roman" w:hAnsi="Times New Roman" w:cs="Times New Roman"/>
          <w:iCs/>
          <w:sz w:val="20"/>
          <w:szCs w:val="20"/>
          <w:lang w:eastAsia="ro-RO"/>
        </w:rPr>
      </w:pPr>
    </w:p>
    <w:p w14:paraId="5B893633" w14:textId="77777777" w:rsidR="00434BEE" w:rsidRPr="00C14E42" w:rsidRDefault="00434BEE" w:rsidP="00986B1A">
      <w:pPr>
        <w:spacing w:after="0" w:line="240" w:lineRule="auto"/>
        <w:ind w:right="72"/>
        <w:jc w:val="both"/>
        <w:rPr>
          <w:rFonts w:ascii="Times New Roman" w:eastAsia="Times New Roman" w:hAnsi="Times New Roman" w:cs="Times New Roman"/>
          <w:sz w:val="24"/>
          <w:szCs w:val="24"/>
          <w:bdr w:val="none" w:sz="0" w:space="0" w:color="auto" w:frame="1"/>
          <w:shd w:val="clear" w:color="auto" w:fill="FFFFFF"/>
        </w:rPr>
      </w:pPr>
    </w:p>
    <w:p w14:paraId="3B49CB4A" w14:textId="1A6D7595" w:rsidR="00986B1A" w:rsidRPr="00C14E42" w:rsidRDefault="00986B1A"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D.</w:t>
      </w:r>
      <w:r w:rsidRPr="00C14E42">
        <w:rPr>
          <w:rFonts w:ascii="Times New Roman" w:eastAsia="Times New Roman" w:hAnsi="Times New Roman" w:cs="Times New Roman"/>
          <w:b/>
          <w:sz w:val="24"/>
          <w:szCs w:val="24"/>
          <w:bdr w:val="dotted" w:sz="6" w:space="0" w:color="FEFEFE" w:frame="1"/>
          <w:shd w:val="clear" w:color="auto" w:fill="FFFFFF"/>
        </w:rPr>
        <w:t> </w:t>
      </w:r>
      <w:r w:rsidRPr="00C14E42">
        <w:rPr>
          <w:rFonts w:ascii="Times New Roman" w:eastAsia="Times New Roman" w:hAnsi="Times New Roman" w:cs="Times New Roman"/>
          <w:b/>
          <w:sz w:val="24"/>
          <w:szCs w:val="24"/>
          <w:bdr w:val="none" w:sz="0" w:space="0" w:color="auto" w:frame="1"/>
          <w:shd w:val="clear" w:color="auto" w:fill="FFFFFF"/>
        </w:rPr>
        <w:t xml:space="preserve">RECOMANDĂRI PENTRU PACIENTUL ÎNGRIJIT LA DOMICILIU </w:t>
      </w:r>
      <w:r w:rsidR="00022853" w:rsidRPr="00C14E42">
        <w:rPr>
          <w:rFonts w:ascii="Times New Roman" w:eastAsia="Times New Roman" w:hAnsi="Times New Roman" w:cs="Times New Roman"/>
          <w:sz w:val="24"/>
          <w:szCs w:val="24"/>
          <w:bdr w:val="none" w:sz="0" w:space="0" w:color="auto" w:frame="1"/>
          <w:shd w:val="clear" w:color="auto" w:fill="FFFFFF"/>
        </w:rPr>
        <w:t>(tabelul 5)</w:t>
      </w:r>
    </w:p>
    <w:p w14:paraId="7C8F51BF" w14:textId="77777777" w:rsidR="00986B1A" w:rsidRPr="00C14E42" w:rsidRDefault="00986B1A"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7444A320" w14:textId="77777777" w:rsidR="00986B1A"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1.</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bdr w:val="none" w:sz="0" w:space="0" w:color="auto" w:frame="1"/>
          <w:shd w:val="clear" w:color="auto" w:fill="FFFFFF"/>
        </w:rPr>
        <w:t>Pentru pacientul asimptomatic:</w:t>
      </w:r>
    </w:p>
    <w:p w14:paraId="0F9CDB65" w14:textId="39F6DEB8" w:rsidR="00986B1A" w:rsidRPr="00C14E42" w:rsidRDefault="00022853" w:rsidP="004B50B4">
      <w:pPr>
        <w:pStyle w:val="ListParagraph"/>
        <w:numPr>
          <w:ilvl w:val="2"/>
          <w:numId w:val="16"/>
        </w:numPr>
        <w:spacing w:after="0" w:line="240" w:lineRule="auto"/>
        <w:ind w:left="720"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nu necesită tratament, chiar dacă are factori de risc asociați în general cu evoluție mai severă a COVID-19;</w:t>
      </w:r>
    </w:p>
    <w:p w14:paraId="09D3BF6B" w14:textId="3F7C4837" w:rsidR="00986B1A" w:rsidRPr="00C14E42" w:rsidRDefault="00022853" w:rsidP="004B50B4">
      <w:pPr>
        <w:pStyle w:val="ListParagraph"/>
        <w:numPr>
          <w:ilvl w:val="2"/>
          <w:numId w:val="16"/>
        </w:numPr>
        <w:spacing w:after="0" w:line="240" w:lineRule="auto"/>
        <w:ind w:left="720"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monitorizare la două zile.</w:t>
      </w:r>
    </w:p>
    <w:p w14:paraId="4603DC01" w14:textId="77777777" w:rsidR="00986B1A" w:rsidRPr="00C14E42" w:rsidRDefault="00986B1A" w:rsidP="00022853">
      <w:pPr>
        <w:spacing w:after="0" w:line="240" w:lineRule="auto"/>
        <w:ind w:left="72" w:right="72"/>
        <w:jc w:val="both"/>
        <w:rPr>
          <w:rFonts w:ascii="Times New Roman" w:eastAsia="Times New Roman" w:hAnsi="Times New Roman" w:cs="Times New Roman"/>
          <w:b/>
          <w:bCs/>
          <w:sz w:val="24"/>
          <w:szCs w:val="24"/>
          <w:bdr w:val="none" w:sz="0" w:space="0" w:color="auto" w:frame="1"/>
          <w:shd w:val="clear" w:color="auto" w:fill="FFFFFF"/>
        </w:rPr>
      </w:pPr>
    </w:p>
    <w:p w14:paraId="4FE1493C" w14:textId="77777777" w:rsidR="00986B1A" w:rsidRPr="00C14E42" w:rsidRDefault="00022853"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t>2.</w:t>
      </w:r>
      <w:r w:rsidRPr="00C14E42">
        <w:rPr>
          <w:rFonts w:ascii="Times New Roman" w:eastAsia="Times New Roman" w:hAnsi="Times New Roman" w:cs="Times New Roman"/>
          <w:sz w:val="24"/>
          <w:szCs w:val="24"/>
          <w:bdr w:val="dotted" w:sz="6" w:space="0" w:color="FEFEFE" w:frame="1"/>
          <w:shd w:val="clear" w:color="auto" w:fill="FFFFFF"/>
        </w:rPr>
        <w:t> </w:t>
      </w:r>
      <w:r w:rsidRPr="00C14E42">
        <w:rPr>
          <w:rFonts w:ascii="Times New Roman" w:eastAsia="Times New Roman" w:hAnsi="Times New Roman" w:cs="Times New Roman"/>
          <w:sz w:val="24"/>
          <w:szCs w:val="24"/>
          <w:bdr w:val="none" w:sz="0" w:space="0" w:color="auto" w:frame="1"/>
          <w:shd w:val="clear" w:color="auto" w:fill="FFFFFF"/>
        </w:rPr>
        <w:t>Pentru pacientul simptomatic:</w:t>
      </w:r>
    </w:p>
    <w:p w14:paraId="3388F695" w14:textId="7F2AE430" w:rsidR="00986B1A" w:rsidRPr="00C14E42" w:rsidRDefault="00022853" w:rsidP="004B50B4">
      <w:pPr>
        <w:pStyle w:val="ListParagraph"/>
        <w:numPr>
          <w:ilvl w:val="2"/>
          <w:numId w:val="17"/>
        </w:numPr>
        <w:spacing w:after="0" w:line="240" w:lineRule="auto"/>
        <w:ind w:left="720"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simptomaticele sunt permise - a se vedea capitolul B.6. Simptomatice și alte măsuri terapeutice;</w:t>
      </w:r>
    </w:p>
    <w:p w14:paraId="4E83929E" w14:textId="5EEC79E2" w:rsidR="00986B1A" w:rsidRPr="00C14E42" w:rsidRDefault="00022853" w:rsidP="004B50B4">
      <w:pPr>
        <w:pStyle w:val="ListParagraph"/>
        <w:numPr>
          <w:ilvl w:val="2"/>
          <w:numId w:val="17"/>
        </w:numPr>
        <w:spacing w:after="0" w:line="240" w:lineRule="auto"/>
        <w:ind w:left="720"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profilaxia anticoagulantă: pacienții cu forme medii și severe care rămân la domiciliu pot primi profilaxie a trombozelor dacă au și alți factori de r</w:t>
      </w:r>
      <w:r w:rsidR="00352E71" w:rsidRPr="00C14E42">
        <w:rPr>
          <w:rFonts w:ascii="Times New Roman" w:eastAsia="Times New Roman" w:hAnsi="Times New Roman" w:cs="Times New Roman"/>
          <w:sz w:val="24"/>
          <w:szCs w:val="24"/>
          <w:bdr w:val="none" w:sz="0" w:space="0" w:color="auto" w:frame="1"/>
          <w:shd w:val="clear" w:color="auto" w:fill="FFFFFF"/>
        </w:rPr>
        <w:t>isc pentru tromboze, de exemplu</w:t>
      </w:r>
      <w:r w:rsidRPr="00C14E42">
        <w:rPr>
          <w:rFonts w:ascii="Times New Roman" w:eastAsia="Times New Roman" w:hAnsi="Times New Roman" w:cs="Times New Roman"/>
          <w:sz w:val="24"/>
          <w:szCs w:val="24"/>
          <w:bdr w:val="none" w:sz="0" w:space="0" w:color="auto" w:frame="1"/>
          <w:shd w:val="clear" w:color="auto" w:fill="FFFFFF"/>
        </w:rPr>
        <w:t xml:space="preserve"> imobilizarea la pat.</w:t>
      </w:r>
    </w:p>
    <w:p w14:paraId="1AC17439" w14:textId="7EDAD529" w:rsidR="00986B1A" w:rsidRPr="00C14E42" w:rsidRDefault="00022853" w:rsidP="004B50B4">
      <w:pPr>
        <w:pStyle w:val="ListParagraph"/>
        <w:numPr>
          <w:ilvl w:val="2"/>
          <w:numId w:val="17"/>
        </w:numPr>
        <w:spacing w:after="0" w:line="240" w:lineRule="auto"/>
        <w:ind w:left="720"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nu se administrează antibiotice (</w:t>
      </w:r>
      <w:r w:rsidR="00352E71" w:rsidRPr="00C14E42">
        <w:rPr>
          <w:rFonts w:ascii="Times New Roman" w:eastAsia="Times New Roman" w:hAnsi="Times New Roman" w:cs="Times New Roman"/>
          <w:sz w:val="24"/>
          <w:szCs w:val="24"/>
          <w:bdr w:val="none" w:sz="0" w:space="0" w:color="auto" w:frame="1"/>
          <w:shd w:val="clear" w:color="auto" w:fill="FFFFFF"/>
        </w:rPr>
        <w:t>ex:</w:t>
      </w:r>
      <w:r w:rsidRPr="00C14E42">
        <w:rPr>
          <w:rFonts w:ascii="Times New Roman" w:eastAsia="Times New Roman" w:hAnsi="Times New Roman" w:cs="Times New Roman"/>
          <w:sz w:val="24"/>
          <w:szCs w:val="24"/>
          <w:bdr w:val="none" w:sz="0" w:space="0" w:color="auto" w:frame="1"/>
          <w:shd w:val="clear" w:color="auto" w:fill="FFFFFF"/>
        </w:rPr>
        <w:t xml:space="preserve"> azitromicina) pentru a trata o viroză, așa cum este COVID-19;</w:t>
      </w:r>
    </w:p>
    <w:p w14:paraId="78AA20B3" w14:textId="07643AA6" w:rsidR="00986B1A" w:rsidRPr="00C14E42" w:rsidRDefault="00022853" w:rsidP="004B50B4">
      <w:pPr>
        <w:pStyle w:val="ListParagraph"/>
        <w:numPr>
          <w:ilvl w:val="2"/>
          <w:numId w:val="17"/>
        </w:numPr>
        <w:spacing w:after="0" w:line="240" w:lineRule="auto"/>
        <w:ind w:left="720"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este contraindicată administrarea de dexametazonă sau de alți corticosteroizi în perioada inițială a bolii, cu manifestări ale formelor ușoare sau medii de COVID-19 (fără necesar de oxigenoterapie) pentru că poate stimula replicarea virală și agravează evoluția bolii;</w:t>
      </w:r>
    </w:p>
    <w:p w14:paraId="1A90BEE8" w14:textId="4E33A312" w:rsidR="00986B1A" w:rsidRPr="00C14E42" w:rsidRDefault="00022853" w:rsidP="004B50B4">
      <w:pPr>
        <w:pStyle w:val="ListParagraph"/>
        <w:numPr>
          <w:ilvl w:val="2"/>
          <w:numId w:val="17"/>
        </w:numPr>
        <w:spacing w:after="0" w:line="240" w:lineRule="auto"/>
        <w:ind w:left="720"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antiviralele de administrare orală se pot prescrie pentru administrare în regim ambulatoriu doar dacă sunt îndeplinite simultan următoarele condiții:</w:t>
      </w:r>
    </w:p>
    <w:p w14:paraId="2C308EB7" w14:textId="732F7254" w:rsidR="00352E71" w:rsidRPr="00C14E42" w:rsidRDefault="00022853" w:rsidP="004B50B4">
      <w:pPr>
        <w:pStyle w:val="ListParagraph"/>
        <w:numPr>
          <w:ilvl w:val="0"/>
          <w:numId w:val="18"/>
        </w:numPr>
        <w:spacing w:after="0" w:line="240" w:lineRule="auto"/>
        <w:ind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se i</w:t>
      </w:r>
      <w:r w:rsidR="00352E71" w:rsidRPr="00C14E42">
        <w:rPr>
          <w:rFonts w:ascii="Times New Roman" w:eastAsia="Times New Roman" w:hAnsi="Times New Roman" w:cs="Times New Roman"/>
          <w:sz w:val="24"/>
          <w:szCs w:val="24"/>
          <w:bdr w:val="none" w:sz="0" w:space="0" w:color="auto" w:frame="1"/>
          <w:shd w:val="clear" w:color="auto" w:fill="FFFFFF"/>
        </w:rPr>
        <w:t>nițiază la pacienți în primele 5</w:t>
      </w:r>
      <w:r w:rsidRPr="00C14E42">
        <w:rPr>
          <w:rFonts w:ascii="Times New Roman" w:eastAsia="Times New Roman" w:hAnsi="Times New Roman" w:cs="Times New Roman"/>
          <w:sz w:val="24"/>
          <w:szCs w:val="24"/>
          <w:bdr w:val="none" w:sz="0" w:space="0" w:color="auto" w:frame="1"/>
          <w:shd w:val="clear" w:color="auto" w:fill="FFFFFF"/>
        </w:rPr>
        <w:t xml:space="preserve"> zile de boală (faza virală a bolii);</w:t>
      </w:r>
    </w:p>
    <w:p w14:paraId="6E3C9CAB" w14:textId="22197BF2" w:rsidR="00352E71" w:rsidRPr="00C14E42" w:rsidRDefault="00022853" w:rsidP="004B50B4">
      <w:pPr>
        <w:pStyle w:val="ListParagraph"/>
        <w:numPr>
          <w:ilvl w:val="0"/>
          <w:numId w:val="18"/>
        </w:numPr>
        <w:spacing w:after="0" w:line="240" w:lineRule="auto"/>
        <w:ind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pacientul este evaluat corespunzător pentru excluderea contraindicațiilor: clinic, biologic, imagistic;</w:t>
      </w:r>
    </w:p>
    <w:p w14:paraId="625F3805" w14:textId="25F4D55E" w:rsidR="00352E71" w:rsidRPr="00C14E42" w:rsidRDefault="00022853" w:rsidP="004B50B4">
      <w:pPr>
        <w:pStyle w:val="ListParagraph"/>
        <w:numPr>
          <w:ilvl w:val="0"/>
          <w:numId w:val="18"/>
        </w:numPr>
        <w:spacing w:after="0" w:line="240" w:lineRule="auto"/>
        <w:ind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sunt prescrise de către medicul care a evaluat pacientul.</w:t>
      </w:r>
    </w:p>
    <w:p w14:paraId="49E6B227" w14:textId="77777777" w:rsidR="00352E71" w:rsidRPr="00C14E42" w:rsidRDefault="00352E71" w:rsidP="00352E71">
      <w:pPr>
        <w:spacing w:after="0" w:line="240" w:lineRule="auto"/>
        <w:ind w:left="720" w:right="72" w:hanging="360"/>
        <w:jc w:val="both"/>
        <w:rPr>
          <w:rFonts w:ascii="Times New Roman" w:eastAsia="Times New Roman" w:hAnsi="Times New Roman" w:cs="Times New Roman"/>
          <w:sz w:val="24"/>
          <w:szCs w:val="24"/>
          <w:bdr w:val="none" w:sz="0" w:space="0" w:color="auto" w:frame="1"/>
          <w:shd w:val="clear" w:color="auto" w:fill="FFFFFF"/>
        </w:rPr>
      </w:pPr>
    </w:p>
    <w:p w14:paraId="4E174E08" w14:textId="2D22B108" w:rsidR="00352E71" w:rsidRPr="00C14E42" w:rsidRDefault="00022853" w:rsidP="00C14E42">
      <w:pPr>
        <w:spacing w:after="0" w:line="240" w:lineRule="auto"/>
        <w:ind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Medicul de familie are obligația de a continua monitorizarea pacientului pe parcursul tratamentului și ulterior până la vindecare.</w:t>
      </w:r>
    </w:p>
    <w:p w14:paraId="6F196C7C" w14:textId="77777777" w:rsidR="00352E71" w:rsidRPr="00C14E42" w:rsidRDefault="00022853" w:rsidP="00352E71">
      <w:pPr>
        <w:spacing w:after="0" w:line="240" w:lineRule="auto"/>
        <w:ind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Antiviralele orale se pot administra în regim în ambulatoriu și pot fi eliberate prin farmaciile cu circuit deschis doar pe bază de prescripție medicală.</w:t>
      </w:r>
    </w:p>
    <w:p w14:paraId="35ECDDA0" w14:textId="77777777" w:rsidR="00352E71" w:rsidRPr="00C14E42" w:rsidRDefault="00352E71" w:rsidP="00352E71">
      <w:pPr>
        <w:spacing w:after="0" w:line="240" w:lineRule="auto"/>
        <w:ind w:left="360" w:right="72"/>
        <w:jc w:val="both"/>
        <w:rPr>
          <w:rFonts w:ascii="Times New Roman" w:eastAsia="Times New Roman" w:hAnsi="Times New Roman" w:cs="Times New Roman"/>
          <w:sz w:val="24"/>
          <w:szCs w:val="24"/>
          <w:bdr w:val="none" w:sz="0" w:space="0" w:color="auto" w:frame="1"/>
          <w:shd w:val="clear" w:color="auto" w:fill="FFFFFF"/>
        </w:rPr>
      </w:pPr>
    </w:p>
    <w:p w14:paraId="5AFF1BB0" w14:textId="77777777" w:rsidR="00352E71" w:rsidRPr="00C14E42" w:rsidRDefault="00022853" w:rsidP="00352E71">
      <w:pPr>
        <w:spacing w:after="0" w:line="240" w:lineRule="auto"/>
        <w:ind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Medicația antivirală de administrare parenterală se utilizează doar în mediul spitalicesc, în regim de spitalizare de zi sau spitalizare continuă.</w:t>
      </w:r>
    </w:p>
    <w:p w14:paraId="3D209DAB" w14:textId="77777777" w:rsidR="00352E71" w:rsidRPr="00C14E42" w:rsidRDefault="00352E71" w:rsidP="00352E71">
      <w:pPr>
        <w:spacing w:after="0" w:line="240" w:lineRule="auto"/>
        <w:ind w:left="360" w:right="72"/>
        <w:jc w:val="both"/>
        <w:rPr>
          <w:rFonts w:ascii="Times New Roman" w:eastAsia="Times New Roman" w:hAnsi="Times New Roman" w:cs="Times New Roman"/>
          <w:sz w:val="24"/>
          <w:szCs w:val="24"/>
          <w:bdr w:val="none" w:sz="0" w:space="0" w:color="auto" w:frame="1"/>
          <w:shd w:val="clear" w:color="auto" w:fill="FFFFFF"/>
        </w:rPr>
      </w:pPr>
    </w:p>
    <w:p w14:paraId="274D70FB" w14:textId="77777777" w:rsidR="00352E71" w:rsidRPr="00C14E42" w:rsidRDefault="00022853" w:rsidP="00352E71">
      <w:pPr>
        <w:spacing w:after="0" w:line="240" w:lineRule="auto"/>
        <w:ind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 xml:space="preserve">Observație: </w:t>
      </w:r>
    </w:p>
    <w:p w14:paraId="0CE6B844" w14:textId="77777777" w:rsidR="00352E71" w:rsidRPr="00C14E42" w:rsidRDefault="00022853" w:rsidP="00352E71">
      <w:pPr>
        <w:spacing w:after="0" w:line="240" w:lineRule="auto"/>
        <w:ind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La pacienții cu COVID-19 îngrijiți ambulator se prescriu în mod nejustificat antibiotice, antigripale și corticoizi de către medicii care îi evaluează și/sau îi monitorizează. Trebuie știut că:</w:t>
      </w:r>
    </w:p>
    <w:p w14:paraId="19434AFA" w14:textId="4BD1ABB2" w:rsidR="00352E71" w:rsidRPr="00C14E42" w:rsidRDefault="00022853" w:rsidP="004B50B4">
      <w:pPr>
        <w:pStyle w:val="ListParagraph"/>
        <w:numPr>
          <w:ilvl w:val="0"/>
          <w:numId w:val="19"/>
        </w:numPr>
        <w:spacing w:after="0" w:line="240" w:lineRule="auto"/>
        <w:ind w:left="720"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utilizarea de azitromicină și de alte antibiotice la pacientul cu COVID-19 îngrijit la domiciliu reprezintă de cele mai multe ori un abuz, cu consecințe asupra pacientului, care poate dezvolta efecte colaterale ale administrării de antibiotice (diaree cu C. difficile, candidoze, selectare de bacterii rezistente);</w:t>
      </w:r>
    </w:p>
    <w:p w14:paraId="2B268D33" w14:textId="0E41DB49" w:rsidR="00352E71" w:rsidRPr="00C14E42" w:rsidRDefault="00022853" w:rsidP="004B50B4">
      <w:pPr>
        <w:pStyle w:val="ListParagraph"/>
        <w:numPr>
          <w:ilvl w:val="0"/>
          <w:numId w:val="19"/>
        </w:numPr>
        <w:spacing w:after="0" w:line="240" w:lineRule="auto"/>
        <w:ind w:left="720"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inițierea unui tratament cu corticoizi la pacientul cu COVID-19 aflat la domiciliu în primele zile de boală (fără necesar de oxigenoterapie) reprezintă de regulă un abuz și poate avea drept consecință o evoluție prelungită sau agravată a bolii.</w:t>
      </w:r>
    </w:p>
    <w:p w14:paraId="1DAC048C" w14:textId="2035887B" w:rsidR="00352E71" w:rsidRPr="00C14E42" w:rsidRDefault="00022853" w:rsidP="004B50B4">
      <w:pPr>
        <w:pStyle w:val="ListParagraph"/>
        <w:numPr>
          <w:ilvl w:val="0"/>
          <w:numId w:val="19"/>
        </w:numPr>
        <w:spacing w:after="0" w:line="240" w:lineRule="auto"/>
        <w:ind w:left="720"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oseltamivirul nu este eficient în cazul infecției cu SARS- CoV-2, ci în tratamentul și profilaxia gripei.</w:t>
      </w:r>
    </w:p>
    <w:p w14:paraId="40466B38" w14:textId="77777777" w:rsidR="00352E71" w:rsidRPr="00C14E42" w:rsidRDefault="00352E71" w:rsidP="00352E71">
      <w:pPr>
        <w:spacing w:after="0" w:line="240" w:lineRule="auto"/>
        <w:ind w:left="360" w:right="72"/>
        <w:jc w:val="both"/>
        <w:rPr>
          <w:rFonts w:ascii="Times New Roman" w:eastAsia="Times New Roman" w:hAnsi="Times New Roman" w:cs="Times New Roman"/>
          <w:sz w:val="24"/>
          <w:szCs w:val="24"/>
          <w:bdr w:val="none" w:sz="0" w:space="0" w:color="auto" w:frame="1"/>
          <w:shd w:val="clear" w:color="auto" w:fill="FFFFFF"/>
        </w:rPr>
      </w:pPr>
    </w:p>
    <w:p w14:paraId="4180407E" w14:textId="4E908AFD" w:rsidR="00352E71" w:rsidRPr="00C14E42" w:rsidRDefault="00022853" w:rsidP="00352E71">
      <w:pPr>
        <w:spacing w:after="0" w:line="240" w:lineRule="auto"/>
        <w:ind w:right="72"/>
        <w:jc w:val="both"/>
        <w:rPr>
          <w:rFonts w:ascii="Times New Roman" w:eastAsia="Times New Roman" w:hAnsi="Times New Roman" w:cs="Times New Roman"/>
          <w:sz w:val="24"/>
          <w:szCs w:val="24"/>
          <w:bdr w:val="dotted" w:sz="6" w:space="0" w:color="FEFEFE" w:frame="1"/>
          <w:shd w:val="clear" w:color="auto" w:fill="FFFFFF"/>
        </w:rPr>
      </w:pPr>
      <w:r w:rsidRPr="00C14E42">
        <w:rPr>
          <w:rFonts w:ascii="Times New Roman" w:eastAsia="Times New Roman" w:hAnsi="Times New Roman" w:cs="Times New Roman"/>
          <w:b/>
          <w:bCs/>
          <w:sz w:val="24"/>
          <w:szCs w:val="24"/>
          <w:bdr w:val="none" w:sz="0" w:space="0" w:color="auto" w:frame="1"/>
          <w:shd w:val="clear" w:color="auto" w:fill="FFFFFF"/>
        </w:rPr>
        <w:lastRenderedPageBreak/>
        <w:t>3.</w:t>
      </w:r>
      <w:r w:rsidRPr="00C14E42">
        <w:rPr>
          <w:rFonts w:ascii="Times New Roman" w:eastAsia="Times New Roman" w:hAnsi="Times New Roman" w:cs="Times New Roman"/>
          <w:sz w:val="24"/>
          <w:szCs w:val="24"/>
          <w:bdr w:val="dotted" w:sz="6" w:space="0" w:color="FEFEFE" w:frame="1"/>
          <w:shd w:val="clear" w:color="auto" w:fill="FFFFFF"/>
        </w:rPr>
        <w:t> </w:t>
      </w:r>
      <w:r w:rsidR="00352E71" w:rsidRPr="00C14E42">
        <w:rPr>
          <w:rFonts w:ascii="Times New Roman" w:eastAsia="Times New Roman" w:hAnsi="Times New Roman" w:cs="Times New Roman"/>
          <w:sz w:val="24"/>
          <w:szCs w:val="24"/>
          <w:bdr w:val="dotted" w:sz="6" w:space="0" w:color="FEFEFE" w:frame="1"/>
          <w:shd w:val="clear" w:color="auto" w:fill="FFFFFF"/>
        </w:rPr>
        <w:t>Pacienţii cu COVID-19 monitorizaţi la domiciliu vor fi îndrumaţi de urgenţă în vederea internării, prin intermediul serviciului 112, în situaţia existenţei următoarelor simptome:</w:t>
      </w:r>
    </w:p>
    <w:p w14:paraId="571E8F34" w14:textId="77777777" w:rsidR="00352E71" w:rsidRPr="00C14E42" w:rsidRDefault="00352E71" w:rsidP="004B50B4">
      <w:pPr>
        <w:pStyle w:val="ListParagraph"/>
        <w:numPr>
          <w:ilvl w:val="0"/>
          <w:numId w:val="2"/>
        </w:numPr>
        <w:spacing w:after="0" w:line="240" w:lineRule="auto"/>
        <w:jc w:val="both"/>
        <w:rPr>
          <w:rFonts w:ascii="Times New Roman" w:eastAsia="Times New Roman" w:hAnsi="Times New Roman" w:cs="Times New Roman"/>
          <w:iCs/>
          <w:sz w:val="24"/>
          <w:szCs w:val="24"/>
          <w:lang w:eastAsia="ro-RO"/>
        </w:rPr>
      </w:pPr>
      <w:r w:rsidRPr="00C14E42">
        <w:rPr>
          <w:rFonts w:ascii="Times New Roman" w:eastAsia="Times New Roman" w:hAnsi="Times New Roman" w:cs="Times New Roman"/>
          <w:iCs/>
          <w:sz w:val="24"/>
          <w:szCs w:val="24"/>
          <w:lang w:eastAsia="ro-RO"/>
        </w:rPr>
        <w:t>febră înaltă persistentă mai mult de 5 zile sau care reapare după o perioadă de afebrilitate;</w:t>
      </w:r>
    </w:p>
    <w:p w14:paraId="4A68AD29" w14:textId="77777777" w:rsidR="00352E71" w:rsidRPr="00C14E42" w:rsidRDefault="00352E71" w:rsidP="004B50B4">
      <w:pPr>
        <w:pStyle w:val="ListParagraph"/>
        <w:numPr>
          <w:ilvl w:val="0"/>
          <w:numId w:val="2"/>
        </w:numPr>
        <w:spacing w:after="0" w:line="240" w:lineRule="auto"/>
        <w:jc w:val="both"/>
        <w:rPr>
          <w:rFonts w:ascii="Times New Roman" w:eastAsia="Times New Roman" w:hAnsi="Times New Roman" w:cs="Times New Roman"/>
          <w:iCs/>
          <w:sz w:val="24"/>
          <w:szCs w:val="24"/>
          <w:lang w:eastAsia="ro-RO"/>
        </w:rPr>
      </w:pPr>
      <w:r w:rsidRPr="00C14E42">
        <w:rPr>
          <w:rFonts w:ascii="Times New Roman" w:eastAsia="Times New Roman" w:hAnsi="Times New Roman" w:cs="Times New Roman"/>
          <w:iCs/>
          <w:sz w:val="24"/>
          <w:szCs w:val="24"/>
          <w:lang w:eastAsia="ro-RO"/>
        </w:rPr>
        <w:t>tuse seacă intensă sau care se accentuează;</w:t>
      </w:r>
    </w:p>
    <w:p w14:paraId="2CC7CD9F" w14:textId="77777777" w:rsidR="00352E71" w:rsidRPr="00C14E42" w:rsidRDefault="00352E71" w:rsidP="004B50B4">
      <w:pPr>
        <w:pStyle w:val="ListParagraph"/>
        <w:numPr>
          <w:ilvl w:val="0"/>
          <w:numId w:val="2"/>
        </w:numPr>
        <w:spacing w:after="0" w:line="240" w:lineRule="auto"/>
        <w:jc w:val="both"/>
        <w:rPr>
          <w:rFonts w:ascii="Times New Roman" w:eastAsia="Times New Roman" w:hAnsi="Times New Roman" w:cs="Times New Roman"/>
          <w:iCs/>
          <w:sz w:val="24"/>
          <w:szCs w:val="24"/>
          <w:lang w:eastAsia="ro-RO"/>
        </w:rPr>
      </w:pPr>
      <w:r w:rsidRPr="00C14E42">
        <w:rPr>
          <w:rFonts w:ascii="Times New Roman" w:eastAsia="Times New Roman" w:hAnsi="Times New Roman" w:cs="Times New Roman"/>
          <w:iCs/>
          <w:sz w:val="24"/>
          <w:szCs w:val="24"/>
          <w:lang w:eastAsia="ro-RO"/>
        </w:rPr>
        <w:t>SaO2 &lt; 94% la pacientul fără afectări respiratorii anterioare COVID-19;</w:t>
      </w:r>
    </w:p>
    <w:p w14:paraId="08280A6E" w14:textId="77777777" w:rsidR="00352E71" w:rsidRPr="00C14E42" w:rsidRDefault="00352E71" w:rsidP="004B50B4">
      <w:pPr>
        <w:pStyle w:val="ListParagraph"/>
        <w:numPr>
          <w:ilvl w:val="0"/>
          <w:numId w:val="2"/>
        </w:numPr>
        <w:spacing w:after="0" w:line="240" w:lineRule="auto"/>
        <w:jc w:val="both"/>
        <w:rPr>
          <w:rFonts w:ascii="Times New Roman" w:eastAsia="Times New Roman" w:hAnsi="Times New Roman" w:cs="Times New Roman"/>
          <w:iCs/>
          <w:sz w:val="24"/>
          <w:szCs w:val="24"/>
          <w:lang w:eastAsia="ro-RO"/>
        </w:rPr>
      </w:pPr>
      <w:r w:rsidRPr="00C14E42">
        <w:rPr>
          <w:rFonts w:ascii="Times New Roman" w:eastAsia="Times New Roman" w:hAnsi="Times New Roman" w:cs="Times New Roman"/>
          <w:iCs/>
          <w:sz w:val="24"/>
          <w:szCs w:val="24"/>
          <w:lang w:eastAsia="ro-RO"/>
        </w:rPr>
        <w:t>dispnee nou apărută sau accentuarea unei dispnei preexistente;</w:t>
      </w:r>
    </w:p>
    <w:p w14:paraId="0324E43F" w14:textId="77777777" w:rsidR="00352E71" w:rsidRPr="00C14E42" w:rsidRDefault="00352E71" w:rsidP="004B50B4">
      <w:pPr>
        <w:pStyle w:val="ListParagraph"/>
        <w:numPr>
          <w:ilvl w:val="0"/>
          <w:numId w:val="2"/>
        </w:numPr>
        <w:spacing w:after="0" w:line="240" w:lineRule="auto"/>
        <w:jc w:val="both"/>
        <w:rPr>
          <w:rFonts w:ascii="Times New Roman" w:eastAsia="Times New Roman" w:hAnsi="Times New Roman" w:cs="Times New Roman"/>
          <w:iCs/>
          <w:sz w:val="24"/>
          <w:szCs w:val="24"/>
          <w:lang w:eastAsia="ro-RO"/>
        </w:rPr>
      </w:pPr>
      <w:r w:rsidRPr="00C14E42">
        <w:rPr>
          <w:rFonts w:ascii="Times New Roman" w:eastAsia="Times New Roman" w:hAnsi="Times New Roman" w:cs="Times New Roman"/>
          <w:iCs/>
          <w:sz w:val="24"/>
          <w:szCs w:val="24"/>
          <w:lang w:eastAsia="ro-RO"/>
        </w:rPr>
        <w:t>dureri toracice la inspirul profund;</w:t>
      </w:r>
    </w:p>
    <w:p w14:paraId="395506E6" w14:textId="77777777" w:rsidR="00352E71" w:rsidRPr="00C14E42" w:rsidRDefault="00352E71" w:rsidP="004B50B4">
      <w:pPr>
        <w:pStyle w:val="ListParagraph"/>
        <w:numPr>
          <w:ilvl w:val="0"/>
          <w:numId w:val="2"/>
        </w:numPr>
        <w:spacing w:after="0" w:line="240" w:lineRule="auto"/>
        <w:jc w:val="both"/>
        <w:rPr>
          <w:rFonts w:ascii="Times New Roman" w:eastAsia="Times New Roman" w:hAnsi="Times New Roman" w:cs="Times New Roman"/>
          <w:iCs/>
          <w:sz w:val="24"/>
          <w:szCs w:val="24"/>
          <w:lang w:eastAsia="ro-RO"/>
        </w:rPr>
      </w:pPr>
      <w:r w:rsidRPr="00C14E42">
        <w:rPr>
          <w:rFonts w:ascii="Times New Roman" w:eastAsia="Times New Roman" w:hAnsi="Times New Roman" w:cs="Times New Roman"/>
          <w:iCs/>
          <w:sz w:val="24"/>
          <w:szCs w:val="24"/>
          <w:lang w:eastAsia="ro-RO"/>
        </w:rPr>
        <w:t>astenie marcată;</w:t>
      </w:r>
    </w:p>
    <w:p w14:paraId="62FE907F" w14:textId="480DE0BA" w:rsidR="00352E71" w:rsidRPr="00C14E42" w:rsidRDefault="00352E71" w:rsidP="00685699">
      <w:pPr>
        <w:pStyle w:val="ListParagraph"/>
        <w:numPr>
          <w:ilvl w:val="0"/>
          <w:numId w:val="2"/>
        </w:numPr>
        <w:spacing w:after="0" w:line="240" w:lineRule="auto"/>
        <w:jc w:val="both"/>
        <w:rPr>
          <w:rFonts w:ascii="Times New Roman" w:eastAsia="Times New Roman" w:hAnsi="Times New Roman" w:cs="Times New Roman"/>
          <w:iCs/>
          <w:sz w:val="24"/>
          <w:szCs w:val="24"/>
          <w:lang w:eastAsia="ro-RO"/>
        </w:rPr>
      </w:pPr>
      <w:r w:rsidRPr="00C14E42">
        <w:rPr>
          <w:rFonts w:ascii="Times New Roman" w:eastAsia="Times New Roman" w:hAnsi="Times New Roman" w:cs="Times New Roman"/>
          <w:iCs/>
          <w:sz w:val="24"/>
          <w:szCs w:val="24"/>
          <w:lang w:eastAsia="ro-RO"/>
        </w:rPr>
        <w:t>mialgii intense.</w:t>
      </w:r>
    </w:p>
    <w:p w14:paraId="5AFA3665" w14:textId="77777777" w:rsidR="00352E71" w:rsidRPr="00C14E42" w:rsidRDefault="00352E71" w:rsidP="00352E71">
      <w:pPr>
        <w:spacing w:after="0" w:line="240" w:lineRule="auto"/>
        <w:ind w:left="360" w:right="72"/>
        <w:jc w:val="both"/>
        <w:rPr>
          <w:rFonts w:ascii="Times New Roman" w:eastAsia="Times New Roman" w:hAnsi="Times New Roman" w:cs="Times New Roman"/>
          <w:sz w:val="24"/>
          <w:szCs w:val="24"/>
          <w:bdr w:val="none" w:sz="0" w:space="0" w:color="auto" w:frame="1"/>
          <w:shd w:val="clear" w:color="auto" w:fill="FFFFFF"/>
        </w:rPr>
      </w:pPr>
    </w:p>
    <w:p w14:paraId="1F73F3CD" w14:textId="77777777" w:rsidR="00052142" w:rsidRPr="00C14E42" w:rsidRDefault="00022853" w:rsidP="00352E71">
      <w:pPr>
        <w:spacing w:after="0" w:line="240" w:lineRule="auto"/>
        <w:ind w:left="360"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Pacienții cu COVID-19 monitorizați la domiciliu vor fi îndrumați de urgență pentru investigare în centrele de evaluare (lista acestora va fi publicată pe pagina web a Ministerului Sănătății și a direcțiilor de sănătate publică județene și a municipiului București) în vederea internării/inițierii tratamentului specific, prin intermediul serviciului 112, în situația existenței următoarelor simptome:</w:t>
      </w:r>
    </w:p>
    <w:p w14:paraId="07F6072C" w14:textId="77777777" w:rsidR="00052142" w:rsidRPr="00C14E42" w:rsidRDefault="00052142" w:rsidP="00352E71">
      <w:pPr>
        <w:spacing w:after="0" w:line="240" w:lineRule="auto"/>
        <w:ind w:left="360" w:right="72"/>
        <w:jc w:val="both"/>
        <w:rPr>
          <w:rFonts w:ascii="Times New Roman" w:eastAsia="Times New Roman" w:hAnsi="Times New Roman" w:cs="Times New Roman"/>
          <w:sz w:val="24"/>
          <w:szCs w:val="24"/>
          <w:bdr w:val="none" w:sz="0" w:space="0" w:color="auto" w:frame="1"/>
          <w:shd w:val="clear" w:color="auto" w:fill="FFFFFF"/>
        </w:rPr>
      </w:pPr>
    </w:p>
    <w:p w14:paraId="07C93B90" w14:textId="77777777" w:rsidR="00352E71" w:rsidRPr="00C14E42" w:rsidRDefault="00352E71" w:rsidP="00052142">
      <w:pPr>
        <w:spacing w:after="0" w:line="240" w:lineRule="auto"/>
        <w:ind w:right="72"/>
        <w:jc w:val="both"/>
        <w:rPr>
          <w:rFonts w:ascii="Times New Roman" w:eastAsia="Times New Roman" w:hAnsi="Times New Roman" w:cs="Times New Roman"/>
          <w:sz w:val="24"/>
          <w:szCs w:val="24"/>
          <w:bdr w:val="none" w:sz="0" w:space="0" w:color="auto" w:frame="1"/>
          <w:shd w:val="clear" w:color="auto" w:fill="FFFFFF"/>
        </w:rPr>
      </w:pPr>
    </w:p>
    <w:p w14:paraId="7FBF1A25" w14:textId="1D12EBDA" w:rsidR="00052142" w:rsidRPr="00C14E42" w:rsidRDefault="00022853" w:rsidP="00052142">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Tabelul 5. Tratament propus în funcție de severitatea cazului de COVID-19 la pacienții îngrijiți la domiciliu</w:t>
      </w:r>
    </w:p>
    <w:p w14:paraId="68B7792C" w14:textId="77777777" w:rsidR="00052142" w:rsidRPr="00C14E42" w:rsidRDefault="00052142" w:rsidP="00052142">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tbl>
      <w:tblPr>
        <w:tblW w:w="10198"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912"/>
        <w:gridCol w:w="5593"/>
        <w:gridCol w:w="2693"/>
      </w:tblGrid>
      <w:tr w:rsidR="00C14E42" w:rsidRPr="00C14E42" w14:paraId="5CE042C8" w14:textId="77777777" w:rsidTr="00182DD4">
        <w:tc>
          <w:tcPr>
            <w:tcW w:w="1912" w:type="dxa"/>
            <w:tcBorders>
              <w:top w:val="single" w:sz="6" w:space="0" w:color="000000"/>
              <w:left w:val="single" w:sz="6" w:space="0" w:color="000000"/>
              <w:bottom w:val="single" w:sz="6" w:space="0" w:color="000000"/>
              <w:right w:val="single" w:sz="6" w:space="0" w:color="000000"/>
            </w:tcBorders>
            <w:hideMark/>
          </w:tcPr>
          <w:p w14:paraId="615AF83F" w14:textId="77777777" w:rsidR="00052142" w:rsidRPr="00C14E42" w:rsidRDefault="00052142"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Forma de boală</w:t>
            </w:r>
          </w:p>
          <w:p w14:paraId="79F27DFF" w14:textId="77777777" w:rsidR="00052142" w:rsidRPr="00C14E42" w:rsidRDefault="00052142"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(severitate)</w:t>
            </w:r>
          </w:p>
        </w:tc>
        <w:tc>
          <w:tcPr>
            <w:tcW w:w="5593" w:type="dxa"/>
            <w:tcBorders>
              <w:top w:val="single" w:sz="6" w:space="0" w:color="000000"/>
              <w:left w:val="single" w:sz="6" w:space="0" w:color="000000"/>
              <w:bottom w:val="single" w:sz="6" w:space="0" w:color="000000"/>
              <w:right w:val="single" w:sz="6" w:space="0" w:color="000000"/>
            </w:tcBorders>
            <w:hideMark/>
          </w:tcPr>
          <w:p w14:paraId="66D89C2A" w14:textId="77777777" w:rsidR="00052142" w:rsidRPr="00C14E42" w:rsidRDefault="00052142"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Tratament recomandat</w:t>
            </w:r>
          </w:p>
        </w:tc>
        <w:tc>
          <w:tcPr>
            <w:tcW w:w="2693" w:type="dxa"/>
            <w:tcBorders>
              <w:top w:val="single" w:sz="6" w:space="0" w:color="000000"/>
              <w:left w:val="single" w:sz="6" w:space="0" w:color="000000"/>
              <w:bottom w:val="single" w:sz="6" w:space="0" w:color="000000"/>
              <w:right w:val="single" w:sz="6" w:space="0" w:color="000000"/>
            </w:tcBorders>
            <w:hideMark/>
          </w:tcPr>
          <w:p w14:paraId="1EEBF344" w14:textId="77777777" w:rsidR="00052142" w:rsidRPr="00C14E42" w:rsidRDefault="00052142"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Durata recomandată</w:t>
            </w:r>
          </w:p>
        </w:tc>
      </w:tr>
      <w:tr w:rsidR="00C14E42" w:rsidRPr="00C14E42" w14:paraId="1960127D" w14:textId="77777777" w:rsidTr="00182DD4">
        <w:tc>
          <w:tcPr>
            <w:tcW w:w="1912" w:type="dxa"/>
            <w:tcBorders>
              <w:top w:val="single" w:sz="6" w:space="0" w:color="000000"/>
              <w:left w:val="single" w:sz="6" w:space="0" w:color="000000"/>
              <w:bottom w:val="single" w:sz="6" w:space="0" w:color="000000"/>
              <w:right w:val="single" w:sz="6" w:space="0" w:color="000000"/>
            </w:tcBorders>
            <w:hideMark/>
          </w:tcPr>
          <w:p w14:paraId="226ECCA6" w14:textId="77777777" w:rsidR="00052142" w:rsidRPr="00C14E42" w:rsidRDefault="00052142"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Asimptomatic</w:t>
            </w:r>
          </w:p>
        </w:tc>
        <w:tc>
          <w:tcPr>
            <w:tcW w:w="5593" w:type="dxa"/>
            <w:tcBorders>
              <w:top w:val="single" w:sz="6" w:space="0" w:color="000000"/>
              <w:left w:val="single" w:sz="6" w:space="0" w:color="000000"/>
              <w:bottom w:val="single" w:sz="6" w:space="0" w:color="000000"/>
              <w:right w:val="single" w:sz="6" w:space="0" w:color="000000"/>
            </w:tcBorders>
            <w:hideMark/>
          </w:tcPr>
          <w:p w14:paraId="0FADB58E" w14:textId="77777777" w:rsidR="00052142" w:rsidRPr="00C14E42" w:rsidRDefault="00052142"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Nu</w:t>
            </w:r>
          </w:p>
        </w:tc>
        <w:tc>
          <w:tcPr>
            <w:tcW w:w="2693" w:type="dxa"/>
            <w:tcBorders>
              <w:top w:val="single" w:sz="6" w:space="0" w:color="000000"/>
              <w:left w:val="single" w:sz="6" w:space="0" w:color="000000"/>
              <w:bottom w:val="single" w:sz="6" w:space="0" w:color="000000"/>
              <w:right w:val="single" w:sz="6" w:space="0" w:color="000000"/>
            </w:tcBorders>
            <w:hideMark/>
          </w:tcPr>
          <w:p w14:paraId="161AB35F" w14:textId="77777777" w:rsidR="00052142" w:rsidRPr="00C14E42" w:rsidRDefault="00052142"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w:t>
            </w:r>
          </w:p>
        </w:tc>
      </w:tr>
      <w:tr w:rsidR="00C14E42" w:rsidRPr="00C14E42" w14:paraId="3C25540B" w14:textId="77777777" w:rsidTr="00182DD4">
        <w:tc>
          <w:tcPr>
            <w:tcW w:w="1912" w:type="dxa"/>
            <w:tcBorders>
              <w:top w:val="single" w:sz="6" w:space="0" w:color="000000"/>
              <w:left w:val="single" w:sz="6" w:space="0" w:color="000000"/>
              <w:bottom w:val="single" w:sz="6" w:space="0" w:color="000000"/>
              <w:right w:val="single" w:sz="6" w:space="0" w:color="000000"/>
            </w:tcBorders>
            <w:hideMark/>
          </w:tcPr>
          <w:p w14:paraId="15B20A1F" w14:textId="77777777" w:rsidR="00052142" w:rsidRPr="00C14E42" w:rsidRDefault="00052142"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Ușoară</w:t>
            </w:r>
          </w:p>
        </w:tc>
        <w:tc>
          <w:tcPr>
            <w:tcW w:w="5593" w:type="dxa"/>
            <w:tcBorders>
              <w:top w:val="single" w:sz="6" w:space="0" w:color="000000"/>
              <w:left w:val="single" w:sz="6" w:space="0" w:color="000000"/>
              <w:bottom w:val="single" w:sz="6" w:space="0" w:color="000000"/>
              <w:right w:val="single" w:sz="6" w:space="0" w:color="000000"/>
            </w:tcBorders>
            <w:hideMark/>
          </w:tcPr>
          <w:p w14:paraId="6A3B1064" w14:textId="77777777" w:rsidR="00052142" w:rsidRPr="00C14E42" w:rsidRDefault="00052142"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Simptomatice</w:t>
            </w:r>
          </w:p>
          <w:p w14:paraId="76F0B0F4" w14:textId="77777777" w:rsidR="00052142" w:rsidRPr="00C14E42" w:rsidRDefault="00052142"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Un antiviral disponibil pentru cei cu factori de risc evolutiv sever</w:t>
            </w:r>
          </w:p>
        </w:tc>
        <w:tc>
          <w:tcPr>
            <w:tcW w:w="2693" w:type="dxa"/>
            <w:tcBorders>
              <w:top w:val="single" w:sz="6" w:space="0" w:color="000000"/>
              <w:left w:val="single" w:sz="6" w:space="0" w:color="000000"/>
              <w:bottom w:val="single" w:sz="6" w:space="0" w:color="000000"/>
              <w:right w:val="single" w:sz="6" w:space="0" w:color="000000"/>
            </w:tcBorders>
            <w:hideMark/>
          </w:tcPr>
          <w:p w14:paraId="0AC17EAC" w14:textId="77777777" w:rsidR="00052142" w:rsidRPr="00C14E42" w:rsidRDefault="00052142"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Depinde de evoluția pacientului.</w:t>
            </w:r>
          </w:p>
        </w:tc>
      </w:tr>
      <w:tr w:rsidR="00C14E42" w:rsidRPr="00C14E42" w14:paraId="0F594891" w14:textId="77777777" w:rsidTr="00182DD4">
        <w:tc>
          <w:tcPr>
            <w:tcW w:w="1912" w:type="dxa"/>
            <w:tcBorders>
              <w:top w:val="single" w:sz="6" w:space="0" w:color="000000"/>
              <w:left w:val="single" w:sz="6" w:space="0" w:color="000000"/>
              <w:bottom w:val="single" w:sz="6" w:space="0" w:color="000000"/>
              <w:right w:val="single" w:sz="6" w:space="0" w:color="000000"/>
            </w:tcBorders>
            <w:hideMark/>
          </w:tcPr>
          <w:p w14:paraId="7F15EF60" w14:textId="77777777" w:rsidR="00052142" w:rsidRPr="00C14E42" w:rsidRDefault="00052142"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Medie</w:t>
            </w:r>
          </w:p>
        </w:tc>
        <w:tc>
          <w:tcPr>
            <w:tcW w:w="5593" w:type="dxa"/>
            <w:tcBorders>
              <w:top w:val="single" w:sz="6" w:space="0" w:color="000000"/>
              <w:left w:val="single" w:sz="6" w:space="0" w:color="000000"/>
              <w:bottom w:val="single" w:sz="6" w:space="0" w:color="000000"/>
              <w:right w:val="single" w:sz="6" w:space="0" w:color="000000"/>
            </w:tcBorders>
            <w:hideMark/>
          </w:tcPr>
          <w:p w14:paraId="078D3DB9" w14:textId="77777777" w:rsidR="00052142" w:rsidRPr="00C14E42" w:rsidRDefault="00052142"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Antivirale de administrat cât mai precoce</w:t>
            </w:r>
          </w:p>
          <w:p w14:paraId="5085A1D2" w14:textId="77777777" w:rsidR="00052142" w:rsidRPr="00C14E42" w:rsidRDefault="00052142"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Anticoagulante - profilaxie sau terapie în indicații selective</w:t>
            </w:r>
          </w:p>
        </w:tc>
        <w:tc>
          <w:tcPr>
            <w:tcW w:w="2693" w:type="dxa"/>
            <w:tcBorders>
              <w:top w:val="single" w:sz="6" w:space="0" w:color="000000"/>
              <w:left w:val="single" w:sz="6" w:space="0" w:color="000000"/>
              <w:bottom w:val="single" w:sz="6" w:space="0" w:color="000000"/>
              <w:right w:val="single" w:sz="6" w:space="0" w:color="000000"/>
            </w:tcBorders>
            <w:hideMark/>
          </w:tcPr>
          <w:p w14:paraId="319DD74C" w14:textId="77777777" w:rsidR="00052142" w:rsidRPr="00C14E42" w:rsidRDefault="00052142"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Depinde de evoluția pacientului.</w:t>
            </w:r>
          </w:p>
        </w:tc>
      </w:tr>
      <w:tr w:rsidR="00C14E42" w:rsidRPr="00C14E42" w14:paraId="2D8C4F3B" w14:textId="77777777" w:rsidTr="00182DD4">
        <w:tc>
          <w:tcPr>
            <w:tcW w:w="1912" w:type="dxa"/>
            <w:tcBorders>
              <w:top w:val="single" w:sz="6" w:space="0" w:color="000000"/>
              <w:left w:val="single" w:sz="6" w:space="0" w:color="000000"/>
              <w:bottom w:val="single" w:sz="6" w:space="0" w:color="000000"/>
              <w:right w:val="single" w:sz="6" w:space="0" w:color="000000"/>
            </w:tcBorders>
            <w:hideMark/>
          </w:tcPr>
          <w:p w14:paraId="6F41A0DD" w14:textId="77777777" w:rsidR="00052142" w:rsidRPr="00C14E42" w:rsidRDefault="00052142"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Severă*)/Critică**)</w:t>
            </w:r>
          </w:p>
        </w:tc>
        <w:tc>
          <w:tcPr>
            <w:tcW w:w="5593" w:type="dxa"/>
            <w:tcBorders>
              <w:top w:val="single" w:sz="6" w:space="0" w:color="000000"/>
              <w:left w:val="single" w:sz="6" w:space="0" w:color="000000"/>
              <w:bottom w:val="single" w:sz="6" w:space="0" w:color="000000"/>
              <w:right w:val="single" w:sz="6" w:space="0" w:color="000000"/>
            </w:tcBorders>
            <w:hideMark/>
          </w:tcPr>
          <w:p w14:paraId="43C53559" w14:textId="77777777" w:rsidR="00052142" w:rsidRPr="00C14E42" w:rsidRDefault="00052142"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sz w:val="20"/>
                <w:szCs w:val="20"/>
                <w:lang w:eastAsia="ro-RO"/>
              </w:rPr>
              <w:t>Nu ar trebui îngrijit la domiciliu – ar trebui să ajungă de urgență la spital!</w:t>
            </w:r>
          </w:p>
        </w:tc>
        <w:tc>
          <w:tcPr>
            <w:tcW w:w="2693" w:type="dxa"/>
            <w:tcBorders>
              <w:top w:val="single" w:sz="6" w:space="0" w:color="000000"/>
              <w:left w:val="single" w:sz="6" w:space="0" w:color="000000"/>
              <w:bottom w:val="single" w:sz="6" w:space="0" w:color="000000"/>
              <w:right w:val="single" w:sz="6" w:space="0" w:color="000000"/>
            </w:tcBorders>
            <w:hideMark/>
          </w:tcPr>
          <w:p w14:paraId="7F9C62EE" w14:textId="77777777" w:rsidR="00052142" w:rsidRPr="00C14E42" w:rsidRDefault="00052142" w:rsidP="00182DD4">
            <w:pPr>
              <w:spacing w:after="0" w:line="240" w:lineRule="auto"/>
              <w:jc w:val="both"/>
              <w:rPr>
                <w:rFonts w:ascii="Times New Roman" w:eastAsia="Times New Roman" w:hAnsi="Times New Roman" w:cs="Times New Roman"/>
                <w:sz w:val="20"/>
                <w:szCs w:val="20"/>
                <w:lang w:eastAsia="ro-RO"/>
              </w:rPr>
            </w:pPr>
          </w:p>
        </w:tc>
      </w:tr>
      <w:tr w:rsidR="00C14E42" w:rsidRPr="00C14E42" w14:paraId="71464AEE" w14:textId="77777777" w:rsidTr="00182DD4">
        <w:tc>
          <w:tcPr>
            <w:tcW w:w="10198" w:type="dxa"/>
            <w:gridSpan w:val="3"/>
            <w:tcBorders>
              <w:top w:val="single" w:sz="6" w:space="0" w:color="000000"/>
              <w:left w:val="nil"/>
              <w:bottom w:val="nil"/>
              <w:right w:val="nil"/>
            </w:tcBorders>
            <w:hideMark/>
          </w:tcPr>
          <w:p w14:paraId="7AC84D31" w14:textId="77777777" w:rsidR="00052142" w:rsidRPr="00C14E42" w:rsidRDefault="00052142"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 Sever = minimum unul dintre: frecvența respiratorie ≥ 30/min (≥ 40/min la preșcolar); SaO2 ≤ 93%; PaO2/FiO2 &lt; 300; infiltrate pulmonare care cresc cu mai mult de 50% în 24 - 48 ore.</w:t>
            </w:r>
          </w:p>
        </w:tc>
      </w:tr>
      <w:tr w:rsidR="00052142" w:rsidRPr="00C14E42" w14:paraId="40552255" w14:textId="77777777" w:rsidTr="00182DD4">
        <w:tc>
          <w:tcPr>
            <w:tcW w:w="10198" w:type="dxa"/>
            <w:gridSpan w:val="3"/>
            <w:tcBorders>
              <w:top w:val="nil"/>
              <w:left w:val="nil"/>
              <w:bottom w:val="nil"/>
              <w:right w:val="nil"/>
            </w:tcBorders>
            <w:hideMark/>
          </w:tcPr>
          <w:p w14:paraId="30B58FA9" w14:textId="77777777" w:rsidR="00052142" w:rsidRPr="00C14E42" w:rsidRDefault="00052142" w:rsidP="00182DD4">
            <w:pPr>
              <w:spacing w:before="100" w:beforeAutospacing="1" w:after="100" w:afterAutospacing="1" w:line="240" w:lineRule="auto"/>
              <w:jc w:val="both"/>
              <w:rPr>
                <w:rFonts w:ascii="Times New Roman" w:eastAsia="Times New Roman" w:hAnsi="Times New Roman" w:cs="Times New Roman"/>
                <w:sz w:val="20"/>
                <w:szCs w:val="20"/>
                <w:lang w:eastAsia="ro-RO"/>
              </w:rPr>
            </w:pPr>
            <w:r w:rsidRPr="00C14E42">
              <w:rPr>
                <w:rFonts w:ascii="Times New Roman" w:eastAsia="Times New Roman" w:hAnsi="Times New Roman" w:cs="Times New Roman"/>
                <w:iCs/>
                <w:sz w:val="20"/>
                <w:szCs w:val="20"/>
                <w:lang w:eastAsia="ro-RO"/>
              </w:rPr>
              <w:t>**) Critic = minimum unul dintre: detresă respiratorie acută; sepsis; alterarea conștienței; MSOF.</w:t>
            </w:r>
          </w:p>
        </w:tc>
      </w:tr>
    </w:tbl>
    <w:p w14:paraId="6D06229A" w14:textId="77777777" w:rsidR="00052142" w:rsidRPr="00C14E42" w:rsidRDefault="00052142" w:rsidP="00022853">
      <w:pPr>
        <w:spacing w:after="0" w:line="240" w:lineRule="auto"/>
        <w:ind w:left="72" w:right="72"/>
        <w:jc w:val="both"/>
        <w:rPr>
          <w:rFonts w:ascii="Times New Roman" w:eastAsia="Times New Roman" w:hAnsi="Times New Roman" w:cs="Times New Roman"/>
          <w:sz w:val="24"/>
          <w:szCs w:val="24"/>
          <w:bdr w:val="none" w:sz="0" w:space="0" w:color="auto" w:frame="1"/>
          <w:shd w:val="clear" w:color="auto" w:fill="FFFFFF"/>
        </w:rPr>
      </w:pPr>
    </w:p>
    <w:p w14:paraId="39BC49E1" w14:textId="77777777" w:rsidR="00052142" w:rsidRDefault="00052142" w:rsidP="00052142">
      <w:pPr>
        <w:contextualSpacing/>
        <w:jc w:val="both"/>
        <w:rPr>
          <w:rFonts w:ascii="Times New Roman" w:eastAsia="Times New Roman" w:hAnsi="Times New Roman" w:cs="Times New Roman"/>
          <w:sz w:val="24"/>
          <w:szCs w:val="24"/>
          <w:bdr w:val="none" w:sz="0" w:space="0" w:color="auto" w:frame="1"/>
          <w:shd w:val="clear" w:color="auto" w:fill="FFFFFF"/>
        </w:rPr>
      </w:pPr>
    </w:p>
    <w:p w14:paraId="34D59F31" w14:textId="77777777" w:rsidR="00052142" w:rsidRPr="00C14E42" w:rsidRDefault="00052142" w:rsidP="00052142">
      <w:pPr>
        <w:contextualSpacing/>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Acest protocol se bazează pe următoarele referințe bibliografice</w:t>
      </w:r>
      <w:r w:rsidRPr="00C14E42">
        <w:rPr>
          <w:rFonts w:ascii="Times New Roman" w:eastAsia="Times New Roman" w:hAnsi="Times New Roman" w:cs="Times New Roman"/>
          <w:sz w:val="24"/>
          <w:szCs w:val="24"/>
          <w:bdr w:val="none" w:sz="0" w:space="0" w:color="auto" w:frame="1"/>
          <w:shd w:val="clear" w:color="auto" w:fill="FFFFFF"/>
          <w:vertAlign w:val="superscript"/>
        </w:rPr>
        <w:t>*)</w:t>
      </w:r>
      <w:r w:rsidRPr="00C14E42">
        <w:rPr>
          <w:rFonts w:ascii="Times New Roman" w:eastAsia="Times New Roman" w:hAnsi="Times New Roman" w:cs="Times New Roman"/>
          <w:sz w:val="24"/>
          <w:szCs w:val="24"/>
          <w:bdr w:val="none" w:sz="0" w:space="0" w:color="auto" w:frame="1"/>
          <w:shd w:val="clear" w:color="auto" w:fill="FFFFFF"/>
        </w:rPr>
        <w:t>:</w:t>
      </w:r>
    </w:p>
    <w:p w14:paraId="0248E343" w14:textId="77777777" w:rsidR="00052142" w:rsidRPr="00C14E42" w:rsidRDefault="00052142" w:rsidP="00052142">
      <w:pPr>
        <w:contextualSpacing/>
        <w:jc w:val="both"/>
        <w:rPr>
          <w:rFonts w:ascii="Times New Roman" w:eastAsia="Times New Roman" w:hAnsi="Times New Roman" w:cs="Times New Roman"/>
          <w:sz w:val="24"/>
          <w:szCs w:val="24"/>
          <w:bdr w:val="none" w:sz="0" w:space="0" w:color="auto" w:frame="1"/>
          <w:shd w:val="clear" w:color="auto" w:fill="FFFFFF"/>
        </w:rPr>
      </w:pPr>
      <w:r w:rsidRPr="00C14E42">
        <w:rPr>
          <w:rFonts w:ascii="Times New Roman" w:eastAsia="Times New Roman" w:hAnsi="Times New Roman" w:cs="Times New Roman"/>
          <w:sz w:val="24"/>
          <w:szCs w:val="24"/>
          <w:bdr w:val="none" w:sz="0" w:space="0" w:color="auto" w:frame="1"/>
          <w:shd w:val="clear" w:color="auto" w:fill="FFFFFF"/>
        </w:rPr>
        <w:t>___________</w:t>
      </w:r>
    </w:p>
    <w:p w14:paraId="4845BF02" w14:textId="77777777" w:rsidR="00052142" w:rsidRPr="00C14E42" w:rsidRDefault="00052142" w:rsidP="00052142">
      <w:pPr>
        <w:contextualSpacing/>
        <w:jc w:val="both"/>
        <w:rPr>
          <w:rFonts w:ascii="Times New Roman" w:eastAsia="Times New Roman" w:hAnsi="Times New Roman" w:cs="Times New Roman"/>
          <w:sz w:val="16"/>
          <w:szCs w:val="16"/>
          <w:bdr w:val="none" w:sz="0" w:space="0" w:color="auto" w:frame="1"/>
          <w:shd w:val="clear" w:color="auto" w:fill="FFFFFF"/>
        </w:rPr>
      </w:pPr>
      <w:r w:rsidRPr="00C14E42">
        <w:rPr>
          <w:rFonts w:ascii="Times New Roman" w:eastAsia="Times New Roman" w:hAnsi="Times New Roman" w:cs="Times New Roman"/>
          <w:sz w:val="16"/>
          <w:szCs w:val="16"/>
          <w:bdr w:val="none" w:sz="0" w:space="0" w:color="auto" w:frame="1"/>
          <w:shd w:val="clear" w:color="auto" w:fill="FFFFFF"/>
          <w:vertAlign w:val="superscript"/>
        </w:rPr>
        <w:t xml:space="preserve">*) </w:t>
      </w:r>
      <w:r w:rsidRPr="00C14E42">
        <w:rPr>
          <w:rFonts w:ascii="Times New Roman" w:eastAsia="Times New Roman" w:hAnsi="Times New Roman" w:cs="Times New Roman"/>
          <w:sz w:val="16"/>
          <w:szCs w:val="16"/>
          <w:bdr w:val="none" w:sz="0" w:space="0" w:color="auto" w:frame="1"/>
          <w:shd w:val="clear" w:color="auto" w:fill="FFFFFF"/>
        </w:rPr>
        <w:t>Referințele bibliografice sunt reproduse în facsimil.</w:t>
      </w:r>
    </w:p>
    <w:p w14:paraId="20814F48" w14:textId="77777777" w:rsidR="00052142" w:rsidRPr="00C14E42" w:rsidRDefault="00052142" w:rsidP="00052142">
      <w:pPr>
        <w:contextualSpacing/>
        <w:jc w:val="both"/>
        <w:rPr>
          <w:rFonts w:ascii="Times New Roman" w:eastAsia="Times New Roman" w:hAnsi="Times New Roman" w:cs="Times New Roman"/>
          <w:sz w:val="24"/>
          <w:szCs w:val="24"/>
          <w:bdr w:val="none" w:sz="0" w:space="0" w:color="auto" w:frame="1"/>
          <w:shd w:val="clear" w:color="auto" w:fill="FFFFFF"/>
        </w:rPr>
      </w:pPr>
    </w:p>
    <w:p w14:paraId="42A601CF" w14:textId="2F87FD62" w:rsidR="00022853" w:rsidRPr="001F7E60" w:rsidRDefault="00022853" w:rsidP="00E21E94">
      <w:pPr>
        <w:pStyle w:val="ListParagraph"/>
        <w:numPr>
          <w:ilvl w:val="0"/>
          <w:numId w:val="3"/>
        </w:numPr>
        <w:rPr>
          <w:rFonts w:ascii="Times New Roman" w:eastAsia="Times New Roman" w:hAnsi="Times New Roman" w:cs="Times New Roman"/>
          <w:sz w:val="20"/>
          <w:szCs w:val="20"/>
          <w:bdr w:val="none" w:sz="0" w:space="0" w:color="auto" w:frame="1"/>
          <w:shd w:val="clear" w:color="auto" w:fill="FFFFFF"/>
        </w:rPr>
      </w:pPr>
      <w:r w:rsidRPr="001F7E60">
        <w:rPr>
          <w:rFonts w:ascii="Times New Roman" w:eastAsia="Times New Roman" w:hAnsi="Times New Roman" w:cs="Times New Roman"/>
          <w:sz w:val="20"/>
          <w:szCs w:val="20"/>
          <w:bdr w:val="none" w:sz="0" w:space="0" w:color="auto" w:frame="1"/>
          <w:shd w:val="clear" w:color="auto" w:fill="FFFFFF"/>
        </w:rPr>
        <w:t xml:space="preserve">James H. McMahon,Jillian S.Y. Lau Anna Coldham Janine Roney Michelle Hagenauer Sally Price et al. Favipiravir in early symptomatic COVID-19, a randomised placebo-controlled trial. E-Clinical Medicine. </w:t>
      </w:r>
      <w:hyperlink r:id="rId8" w:history="1">
        <w:r w:rsidRPr="001F7E60">
          <w:rPr>
            <w:rFonts w:ascii="Times New Roman" w:eastAsia="Times New Roman" w:hAnsi="Times New Roman" w:cs="Times New Roman"/>
            <w:sz w:val="20"/>
            <w:szCs w:val="20"/>
            <w:bdr w:val="none" w:sz="0" w:space="0" w:color="auto" w:frame="1"/>
            <w:shd w:val="clear" w:color="auto" w:fill="FFFFFF"/>
          </w:rPr>
          <w:t> Volume 54</w:t>
        </w:r>
      </w:hyperlink>
      <w:r w:rsidRPr="001F7E60">
        <w:rPr>
          <w:rFonts w:ascii="Times New Roman" w:eastAsia="Times New Roman" w:hAnsi="Times New Roman" w:cs="Times New Roman"/>
          <w:sz w:val="20"/>
          <w:szCs w:val="20"/>
          <w:bdr w:val="none" w:sz="0" w:space="0" w:color="auto" w:frame="1"/>
          <w:shd w:val="clear" w:color="auto" w:fill="FFFFFF"/>
        </w:rPr>
        <w:t>, 101703, December 2022;</w:t>
      </w:r>
      <w:r w:rsidRPr="001F7E60">
        <w:rPr>
          <w:rFonts w:ascii="Times New Roman" w:eastAsia="Calibri" w:hAnsi="Times New Roman" w:cs="Times New Roman"/>
          <w:sz w:val="20"/>
          <w:szCs w:val="20"/>
        </w:rPr>
        <w:t xml:space="preserve"> </w:t>
      </w:r>
      <w:r w:rsidRPr="001F7E60">
        <w:rPr>
          <w:rFonts w:ascii="Times New Roman" w:eastAsia="Times New Roman" w:hAnsi="Times New Roman" w:cs="Times New Roman"/>
          <w:sz w:val="20"/>
          <w:szCs w:val="20"/>
          <w:bdr w:val="none" w:sz="0" w:space="0" w:color="auto" w:frame="1"/>
          <w:shd w:val="clear" w:color="auto" w:fill="FFFFFF"/>
        </w:rPr>
        <w:t>DOI:https://doi.org/10.1016/j.eclinm.2022.101703</w:t>
      </w:r>
    </w:p>
    <w:p w14:paraId="274A13BA" w14:textId="1E53565A" w:rsidR="003F7471" w:rsidRPr="001F7E60" w:rsidRDefault="00022853" w:rsidP="009A3C7A">
      <w:pPr>
        <w:numPr>
          <w:ilvl w:val="0"/>
          <w:numId w:val="3"/>
        </w:numPr>
        <w:spacing w:before="100" w:beforeAutospacing="1" w:after="100" w:afterAutospacing="1" w:line="240" w:lineRule="auto"/>
        <w:contextualSpacing/>
        <w:jc w:val="both"/>
        <w:rPr>
          <w:rFonts w:ascii="Times New Roman" w:eastAsia="Times New Roman" w:hAnsi="Times New Roman" w:cs="Times New Roman"/>
          <w:sz w:val="20"/>
          <w:szCs w:val="20"/>
          <w:lang w:eastAsia="ro-RO"/>
        </w:rPr>
      </w:pPr>
      <w:r w:rsidRPr="001F7E60">
        <w:rPr>
          <w:rFonts w:ascii="Times New Roman" w:eastAsia="Times New Roman" w:hAnsi="Times New Roman" w:cs="Times New Roman"/>
          <w:sz w:val="20"/>
          <w:szCs w:val="20"/>
          <w:bdr w:val="none" w:sz="0" w:space="0" w:color="auto" w:frame="1"/>
          <w:shd w:val="clear" w:color="auto" w:fill="FFFFFF"/>
        </w:rPr>
        <w:t>Pallav L Shah, Christopher M Orton, Beatriz Grinsztejn, Gavin C Donaldson, Brenda Crabtree Ramírez, James Tonkin, et al. Favipiravir in patients hospitalised with COVID-19 (PIONEER trial): a multicentre, open-label, phase 3, randomised controlled trial of early intervention versus standard care. The Lancet Respiratory medicine; December 14, 2022DOI:</w:t>
      </w:r>
      <w:hyperlink r:id="rId9" w:history="1">
        <w:r w:rsidRPr="001F7E60">
          <w:rPr>
            <w:rFonts w:ascii="Times New Roman" w:eastAsia="Times New Roman" w:hAnsi="Times New Roman" w:cs="Times New Roman"/>
            <w:sz w:val="20"/>
            <w:szCs w:val="20"/>
            <w:bdr w:val="none" w:sz="0" w:space="0" w:color="auto" w:frame="1"/>
            <w:shd w:val="clear" w:color="auto" w:fill="FFFFFF"/>
          </w:rPr>
          <w:t>https://doi.org/10.1016/S2213-2600(22)00412-X</w:t>
        </w:r>
      </w:hyperlink>
    </w:p>
    <w:sectPr w:rsidR="003F7471" w:rsidRPr="001F7E60" w:rsidSect="001F7E60">
      <w:pgSz w:w="11906" w:h="16838" w:code="9"/>
      <w:pgMar w:top="426" w:right="656" w:bottom="567" w:left="900" w:header="720"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6BC35" w16cex:dateUtc="2021-12-29T08:51:00Z"/>
  <w16cex:commentExtensible w16cex:durableId="2576BDEC" w16cex:dateUtc="2021-12-29T08:58: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81294" w14:textId="77777777" w:rsidR="006D485E" w:rsidRDefault="006D485E" w:rsidP="00F469C0">
      <w:pPr>
        <w:spacing w:after="0" w:line="240" w:lineRule="auto"/>
      </w:pPr>
      <w:r>
        <w:separator/>
      </w:r>
    </w:p>
  </w:endnote>
  <w:endnote w:type="continuationSeparator" w:id="0">
    <w:p w14:paraId="27DBCBC6" w14:textId="77777777" w:rsidR="006D485E" w:rsidRDefault="006D485E" w:rsidP="00F46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1C012" w14:textId="77777777" w:rsidR="006D485E" w:rsidRDefault="006D485E" w:rsidP="00F469C0">
      <w:pPr>
        <w:spacing w:after="0" w:line="240" w:lineRule="auto"/>
      </w:pPr>
      <w:r>
        <w:separator/>
      </w:r>
    </w:p>
  </w:footnote>
  <w:footnote w:type="continuationSeparator" w:id="0">
    <w:p w14:paraId="51F3AD65" w14:textId="77777777" w:rsidR="006D485E" w:rsidRDefault="006D485E" w:rsidP="00F469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575A"/>
    <w:multiLevelType w:val="hybridMultilevel"/>
    <w:tmpl w:val="B93CB7A8"/>
    <w:lvl w:ilvl="0" w:tplc="E9F61410">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E9F61410">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0B561BE7"/>
    <w:multiLevelType w:val="hybridMultilevel"/>
    <w:tmpl w:val="28B0718E"/>
    <w:lvl w:ilvl="0" w:tplc="EB8E4988">
      <w:start w:val="1"/>
      <w:numFmt w:val="lowerLetter"/>
      <w:lvlText w:val="%1)"/>
      <w:lvlJc w:val="left"/>
      <w:pPr>
        <w:ind w:left="792" w:hanging="360"/>
      </w:pPr>
      <w:rPr>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0B823736"/>
    <w:multiLevelType w:val="hybridMultilevel"/>
    <w:tmpl w:val="911A1338"/>
    <w:lvl w:ilvl="0" w:tplc="0E505F62">
      <w:start w:val="1"/>
      <w:numFmt w:val="lowerLetter"/>
      <w:lvlText w:val="%1)"/>
      <w:lvlJc w:val="left"/>
      <w:pPr>
        <w:ind w:left="432"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15:restartNumberingAfterBreak="0">
    <w:nsid w:val="0FAE3E37"/>
    <w:multiLevelType w:val="hybridMultilevel"/>
    <w:tmpl w:val="BD168C5E"/>
    <w:lvl w:ilvl="0" w:tplc="DF8C977A">
      <w:start w:val="175"/>
      <w:numFmt w:val="bullet"/>
      <w:lvlText w:val="-"/>
      <w:lvlJc w:val="left"/>
      <w:pPr>
        <w:ind w:left="720" w:hanging="360"/>
      </w:pPr>
      <w:rPr>
        <w:rFonts w:ascii="Calibri Light" w:eastAsia="Calibri Light"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6666E26"/>
    <w:multiLevelType w:val="hybridMultilevel"/>
    <w:tmpl w:val="0B866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5C3FBB"/>
    <w:multiLevelType w:val="hybridMultilevel"/>
    <w:tmpl w:val="C16CE538"/>
    <w:lvl w:ilvl="0" w:tplc="E9F61410">
      <w:start w:val="1"/>
      <w:numFmt w:val="bullet"/>
      <w:lvlText w:val=""/>
      <w:lvlJc w:val="left"/>
      <w:pPr>
        <w:ind w:left="792" w:hanging="360"/>
      </w:pPr>
      <w:rPr>
        <w:rFonts w:ascii="Symbol" w:hAnsi="Symbol" w:hint="default"/>
      </w:rPr>
    </w:lvl>
    <w:lvl w:ilvl="1" w:tplc="E9F61410">
      <w:start w:val="1"/>
      <w:numFmt w:val="bullet"/>
      <w:lvlText w:val=""/>
      <w:lvlJc w:val="left"/>
      <w:pPr>
        <w:ind w:left="1512" w:hanging="360"/>
      </w:pPr>
      <w:rPr>
        <w:rFonts w:ascii="Symbol" w:hAnsi="Symbol" w:hint="default"/>
      </w:rPr>
    </w:lvl>
    <w:lvl w:ilvl="2" w:tplc="5B80C608">
      <w:numFmt w:val="bullet"/>
      <w:lvlText w:val="–"/>
      <w:lvlJc w:val="left"/>
      <w:pPr>
        <w:ind w:left="2232" w:hanging="360"/>
      </w:pPr>
      <w:rPr>
        <w:rFonts w:ascii="Times New Roman" w:eastAsia="Times New Roman" w:hAnsi="Times New Roman" w:cs="Times New Roman" w:hint="default"/>
        <w:b/>
        <w:color w:val="00008B"/>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235A5BE3"/>
    <w:multiLevelType w:val="hybridMultilevel"/>
    <w:tmpl w:val="B222714A"/>
    <w:lvl w:ilvl="0" w:tplc="E9F61410">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29EE581F"/>
    <w:multiLevelType w:val="hybridMultilevel"/>
    <w:tmpl w:val="BF3836DE"/>
    <w:lvl w:ilvl="0" w:tplc="E9F61410">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E9F61410">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30503304"/>
    <w:multiLevelType w:val="hybridMultilevel"/>
    <w:tmpl w:val="AAA6492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327A1"/>
    <w:multiLevelType w:val="hybridMultilevel"/>
    <w:tmpl w:val="178839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E9F61410">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771A96"/>
    <w:multiLevelType w:val="hybridMultilevel"/>
    <w:tmpl w:val="29DC4948"/>
    <w:lvl w:ilvl="0" w:tplc="E9F61410">
      <w:start w:val="1"/>
      <w:numFmt w:val="bullet"/>
      <w:lvlText w:val=""/>
      <w:lvlJc w:val="left"/>
      <w:pPr>
        <w:ind w:left="792" w:hanging="360"/>
      </w:pPr>
      <w:rPr>
        <w:rFonts w:ascii="Symbol" w:hAnsi="Symbol" w:hint="default"/>
      </w:rPr>
    </w:lvl>
    <w:lvl w:ilvl="1" w:tplc="E9F61410">
      <w:start w:val="1"/>
      <w:numFmt w:val="bullet"/>
      <w:lvlText w:val=""/>
      <w:lvlJc w:val="left"/>
      <w:pPr>
        <w:ind w:left="1512" w:hanging="360"/>
      </w:pPr>
      <w:rPr>
        <w:rFonts w:ascii="Symbol" w:hAnsi="Symbol"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3AAA482F"/>
    <w:multiLevelType w:val="hybridMultilevel"/>
    <w:tmpl w:val="DB76E9DC"/>
    <w:lvl w:ilvl="0" w:tplc="E9F61410">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E9F61410">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458372D6"/>
    <w:multiLevelType w:val="hybridMultilevel"/>
    <w:tmpl w:val="9516EE6E"/>
    <w:lvl w:ilvl="0" w:tplc="E9F61410">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E9F61410">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4BB8163F"/>
    <w:multiLevelType w:val="hybridMultilevel"/>
    <w:tmpl w:val="3C80821C"/>
    <w:lvl w:ilvl="0" w:tplc="E9F61410">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E9F61410">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15:restartNumberingAfterBreak="0">
    <w:nsid w:val="52B82FF6"/>
    <w:multiLevelType w:val="hybridMultilevel"/>
    <w:tmpl w:val="52BEB6D4"/>
    <w:lvl w:ilvl="0" w:tplc="E9F61410">
      <w:start w:val="1"/>
      <w:numFmt w:val="bullet"/>
      <w:lvlText w:val=""/>
      <w:lvlJc w:val="left"/>
      <w:pPr>
        <w:ind w:left="792" w:hanging="360"/>
      </w:pPr>
      <w:rPr>
        <w:rFonts w:ascii="Symbol" w:hAnsi="Symbol" w:hint="default"/>
      </w:rPr>
    </w:lvl>
    <w:lvl w:ilvl="1" w:tplc="E9F61410">
      <w:start w:val="1"/>
      <w:numFmt w:val="bullet"/>
      <w:lvlText w:val=""/>
      <w:lvlJc w:val="left"/>
      <w:pPr>
        <w:ind w:left="1512" w:hanging="360"/>
      </w:pPr>
      <w:rPr>
        <w:rFonts w:ascii="Symbol" w:hAnsi="Symbol"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5FD960CE"/>
    <w:multiLevelType w:val="hybridMultilevel"/>
    <w:tmpl w:val="1CF0645C"/>
    <w:lvl w:ilvl="0" w:tplc="E9F61410">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E9F61410">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15:restartNumberingAfterBreak="0">
    <w:nsid w:val="62D95988"/>
    <w:multiLevelType w:val="hybridMultilevel"/>
    <w:tmpl w:val="E438FEA4"/>
    <w:lvl w:ilvl="0" w:tplc="E9F61410">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E9F61410">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64A1318D"/>
    <w:multiLevelType w:val="hybridMultilevel"/>
    <w:tmpl w:val="41142E6A"/>
    <w:lvl w:ilvl="0" w:tplc="E9F61410">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E9F61410">
      <w:start w:val="1"/>
      <w:numFmt w:val="bullet"/>
      <w:lvlText w:val=""/>
      <w:lvlJc w:val="left"/>
      <w:pPr>
        <w:ind w:left="2232" w:hanging="360"/>
      </w:pPr>
      <w:rPr>
        <w:rFonts w:ascii="Symbol" w:hAnsi="Symbol"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670448FE"/>
    <w:multiLevelType w:val="hybridMultilevel"/>
    <w:tmpl w:val="D97E33A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67ED31F4"/>
    <w:multiLevelType w:val="hybridMultilevel"/>
    <w:tmpl w:val="5ECC4550"/>
    <w:lvl w:ilvl="0" w:tplc="756ADD5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217102"/>
    <w:multiLevelType w:val="hybridMultilevel"/>
    <w:tmpl w:val="64D0F5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4280275"/>
    <w:multiLevelType w:val="hybridMultilevel"/>
    <w:tmpl w:val="D4AA0D1E"/>
    <w:lvl w:ilvl="0" w:tplc="E9F61410">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2" w15:restartNumberingAfterBreak="0">
    <w:nsid w:val="79D70270"/>
    <w:multiLevelType w:val="hybridMultilevel"/>
    <w:tmpl w:val="4C385EDA"/>
    <w:lvl w:ilvl="0" w:tplc="BEEABD86">
      <w:start w:val="1"/>
      <w:numFmt w:val="lowerLetter"/>
      <w:lvlText w:val="%1)"/>
      <w:lvlJc w:val="left"/>
      <w:pPr>
        <w:ind w:left="432"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3" w15:restartNumberingAfterBreak="0">
    <w:nsid w:val="7C6B6211"/>
    <w:multiLevelType w:val="hybridMultilevel"/>
    <w:tmpl w:val="1E200484"/>
    <w:lvl w:ilvl="0" w:tplc="B84CE40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23"/>
  </w:num>
  <w:num w:numId="4">
    <w:abstractNumId w:val="18"/>
  </w:num>
  <w:num w:numId="5">
    <w:abstractNumId w:val="6"/>
  </w:num>
  <w:num w:numId="6">
    <w:abstractNumId w:val="21"/>
  </w:num>
  <w:num w:numId="7">
    <w:abstractNumId w:val="14"/>
  </w:num>
  <w:num w:numId="8">
    <w:abstractNumId w:val="5"/>
  </w:num>
  <w:num w:numId="9">
    <w:abstractNumId w:val="10"/>
  </w:num>
  <w:num w:numId="10">
    <w:abstractNumId w:val="17"/>
  </w:num>
  <w:num w:numId="11">
    <w:abstractNumId w:val="16"/>
  </w:num>
  <w:num w:numId="12">
    <w:abstractNumId w:val="12"/>
  </w:num>
  <w:num w:numId="13">
    <w:abstractNumId w:val="0"/>
  </w:num>
  <w:num w:numId="14">
    <w:abstractNumId w:val="15"/>
  </w:num>
  <w:num w:numId="15">
    <w:abstractNumId w:val="11"/>
  </w:num>
  <w:num w:numId="16">
    <w:abstractNumId w:val="7"/>
  </w:num>
  <w:num w:numId="17">
    <w:abstractNumId w:val="13"/>
  </w:num>
  <w:num w:numId="18">
    <w:abstractNumId w:val="20"/>
  </w:num>
  <w:num w:numId="19">
    <w:abstractNumId w:val="4"/>
  </w:num>
  <w:num w:numId="20">
    <w:abstractNumId w:val="19"/>
  </w:num>
  <w:num w:numId="21">
    <w:abstractNumId w:val="22"/>
  </w:num>
  <w:num w:numId="22">
    <w:abstractNumId w:val="9"/>
  </w:num>
  <w:num w:numId="23">
    <w:abstractNumId w:val="1"/>
  </w:num>
  <w:num w:numId="24">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9E8"/>
    <w:rsid w:val="00012682"/>
    <w:rsid w:val="000149E8"/>
    <w:rsid w:val="00022853"/>
    <w:rsid w:val="00025827"/>
    <w:rsid w:val="00030486"/>
    <w:rsid w:val="00040D88"/>
    <w:rsid w:val="0005063A"/>
    <w:rsid w:val="00052142"/>
    <w:rsid w:val="000571E7"/>
    <w:rsid w:val="000605AE"/>
    <w:rsid w:val="00062CAA"/>
    <w:rsid w:val="00063720"/>
    <w:rsid w:val="00084EEE"/>
    <w:rsid w:val="000A1E03"/>
    <w:rsid w:val="000A5D17"/>
    <w:rsid w:val="000B67A6"/>
    <w:rsid w:val="000C1C8D"/>
    <w:rsid w:val="000C2C57"/>
    <w:rsid w:val="000C3229"/>
    <w:rsid w:val="000D1FC8"/>
    <w:rsid w:val="000E0647"/>
    <w:rsid w:val="000E41E8"/>
    <w:rsid w:val="000E4A17"/>
    <w:rsid w:val="000E67B6"/>
    <w:rsid w:val="000F11C9"/>
    <w:rsid w:val="00103C89"/>
    <w:rsid w:val="00104E9E"/>
    <w:rsid w:val="0012215B"/>
    <w:rsid w:val="00122DBF"/>
    <w:rsid w:val="00123EEA"/>
    <w:rsid w:val="00130077"/>
    <w:rsid w:val="00136B16"/>
    <w:rsid w:val="00150EFD"/>
    <w:rsid w:val="00154DD3"/>
    <w:rsid w:val="00163EE2"/>
    <w:rsid w:val="0016428D"/>
    <w:rsid w:val="00167A1E"/>
    <w:rsid w:val="001732B6"/>
    <w:rsid w:val="00180B1B"/>
    <w:rsid w:val="00181836"/>
    <w:rsid w:val="00181B97"/>
    <w:rsid w:val="00182676"/>
    <w:rsid w:val="00182DD4"/>
    <w:rsid w:val="00195E53"/>
    <w:rsid w:val="001A4CDC"/>
    <w:rsid w:val="001A4E65"/>
    <w:rsid w:val="001A51CB"/>
    <w:rsid w:val="001B196D"/>
    <w:rsid w:val="001C11FB"/>
    <w:rsid w:val="001C7164"/>
    <w:rsid w:val="001E1935"/>
    <w:rsid w:val="001F4E36"/>
    <w:rsid w:val="001F5B22"/>
    <w:rsid w:val="001F605F"/>
    <w:rsid w:val="001F7E60"/>
    <w:rsid w:val="00205B95"/>
    <w:rsid w:val="0021353C"/>
    <w:rsid w:val="00232CB4"/>
    <w:rsid w:val="00233A19"/>
    <w:rsid w:val="00241F20"/>
    <w:rsid w:val="0024376E"/>
    <w:rsid w:val="00247B51"/>
    <w:rsid w:val="002636F3"/>
    <w:rsid w:val="002A09E3"/>
    <w:rsid w:val="002A240A"/>
    <w:rsid w:val="002B5A33"/>
    <w:rsid w:val="002D75BA"/>
    <w:rsid w:val="002F29E6"/>
    <w:rsid w:val="003011CE"/>
    <w:rsid w:val="003111F6"/>
    <w:rsid w:val="00320A23"/>
    <w:rsid w:val="0032144D"/>
    <w:rsid w:val="00322070"/>
    <w:rsid w:val="00324E06"/>
    <w:rsid w:val="0033215D"/>
    <w:rsid w:val="003340A0"/>
    <w:rsid w:val="00337436"/>
    <w:rsid w:val="003427F6"/>
    <w:rsid w:val="00352E71"/>
    <w:rsid w:val="0035511B"/>
    <w:rsid w:val="00355657"/>
    <w:rsid w:val="00367975"/>
    <w:rsid w:val="00392969"/>
    <w:rsid w:val="003A7E5C"/>
    <w:rsid w:val="003B2E90"/>
    <w:rsid w:val="003C70DD"/>
    <w:rsid w:val="003D2C86"/>
    <w:rsid w:val="003D4B1A"/>
    <w:rsid w:val="003D5E0C"/>
    <w:rsid w:val="003E1D99"/>
    <w:rsid w:val="003F6890"/>
    <w:rsid w:val="003F7329"/>
    <w:rsid w:val="003F7471"/>
    <w:rsid w:val="00406BA2"/>
    <w:rsid w:val="004071DC"/>
    <w:rsid w:val="00414C28"/>
    <w:rsid w:val="004161A9"/>
    <w:rsid w:val="00423816"/>
    <w:rsid w:val="00427EB0"/>
    <w:rsid w:val="00434BEE"/>
    <w:rsid w:val="0043564E"/>
    <w:rsid w:val="00455CD9"/>
    <w:rsid w:val="00456B9B"/>
    <w:rsid w:val="004760F8"/>
    <w:rsid w:val="00492E3F"/>
    <w:rsid w:val="004A6EF3"/>
    <w:rsid w:val="004B50B4"/>
    <w:rsid w:val="004B5A44"/>
    <w:rsid w:val="004B7BFC"/>
    <w:rsid w:val="004C42F3"/>
    <w:rsid w:val="004D02A8"/>
    <w:rsid w:val="004D3701"/>
    <w:rsid w:val="004D58B7"/>
    <w:rsid w:val="004E3F71"/>
    <w:rsid w:val="004F75EB"/>
    <w:rsid w:val="005024F2"/>
    <w:rsid w:val="005033A4"/>
    <w:rsid w:val="00515CFE"/>
    <w:rsid w:val="0052571A"/>
    <w:rsid w:val="00541109"/>
    <w:rsid w:val="005423BF"/>
    <w:rsid w:val="00544EC7"/>
    <w:rsid w:val="00546EDF"/>
    <w:rsid w:val="005633B8"/>
    <w:rsid w:val="00563B73"/>
    <w:rsid w:val="00566AF1"/>
    <w:rsid w:val="005703B8"/>
    <w:rsid w:val="00575E1D"/>
    <w:rsid w:val="005A2436"/>
    <w:rsid w:val="005A6C77"/>
    <w:rsid w:val="005B08F8"/>
    <w:rsid w:val="005B0AD3"/>
    <w:rsid w:val="005B1623"/>
    <w:rsid w:val="005E5BD0"/>
    <w:rsid w:val="005F0929"/>
    <w:rsid w:val="005F1DBB"/>
    <w:rsid w:val="00605648"/>
    <w:rsid w:val="006078AA"/>
    <w:rsid w:val="006217AC"/>
    <w:rsid w:val="00622BA2"/>
    <w:rsid w:val="0062634F"/>
    <w:rsid w:val="0063125E"/>
    <w:rsid w:val="00650C32"/>
    <w:rsid w:val="00654435"/>
    <w:rsid w:val="006661CD"/>
    <w:rsid w:val="00666821"/>
    <w:rsid w:val="00676D2C"/>
    <w:rsid w:val="0067744E"/>
    <w:rsid w:val="0068304E"/>
    <w:rsid w:val="00685699"/>
    <w:rsid w:val="006A03E2"/>
    <w:rsid w:val="006B6964"/>
    <w:rsid w:val="006D485E"/>
    <w:rsid w:val="006E5326"/>
    <w:rsid w:val="006F53C0"/>
    <w:rsid w:val="006F7AFA"/>
    <w:rsid w:val="00703B36"/>
    <w:rsid w:val="007119D6"/>
    <w:rsid w:val="0071370F"/>
    <w:rsid w:val="00715181"/>
    <w:rsid w:val="007166B7"/>
    <w:rsid w:val="00717460"/>
    <w:rsid w:val="00746A17"/>
    <w:rsid w:val="00771297"/>
    <w:rsid w:val="00771A0F"/>
    <w:rsid w:val="00774065"/>
    <w:rsid w:val="00782C2E"/>
    <w:rsid w:val="0078701A"/>
    <w:rsid w:val="00795CBC"/>
    <w:rsid w:val="00796C3C"/>
    <w:rsid w:val="007B2168"/>
    <w:rsid w:val="007C3CA5"/>
    <w:rsid w:val="007C44C7"/>
    <w:rsid w:val="007C4C87"/>
    <w:rsid w:val="007D1AA6"/>
    <w:rsid w:val="007F2079"/>
    <w:rsid w:val="007F20D3"/>
    <w:rsid w:val="007F22D6"/>
    <w:rsid w:val="007F507B"/>
    <w:rsid w:val="00800A2B"/>
    <w:rsid w:val="008053DC"/>
    <w:rsid w:val="00805D59"/>
    <w:rsid w:val="00805E65"/>
    <w:rsid w:val="0081696A"/>
    <w:rsid w:val="00817D22"/>
    <w:rsid w:val="0082092F"/>
    <w:rsid w:val="008310BA"/>
    <w:rsid w:val="00832FAE"/>
    <w:rsid w:val="00837931"/>
    <w:rsid w:val="00843A57"/>
    <w:rsid w:val="00847316"/>
    <w:rsid w:val="00860F8B"/>
    <w:rsid w:val="00866472"/>
    <w:rsid w:val="0088030F"/>
    <w:rsid w:val="00890C92"/>
    <w:rsid w:val="00897E03"/>
    <w:rsid w:val="008A2396"/>
    <w:rsid w:val="008B46C4"/>
    <w:rsid w:val="008B4B95"/>
    <w:rsid w:val="008D07E9"/>
    <w:rsid w:val="008E1783"/>
    <w:rsid w:val="008E2048"/>
    <w:rsid w:val="008E55E7"/>
    <w:rsid w:val="008F5213"/>
    <w:rsid w:val="00905817"/>
    <w:rsid w:val="009065A8"/>
    <w:rsid w:val="00920B25"/>
    <w:rsid w:val="00925BAE"/>
    <w:rsid w:val="0095070E"/>
    <w:rsid w:val="009509D5"/>
    <w:rsid w:val="0095106A"/>
    <w:rsid w:val="00961266"/>
    <w:rsid w:val="00970027"/>
    <w:rsid w:val="00972076"/>
    <w:rsid w:val="009759F5"/>
    <w:rsid w:val="00984614"/>
    <w:rsid w:val="00986B1A"/>
    <w:rsid w:val="009A3C7A"/>
    <w:rsid w:val="009B386B"/>
    <w:rsid w:val="009C061F"/>
    <w:rsid w:val="009C0D21"/>
    <w:rsid w:val="009C1349"/>
    <w:rsid w:val="009D0A8B"/>
    <w:rsid w:val="009D4504"/>
    <w:rsid w:val="009D4541"/>
    <w:rsid w:val="009E00B6"/>
    <w:rsid w:val="009E71C3"/>
    <w:rsid w:val="009E7E4F"/>
    <w:rsid w:val="00A035A5"/>
    <w:rsid w:val="00A13A40"/>
    <w:rsid w:val="00A21104"/>
    <w:rsid w:val="00A23792"/>
    <w:rsid w:val="00A40676"/>
    <w:rsid w:val="00A543C6"/>
    <w:rsid w:val="00A54BAF"/>
    <w:rsid w:val="00A5632A"/>
    <w:rsid w:val="00A563C1"/>
    <w:rsid w:val="00A70FF1"/>
    <w:rsid w:val="00A72D54"/>
    <w:rsid w:val="00A72EF5"/>
    <w:rsid w:val="00A77202"/>
    <w:rsid w:val="00A91871"/>
    <w:rsid w:val="00A95171"/>
    <w:rsid w:val="00A97693"/>
    <w:rsid w:val="00AA3731"/>
    <w:rsid w:val="00AA62F8"/>
    <w:rsid w:val="00AA752A"/>
    <w:rsid w:val="00AB652C"/>
    <w:rsid w:val="00AC65B0"/>
    <w:rsid w:val="00AC7E39"/>
    <w:rsid w:val="00AD3EAE"/>
    <w:rsid w:val="00AE2F10"/>
    <w:rsid w:val="00AE478E"/>
    <w:rsid w:val="00AF3A25"/>
    <w:rsid w:val="00AF57CF"/>
    <w:rsid w:val="00AF5E46"/>
    <w:rsid w:val="00AF7DCC"/>
    <w:rsid w:val="00B07ADA"/>
    <w:rsid w:val="00B16ED2"/>
    <w:rsid w:val="00B2445F"/>
    <w:rsid w:val="00B833E1"/>
    <w:rsid w:val="00B90F2F"/>
    <w:rsid w:val="00B9278D"/>
    <w:rsid w:val="00BA02B9"/>
    <w:rsid w:val="00BA139F"/>
    <w:rsid w:val="00BA251D"/>
    <w:rsid w:val="00BA62BF"/>
    <w:rsid w:val="00BB40C2"/>
    <w:rsid w:val="00BB74E7"/>
    <w:rsid w:val="00BC1FF5"/>
    <w:rsid w:val="00BC6843"/>
    <w:rsid w:val="00BD7C0B"/>
    <w:rsid w:val="00BF139C"/>
    <w:rsid w:val="00BF1CB7"/>
    <w:rsid w:val="00C14E42"/>
    <w:rsid w:val="00C22621"/>
    <w:rsid w:val="00C351AB"/>
    <w:rsid w:val="00C44B61"/>
    <w:rsid w:val="00C502FE"/>
    <w:rsid w:val="00C50424"/>
    <w:rsid w:val="00C50A99"/>
    <w:rsid w:val="00C52638"/>
    <w:rsid w:val="00C60291"/>
    <w:rsid w:val="00C644DE"/>
    <w:rsid w:val="00C704C8"/>
    <w:rsid w:val="00C85766"/>
    <w:rsid w:val="00C90BB1"/>
    <w:rsid w:val="00CA2BBC"/>
    <w:rsid w:val="00CB4EB4"/>
    <w:rsid w:val="00CD238C"/>
    <w:rsid w:val="00CE468B"/>
    <w:rsid w:val="00CF256E"/>
    <w:rsid w:val="00CF7ECC"/>
    <w:rsid w:val="00D015F9"/>
    <w:rsid w:val="00D043C8"/>
    <w:rsid w:val="00D0785D"/>
    <w:rsid w:val="00D15A0B"/>
    <w:rsid w:val="00D30D82"/>
    <w:rsid w:val="00D3406A"/>
    <w:rsid w:val="00D36251"/>
    <w:rsid w:val="00D45296"/>
    <w:rsid w:val="00D45B38"/>
    <w:rsid w:val="00D47712"/>
    <w:rsid w:val="00D47A29"/>
    <w:rsid w:val="00D50807"/>
    <w:rsid w:val="00D64696"/>
    <w:rsid w:val="00D763D3"/>
    <w:rsid w:val="00D8091D"/>
    <w:rsid w:val="00D812B6"/>
    <w:rsid w:val="00D95BD3"/>
    <w:rsid w:val="00DA3E9D"/>
    <w:rsid w:val="00DA5A0C"/>
    <w:rsid w:val="00DB2D5B"/>
    <w:rsid w:val="00DC4DED"/>
    <w:rsid w:val="00DC7D42"/>
    <w:rsid w:val="00DD2786"/>
    <w:rsid w:val="00DD549C"/>
    <w:rsid w:val="00DD6E52"/>
    <w:rsid w:val="00DD7F9C"/>
    <w:rsid w:val="00DF4C3F"/>
    <w:rsid w:val="00E0070D"/>
    <w:rsid w:val="00E01DF5"/>
    <w:rsid w:val="00E0301B"/>
    <w:rsid w:val="00E031D1"/>
    <w:rsid w:val="00E06F7C"/>
    <w:rsid w:val="00E21E94"/>
    <w:rsid w:val="00E345AD"/>
    <w:rsid w:val="00E34BFB"/>
    <w:rsid w:val="00E36BBF"/>
    <w:rsid w:val="00E4218D"/>
    <w:rsid w:val="00E50F51"/>
    <w:rsid w:val="00E533B7"/>
    <w:rsid w:val="00E62014"/>
    <w:rsid w:val="00E73594"/>
    <w:rsid w:val="00E86AAC"/>
    <w:rsid w:val="00E906D7"/>
    <w:rsid w:val="00E955AA"/>
    <w:rsid w:val="00E97792"/>
    <w:rsid w:val="00EB04F2"/>
    <w:rsid w:val="00EC3655"/>
    <w:rsid w:val="00ED113C"/>
    <w:rsid w:val="00EE43DB"/>
    <w:rsid w:val="00EF00F8"/>
    <w:rsid w:val="00F01148"/>
    <w:rsid w:val="00F03E7A"/>
    <w:rsid w:val="00F0517E"/>
    <w:rsid w:val="00F11BBE"/>
    <w:rsid w:val="00F12327"/>
    <w:rsid w:val="00F23806"/>
    <w:rsid w:val="00F26C38"/>
    <w:rsid w:val="00F328C3"/>
    <w:rsid w:val="00F469C0"/>
    <w:rsid w:val="00F56046"/>
    <w:rsid w:val="00F579E3"/>
    <w:rsid w:val="00F846F8"/>
    <w:rsid w:val="00F86882"/>
    <w:rsid w:val="00FC283A"/>
    <w:rsid w:val="00FC3379"/>
    <w:rsid w:val="00FC53AA"/>
    <w:rsid w:val="00FD7FD6"/>
    <w:rsid w:val="00FE156E"/>
    <w:rsid w:val="00FE528E"/>
    <w:rsid w:val="00FF72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CFD49"/>
  <w15:docId w15:val="{196EA583-5CEC-4611-8510-2D1A36A93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326"/>
  </w:style>
  <w:style w:type="paragraph" w:styleId="Heading1">
    <w:name w:val="heading 1"/>
    <w:basedOn w:val="Normal"/>
    <w:next w:val="Normal"/>
    <w:link w:val="Heading1Char"/>
    <w:uiPriority w:val="9"/>
    <w:qFormat/>
    <w:rsid w:val="009507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EE43DB"/>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E43DB"/>
    <w:rPr>
      <w:rFonts w:ascii="Times New Roman" w:eastAsia="Times New Roman" w:hAnsi="Times New Roman" w:cs="Times New Roman"/>
      <w:b/>
      <w:bCs/>
      <w:sz w:val="27"/>
      <w:szCs w:val="27"/>
      <w:lang w:eastAsia="ro-RO"/>
    </w:rPr>
  </w:style>
  <w:style w:type="numbering" w:customStyle="1" w:styleId="NoList1">
    <w:name w:val="No List1"/>
    <w:next w:val="NoList"/>
    <w:uiPriority w:val="99"/>
    <w:semiHidden/>
    <w:unhideWhenUsed/>
    <w:rsid w:val="00EE43DB"/>
  </w:style>
  <w:style w:type="paragraph" w:customStyle="1" w:styleId="msonormal0">
    <w:name w:val="msonormal"/>
    <w:basedOn w:val="Normal"/>
    <w:rsid w:val="00EE43DB"/>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spelle">
    <w:name w:val="spelle"/>
    <w:basedOn w:val="DefaultParagraphFont"/>
    <w:rsid w:val="00EE43DB"/>
  </w:style>
  <w:style w:type="paragraph" w:styleId="NormalWeb">
    <w:name w:val="Normal (Web)"/>
    <w:basedOn w:val="Normal"/>
    <w:uiPriority w:val="99"/>
    <w:semiHidden/>
    <w:unhideWhenUsed/>
    <w:rsid w:val="00EE43DB"/>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13">
    <w:name w:val="rvts13"/>
    <w:basedOn w:val="DefaultParagraphFont"/>
    <w:rsid w:val="00EE43DB"/>
  </w:style>
  <w:style w:type="paragraph" w:customStyle="1" w:styleId="rvps1">
    <w:name w:val="rvps1"/>
    <w:basedOn w:val="Normal"/>
    <w:rsid w:val="00EE43DB"/>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rvps2">
    <w:name w:val="rvps2"/>
    <w:basedOn w:val="Normal"/>
    <w:rsid w:val="00EE43DB"/>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21">
    <w:name w:val="rvts21"/>
    <w:basedOn w:val="DefaultParagraphFont"/>
    <w:rsid w:val="00EE43DB"/>
  </w:style>
  <w:style w:type="character" w:styleId="Hyperlink">
    <w:name w:val="Hyperlink"/>
    <w:basedOn w:val="DefaultParagraphFont"/>
    <w:uiPriority w:val="99"/>
    <w:unhideWhenUsed/>
    <w:rsid w:val="00EE43DB"/>
    <w:rPr>
      <w:color w:val="0000FF"/>
      <w:u w:val="single"/>
    </w:rPr>
  </w:style>
  <w:style w:type="character" w:styleId="FollowedHyperlink">
    <w:name w:val="FollowedHyperlink"/>
    <w:basedOn w:val="DefaultParagraphFont"/>
    <w:uiPriority w:val="99"/>
    <w:semiHidden/>
    <w:unhideWhenUsed/>
    <w:rsid w:val="00EE43DB"/>
    <w:rPr>
      <w:color w:val="800080"/>
      <w:u w:val="single"/>
    </w:rPr>
  </w:style>
  <w:style w:type="character" w:customStyle="1" w:styleId="rvts41">
    <w:name w:val="rvts41"/>
    <w:basedOn w:val="DefaultParagraphFont"/>
    <w:rsid w:val="00EE43DB"/>
  </w:style>
  <w:style w:type="character" w:customStyle="1" w:styleId="rvts51">
    <w:name w:val="rvts51"/>
    <w:basedOn w:val="DefaultParagraphFont"/>
    <w:rsid w:val="00EE43DB"/>
  </w:style>
  <w:style w:type="character" w:customStyle="1" w:styleId="rvts61">
    <w:name w:val="rvts61"/>
    <w:basedOn w:val="DefaultParagraphFont"/>
    <w:rsid w:val="00EE43DB"/>
  </w:style>
  <w:style w:type="character" w:customStyle="1" w:styleId="rvts71">
    <w:name w:val="rvts71"/>
    <w:basedOn w:val="DefaultParagraphFont"/>
    <w:rsid w:val="00EE43DB"/>
  </w:style>
  <w:style w:type="character" w:customStyle="1" w:styleId="rvts91">
    <w:name w:val="rvts91"/>
    <w:basedOn w:val="DefaultParagraphFont"/>
    <w:rsid w:val="00EE43DB"/>
  </w:style>
  <w:style w:type="character" w:customStyle="1" w:styleId="rvts101">
    <w:name w:val="rvts101"/>
    <w:basedOn w:val="DefaultParagraphFont"/>
    <w:rsid w:val="00EE43DB"/>
  </w:style>
  <w:style w:type="character" w:customStyle="1" w:styleId="grame">
    <w:name w:val="grame"/>
    <w:basedOn w:val="DefaultParagraphFont"/>
    <w:rsid w:val="00EE43DB"/>
  </w:style>
  <w:style w:type="character" w:customStyle="1" w:styleId="rvts111">
    <w:name w:val="rvts111"/>
    <w:basedOn w:val="DefaultParagraphFont"/>
    <w:rsid w:val="00EE43DB"/>
  </w:style>
  <w:style w:type="character" w:customStyle="1" w:styleId="rvts121">
    <w:name w:val="rvts121"/>
    <w:basedOn w:val="DefaultParagraphFont"/>
    <w:rsid w:val="00EE43DB"/>
  </w:style>
  <w:style w:type="paragraph" w:styleId="Header">
    <w:name w:val="header"/>
    <w:basedOn w:val="Normal"/>
    <w:link w:val="HeaderChar"/>
    <w:uiPriority w:val="99"/>
    <w:unhideWhenUsed/>
    <w:rsid w:val="00F46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9C0"/>
  </w:style>
  <w:style w:type="paragraph" w:styleId="Footer">
    <w:name w:val="footer"/>
    <w:basedOn w:val="Normal"/>
    <w:link w:val="FooterChar"/>
    <w:uiPriority w:val="99"/>
    <w:unhideWhenUsed/>
    <w:rsid w:val="00F46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9C0"/>
  </w:style>
  <w:style w:type="paragraph" w:styleId="ListParagraph">
    <w:name w:val="List Paragraph"/>
    <w:basedOn w:val="Normal"/>
    <w:qFormat/>
    <w:rsid w:val="00F469C0"/>
    <w:pPr>
      <w:ind w:left="720"/>
      <w:contextualSpacing/>
    </w:pPr>
  </w:style>
  <w:style w:type="table" w:styleId="TableGrid">
    <w:name w:val="Table Grid"/>
    <w:basedOn w:val="TableNormal"/>
    <w:uiPriority w:val="59"/>
    <w:rsid w:val="004161A9"/>
    <w:pPr>
      <w:spacing w:after="0" w:line="240" w:lineRule="auto"/>
    </w:pPr>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default">
    <w:name w:val="title_default"/>
    <w:basedOn w:val="DefaultParagraphFont"/>
    <w:rsid w:val="004161A9"/>
  </w:style>
  <w:style w:type="character" w:customStyle="1" w:styleId="UnresolvedMention1">
    <w:name w:val="Unresolved Mention1"/>
    <w:basedOn w:val="DefaultParagraphFont"/>
    <w:uiPriority w:val="99"/>
    <w:semiHidden/>
    <w:unhideWhenUsed/>
    <w:rsid w:val="004D02A8"/>
    <w:rPr>
      <w:color w:val="605E5C"/>
      <w:shd w:val="clear" w:color="auto" w:fill="E1DFDD"/>
    </w:rPr>
  </w:style>
  <w:style w:type="paragraph" w:customStyle="1" w:styleId="Default">
    <w:name w:val="Default"/>
    <w:rsid w:val="009509D5"/>
    <w:pPr>
      <w:autoSpaceDE w:val="0"/>
      <w:autoSpaceDN w:val="0"/>
      <w:adjustRightInd w:val="0"/>
      <w:spacing w:after="0" w:line="240" w:lineRule="auto"/>
    </w:pPr>
    <w:rPr>
      <w:rFonts w:ascii="Calibri" w:hAnsi="Calibri" w:cs="Calibri"/>
      <w:color w:val="000000"/>
      <w:sz w:val="24"/>
      <w:szCs w:val="24"/>
    </w:rPr>
  </w:style>
  <w:style w:type="character" w:customStyle="1" w:styleId="pg-1fc1">
    <w:name w:val="pg-1fc1"/>
    <w:basedOn w:val="DefaultParagraphFont"/>
    <w:rsid w:val="00DC7D42"/>
  </w:style>
  <w:style w:type="character" w:styleId="CommentReference">
    <w:name w:val="annotation reference"/>
    <w:basedOn w:val="DefaultParagraphFont"/>
    <w:uiPriority w:val="99"/>
    <w:semiHidden/>
    <w:unhideWhenUsed/>
    <w:rsid w:val="00A543C6"/>
    <w:rPr>
      <w:sz w:val="16"/>
      <w:szCs w:val="16"/>
    </w:rPr>
  </w:style>
  <w:style w:type="paragraph" w:styleId="CommentText">
    <w:name w:val="annotation text"/>
    <w:basedOn w:val="Normal"/>
    <w:link w:val="CommentTextChar"/>
    <w:uiPriority w:val="99"/>
    <w:semiHidden/>
    <w:unhideWhenUsed/>
    <w:rsid w:val="00A543C6"/>
    <w:pPr>
      <w:spacing w:line="240" w:lineRule="auto"/>
    </w:pPr>
    <w:rPr>
      <w:sz w:val="20"/>
      <w:szCs w:val="20"/>
    </w:rPr>
  </w:style>
  <w:style w:type="character" w:customStyle="1" w:styleId="CommentTextChar">
    <w:name w:val="Comment Text Char"/>
    <w:basedOn w:val="DefaultParagraphFont"/>
    <w:link w:val="CommentText"/>
    <w:uiPriority w:val="99"/>
    <w:semiHidden/>
    <w:rsid w:val="00A543C6"/>
    <w:rPr>
      <w:sz w:val="20"/>
      <w:szCs w:val="20"/>
    </w:rPr>
  </w:style>
  <w:style w:type="paragraph" w:styleId="CommentSubject">
    <w:name w:val="annotation subject"/>
    <w:basedOn w:val="CommentText"/>
    <w:next w:val="CommentText"/>
    <w:link w:val="CommentSubjectChar"/>
    <w:uiPriority w:val="99"/>
    <w:semiHidden/>
    <w:unhideWhenUsed/>
    <w:rsid w:val="00A543C6"/>
    <w:rPr>
      <w:b/>
      <w:bCs/>
    </w:rPr>
  </w:style>
  <w:style w:type="character" w:customStyle="1" w:styleId="CommentSubjectChar">
    <w:name w:val="Comment Subject Char"/>
    <w:basedOn w:val="CommentTextChar"/>
    <w:link w:val="CommentSubject"/>
    <w:uiPriority w:val="99"/>
    <w:semiHidden/>
    <w:rsid w:val="00A543C6"/>
    <w:rPr>
      <w:b/>
      <w:bCs/>
      <w:sz w:val="20"/>
      <w:szCs w:val="20"/>
    </w:rPr>
  </w:style>
  <w:style w:type="paragraph" w:styleId="BalloonText">
    <w:name w:val="Balloon Text"/>
    <w:basedOn w:val="Normal"/>
    <w:link w:val="BalloonTextChar"/>
    <w:uiPriority w:val="99"/>
    <w:semiHidden/>
    <w:unhideWhenUsed/>
    <w:rsid w:val="00A543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3C6"/>
    <w:rPr>
      <w:rFonts w:ascii="Segoe UI" w:hAnsi="Segoe UI" w:cs="Segoe UI"/>
      <w:sz w:val="18"/>
      <w:szCs w:val="18"/>
    </w:rPr>
  </w:style>
  <w:style w:type="character" w:customStyle="1" w:styleId="Heading1Char">
    <w:name w:val="Heading 1 Char"/>
    <w:basedOn w:val="DefaultParagraphFont"/>
    <w:link w:val="Heading1"/>
    <w:uiPriority w:val="9"/>
    <w:rsid w:val="0095070E"/>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5A6C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72303">
      <w:bodyDiv w:val="1"/>
      <w:marLeft w:val="0"/>
      <w:marRight w:val="0"/>
      <w:marTop w:val="0"/>
      <w:marBottom w:val="0"/>
      <w:divBdr>
        <w:top w:val="none" w:sz="0" w:space="0" w:color="auto"/>
        <w:left w:val="none" w:sz="0" w:space="0" w:color="auto"/>
        <w:bottom w:val="none" w:sz="0" w:space="0" w:color="auto"/>
        <w:right w:val="none" w:sz="0" w:space="0" w:color="auto"/>
      </w:divBdr>
    </w:div>
    <w:div w:id="648553498">
      <w:bodyDiv w:val="1"/>
      <w:marLeft w:val="0"/>
      <w:marRight w:val="0"/>
      <w:marTop w:val="0"/>
      <w:marBottom w:val="0"/>
      <w:divBdr>
        <w:top w:val="none" w:sz="0" w:space="0" w:color="auto"/>
        <w:left w:val="none" w:sz="0" w:space="0" w:color="auto"/>
        <w:bottom w:val="none" w:sz="0" w:space="0" w:color="auto"/>
        <w:right w:val="none" w:sz="0" w:space="0" w:color="auto"/>
      </w:divBdr>
    </w:div>
    <w:div w:id="723018420">
      <w:bodyDiv w:val="1"/>
      <w:marLeft w:val="0"/>
      <w:marRight w:val="0"/>
      <w:marTop w:val="0"/>
      <w:marBottom w:val="0"/>
      <w:divBdr>
        <w:top w:val="none" w:sz="0" w:space="0" w:color="auto"/>
        <w:left w:val="none" w:sz="0" w:space="0" w:color="auto"/>
        <w:bottom w:val="none" w:sz="0" w:space="0" w:color="auto"/>
        <w:right w:val="none" w:sz="0" w:space="0" w:color="auto"/>
      </w:divBdr>
    </w:div>
    <w:div w:id="775715921">
      <w:bodyDiv w:val="1"/>
      <w:marLeft w:val="0"/>
      <w:marRight w:val="0"/>
      <w:marTop w:val="0"/>
      <w:marBottom w:val="0"/>
      <w:divBdr>
        <w:top w:val="none" w:sz="0" w:space="0" w:color="auto"/>
        <w:left w:val="none" w:sz="0" w:space="0" w:color="auto"/>
        <w:bottom w:val="none" w:sz="0" w:space="0" w:color="auto"/>
        <w:right w:val="none" w:sz="0" w:space="0" w:color="auto"/>
      </w:divBdr>
    </w:div>
    <w:div w:id="1133522024">
      <w:bodyDiv w:val="1"/>
      <w:marLeft w:val="0"/>
      <w:marRight w:val="0"/>
      <w:marTop w:val="0"/>
      <w:marBottom w:val="0"/>
      <w:divBdr>
        <w:top w:val="none" w:sz="0" w:space="0" w:color="auto"/>
        <w:left w:val="none" w:sz="0" w:space="0" w:color="auto"/>
        <w:bottom w:val="none" w:sz="0" w:space="0" w:color="auto"/>
        <w:right w:val="none" w:sz="0" w:space="0" w:color="auto"/>
      </w:divBdr>
      <w:divsChild>
        <w:div w:id="1303149095">
          <w:marLeft w:val="0"/>
          <w:marRight w:val="0"/>
          <w:marTop w:val="0"/>
          <w:marBottom w:val="0"/>
          <w:divBdr>
            <w:top w:val="none" w:sz="0" w:space="0" w:color="auto"/>
            <w:left w:val="none" w:sz="0" w:space="0" w:color="auto"/>
            <w:bottom w:val="none" w:sz="0" w:space="0" w:color="auto"/>
            <w:right w:val="none" w:sz="0" w:space="0" w:color="auto"/>
          </w:divBdr>
        </w:div>
        <w:div w:id="1792018961">
          <w:marLeft w:val="0"/>
          <w:marRight w:val="0"/>
          <w:marTop w:val="0"/>
          <w:marBottom w:val="0"/>
          <w:divBdr>
            <w:top w:val="none" w:sz="0" w:space="0" w:color="auto"/>
            <w:left w:val="none" w:sz="0" w:space="0" w:color="auto"/>
            <w:bottom w:val="none" w:sz="0" w:space="0" w:color="auto"/>
            <w:right w:val="none" w:sz="0" w:space="0" w:color="auto"/>
          </w:divBdr>
        </w:div>
        <w:div w:id="718240343">
          <w:marLeft w:val="0"/>
          <w:marRight w:val="0"/>
          <w:marTop w:val="0"/>
          <w:marBottom w:val="0"/>
          <w:divBdr>
            <w:top w:val="none" w:sz="0" w:space="0" w:color="auto"/>
            <w:left w:val="none" w:sz="0" w:space="0" w:color="auto"/>
            <w:bottom w:val="none" w:sz="0" w:space="0" w:color="auto"/>
            <w:right w:val="none" w:sz="0" w:space="0" w:color="auto"/>
          </w:divBdr>
        </w:div>
        <w:div w:id="773133736">
          <w:marLeft w:val="0"/>
          <w:marRight w:val="0"/>
          <w:marTop w:val="0"/>
          <w:marBottom w:val="0"/>
          <w:divBdr>
            <w:top w:val="none" w:sz="0" w:space="0" w:color="auto"/>
            <w:left w:val="none" w:sz="0" w:space="0" w:color="auto"/>
            <w:bottom w:val="none" w:sz="0" w:space="0" w:color="auto"/>
            <w:right w:val="none" w:sz="0" w:space="0" w:color="auto"/>
          </w:divBdr>
        </w:div>
        <w:div w:id="1094396831">
          <w:marLeft w:val="0"/>
          <w:marRight w:val="0"/>
          <w:marTop w:val="0"/>
          <w:marBottom w:val="0"/>
          <w:divBdr>
            <w:top w:val="none" w:sz="0" w:space="0" w:color="auto"/>
            <w:left w:val="none" w:sz="0" w:space="0" w:color="auto"/>
            <w:bottom w:val="none" w:sz="0" w:space="0" w:color="auto"/>
            <w:right w:val="none" w:sz="0" w:space="0" w:color="auto"/>
          </w:divBdr>
        </w:div>
        <w:div w:id="1164081557">
          <w:marLeft w:val="0"/>
          <w:marRight w:val="0"/>
          <w:marTop w:val="0"/>
          <w:marBottom w:val="0"/>
          <w:divBdr>
            <w:top w:val="none" w:sz="0" w:space="0" w:color="auto"/>
            <w:left w:val="none" w:sz="0" w:space="0" w:color="auto"/>
            <w:bottom w:val="none" w:sz="0" w:space="0" w:color="auto"/>
            <w:right w:val="none" w:sz="0" w:space="0" w:color="auto"/>
          </w:divBdr>
        </w:div>
        <w:div w:id="794369038">
          <w:marLeft w:val="0"/>
          <w:marRight w:val="0"/>
          <w:marTop w:val="0"/>
          <w:marBottom w:val="0"/>
          <w:divBdr>
            <w:top w:val="none" w:sz="0" w:space="0" w:color="auto"/>
            <w:left w:val="none" w:sz="0" w:space="0" w:color="auto"/>
            <w:bottom w:val="none" w:sz="0" w:space="0" w:color="auto"/>
            <w:right w:val="none" w:sz="0" w:space="0" w:color="auto"/>
          </w:divBdr>
        </w:div>
      </w:divsChild>
    </w:div>
    <w:div w:id="1314065964">
      <w:bodyDiv w:val="1"/>
      <w:marLeft w:val="0"/>
      <w:marRight w:val="0"/>
      <w:marTop w:val="0"/>
      <w:marBottom w:val="0"/>
      <w:divBdr>
        <w:top w:val="none" w:sz="0" w:space="0" w:color="auto"/>
        <w:left w:val="none" w:sz="0" w:space="0" w:color="auto"/>
        <w:bottom w:val="none" w:sz="0" w:space="0" w:color="auto"/>
        <w:right w:val="none" w:sz="0" w:space="0" w:color="auto"/>
      </w:divBdr>
      <w:divsChild>
        <w:div w:id="2629212">
          <w:marLeft w:val="0"/>
          <w:marRight w:val="0"/>
          <w:marTop w:val="0"/>
          <w:marBottom w:val="0"/>
          <w:divBdr>
            <w:top w:val="single" w:sz="6" w:space="0" w:color="000000"/>
            <w:left w:val="single" w:sz="6" w:space="0" w:color="000000"/>
            <w:bottom w:val="single" w:sz="6" w:space="0" w:color="000000"/>
            <w:right w:val="single" w:sz="6" w:space="0" w:color="000000"/>
          </w:divBdr>
          <w:divsChild>
            <w:div w:id="1968462958">
              <w:marLeft w:val="0"/>
              <w:marRight w:val="0"/>
              <w:marTop w:val="0"/>
              <w:marBottom w:val="0"/>
              <w:divBdr>
                <w:top w:val="none" w:sz="0" w:space="0" w:color="auto"/>
                <w:left w:val="none" w:sz="0" w:space="0" w:color="auto"/>
                <w:bottom w:val="none" w:sz="0" w:space="0" w:color="auto"/>
                <w:right w:val="none" w:sz="0" w:space="0" w:color="auto"/>
              </w:divBdr>
              <w:divsChild>
                <w:div w:id="2001351463">
                  <w:marLeft w:val="0"/>
                  <w:marRight w:val="0"/>
                  <w:marTop w:val="0"/>
                  <w:marBottom w:val="0"/>
                  <w:divBdr>
                    <w:top w:val="none" w:sz="0" w:space="0" w:color="auto"/>
                    <w:left w:val="none" w:sz="0" w:space="0" w:color="auto"/>
                    <w:bottom w:val="none" w:sz="0" w:space="0" w:color="auto"/>
                    <w:right w:val="none" w:sz="0" w:space="0" w:color="auto"/>
                  </w:divBdr>
                  <w:divsChild>
                    <w:div w:id="177814538">
                      <w:marLeft w:val="0"/>
                      <w:marRight w:val="0"/>
                      <w:marTop w:val="0"/>
                      <w:marBottom w:val="0"/>
                      <w:divBdr>
                        <w:top w:val="none" w:sz="0" w:space="0" w:color="auto"/>
                        <w:left w:val="none" w:sz="0" w:space="0" w:color="auto"/>
                        <w:bottom w:val="none" w:sz="0" w:space="0" w:color="auto"/>
                        <w:right w:val="none" w:sz="0" w:space="0" w:color="auto"/>
                      </w:divBdr>
                      <w:divsChild>
                        <w:div w:id="451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52040">
      <w:bodyDiv w:val="1"/>
      <w:marLeft w:val="0"/>
      <w:marRight w:val="0"/>
      <w:marTop w:val="0"/>
      <w:marBottom w:val="0"/>
      <w:divBdr>
        <w:top w:val="none" w:sz="0" w:space="0" w:color="auto"/>
        <w:left w:val="none" w:sz="0" w:space="0" w:color="auto"/>
        <w:bottom w:val="none" w:sz="0" w:space="0" w:color="auto"/>
        <w:right w:val="none" w:sz="0" w:space="0" w:color="auto"/>
      </w:divBdr>
    </w:div>
    <w:div w:id="196457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lancet.com/journals/eclinm/issue/vol54nonull/PIIS2589-5370(22)X0012-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16/S2213-2600(22)00412-X" TargetMode="Externa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C89F0-E3EF-4C45-B135-EEF7FCFD2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8227</Words>
  <Characters>46897</Characters>
  <Application>Microsoft Office Word</Application>
  <DocSecurity>0</DocSecurity>
  <Lines>390</Lines>
  <Paragraphs>110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NNDKP</dc:creator>
  <cp:keywords/>
  <dc:description/>
  <cp:lastModifiedBy>User</cp:lastModifiedBy>
  <cp:revision>4</cp:revision>
  <cp:lastPrinted>2023-04-04T11:40:00Z</cp:lastPrinted>
  <dcterms:created xsi:type="dcterms:W3CDTF">2023-04-04T11:20:00Z</dcterms:created>
  <dcterms:modified xsi:type="dcterms:W3CDTF">2023-04-04T11:40:00Z</dcterms:modified>
</cp:coreProperties>
</file>