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45995F" w14:textId="29B679F0" w:rsidR="00DE6C74" w:rsidRPr="0049126A" w:rsidRDefault="00DE6C74" w:rsidP="007E53DA">
      <w:pPr>
        <w:pStyle w:val="Body"/>
        <w:tabs>
          <w:tab w:val="left" w:pos="1575"/>
          <w:tab w:val="center" w:pos="5315"/>
        </w:tabs>
        <w:spacing w:line="276" w:lineRule="auto"/>
        <w:jc w:val="center"/>
        <w:rPr>
          <w:rFonts w:cs="Times New Roman"/>
          <w:b/>
          <w:bCs/>
          <w:color w:val="auto"/>
        </w:rPr>
      </w:pPr>
      <w:bookmarkStart w:id="0" w:name="_GoBack"/>
      <w:bookmarkEnd w:id="0"/>
      <w:r w:rsidRPr="0049126A">
        <w:rPr>
          <w:rFonts w:cs="Times New Roman"/>
          <w:b/>
          <w:bCs/>
          <w:color w:val="auto"/>
          <w:lang w:val="fr-FR"/>
        </w:rPr>
        <w:t>ANEXA</w:t>
      </w:r>
    </w:p>
    <w:p w14:paraId="1719B0C0" w14:textId="77777777" w:rsidR="00DE6C74" w:rsidRPr="0049126A" w:rsidRDefault="00DE6C74" w:rsidP="00ED04A6">
      <w:pPr>
        <w:pStyle w:val="Body"/>
        <w:tabs>
          <w:tab w:val="left" w:pos="1575"/>
          <w:tab w:val="center" w:pos="5315"/>
        </w:tabs>
        <w:spacing w:line="276" w:lineRule="auto"/>
        <w:jc w:val="center"/>
        <w:rPr>
          <w:rFonts w:eastAsia="Arial" w:cs="Times New Roman"/>
          <w:b/>
          <w:bCs/>
          <w:color w:val="auto"/>
        </w:rPr>
      </w:pPr>
      <w:r w:rsidRPr="0049126A">
        <w:rPr>
          <w:rFonts w:cs="Times New Roman"/>
          <w:b/>
          <w:bCs/>
          <w:color w:val="auto"/>
        </w:rPr>
        <w:t>MODIFICĂ</w:t>
      </w:r>
      <w:r w:rsidRPr="0049126A">
        <w:rPr>
          <w:rFonts w:cs="Times New Roman"/>
          <w:b/>
          <w:bCs/>
          <w:color w:val="auto"/>
          <w:lang w:val="fr-FR"/>
        </w:rPr>
        <w:t>RI ŞI COMPLETĂRI</w:t>
      </w:r>
    </w:p>
    <w:p w14:paraId="383072F5" w14:textId="014B6521" w:rsidR="00DE6C74" w:rsidRPr="0049126A" w:rsidRDefault="003A7EB0" w:rsidP="007E53DA">
      <w:pPr>
        <w:pStyle w:val="Body"/>
        <w:spacing w:line="276" w:lineRule="auto"/>
        <w:jc w:val="center"/>
        <w:outlineLvl w:val="0"/>
        <w:rPr>
          <w:rFonts w:cs="Times New Roman"/>
          <w:b/>
          <w:bCs/>
          <w:color w:val="auto"/>
        </w:rPr>
      </w:pPr>
      <w:r w:rsidRPr="0049126A">
        <w:rPr>
          <w:rFonts w:cs="Times New Roman"/>
          <w:b/>
          <w:bCs/>
          <w:color w:val="auto"/>
        </w:rPr>
        <w:t>la anexele</w:t>
      </w:r>
      <w:r w:rsidR="00282DDA" w:rsidRPr="0049126A">
        <w:rPr>
          <w:rFonts w:cs="Times New Roman"/>
          <w:b/>
          <w:bCs/>
          <w:color w:val="auto"/>
        </w:rPr>
        <w:t xml:space="preserve"> nr. 1</w:t>
      </w:r>
      <w:r w:rsidR="004C7EA2" w:rsidRPr="0049126A">
        <w:rPr>
          <w:rFonts w:cs="Times New Roman"/>
          <w:b/>
          <w:bCs/>
          <w:color w:val="auto"/>
        </w:rPr>
        <w:t xml:space="preserve"> </w:t>
      </w:r>
      <w:r w:rsidRPr="0049126A">
        <w:rPr>
          <w:rFonts w:cs="Times New Roman"/>
          <w:b/>
          <w:bCs/>
          <w:color w:val="auto"/>
        </w:rPr>
        <w:t xml:space="preserve">și nr. 2 </w:t>
      </w:r>
      <w:r w:rsidR="00DE6C74" w:rsidRPr="0049126A">
        <w:rPr>
          <w:rFonts w:cs="Times New Roman"/>
          <w:b/>
          <w:bCs/>
          <w:color w:val="auto"/>
        </w:rPr>
        <w:t>la Ordin</w:t>
      </w:r>
      <w:r w:rsidR="004C7EA2" w:rsidRPr="0049126A">
        <w:rPr>
          <w:rFonts w:cs="Times New Roman"/>
          <w:b/>
          <w:bCs/>
          <w:color w:val="auto"/>
        </w:rPr>
        <w:t>ul ministrului sănătății</w:t>
      </w:r>
      <w:r w:rsidR="00DE6C74" w:rsidRPr="0049126A">
        <w:rPr>
          <w:rFonts w:cs="Times New Roman"/>
          <w:b/>
          <w:bCs/>
          <w:color w:val="auto"/>
        </w:rPr>
        <w:t xml:space="preserve"> ș</w:t>
      </w:r>
      <w:r w:rsidR="00DE6C74" w:rsidRPr="0049126A">
        <w:rPr>
          <w:rFonts w:cs="Times New Roman"/>
          <w:b/>
          <w:bCs/>
          <w:color w:val="auto"/>
          <w:lang w:val="it-IT"/>
        </w:rPr>
        <w:t>i al pre</w:t>
      </w:r>
      <w:r w:rsidR="00DE6C74" w:rsidRPr="0049126A">
        <w:rPr>
          <w:rFonts w:cs="Times New Roman"/>
          <w:b/>
          <w:bCs/>
          <w:color w:val="auto"/>
        </w:rPr>
        <w:t>ședintelui Casei Naționale de</w:t>
      </w:r>
      <w:r w:rsidR="004C7EA2" w:rsidRPr="0049126A">
        <w:rPr>
          <w:rFonts w:cs="Times New Roman"/>
          <w:b/>
          <w:bCs/>
          <w:color w:val="auto"/>
        </w:rPr>
        <w:t xml:space="preserve"> Asigurări de Sănătate nr. 564/499/2021</w:t>
      </w:r>
    </w:p>
    <w:p w14:paraId="78D732CF" w14:textId="77777777" w:rsidR="007E53DA" w:rsidRPr="0049126A" w:rsidRDefault="007E53DA" w:rsidP="007E53DA">
      <w:pPr>
        <w:pStyle w:val="Body"/>
        <w:spacing w:line="276" w:lineRule="auto"/>
        <w:jc w:val="center"/>
        <w:outlineLvl w:val="0"/>
        <w:rPr>
          <w:rFonts w:cs="Times New Roman"/>
          <w:b/>
          <w:bCs/>
          <w:color w:val="auto"/>
        </w:rPr>
      </w:pPr>
    </w:p>
    <w:p w14:paraId="3C596423" w14:textId="77777777" w:rsidR="00892DEE" w:rsidRPr="0049126A" w:rsidRDefault="00892DEE" w:rsidP="007E53DA">
      <w:pPr>
        <w:pStyle w:val="Body"/>
        <w:spacing w:line="276" w:lineRule="auto"/>
        <w:jc w:val="center"/>
        <w:outlineLvl w:val="0"/>
        <w:rPr>
          <w:rFonts w:cs="Times New Roman"/>
          <w:b/>
          <w:bCs/>
          <w:color w:val="auto"/>
        </w:rPr>
      </w:pPr>
    </w:p>
    <w:p w14:paraId="74212698" w14:textId="77777777" w:rsidR="00E63AA9" w:rsidRPr="0049126A" w:rsidRDefault="00E63AA9" w:rsidP="00BF7F57">
      <w:pPr>
        <w:pStyle w:val="Body"/>
        <w:spacing w:line="276" w:lineRule="auto"/>
        <w:outlineLvl w:val="0"/>
        <w:rPr>
          <w:rFonts w:cs="Times New Roman"/>
          <w:b/>
          <w:bCs/>
          <w:color w:val="auto"/>
        </w:rPr>
      </w:pPr>
    </w:p>
    <w:p w14:paraId="4C635F24" w14:textId="77777777" w:rsidR="00892DEE" w:rsidRPr="0049126A" w:rsidRDefault="00892DEE" w:rsidP="007E53DA">
      <w:pPr>
        <w:pStyle w:val="Body"/>
        <w:spacing w:line="276" w:lineRule="auto"/>
        <w:jc w:val="center"/>
        <w:outlineLvl w:val="0"/>
        <w:rPr>
          <w:rFonts w:cs="Times New Roman"/>
          <w:b/>
          <w:bCs/>
          <w:color w:val="auto"/>
        </w:rPr>
      </w:pPr>
    </w:p>
    <w:p w14:paraId="47E48097" w14:textId="6AE33BD6" w:rsidR="00422150" w:rsidRPr="0049126A" w:rsidRDefault="002F24A4" w:rsidP="007E53DA">
      <w:pPr>
        <w:pStyle w:val="ListParagraph"/>
        <w:numPr>
          <w:ilvl w:val="0"/>
          <w:numId w:val="9"/>
        </w:numPr>
        <w:tabs>
          <w:tab w:val="left" w:pos="851"/>
        </w:tabs>
        <w:spacing w:line="276" w:lineRule="auto"/>
        <w:jc w:val="both"/>
        <w:rPr>
          <w:rFonts w:eastAsia="Arial"/>
          <w:b/>
          <w:bCs/>
          <w:color w:val="auto"/>
        </w:rPr>
      </w:pPr>
      <w:r w:rsidRPr="0049126A">
        <w:rPr>
          <w:rFonts w:eastAsia="Arial"/>
          <w:b/>
          <w:bCs/>
          <w:color w:val="auto"/>
        </w:rPr>
        <w:t>La anexa nr.</w:t>
      </w:r>
      <w:r w:rsidR="00A504C8" w:rsidRPr="0049126A">
        <w:rPr>
          <w:rFonts w:eastAsia="Arial"/>
          <w:b/>
          <w:bCs/>
          <w:color w:val="auto"/>
        </w:rPr>
        <w:t xml:space="preserve"> </w:t>
      </w:r>
      <w:r w:rsidRPr="0049126A">
        <w:rPr>
          <w:rFonts w:eastAsia="Arial"/>
          <w:b/>
          <w:bCs/>
          <w:color w:val="auto"/>
        </w:rPr>
        <w:t>1, d</w:t>
      </w:r>
      <w:r w:rsidR="00DE6C74" w:rsidRPr="0049126A">
        <w:rPr>
          <w:rFonts w:eastAsia="Arial"/>
          <w:b/>
          <w:bCs/>
          <w:color w:val="auto"/>
        </w:rPr>
        <w:t xml:space="preserve">upă poziţia </w:t>
      </w:r>
      <w:r w:rsidR="00394CF2" w:rsidRPr="0049126A">
        <w:rPr>
          <w:rFonts w:eastAsia="Arial"/>
          <w:b/>
          <w:bCs/>
          <w:color w:val="auto"/>
        </w:rPr>
        <w:t>35</w:t>
      </w:r>
      <w:r w:rsidR="00FA419A" w:rsidRPr="0049126A">
        <w:rPr>
          <w:rFonts w:eastAsia="Arial"/>
          <w:b/>
          <w:bCs/>
          <w:color w:val="auto"/>
        </w:rPr>
        <w:t>5</w:t>
      </w:r>
      <w:r w:rsidR="00DE6C74" w:rsidRPr="0049126A">
        <w:rPr>
          <w:rFonts w:eastAsia="Arial"/>
          <w:b/>
          <w:bCs/>
          <w:color w:val="auto"/>
        </w:rPr>
        <w:t xml:space="preserve"> se introduc</w:t>
      </w:r>
      <w:r w:rsidR="004C7EA2" w:rsidRPr="0049126A">
        <w:rPr>
          <w:rFonts w:eastAsia="Arial"/>
          <w:b/>
          <w:bCs/>
          <w:color w:val="auto"/>
        </w:rPr>
        <w:t xml:space="preserve"> </w:t>
      </w:r>
      <w:r w:rsidR="00790444" w:rsidRPr="0049126A">
        <w:rPr>
          <w:rFonts w:eastAsia="Arial"/>
          <w:b/>
          <w:bCs/>
          <w:color w:val="auto"/>
        </w:rPr>
        <w:t>opt</w:t>
      </w:r>
      <w:r w:rsidR="00ED745D" w:rsidRPr="0049126A">
        <w:rPr>
          <w:rFonts w:eastAsia="Arial"/>
          <w:b/>
          <w:bCs/>
          <w:color w:val="auto"/>
        </w:rPr>
        <w:t xml:space="preserve"> noi poziții</w:t>
      </w:r>
      <w:r w:rsidR="004C7EA2" w:rsidRPr="0049126A">
        <w:rPr>
          <w:rFonts w:eastAsia="Arial"/>
          <w:b/>
          <w:bCs/>
          <w:color w:val="auto"/>
        </w:rPr>
        <w:t xml:space="preserve">, </w:t>
      </w:r>
      <w:r w:rsidR="00394CF2" w:rsidRPr="0049126A">
        <w:rPr>
          <w:rFonts w:eastAsia="Arial"/>
          <w:b/>
          <w:bCs/>
          <w:color w:val="auto"/>
        </w:rPr>
        <w:t>pozițiile 35</w:t>
      </w:r>
      <w:r w:rsidR="00FA419A" w:rsidRPr="0049126A">
        <w:rPr>
          <w:rFonts w:eastAsia="Arial"/>
          <w:b/>
          <w:bCs/>
          <w:color w:val="auto"/>
        </w:rPr>
        <w:t>6</w:t>
      </w:r>
      <w:r w:rsidR="00B64991" w:rsidRPr="0049126A">
        <w:rPr>
          <w:rFonts w:eastAsia="Arial"/>
          <w:b/>
          <w:bCs/>
          <w:color w:val="auto"/>
        </w:rPr>
        <w:t xml:space="preserve"> -</w:t>
      </w:r>
      <w:r w:rsidR="00790444" w:rsidRPr="0049126A">
        <w:rPr>
          <w:rFonts w:eastAsia="Arial"/>
          <w:b/>
          <w:bCs/>
          <w:color w:val="auto"/>
        </w:rPr>
        <w:t xml:space="preserve"> 363</w:t>
      </w:r>
      <w:r w:rsidR="00DE6C74" w:rsidRPr="0049126A">
        <w:rPr>
          <w:rFonts w:eastAsia="Arial"/>
          <w:b/>
          <w:bCs/>
          <w:color w:val="auto"/>
        </w:rPr>
        <w:t>, cu următorul cuprins:</w:t>
      </w:r>
    </w:p>
    <w:p w14:paraId="04F81565" w14:textId="77777777" w:rsidR="00892DEE" w:rsidRPr="0049126A" w:rsidRDefault="00892DEE" w:rsidP="00892DEE">
      <w:pPr>
        <w:pStyle w:val="ListParagraph"/>
        <w:tabs>
          <w:tab w:val="left" w:pos="851"/>
        </w:tabs>
        <w:spacing w:line="276" w:lineRule="auto"/>
        <w:jc w:val="both"/>
        <w:rPr>
          <w:rFonts w:eastAsia="Arial"/>
          <w:b/>
          <w:bCs/>
          <w:color w:val="auto"/>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2090"/>
        <w:gridCol w:w="6930"/>
      </w:tblGrid>
      <w:tr w:rsidR="0049126A" w:rsidRPr="0049126A" w14:paraId="199FF5C3" w14:textId="77777777" w:rsidTr="00CC2A67">
        <w:trPr>
          <w:trHeight w:val="300"/>
        </w:trPr>
        <w:tc>
          <w:tcPr>
            <w:tcW w:w="610" w:type="dxa"/>
            <w:shd w:val="clear" w:color="auto" w:fill="auto"/>
            <w:noWrap/>
            <w:vAlign w:val="bottom"/>
            <w:hideMark/>
          </w:tcPr>
          <w:p w14:paraId="723E1AFA" w14:textId="77777777" w:rsidR="00FD7621" w:rsidRPr="0049126A" w:rsidRDefault="00FD7621" w:rsidP="00394CF2">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NR.</w:t>
            </w:r>
          </w:p>
        </w:tc>
        <w:tc>
          <w:tcPr>
            <w:tcW w:w="2090" w:type="dxa"/>
            <w:shd w:val="clear" w:color="000000" w:fill="FFFFFF"/>
            <w:noWrap/>
            <w:vAlign w:val="center"/>
            <w:hideMark/>
          </w:tcPr>
          <w:p w14:paraId="539DD4F1" w14:textId="77777777" w:rsidR="00FD7621" w:rsidRPr="0049126A" w:rsidRDefault="00FD7621" w:rsidP="00FD7621">
            <w:pPr>
              <w:spacing w:after="0" w:line="240" w:lineRule="auto"/>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Cod Protocol</w:t>
            </w:r>
          </w:p>
        </w:tc>
        <w:tc>
          <w:tcPr>
            <w:tcW w:w="6930" w:type="dxa"/>
            <w:shd w:val="clear" w:color="000000" w:fill="FFFFFF"/>
            <w:noWrap/>
            <w:vAlign w:val="center"/>
            <w:hideMark/>
          </w:tcPr>
          <w:p w14:paraId="68FEFF95" w14:textId="77777777" w:rsidR="00FD7621" w:rsidRPr="0049126A" w:rsidRDefault="00FD7621" w:rsidP="00FD7621">
            <w:pPr>
              <w:spacing w:after="0" w:line="240" w:lineRule="auto"/>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DENUMIRE</w:t>
            </w:r>
          </w:p>
        </w:tc>
      </w:tr>
      <w:tr w:rsidR="0049126A" w:rsidRPr="0049126A" w14:paraId="6A5EC357" w14:textId="77777777" w:rsidTr="00CC2A67">
        <w:trPr>
          <w:trHeight w:val="315"/>
        </w:trPr>
        <w:tc>
          <w:tcPr>
            <w:tcW w:w="610" w:type="dxa"/>
            <w:shd w:val="clear" w:color="auto" w:fill="auto"/>
            <w:noWrap/>
            <w:vAlign w:val="bottom"/>
          </w:tcPr>
          <w:p w14:paraId="28A3EC45" w14:textId="230E973C" w:rsidR="00D6532E" w:rsidRPr="0049126A" w:rsidRDefault="00394CF2" w:rsidP="00394CF2">
            <w:pPr>
              <w:spacing w:after="0"/>
              <w:jc w:val="center"/>
              <w:rPr>
                <w:rFonts w:ascii="Times New Roman" w:hAnsi="Times New Roman" w:cs="Times New Roman"/>
                <w:lang w:val="en-US"/>
              </w:rPr>
            </w:pPr>
            <w:r w:rsidRPr="0049126A">
              <w:rPr>
                <w:rFonts w:ascii="Times New Roman" w:hAnsi="Times New Roman" w:cs="Times New Roman"/>
                <w:lang w:val="en-US"/>
              </w:rPr>
              <w:t>356</w:t>
            </w:r>
          </w:p>
        </w:tc>
        <w:tc>
          <w:tcPr>
            <w:tcW w:w="2090" w:type="dxa"/>
            <w:shd w:val="clear" w:color="000000" w:fill="FFFFFF"/>
            <w:noWrap/>
            <w:vAlign w:val="center"/>
          </w:tcPr>
          <w:p w14:paraId="33ABCFE9" w14:textId="438BB47E" w:rsidR="00D6532E"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A16AA07</w:t>
            </w:r>
          </w:p>
        </w:tc>
        <w:tc>
          <w:tcPr>
            <w:tcW w:w="6930" w:type="dxa"/>
            <w:shd w:val="clear" w:color="000000" w:fill="FFFFFF"/>
            <w:noWrap/>
            <w:vAlign w:val="center"/>
          </w:tcPr>
          <w:p w14:paraId="6153E400" w14:textId="7391F53F" w:rsidR="00D6532E"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METRELEPTINUM</w:t>
            </w:r>
          </w:p>
        </w:tc>
      </w:tr>
      <w:tr w:rsidR="0049126A" w:rsidRPr="0049126A" w14:paraId="53AE61ED" w14:textId="77777777" w:rsidTr="00CC2A67">
        <w:trPr>
          <w:trHeight w:val="315"/>
        </w:trPr>
        <w:tc>
          <w:tcPr>
            <w:tcW w:w="610" w:type="dxa"/>
            <w:shd w:val="clear" w:color="auto" w:fill="auto"/>
            <w:noWrap/>
            <w:vAlign w:val="bottom"/>
          </w:tcPr>
          <w:p w14:paraId="0F53E4F8" w14:textId="01CCAF0B" w:rsidR="00394CF2" w:rsidRPr="0049126A" w:rsidRDefault="00394CF2" w:rsidP="00394CF2">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357</w:t>
            </w:r>
          </w:p>
        </w:tc>
        <w:tc>
          <w:tcPr>
            <w:tcW w:w="2090" w:type="dxa"/>
            <w:shd w:val="clear" w:color="000000" w:fill="FFFFFF"/>
            <w:noWrap/>
            <w:vAlign w:val="center"/>
          </w:tcPr>
          <w:p w14:paraId="2083B099" w14:textId="1FE68E6D" w:rsidR="00394CF2" w:rsidRPr="0049126A" w:rsidRDefault="00394CF2" w:rsidP="00D6532E">
            <w:pPr>
              <w:spacing w:after="0" w:line="240" w:lineRule="auto"/>
              <w:rPr>
                <w:rFonts w:ascii="Times New Roman" w:eastAsia="Arial" w:hAnsi="Times New Roman" w:cs="Times New Roman"/>
                <w:bCs/>
                <w:sz w:val="24"/>
                <w:szCs w:val="24"/>
                <w:lang w:val="en-US"/>
              </w:rPr>
            </w:pPr>
            <w:r w:rsidRPr="0049126A">
              <w:rPr>
                <w:rFonts w:ascii="Times New Roman" w:eastAsia="Arial" w:hAnsi="Times New Roman" w:cs="Times New Roman"/>
                <w:bCs/>
                <w:sz w:val="24"/>
                <w:szCs w:val="24"/>
                <w:lang w:val="en-US"/>
              </w:rPr>
              <w:t>L01FX25</w:t>
            </w:r>
          </w:p>
        </w:tc>
        <w:tc>
          <w:tcPr>
            <w:tcW w:w="6930" w:type="dxa"/>
            <w:shd w:val="clear" w:color="000000" w:fill="FFFFFF"/>
            <w:noWrap/>
            <w:vAlign w:val="center"/>
          </w:tcPr>
          <w:p w14:paraId="771AA164" w14:textId="11C26ABE" w:rsidR="00394CF2" w:rsidRPr="0049126A" w:rsidRDefault="00394CF2" w:rsidP="00D6532E">
            <w:pPr>
              <w:spacing w:after="0" w:line="240" w:lineRule="auto"/>
              <w:rPr>
                <w:rFonts w:ascii="Times New Roman" w:eastAsia="Arial" w:hAnsi="Times New Roman" w:cs="Times New Roman"/>
                <w:bCs/>
                <w:sz w:val="24"/>
                <w:szCs w:val="24"/>
                <w:lang w:val="en-US"/>
              </w:rPr>
            </w:pPr>
            <w:r w:rsidRPr="0049126A">
              <w:rPr>
                <w:rFonts w:ascii="Times New Roman" w:eastAsia="Arial" w:hAnsi="Times New Roman" w:cs="Times New Roman"/>
                <w:bCs/>
                <w:sz w:val="24"/>
                <w:szCs w:val="24"/>
                <w:lang w:val="en-US"/>
              </w:rPr>
              <w:t>MOSUNETUZUMABUM</w:t>
            </w:r>
          </w:p>
        </w:tc>
      </w:tr>
      <w:tr w:rsidR="0049126A" w:rsidRPr="0049126A" w14:paraId="020410EE" w14:textId="77777777" w:rsidTr="00CC2A67">
        <w:trPr>
          <w:trHeight w:val="315"/>
        </w:trPr>
        <w:tc>
          <w:tcPr>
            <w:tcW w:w="610" w:type="dxa"/>
            <w:shd w:val="clear" w:color="auto" w:fill="auto"/>
            <w:noWrap/>
            <w:vAlign w:val="bottom"/>
          </w:tcPr>
          <w:p w14:paraId="6FF549DA" w14:textId="2463EF19" w:rsidR="00D6532E" w:rsidRPr="0049126A" w:rsidRDefault="00394CF2" w:rsidP="00394CF2">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358</w:t>
            </w:r>
          </w:p>
        </w:tc>
        <w:tc>
          <w:tcPr>
            <w:tcW w:w="2090" w:type="dxa"/>
            <w:shd w:val="clear" w:color="000000" w:fill="FFFFFF"/>
            <w:noWrap/>
            <w:vAlign w:val="center"/>
          </w:tcPr>
          <w:p w14:paraId="301F3472" w14:textId="0956F4D6" w:rsidR="00D6532E"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L03AA14</w:t>
            </w:r>
          </w:p>
        </w:tc>
        <w:tc>
          <w:tcPr>
            <w:tcW w:w="6930" w:type="dxa"/>
            <w:shd w:val="clear" w:color="000000" w:fill="FFFFFF"/>
            <w:noWrap/>
            <w:vAlign w:val="center"/>
          </w:tcPr>
          <w:p w14:paraId="382BC3D2" w14:textId="27AEFD37" w:rsidR="00D6532E"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LIPEGFILGRASTIMUM</w:t>
            </w:r>
          </w:p>
        </w:tc>
      </w:tr>
      <w:tr w:rsidR="0049126A" w:rsidRPr="0049126A" w14:paraId="5D9672E5" w14:textId="77777777" w:rsidTr="00CC2A67">
        <w:trPr>
          <w:trHeight w:val="315"/>
        </w:trPr>
        <w:tc>
          <w:tcPr>
            <w:tcW w:w="610" w:type="dxa"/>
            <w:shd w:val="clear" w:color="auto" w:fill="auto"/>
            <w:noWrap/>
            <w:vAlign w:val="bottom"/>
          </w:tcPr>
          <w:p w14:paraId="770E6959" w14:textId="28D84B1B" w:rsidR="00394CF2" w:rsidRPr="0049126A" w:rsidRDefault="00394CF2" w:rsidP="00394CF2">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359</w:t>
            </w:r>
          </w:p>
        </w:tc>
        <w:tc>
          <w:tcPr>
            <w:tcW w:w="2090" w:type="dxa"/>
            <w:shd w:val="clear" w:color="000000" w:fill="FFFFFF"/>
            <w:noWrap/>
            <w:vAlign w:val="center"/>
          </w:tcPr>
          <w:p w14:paraId="7EEC6AD2" w14:textId="7FEA8F03" w:rsidR="00394CF2"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L04AA43-SHUa</w:t>
            </w:r>
          </w:p>
        </w:tc>
        <w:tc>
          <w:tcPr>
            <w:tcW w:w="6930" w:type="dxa"/>
            <w:shd w:val="clear" w:color="000000" w:fill="FFFFFF"/>
            <w:noWrap/>
            <w:vAlign w:val="center"/>
          </w:tcPr>
          <w:p w14:paraId="4ECB0548" w14:textId="2B261B3C" w:rsidR="00394CF2"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RAVULIZUMABUM</w:t>
            </w:r>
          </w:p>
        </w:tc>
      </w:tr>
      <w:tr w:rsidR="0049126A" w:rsidRPr="0049126A" w14:paraId="57EFB1F0" w14:textId="77777777" w:rsidTr="00CC2A67">
        <w:trPr>
          <w:trHeight w:val="315"/>
        </w:trPr>
        <w:tc>
          <w:tcPr>
            <w:tcW w:w="610" w:type="dxa"/>
            <w:shd w:val="clear" w:color="auto" w:fill="auto"/>
            <w:noWrap/>
            <w:vAlign w:val="bottom"/>
          </w:tcPr>
          <w:p w14:paraId="1AA8A53B" w14:textId="0CC61E0F" w:rsidR="00394CF2" w:rsidRPr="0049126A" w:rsidRDefault="00394CF2" w:rsidP="00394CF2">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360</w:t>
            </w:r>
          </w:p>
        </w:tc>
        <w:tc>
          <w:tcPr>
            <w:tcW w:w="2090" w:type="dxa"/>
            <w:shd w:val="clear" w:color="000000" w:fill="FFFFFF"/>
            <w:noWrap/>
            <w:vAlign w:val="center"/>
          </w:tcPr>
          <w:p w14:paraId="52D777B6" w14:textId="2DD2727A" w:rsidR="00394CF2" w:rsidRPr="0049126A" w:rsidRDefault="00896095"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L04AA43-</w:t>
            </w:r>
            <w:r w:rsidR="00394CF2" w:rsidRPr="0049126A">
              <w:rPr>
                <w:rFonts w:ascii="Times New Roman" w:eastAsia="Arial" w:hAnsi="Times New Roman" w:cs="Times New Roman"/>
                <w:bCs/>
                <w:sz w:val="24"/>
                <w:szCs w:val="24"/>
                <w:lang w:val="en-US"/>
              </w:rPr>
              <w:t>HPN</w:t>
            </w:r>
          </w:p>
        </w:tc>
        <w:tc>
          <w:tcPr>
            <w:tcW w:w="6930" w:type="dxa"/>
            <w:shd w:val="clear" w:color="000000" w:fill="FFFFFF"/>
            <w:noWrap/>
            <w:vAlign w:val="center"/>
          </w:tcPr>
          <w:p w14:paraId="2F18728F" w14:textId="575FD251" w:rsidR="00394CF2" w:rsidRPr="0049126A" w:rsidRDefault="00394CF2" w:rsidP="00D6532E">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RAVULIZUMABUM</w:t>
            </w:r>
          </w:p>
        </w:tc>
      </w:tr>
      <w:tr w:rsidR="0049126A" w:rsidRPr="0049126A" w14:paraId="7FEADA10" w14:textId="77777777" w:rsidTr="00CC2A67">
        <w:trPr>
          <w:trHeight w:val="315"/>
        </w:trPr>
        <w:tc>
          <w:tcPr>
            <w:tcW w:w="610" w:type="dxa"/>
            <w:shd w:val="clear" w:color="auto" w:fill="auto"/>
            <w:noWrap/>
            <w:vAlign w:val="bottom"/>
          </w:tcPr>
          <w:p w14:paraId="0002C765" w14:textId="277BD15C" w:rsidR="00790444" w:rsidRPr="0049126A" w:rsidRDefault="00790444" w:rsidP="00790444">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361</w:t>
            </w:r>
          </w:p>
        </w:tc>
        <w:tc>
          <w:tcPr>
            <w:tcW w:w="2090" w:type="dxa"/>
            <w:shd w:val="clear" w:color="000000" w:fill="FFFFFF"/>
            <w:noWrap/>
            <w:vAlign w:val="center"/>
          </w:tcPr>
          <w:p w14:paraId="05A80B84" w14:textId="57A323B4" w:rsidR="00790444" w:rsidRPr="0049126A" w:rsidRDefault="00790444" w:rsidP="00790444">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S01LA04</w:t>
            </w:r>
          </w:p>
        </w:tc>
        <w:tc>
          <w:tcPr>
            <w:tcW w:w="6930" w:type="dxa"/>
            <w:shd w:val="clear" w:color="000000" w:fill="FFFFFF"/>
            <w:noWrap/>
            <w:vAlign w:val="center"/>
          </w:tcPr>
          <w:p w14:paraId="1ACE85AC" w14:textId="289D82AA" w:rsidR="00790444" w:rsidRPr="0049126A" w:rsidRDefault="00790444" w:rsidP="00790444">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RANIBIZUMABUM</w:t>
            </w:r>
          </w:p>
        </w:tc>
      </w:tr>
      <w:tr w:rsidR="0049126A" w:rsidRPr="0049126A" w14:paraId="0DBEC511" w14:textId="77777777" w:rsidTr="00CC2A67">
        <w:trPr>
          <w:trHeight w:val="315"/>
        </w:trPr>
        <w:tc>
          <w:tcPr>
            <w:tcW w:w="610" w:type="dxa"/>
            <w:shd w:val="clear" w:color="auto" w:fill="auto"/>
            <w:noWrap/>
            <w:vAlign w:val="bottom"/>
          </w:tcPr>
          <w:p w14:paraId="30BDFD94" w14:textId="541B7AD5" w:rsidR="00790444" w:rsidRPr="0049126A" w:rsidRDefault="00790444" w:rsidP="00790444">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362</w:t>
            </w:r>
          </w:p>
        </w:tc>
        <w:tc>
          <w:tcPr>
            <w:tcW w:w="2090" w:type="dxa"/>
            <w:shd w:val="clear" w:color="000000" w:fill="FFFFFF"/>
            <w:noWrap/>
            <w:vAlign w:val="center"/>
          </w:tcPr>
          <w:p w14:paraId="03B5DB08" w14:textId="3DAA782B" w:rsidR="00790444" w:rsidRPr="0049126A" w:rsidRDefault="00790444" w:rsidP="00790444">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S01XA18</w:t>
            </w:r>
          </w:p>
        </w:tc>
        <w:tc>
          <w:tcPr>
            <w:tcW w:w="6930" w:type="dxa"/>
            <w:shd w:val="clear" w:color="000000" w:fill="FFFFFF"/>
            <w:noWrap/>
            <w:vAlign w:val="center"/>
          </w:tcPr>
          <w:p w14:paraId="72A06139" w14:textId="4FD0DD3E" w:rsidR="00790444" w:rsidRPr="0049126A" w:rsidRDefault="00790444" w:rsidP="00790444">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CICLOSPORINUM</w:t>
            </w:r>
          </w:p>
        </w:tc>
      </w:tr>
      <w:tr w:rsidR="0049126A" w:rsidRPr="0049126A" w14:paraId="46511032" w14:textId="77777777" w:rsidTr="00CC2A67">
        <w:trPr>
          <w:trHeight w:val="315"/>
        </w:trPr>
        <w:tc>
          <w:tcPr>
            <w:tcW w:w="610" w:type="dxa"/>
            <w:shd w:val="clear" w:color="auto" w:fill="auto"/>
            <w:noWrap/>
            <w:vAlign w:val="bottom"/>
          </w:tcPr>
          <w:p w14:paraId="4E87DBB2" w14:textId="3D441100" w:rsidR="00790444" w:rsidRPr="0049126A" w:rsidRDefault="00790444" w:rsidP="00790444">
            <w:pPr>
              <w:spacing w:after="0" w:line="240" w:lineRule="auto"/>
              <w:jc w:val="center"/>
              <w:rPr>
                <w:rFonts w:ascii="Times New Roman" w:eastAsia="Times New Roman" w:hAnsi="Times New Roman" w:cs="Times New Roman"/>
                <w:sz w:val="24"/>
                <w:szCs w:val="24"/>
                <w:lang w:val="en-US"/>
              </w:rPr>
            </w:pPr>
            <w:r w:rsidRPr="0049126A">
              <w:rPr>
                <w:rFonts w:ascii="Times New Roman" w:eastAsia="Times New Roman" w:hAnsi="Times New Roman" w:cs="Times New Roman"/>
                <w:sz w:val="24"/>
                <w:szCs w:val="24"/>
                <w:lang w:val="en-US"/>
              </w:rPr>
              <w:t>363</w:t>
            </w:r>
          </w:p>
        </w:tc>
        <w:tc>
          <w:tcPr>
            <w:tcW w:w="2090" w:type="dxa"/>
            <w:shd w:val="clear" w:color="000000" w:fill="FFFFFF"/>
            <w:noWrap/>
            <w:vAlign w:val="center"/>
          </w:tcPr>
          <w:p w14:paraId="4D042071" w14:textId="1AC46247" w:rsidR="00790444" w:rsidRPr="0049126A" w:rsidRDefault="00790444" w:rsidP="00790444">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V03AE05</w:t>
            </w:r>
          </w:p>
        </w:tc>
        <w:tc>
          <w:tcPr>
            <w:tcW w:w="6930" w:type="dxa"/>
            <w:shd w:val="clear" w:color="000000" w:fill="FFFFFF"/>
            <w:noWrap/>
            <w:vAlign w:val="center"/>
          </w:tcPr>
          <w:p w14:paraId="325D74A8" w14:textId="7AFAED98" w:rsidR="00790444" w:rsidRPr="0049126A" w:rsidRDefault="00790444" w:rsidP="00790444">
            <w:pPr>
              <w:spacing w:after="0" w:line="240" w:lineRule="auto"/>
              <w:rPr>
                <w:rFonts w:ascii="Times New Roman" w:eastAsia="Times New Roman" w:hAnsi="Times New Roman" w:cs="Times New Roman"/>
                <w:sz w:val="24"/>
                <w:szCs w:val="24"/>
                <w:lang w:val="en-US"/>
              </w:rPr>
            </w:pPr>
            <w:r w:rsidRPr="0049126A">
              <w:rPr>
                <w:rFonts w:ascii="Times New Roman" w:eastAsia="Arial" w:hAnsi="Times New Roman" w:cs="Times New Roman"/>
                <w:bCs/>
                <w:sz w:val="24"/>
                <w:szCs w:val="24"/>
                <w:lang w:val="en-US"/>
              </w:rPr>
              <w:t>OXIHIDROXID SUCROFERIC</w:t>
            </w:r>
          </w:p>
        </w:tc>
      </w:tr>
    </w:tbl>
    <w:p w14:paraId="4D49AE71" w14:textId="4DF984A7" w:rsidR="00D6532E" w:rsidRPr="0049126A" w:rsidRDefault="00394CF2"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ab/>
        <w:t xml:space="preserve"> </w:t>
      </w:r>
    </w:p>
    <w:p w14:paraId="2E26D8EC" w14:textId="647912F3"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235C9859"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324D542B"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5BA2B42F"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0BE7629E"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46BEFE52"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6A16175B" w14:textId="77777777" w:rsidR="00FF4B29" w:rsidRPr="0049126A" w:rsidRDefault="00FF4B29" w:rsidP="00380B65">
      <w:pPr>
        <w:tabs>
          <w:tab w:val="left" w:pos="426"/>
        </w:tabs>
        <w:jc w:val="both"/>
        <w:rPr>
          <w:rFonts w:ascii="Times New Roman" w:eastAsia="Arial" w:hAnsi="Times New Roman" w:cs="Times New Roman"/>
          <w:b/>
          <w:bCs/>
          <w:sz w:val="24"/>
          <w:szCs w:val="24"/>
          <w:lang w:val="en-US"/>
        </w:rPr>
      </w:pPr>
    </w:p>
    <w:p w14:paraId="6C8AEF46" w14:textId="77777777" w:rsidR="00FF4B29" w:rsidRPr="0049126A" w:rsidRDefault="00FF4B29" w:rsidP="00380B65">
      <w:pPr>
        <w:tabs>
          <w:tab w:val="left" w:pos="426"/>
        </w:tabs>
        <w:jc w:val="both"/>
        <w:rPr>
          <w:rFonts w:ascii="Times New Roman" w:eastAsia="Arial" w:hAnsi="Times New Roman" w:cs="Times New Roman"/>
          <w:b/>
          <w:bCs/>
          <w:sz w:val="24"/>
          <w:szCs w:val="24"/>
          <w:lang w:val="en-US"/>
        </w:rPr>
      </w:pPr>
    </w:p>
    <w:p w14:paraId="282F6F1A"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3EC5EDB8"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4A3D8B4D"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3615F28C"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0306BC14"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346A0F3A"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63D6F43E" w14:textId="77777777" w:rsidR="00394CF2" w:rsidRDefault="00394CF2" w:rsidP="00380B65">
      <w:pPr>
        <w:tabs>
          <w:tab w:val="left" w:pos="426"/>
        </w:tabs>
        <w:jc w:val="both"/>
        <w:rPr>
          <w:rFonts w:ascii="Times New Roman" w:eastAsia="Arial" w:hAnsi="Times New Roman" w:cs="Times New Roman"/>
          <w:b/>
          <w:bCs/>
          <w:sz w:val="24"/>
          <w:szCs w:val="24"/>
          <w:lang w:val="en-US"/>
        </w:rPr>
      </w:pPr>
    </w:p>
    <w:p w14:paraId="4F4D578D" w14:textId="77777777" w:rsidR="00C7162D" w:rsidRDefault="00C7162D" w:rsidP="00380B65">
      <w:pPr>
        <w:tabs>
          <w:tab w:val="left" w:pos="426"/>
        </w:tabs>
        <w:jc w:val="both"/>
        <w:rPr>
          <w:rFonts w:ascii="Times New Roman" w:eastAsia="Arial" w:hAnsi="Times New Roman" w:cs="Times New Roman"/>
          <w:b/>
          <w:bCs/>
          <w:sz w:val="24"/>
          <w:szCs w:val="24"/>
          <w:lang w:val="en-US"/>
        </w:rPr>
      </w:pPr>
    </w:p>
    <w:p w14:paraId="6524A5DF" w14:textId="77777777" w:rsidR="00C7162D" w:rsidRDefault="00C7162D" w:rsidP="00380B65">
      <w:pPr>
        <w:tabs>
          <w:tab w:val="left" w:pos="426"/>
        </w:tabs>
        <w:jc w:val="both"/>
        <w:rPr>
          <w:rFonts w:ascii="Times New Roman" w:eastAsia="Arial" w:hAnsi="Times New Roman" w:cs="Times New Roman"/>
          <w:b/>
          <w:bCs/>
          <w:sz w:val="24"/>
          <w:szCs w:val="24"/>
          <w:lang w:val="en-US"/>
        </w:rPr>
      </w:pPr>
    </w:p>
    <w:p w14:paraId="49FC3A32" w14:textId="77777777" w:rsidR="00C7162D" w:rsidRDefault="00C7162D" w:rsidP="00380B65">
      <w:pPr>
        <w:tabs>
          <w:tab w:val="left" w:pos="426"/>
        </w:tabs>
        <w:jc w:val="both"/>
        <w:rPr>
          <w:rFonts w:ascii="Times New Roman" w:eastAsia="Arial" w:hAnsi="Times New Roman" w:cs="Times New Roman"/>
          <w:b/>
          <w:bCs/>
          <w:sz w:val="24"/>
          <w:szCs w:val="24"/>
          <w:lang w:val="en-US"/>
        </w:rPr>
      </w:pPr>
    </w:p>
    <w:p w14:paraId="2862E2E9" w14:textId="66550956" w:rsidR="00C7162D" w:rsidRPr="00C26280" w:rsidRDefault="00C7162D" w:rsidP="00C26280">
      <w:pPr>
        <w:pStyle w:val="ListParagraph"/>
        <w:numPr>
          <w:ilvl w:val="0"/>
          <w:numId w:val="9"/>
        </w:numPr>
        <w:tabs>
          <w:tab w:val="left" w:pos="426"/>
        </w:tabs>
        <w:jc w:val="both"/>
        <w:rPr>
          <w:rFonts w:eastAsia="Arial"/>
          <w:b/>
          <w:bCs/>
          <w:color w:val="FF0000"/>
          <w:lang w:val="en-US"/>
        </w:rPr>
      </w:pPr>
      <w:r w:rsidRPr="00C26280">
        <w:rPr>
          <w:rFonts w:eastAsia="Arial"/>
          <w:b/>
          <w:bCs/>
          <w:color w:val="FF0000"/>
          <w:lang w:val="en-US"/>
        </w:rPr>
        <w:lastRenderedPageBreak/>
        <w:t>La anexa nr. 1, protocolul terapeutic corespunzător poziţiei nr. 197 cod (L02BX03): DCI ABIRATERONUM se modifică și se înlocuiește cu următorul protocol:</w:t>
      </w:r>
    </w:p>
    <w:p w14:paraId="2CD3C401" w14:textId="77777777" w:rsidR="00C7162D" w:rsidRDefault="00C7162D" w:rsidP="00C7162D">
      <w:pPr>
        <w:tabs>
          <w:tab w:val="left" w:pos="851"/>
        </w:tabs>
        <w:spacing w:after="0" w:line="240" w:lineRule="auto"/>
        <w:jc w:val="both"/>
        <w:rPr>
          <w:rFonts w:ascii="Times New Roman" w:eastAsia="Arial" w:hAnsi="Times New Roman" w:cs="Times New Roman"/>
          <w:b/>
          <w:bCs/>
          <w:sz w:val="24"/>
          <w:szCs w:val="24"/>
          <w:lang w:val="en-US"/>
        </w:rPr>
      </w:pPr>
    </w:p>
    <w:p w14:paraId="428C6C32" w14:textId="77777777" w:rsidR="00C7162D" w:rsidRPr="00C7162D" w:rsidRDefault="00C7162D" w:rsidP="00C7162D">
      <w:pPr>
        <w:tabs>
          <w:tab w:val="left" w:pos="851"/>
        </w:tabs>
        <w:spacing w:after="0" w:line="240" w:lineRule="auto"/>
        <w:jc w:val="both"/>
        <w:rPr>
          <w:rFonts w:ascii="Times New Roman" w:eastAsia="Arial" w:hAnsi="Times New Roman" w:cs="Times New Roman"/>
          <w:b/>
          <w:bCs/>
          <w:sz w:val="24"/>
          <w:szCs w:val="24"/>
          <w:lang w:val="en-GB"/>
        </w:rPr>
      </w:pPr>
    </w:p>
    <w:p w14:paraId="53131BED" w14:textId="77777777" w:rsidR="00C7162D" w:rsidRPr="00C7162D" w:rsidRDefault="00C7162D" w:rsidP="00C7162D">
      <w:pPr>
        <w:tabs>
          <w:tab w:val="left" w:pos="851"/>
        </w:tabs>
        <w:spacing w:after="0" w:line="240" w:lineRule="auto"/>
        <w:jc w:val="center"/>
        <w:rPr>
          <w:rFonts w:ascii="Times New Roman" w:eastAsia="Arial" w:hAnsi="Times New Roman" w:cs="Times New Roman"/>
          <w:b/>
          <w:bCs/>
          <w:sz w:val="24"/>
          <w:szCs w:val="24"/>
          <w:lang w:val="en-US"/>
        </w:rPr>
      </w:pPr>
      <w:r w:rsidRPr="00C7162D">
        <w:rPr>
          <w:rFonts w:ascii="Times New Roman" w:eastAsia="Arial" w:hAnsi="Times New Roman" w:cs="Times New Roman"/>
          <w:b/>
          <w:bCs/>
          <w:sz w:val="24"/>
          <w:szCs w:val="24"/>
          <w:lang w:val="en-GB"/>
        </w:rPr>
        <w:t>”Protocol terapeutic corespunzător poziţiei nr. 197 cod (L02BX03): DCI ABIRATERONUM</w:t>
      </w:r>
    </w:p>
    <w:p w14:paraId="1F232A77" w14:textId="77777777" w:rsidR="00C7162D" w:rsidRPr="00C7162D" w:rsidRDefault="00C7162D" w:rsidP="00C7162D">
      <w:pPr>
        <w:pBdr>
          <w:top w:val="nil"/>
          <w:left w:val="nil"/>
          <w:bottom w:val="nil"/>
          <w:right w:val="nil"/>
          <w:between w:val="nil"/>
          <w:bar w:val="nil"/>
        </w:pBdr>
        <w:tabs>
          <w:tab w:val="left" w:pos="426"/>
        </w:tabs>
        <w:spacing w:after="0" w:line="240" w:lineRule="auto"/>
        <w:ind w:left="720"/>
        <w:jc w:val="both"/>
        <w:rPr>
          <w:rFonts w:ascii="Times New Roman" w:eastAsia="Arial" w:hAnsi="Times New Roman" w:cs="Times New Roman"/>
          <w:b/>
          <w:bCs/>
          <w:sz w:val="24"/>
          <w:szCs w:val="24"/>
          <w:u w:color="000000"/>
          <w:bdr w:val="nil"/>
          <w:lang w:val="en-US" w:eastAsia="ro-RO"/>
        </w:rPr>
      </w:pPr>
    </w:p>
    <w:p w14:paraId="2320E921" w14:textId="77777777" w:rsidR="00C7162D" w:rsidRPr="00C7162D" w:rsidRDefault="00C7162D" w:rsidP="00054402">
      <w:pPr>
        <w:widowControl w:val="0"/>
        <w:numPr>
          <w:ilvl w:val="0"/>
          <w:numId w:val="517"/>
        </w:numPr>
        <w:tabs>
          <w:tab w:val="left" w:pos="567"/>
        </w:tabs>
        <w:autoSpaceDE w:val="0"/>
        <w:autoSpaceDN w:val="0"/>
        <w:spacing w:before="90" w:after="0" w:line="275" w:lineRule="exact"/>
        <w:ind w:left="284" w:hanging="284"/>
        <w:jc w:val="both"/>
        <w:rPr>
          <w:rFonts w:ascii="Times New Roman" w:eastAsia="Times New Roman" w:hAnsi="Times New Roman" w:cs="Times New Roman"/>
          <w:b/>
          <w:sz w:val="24"/>
          <w:szCs w:val="24"/>
          <w:u w:color="000000"/>
          <w:bdr w:val="nil"/>
          <w:lang w:eastAsia="ro-RO"/>
        </w:rPr>
      </w:pPr>
      <w:r w:rsidRPr="00C7162D">
        <w:rPr>
          <w:rFonts w:ascii="Times New Roman" w:eastAsia="Times New Roman" w:hAnsi="Times New Roman" w:cs="Times New Roman"/>
          <w:b/>
          <w:sz w:val="24"/>
          <w:szCs w:val="24"/>
          <w:u w:color="000000"/>
          <w:bdr w:val="nil"/>
          <w:lang w:eastAsia="ro-RO"/>
        </w:rPr>
        <w:t>Indicaţia</w:t>
      </w:r>
      <w:r w:rsidRPr="00C7162D">
        <w:rPr>
          <w:rFonts w:ascii="Times New Roman" w:eastAsia="Times New Roman" w:hAnsi="Times New Roman" w:cs="Times New Roman"/>
          <w:b/>
          <w:spacing w:val="-4"/>
          <w:sz w:val="24"/>
          <w:szCs w:val="24"/>
          <w:u w:color="000000"/>
          <w:bdr w:val="nil"/>
          <w:lang w:eastAsia="ro-RO"/>
        </w:rPr>
        <w:t xml:space="preserve"> </w:t>
      </w:r>
      <w:r w:rsidRPr="00C7162D">
        <w:rPr>
          <w:rFonts w:ascii="Times New Roman" w:eastAsia="Times New Roman" w:hAnsi="Times New Roman" w:cs="Times New Roman"/>
          <w:b/>
          <w:sz w:val="24"/>
          <w:szCs w:val="24"/>
          <w:u w:color="000000"/>
          <w:bdr w:val="nil"/>
          <w:lang w:eastAsia="ro-RO"/>
        </w:rPr>
        <w:t>terapeutică</w:t>
      </w:r>
    </w:p>
    <w:p w14:paraId="409C5EEB" w14:textId="77777777" w:rsidR="00C7162D" w:rsidRPr="00C7162D" w:rsidRDefault="00C7162D" w:rsidP="00054402">
      <w:pPr>
        <w:widowControl w:val="0"/>
        <w:numPr>
          <w:ilvl w:val="1"/>
          <w:numId w:val="517"/>
        </w:numPr>
        <w:tabs>
          <w:tab w:val="left" w:pos="993"/>
        </w:tabs>
        <w:autoSpaceDE w:val="0"/>
        <w:autoSpaceDN w:val="0"/>
        <w:spacing w:after="0" w:line="240" w:lineRule="auto"/>
        <w:ind w:left="567" w:right="117" w:hanging="283"/>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este indicat în asociere cu prednison sau prednisolon în tratamentul neoplasmului de prostată metastazat, sensibil la terapie hormonală (mHSPC, metastatic hormone sensitive prostate cancer), cu risc crescut, diagnosticat recent la bărbații adulți, în asociere cu o terapie de deprivare androgenică (ADT)</w:t>
      </w:r>
    </w:p>
    <w:p w14:paraId="49F24599" w14:textId="77777777" w:rsidR="00C7162D" w:rsidRPr="00C7162D" w:rsidRDefault="00C7162D" w:rsidP="00054402">
      <w:pPr>
        <w:widowControl w:val="0"/>
        <w:numPr>
          <w:ilvl w:val="1"/>
          <w:numId w:val="517"/>
        </w:numPr>
        <w:tabs>
          <w:tab w:val="left" w:pos="993"/>
        </w:tabs>
        <w:autoSpaceDE w:val="0"/>
        <w:autoSpaceDN w:val="0"/>
        <w:spacing w:after="0" w:line="240" w:lineRule="auto"/>
        <w:ind w:left="567" w:right="117" w:hanging="283"/>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tratamentul</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adenocarcinomului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prostată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stadiu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metastatic</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rezistent</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castrare,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la</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bărbaţi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adulţi cu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simptomatologie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absentă sau</w:t>
      </w:r>
      <w:r w:rsidRPr="00C7162D">
        <w:rPr>
          <w:rFonts w:ascii="Times New Roman" w:eastAsia="Times New Roman" w:hAnsi="Times New Roman" w:cs="Times New Roman"/>
          <w:spacing w:val="60"/>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uşoară, după eşecul hormonoterapiei de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prima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linie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(blocada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androgenică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completă,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analog</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GnRH</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antiandrogeni),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care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chimioterapia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nu este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încă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indicată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din punct de vedere clinic.</w:t>
      </w:r>
    </w:p>
    <w:p w14:paraId="6E64CB75" w14:textId="77777777" w:rsidR="00C7162D" w:rsidRDefault="00C7162D" w:rsidP="00054402">
      <w:pPr>
        <w:widowControl w:val="0"/>
        <w:numPr>
          <w:ilvl w:val="1"/>
          <w:numId w:val="517"/>
        </w:numPr>
        <w:tabs>
          <w:tab w:val="left" w:pos="993"/>
        </w:tabs>
        <w:autoSpaceDE w:val="0"/>
        <w:autoSpaceDN w:val="0"/>
        <w:spacing w:after="0" w:line="240" w:lineRule="auto"/>
        <w:ind w:left="567" w:right="120" w:hanging="283"/>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tratamentul</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adenocarcinomului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prostată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stadiu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metastatic</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rezistent</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castrare,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la</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bărbaţi adulţi a căror boală a evoluat în timpul sau după administrarea unei terapii cu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docetaxel.</w:t>
      </w:r>
    </w:p>
    <w:p w14:paraId="201F81B9" w14:textId="77777777" w:rsidR="00C7162D" w:rsidRPr="00C7162D" w:rsidRDefault="00C7162D" w:rsidP="00C7162D">
      <w:pPr>
        <w:widowControl w:val="0"/>
        <w:tabs>
          <w:tab w:val="left" w:pos="683"/>
        </w:tabs>
        <w:autoSpaceDE w:val="0"/>
        <w:autoSpaceDN w:val="0"/>
        <w:spacing w:after="0" w:line="240" w:lineRule="auto"/>
        <w:ind w:left="682" w:right="120"/>
        <w:jc w:val="both"/>
        <w:rPr>
          <w:rFonts w:ascii="Times New Roman" w:eastAsia="Times New Roman" w:hAnsi="Times New Roman" w:cs="Times New Roman"/>
          <w:sz w:val="24"/>
          <w:szCs w:val="24"/>
          <w:u w:color="000000"/>
          <w:bdr w:val="nil"/>
          <w:lang w:eastAsia="ro-RO"/>
        </w:rPr>
      </w:pPr>
    </w:p>
    <w:p w14:paraId="2BDE2F48" w14:textId="77777777" w:rsidR="00C7162D" w:rsidRPr="00C7162D" w:rsidRDefault="00C7162D" w:rsidP="00054402">
      <w:pPr>
        <w:widowControl w:val="0"/>
        <w:numPr>
          <w:ilvl w:val="0"/>
          <w:numId w:val="517"/>
        </w:numPr>
        <w:tabs>
          <w:tab w:val="left" w:pos="426"/>
        </w:tabs>
        <w:autoSpaceDE w:val="0"/>
        <w:autoSpaceDN w:val="0"/>
        <w:spacing w:after="0" w:line="275" w:lineRule="exact"/>
        <w:ind w:left="423" w:hanging="423"/>
        <w:jc w:val="both"/>
        <w:outlineLvl w:val="0"/>
        <w:rPr>
          <w:rFonts w:ascii="Times New Roman" w:eastAsia="Arial" w:hAnsi="Times New Roman" w:cs="Times New Roman"/>
          <w:b/>
          <w:bCs/>
          <w:sz w:val="24"/>
          <w:szCs w:val="24"/>
        </w:rPr>
      </w:pPr>
      <w:r w:rsidRPr="00C7162D">
        <w:rPr>
          <w:rFonts w:ascii="Times New Roman" w:eastAsia="Arial" w:hAnsi="Times New Roman" w:cs="Times New Roman"/>
          <w:b/>
          <w:bCs/>
          <w:sz w:val="24"/>
          <w:szCs w:val="24"/>
        </w:rPr>
        <w:t>Criterii</w:t>
      </w:r>
      <w:r w:rsidRPr="00C7162D">
        <w:rPr>
          <w:rFonts w:ascii="Times New Roman" w:eastAsia="Arial" w:hAnsi="Times New Roman" w:cs="Times New Roman"/>
          <w:b/>
          <w:bCs/>
          <w:spacing w:val="-3"/>
          <w:sz w:val="24"/>
          <w:szCs w:val="24"/>
        </w:rPr>
        <w:t xml:space="preserve"> </w:t>
      </w:r>
      <w:r w:rsidRPr="00C7162D">
        <w:rPr>
          <w:rFonts w:ascii="Times New Roman" w:eastAsia="Arial" w:hAnsi="Times New Roman" w:cs="Times New Roman"/>
          <w:b/>
          <w:bCs/>
          <w:sz w:val="24"/>
          <w:szCs w:val="24"/>
        </w:rPr>
        <w:t>de</w:t>
      </w:r>
      <w:r w:rsidRPr="00C7162D">
        <w:rPr>
          <w:rFonts w:ascii="Times New Roman" w:eastAsia="Arial" w:hAnsi="Times New Roman" w:cs="Times New Roman"/>
          <w:b/>
          <w:bCs/>
          <w:spacing w:val="-3"/>
          <w:sz w:val="24"/>
          <w:szCs w:val="24"/>
        </w:rPr>
        <w:t xml:space="preserve"> </w:t>
      </w:r>
      <w:r w:rsidRPr="00C7162D">
        <w:rPr>
          <w:rFonts w:ascii="Times New Roman" w:eastAsia="Arial" w:hAnsi="Times New Roman" w:cs="Times New Roman"/>
          <w:b/>
          <w:bCs/>
          <w:sz w:val="24"/>
          <w:szCs w:val="24"/>
        </w:rPr>
        <w:t>includere</w:t>
      </w:r>
      <w:r w:rsidRPr="00C7162D">
        <w:rPr>
          <w:rFonts w:ascii="Times New Roman" w:eastAsia="Arial" w:hAnsi="Times New Roman" w:cs="Times New Roman"/>
          <w:b/>
          <w:bCs/>
          <w:spacing w:val="-1"/>
          <w:sz w:val="24"/>
          <w:szCs w:val="24"/>
        </w:rPr>
        <w:t xml:space="preserve"> </w:t>
      </w:r>
      <w:r w:rsidRPr="00C7162D">
        <w:rPr>
          <w:rFonts w:ascii="Times New Roman" w:eastAsia="Arial" w:hAnsi="Times New Roman" w:cs="Times New Roman"/>
          <w:b/>
          <w:bCs/>
          <w:sz w:val="24"/>
          <w:szCs w:val="24"/>
        </w:rPr>
        <w:t>în</w:t>
      </w:r>
      <w:r w:rsidRPr="00C7162D">
        <w:rPr>
          <w:rFonts w:ascii="Times New Roman" w:eastAsia="Arial" w:hAnsi="Times New Roman" w:cs="Times New Roman"/>
          <w:b/>
          <w:bCs/>
          <w:spacing w:val="-1"/>
          <w:sz w:val="24"/>
          <w:szCs w:val="24"/>
        </w:rPr>
        <w:t xml:space="preserve"> </w:t>
      </w:r>
      <w:r w:rsidRPr="00C7162D">
        <w:rPr>
          <w:rFonts w:ascii="Times New Roman" w:eastAsia="Arial" w:hAnsi="Times New Roman" w:cs="Times New Roman"/>
          <w:b/>
          <w:bCs/>
          <w:sz w:val="24"/>
          <w:szCs w:val="24"/>
        </w:rPr>
        <w:t>tratament</w:t>
      </w:r>
    </w:p>
    <w:p w14:paraId="05C8A6AA" w14:textId="77777777" w:rsidR="00C7162D" w:rsidRPr="00C7162D" w:rsidRDefault="00C7162D" w:rsidP="00054402">
      <w:pPr>
        <w:widowControl w:val="0"/>
        <w:numPr>
          <w:ilvl w:val="0"/>
          <w:numId w:val="516"/>
        </w:numPr>
        <w:tabs>
          <w:tab w:val="left" w:pos="837"/>
        </w:tabs>
        <w:autoSpaceDE w:val="0"/>
        <w:autoSpaceDN w:val="0"/>
        <w:spacing w:after="0" w:line="295" w:lineRule="exact"/>
        <w:ind w:hanging="361"/>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adenocarcinom</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al</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prostatei,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confirmat histopatologic;</w:t>
      </w:r>
    </w:p>
    <w:p w14:paraId="7DAE8280" w14:textId="77777777" w:rsidR="00C7162D" w:rsidRPr="00C7162D" w:rsidRDefault="00C7162D" w:rsidP="00054402">
      <w:pPr>
        <w:widowControl w:val="0"/>
        <w:numPr>
          <w:ilvl w:val="0"/>
          <w:numId w:val="516"/>
        </w:numPr>
        <w:tabs>
          <w:tab w:val="left" w:pos="837"/>
        </w:tabs>
        <w:autoSpaceDE w:val="0"/>
        <w:autoSpaceDN w:val="0"/>
        <w:spacing w:after="0" w:line="295" w:lineRule="exact"/>
        <w:ind w:hanging="361"/>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boala in stadiu metastatic – confirmat imagistic</w:t>
      </w:r>
    </w:p>
    <w:p w14:paraId="2AD151ED" w14:textId="77777777" w:rsidR="00C7162D" w:rsidRPr="00C7162D" w:rsidRDefault="00C7162D" w:rsidP="00054402">
      <w:pPr>
        <w:widowControl w:val="0"/>
        <w:numPr>
          <w:ilvl w:val="0"/>
          <w:numId w:val="516"/>
        </w:numPr>
        <w:autoSpaceDE w:val="0"/>
        <w:autoSpaceDN w:val="0"/>
        <w:spacing w:before="2" w:after="0" w:line="240" w:lineRule="auto"/>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Pentru indicația nr. 1 de mai sus - pacienți recent diagnosticați, cu risc ridicat, definit ca prezența a cel puțin 2 dintre următorii 3 factori de risc:</w:t>
      </w:r>
    </w:p>
    <w:p w14:paraId="3B40BA74" w14:textId="77777777" w:rsidR="00C7162D" w:rsidRPr="00C7162D" w:rsidRDefault="00C7162D" w:rsidP="00054402">
      <w:pPr>
        <w:widowControl w:val="0"/>
        <w:numPr>
          <w:ilvl w:val="1"/>
          <w:numId w:val="516"/>
        </w:numPr>
        <w:autoSpaceDE w:val="0"/>
        <w:autoSpaceDN w:val="0"/>
        <w:spacing w:before="2" w:after="0" w:line="240" w:lineRule="auto"/>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scor Gleason ≥ 8</w:t>
      </w:r>
    </w:p>
    <w:p w14:paraId="3D3DC750" w14:textId="77777777" w:rsidR="00C7162D" w:rsidRPr="00C7162D" w:rsidRDefault="00C7162D" w:rsidP="00054402">
      <w:pPr>
        <w:widowControl w:val="0"/>
        <w:numPr>
          <w:ilvl w:val="1"/>
          <w:numId w:val="516"/>
        </w:numPr>
        <w:autoSpaceDE w:val="0"/>
        <w:autoSpaceDN w:val="0"/>
        <w:spacing w:before="2" w:after="0" w:line="240" w:lineRule="auto"/>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prezența a 3 sau mai multe leziuni pe  scintigrafia osoasă</w:t>
      </w:r>
    </w:p>
    <w:p w14:paraId="0614135F" w14:textId="77777777" w:rsidR="00C7162D" w:rsidRPr="00C7162D" w:rsidRDefault="00C7162D" w:rsidP="00054402">
      <w:pPr>
        <w:widowControl w:val="0"/>
        <w:numPr>
          <w:ilvl w:val="1"/>
          <w:numId w:val="516"/>
        </w:numPr>
        <w:autoSpaceDE w:val="0"/>
        <w:autoSpaceDN w:val="0"/>
        <w:spacing w:before="2" w:after="0" w:line="240" w:lineRule="auto"/>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prezența unei metastaze viscerale cuantificabile  excluzând modificări la nivelul ganglionilor limfatici</w:t>
      </w:r>
    </w:p>
    <w:p w14:paraId="4B37C5AE" w14:textId="77777777" w:rsidR="00C7162D" w:rsidRPr="00C7162D" w:rsidRDefault="00C7162D" w:rsidP="00054402">
      <w:pPr>
        <w:widowControl w:val="0"/>
        <w:numPr>
          <w:ilvl w:val="0"/>
          <w:numId w:val="516"/>
        </w:numPr>
        <w:tabs>
          <w:tab w:val="left" w:pos="837"/>
        </w:tabs>
        <w:autoSpaceDE w:val="0"/>
        <w:autoSpaceDN w:val="0"/>
        <w:spacing w:before="2" w:after="0" w:line="249" w:lineRule="auto"/>
        <w:ind w:right="121"/>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boală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progresivă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timpul</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sau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după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finalizarea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tratamentului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hormonal</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(indicaţia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prechimioterapie, nr 2 de mai sus), respectiv în timpul sau după finalizarea tratamentului cu docetaxel</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(indicaţia</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postchimioterapie), definită astfel:</w:t>
      </w:r>
    </w:p>
    <w:p w14:paraId="35A77775" w14:textId="77777777" w:rsidR="00C7162D" w:rsidRPr="00C7162D" w:rsidRDefault="00C7162D" w:rsidP="00054402">
      <w:pPr>
        <w:widowControl w:val="0"/>
        <w:numPr>
          <w:ilvl w:val="0"/>
          <w:numId w:val="515"/>
        </w:numPr>
        <w:tabs>
          <w:tab w:val="left" w:pos="1394"/>
        </w:tabs>
        <w:autoSpaceDE w:val="0"/>
        <w:autoSpaceDN w:val="0"/>
        <w:spacing w:before="12" w:after="0" w:line="240" w:lineRule="auto"/>
        <w:ind w:right="118"/>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criterii</w:t>
      </w:r>
      <w:r w:rsidRPr="00C7162D">
        <w:rPr>
          <w:rFonts w:ascii="Times New Roman" w:eastAsia="Times New Roman" w:hAnsi="Times New Roman" w:cs="Times New Roman"/>
          <w:spacing w:val="5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PCWG</w:t>
      </w:r>
      <w:r w:rsidRPr="00C7162D">
        <w:rPr>
          <w:rFonts w:ascii="Times New Roman" w:eastAsia="Times New Roman" w:hAnsi="Times New Roman" w:cs="Times New Roman"/>
          <w:spacing w:val="5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(Prostate</w:t>
      </w:r>
      <w:r w:rsidRPr="00C7162D">
        <w:rPr>
          <w:rFonts w:ascii="Times New Roman" w:eastAsia="Times New Roman" w:hAnsi="Times New Roman" w:cs="Times New Roman"/>
          <w:spacing w:val="58"/>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Cancer</w:t>
      </w:r>
      <w:r w:rsidRPr="00C7162D">
        <w:rPr>
          <w:rFonts w:ascii="Times New Roman" w:eastAsia="Times New Roman" w:hAnsi="Times New Roman" w:cs="Times New Roman"/>
          <w:spacing w:val="5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Working</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Group):</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două</w:t>
      </w:r>
      <w:r w:rsidRPr="00C7162D">
        <w:rPr>
          <w:rFonts w:ascii="Times New Roman" w:eastAsia="Times New Roman" w:hAnsi="Times New Roman" w:cs="Times New Roman"/>
          <w:spacing w:val="58"/>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creşteri</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consecutive</w:t>
      </w:r>
      <w:r w:rsidRPr="00C7162D">
        <w:rPr>
          <w:rFonts w:ascii="Times New Roman" w:eastAsia="Times New Roman" w:hAnsi="Times New Roman" w:cs="Times New Roman"/>
          <w:spacing w:val="55"/>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ale</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valorii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PSA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şi/sau</w:t>
      </w:r>
    </w:p>
    <w:p w14:paraId="749E95C6" w14:textId="77777777" w:rsidR="00C7162D" w:rsidRPr="00C7162D" w:rsidRDefault="00C7162D" w:rsidP="00054402">
      <w:pPr>
        <w:widowControl w:val="0"/>
        <w:numPr>
          <w:ilvl w:val="0"/>
          <w:numId w:val="515"/>
        </w:numPr>
        <w:tabs>
          <w:tab w:val="left" w:pos="1394"/>
        </w:tabs>
        <w:autoSpaceDE w:val="0"/>
        <w:autoSpaceDN w:val="0"/>
        <w:spacing w:before="1" w:after="0" w:line="240" w:lineRule="auto"/>
        <w:ind w:right="122"/>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boală</w:t>
      </w:r>
      <w:r w:rsidRPr="00C7162D">
        <w:rPr>
          <w:rFonts w:ascii="Times New Roman" w:eastAsia="Times New Roman" w:hAnsi="Times New Roman" w:cs="Times New Roman"/>
          <w:spacing w:val="3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progresivă</w:t>
      </w:r>
      <w:r w:rsidRPr="00C7162D">
        <w:rPr>
          <w:rFonts w:ascii="Times New Roman" w:eastAsia="Times New Roman" w:hAnsi="Times New Roman" w:cs="Times New Roman"/>
          <w:spacing w:val="3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evidenţiată</w:t>
      </w:r>
      <w:r w:rsidRPr="00C7162D">
        <w:rPr>
          <w:rFonts w:ascii="Times New Roman" w:eastAsia="Times New Roman" w:hAnsi="Times New Roman" w:cs="Times New Roman"/>
          <w:spacing w:val="3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imagistic</w:t>
      </w:r>
      <w:r w:rsidRPr="00C7162D">
        <w:rPr>
          <w:rFonts w:ascii="Times New Roman" w:eastAsia="Times New Roman" w:hAnsi="Times New Roman" w:cs="Times New Roman"/>
          <w:spacing w:val="3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la</w:t>
      </w:r>
      <w:r w:rsidRPr="00C7162D">
        <w:rPr>
          <w:rFonts w:ascii="Times New Roman" w:eastAsia="Times New Roman" w:hAnsi="Times New Roman" w:cs="Times New Roman"/>
          <w:spacing w:val="3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nivelul</w:t>
      </w:r>
      <w:r w:rsidRPr="00C7162D">
        <w:rPr>
          <w:rFonts w:ascii="Times New Roman" w:eastAsia="Times New Roman" w:hAnsi="Times New Roman" w:cs="Times New Roman"/>
          <w:spacing w:val="3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ţesuturilor</w:t>
      </w:r>
      <w:r w:rsidRPr="00C7162D">
        <w:rPr>
          <w:rFonts w:ascii="Times New Roman" w:eastAsia="Times New Roman" w:hAnsi="Times New Roman" w:cs="Times New Roman"/>
          <w:spacing w:val="3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moi,</w:t>
      </w:r>
      <w:r w:rsidRPr="00C7162D">
        <w:rPr>
          <w:rFonts w:ascii="Times New Roman" w:eastAsia="Times New Roman" w:hAnsi="Times New Roman" w:cs="Times New Roman"/>
          <w:spacing w:val="3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oase,</w:t>
      </w:r>
      <w:r w:rsidRPr="00C7162D">
        <w:rPr>
          <w:rFonts w:ascii="Times New Roman" w:eastAsia="Times New Roman" w:hAnsi="Times New Roman" w:cs="Times New Roman"/>
          <w:spacing w:val="3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viscere,</w:t>
      </w:r>
      <w:r w:rsidRPr="00C7162D">
        <w:rPr>
          <w:rFonts w:ascii="Times New Roman" w:eastAsia="Times New Roman" w:hAnsi="Times New Roman" w:cs="Times New Roman"/>
          <w:spacing w:val="3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cu</w:t>
      </w:r>
      <w:r w:rsidRPr="00C7162D">
        <w:rPr>
          <w:rFonts w:ascii="Times New Roman" w:eastAsia="Times New Roman" w:hAnsi="Times New Roman" w:cs="Times New Roman"/>
          <w:spacing w:val="-58"/>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sau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fără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creştere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PSA;</w:t>
      </w:r>
    </w:p>
    <w:p w14:paraId="02E4B7B5" w14:textId="77777777" w:rsidR="00C7162D" w:rsidRPr="00C7162D" w:rsidRDefault="00C7162D" w:rsidP="00054402">
      <w:pPr>
        <w:widowControl w:val="0"/>
        <w:numPr>
          <w:ilvl w:val="0"/>
          <w:numId w:val="516"/>
        </w:numPr>
        <w:tabs>
          <w:tab w:val="left" w:pos="837"/>
        </w:tabs>
        <w:autoSpaceDE w:val="0"/>
        <w:autoSpaceDN w:val="0"/>
        <w:spacing w:after="0" w:line="240" w:lineRule="auto"/>
        <w:ind w:right="116"/>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deprivare androgenică - testosteron seric de 50 ng per dl sau mai puţin (&lt;/= 2.0 nmol per</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litru);</w:t>
      </w:r>
    </w:p>
    <w:p w14:paraId="1B684817" w14:textId="77777777" w:rsidR="00C7162D" w:rsidRPr="00C7162D" w:rsidRDefault="00C7162D" w:rsidP="00054402">
      <w:pPr>
        <w:widowControl w:val="0"/>
        <w:numPr>
          <w:ilvl w:val="0"/>
          <w:numId w:val="516"/>
        </w:numPr>
        <w:tabs>
          <w:tab w:val="left" w:pos="837"/>
        </w:tabs>
        <w:autoSpaceDE w:val="0"/>
        <w:autoSpaceDN w:val="0"/>
        <w:spacing w:before="22" w:after="0" w:line="240" w:lineRule="auto"/>
        <w:ind w:hanging="361"/>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funcţii:</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medulară</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hematogenă,</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hepatică</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şi</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renală</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adecvate</w:t>
      </w:r>
    </w:p>
    <w:p w14:paraId="0AA249B7" w14:textId="77777777" w:rsidR="00C7162D" w:rsidRPr="00C7162D" w:rsidRDefault="00C7162D" w:rsidP="00054402">
      <w:pPr>
        <w:widowControl w:val="0"/>
        <w:numPr>
          <w:ilvl w:val="0"/>
          <w:numId w:val="514"/>
        </w:numPr>
        <w:tabs>
          <w:tab w:val="left" w:pos="1394"/>
        </w:tabs>
        <w:autoSpaceDE w:val="0"/>
        <w:autoSpaceDN w:val="0"/>
        <w:spacing w:before="2" w:after="0" w:line="240" w:lineRule="auto"/>
        <w:ind w:right="120"/>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la pacienţii la care nu a fost încă administrată chimioterapia, statusul de performanţă</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ECOG</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trebuie să fie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egal</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cu 0 sau 1</w:t>
      </w:r>
    </w:p>
    <w:p w14:paraId="0EF2B42C" w14:textId="77777777" w:rsidR="00C7162D" w:rsidRDefault="00C7162D" w:rsidP="00054402">
      <w:pPr>
        <w:widowControl w:val="0"/>
        <w:numPr>
          <w:ilvl w:val="0"/>
          <w:numId w:val="514"/>
        </w:numPr>
        <w:tabs>
          <w:tab w:val="left" w:pos="1394"/>
        </w:tabs>
        <w:autoSpaceDE w:val="0"/>
        <w:autoSpaceDN w:val="0"/>
        <w:spacing w:after="0" w:line="240" w:lineRule="auto"/>
        <w:ind w:right="112"/>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pacienţi asimptomatici sau paucisimptomatici (durerea asociată cu carcinomul de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prostată care corespunde unui scor &lt; 4 pe scala durerii BPI - Brief Pain Inventory,</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adică</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durere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mai intens resimţită în ultimele 24 de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ore).</w:t>
      </w:r>
    </w:p>
    <w:p w14:paraId="73C05B96" w14:textId="77777777" w:rsidR="00C7162D" w:rsidRPr="00C7162D" w:rsidRDefault="00C7162D" w:rsidP="00C7162D">
      <w:pPr>
        <w:widowControl w:val="0"/>
        <w:tabs>
          <w:tab w:val="left" w:pos="1394"/>
        </w:tabs>
        <w:autoSpaceDE w:val="0"/>
        <w:autoSpaceDN w:val="0"/>
        <w:spacing w:after="0" w:line="240" w:lineRule="auto"/>
        <w:ind w:left="1393" w:right="112"/>
        <w:jc w:val="both"/>
        <w:rPr>
          <w:rFonts w:ascii="Times New Roman" w:eastAsia="Times New Roman" w:hAnsi="Times New Roman" w:cs="Times New Roman"/>
          <w:sz w:val="24"/>
          <w:szCs w:val="24"/>
          <w:u w:color="000000"/>
          <w:bdr w:val="nil"/>
          <w:lang w:eastAsia="ro-RO"/>
        </w:rPr>
      </w:pPr>
    </w:p>
    <w:p w14:paraId="0FF6A26D" w14:textId="77777777" w:rsidR="00C7162D" w:rsidRPr="00C7162D" w:rsidRDefault="00C7162D" w:rsidP="00054402">
      <w:pPr>
        <w:widowControl w:val="0"/>
        <w:numPr>
          <w:ilvl w:val="0"/>
          <w:numId w:val="517"/>
        </w:numPr>
        <w:tabs>
          <w:tab w:val="left" w:pos="517"/>
        </w:tabs>
        <w:autoSpaceDE w:val="0"/>
        <w:autoSpaceDN w:val="0"/>
        <w:spacing w:after="0" w:line="275" w:lineRule="exact"/>
        <w:ind w:left="516" w:hanging="401"/>
        <w:jc w:val="both"/>
        <w:outlineLvl w:val="0"/>
        <w:rPr>
          <w:rFonts w:ascii="Times New Roman" w:eastAsia="Arial" w:hAnsi="Times New Roman" w:cs="Times New Roman"/>
          <w:b/>
          <w:bCs/>
          <w:sz w:val="24"/>
          <w:szCs w:val="24"/>
        </w:rPr>
      </w:pPr>
      <w:r w:rsidRPr="00C7162D">
        <w:rPr>
          <w:rFonts w:ascii="Times New Roman" w:eastAsia="Arial" w:hAnsi="Times New Roman" w:cs="Times New Roman"/>
          <w:b/>
          <w:bCs/>
          <w:sz w:val="24"/>
          <w:szCs w:val="24"/>
        </w:rPr>
        <w:t>Criterii</w:t>
      </w:r>
      <w:r w:rsidRPr="00C7162D">
        <w:rPr>
          <w:rFonts w:ascii="Times New Roman" w:eastAsia="Arial" w:hAnsi="Times New Roman" w:cs="Times New Roman"/>
          <w:b/>
          <w:bCs/>
          <w:spacing w:val="-2"/>
          <w:sz w:val="24"/>
          <w:szCs w:val="24"/>
        </w:rPr>
        <w:t xml:space="preserve"> </w:t>
      </w:r>
      <w:r w:rsidRPr="00C7162D">
        <w:rPr>
          <w:rFonts w:ascii="Times New Roman" w:eastAsia="Arial" w:hAnsi="Times New Roman" w:cs="Times New Roman"/>
          <w:b/>
          <w:bCs/>
          <w:sz w:val="24"/>
          <w:szCs w:val="24"/>
        </w:rPr>
        <w:t>de</w:t>
      </w:r>
      <w:r w:rsidRPr="00C7162D">
        <w:rPr>
          <w:rFonts w:ascii="Times New Roman" w:eastAsia="Arial" w:hAnsi="Times New Roman" w:cs="Times New Roman"/>
          <w:b/>
          <w:bCs/>
          <w:spacing w:val="-3"/>
          <w:sz w:val="24"/>
          <w:szCs w:val="24"/>
        </w:rPr>
        <w:t xml:space="preserve"> </w:t>
      </w:r>
      <w:r w:rsidRPr="00C7162D">
        <w:rPr>
          <w:rFonts w:ascii="Times New Roman" w:eastAsia="Arial" w:hAnsi="Times New Roman" w:cs="Times New Roman"/>
          <w:b/>
          <w:bCs/>
          <w:sz w:val="24"/>
          <w:szCs w:val="24"/>
        </w:rPr>
        <w:t>excludere</w:t>
      </w:r>
    </w:p>
    <w:p w14:paraId="03C1EA0C" w14:textId="77777777" w:rsidR="00C7162D" w:rsidRPr="00C7162D" w:rsidRDefault="00C7162D" w:rsidP="00054402">
      <w:pPr>
        <w:widowControl w:val="0"/>
        <w:numPr>
          <w:ilvl w:val="0"/>
          <w:numId w:val="513"/>
        </w:numPr>
        <w:tabs>
          <w:tab w:val="left" w:pos="837"/>
        </w:tabs>
        <w:autoSpaceDE w:val="0"/>
        <w:autoSpaceDN w:val="0"/>
        <w:spacing w:after="0" w:line="254" w:lineRule="auto"/>
        <w:ind w:right="117"/>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afecţiuni cardiovasculare semnificative: infarctul miocardic sau evenimentele trombotice,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arteriale în ultimele 6 luni, angina pectorală severă sau instabilă, sau insuficienţa cardiacă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clasa III sau IV conform New York Heart Association (NYHA) sau cu valori ale fracţiei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ejecţie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cardiacă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scăzută semnificativ.</w:t>
      </w:r>
    </w:p>
    <w:p w14:paraId="413C758C" w14:textId="77777777" w:rsidR="00C7162D" w:rsidRPr="00C7162D" w:rsidRDefault="00C7162D" w:rsidP="00054402">
      <w:pPr>
        <w:widowControl w:val="0"/>
        <w:numPr>
          <w:ilvl w:val="0"/>
          <w:numId w:val="513"/>
        </w:numPr>
        <w:tabs>
          <w:tab w:val="left" w:pos="837"/>
        </w:tabs>
        <w:autoSpaceDE w:val="0"/>
        <w:autoSpaceDN w:val="0"/>
        <w:spacing w:before="2" w:after="0" w:line="240" w:lineRule="auto"/>
        <w:ind w:hanging="361"/>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hipersensibilitate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la</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substanţa</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activă</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sau</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oricare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dintre</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excipienţi</w:t>
      </w:r>
    </w:p>
    <w:p w14:paraId="477655A0" w14:textId="77777777" w:rsidR="00C7162D" w:rsidRPr="00C7162D" w:rsidRDefault="00C7162D" w:rsidP="00054402">
      <w:pPr>
        <w:widowControl w:val="0"/>
        <w:numPr>
          <w:ilvl w:val="0"/>
          <w:numId w:val="513"/>
        </w:numPr>
        <w:tabs>
          <w:tab w:val="left" w:pos="837"/>
        </w:tabs>
        <w:autoSpaceDE w:val="0"/>
        <w:autoSpaceDN w:val="0"/>
        <w:spacing w:before="2" w:after="0" w:line="249" w:lineRule="auto"/>
        <w:ind w:right="120"/>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valori ale transaminazelor mai mari de 2,5 ori limita superioară a valorilor normale (iar</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pentru pacienţii care prezintă determinări secundare hepatice, mai mari de 5 ori faţă de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limita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superioară</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 valorilor normale);</w:t>
      </w:r>
    </w:p>
    <w:p w14:paraId="21BFA5D5" w14:textId="77777777" w:rsidR="00C7162D" w:rsidRPr="00C7162D" w:rsidRDefault="00C7162D" w:rsidP="00054402">
      <w:pPr>
        <w:widowControl w:val="0"/>
        <w:numPr>
          <w:ilvl w:val="0"/>
          <w:numId w:val="513"/>
        </w:numPr>
        <w:tabs>
          <w:tab w:val="left" w:pos="837"/>
        </w:tabs>
        <w:autoSpaceDE w:val="0"/>
        <w:autoSpaceDN w:val="0"/>
        <w:spacing w:before="70" w:after="0" w:line="252" w:lineRule="auto"/>
        <w:ind w:right="121"/>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pacienţii cu simptomatologie moderată sau severă, alta decât cea definită mai sus la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lastRenderedPageBreak/>
        <w:t>criteriile de includere ca fiind simptomatologie minimă, nu au indicaţie de abirateron</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înaintea</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chimioterapiei</w:t>
      </w:r>
    </w:p>
    <w:p w14:paraId="50499387" w14:textId="77777777" w:rsidR="00C7162D" w:rsidRPr="00C7162D" w:rsidRDefault="00C7162D" w:rsidP="00054402">
      <w:pPr>
        <w:widowControl w:val="0"/>
        <w:numPr>
          <w:ilvl w:val="0"/>
          <w:numId w:val="513"/>
        </w:numPr>
        <w:tabs>
          <w:tab w:val="left" w:pos="837"/>
        </w:tabs>
        <w:autoSpaceDE w:val="0"/>
        <w:autoSpaceDN w:val="0"/>
        <w:spacing w:before="6" w:after="0" w:line="240" w:lineRule="auto"/>
        <w:ind w:right="116"/>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metastaze</w:t>
      </w:r>
      <w:r w:rsidRPr="00C7162D">
        <w:rPr>
          <w:rFonts w:ascii="Times New Roman" w:eastAsia="Times New Roman" w:hAnsi="Times New Roman" w:cs="Times New Roman"/>
          <w:spacing w:val="5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cerebrale</w:t>
      </w:r>
      <w:r w:rsidRPr="00C7162D">
        <w:rPr>
          <w:rFonts w:ascii="Times New Roman" w:eastAsia="Times New Roman" w:hAnsi="Times New Roman" w:cs="Times New Roman"/>
          <w:spacing w:val="59"/>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(netratate</w:t>
      </w:r>
      <w:r w:rsidRPr="00C7162D">
        <w:rPr>
          <w:rFonts w:ascii="Times New Roman" w:eastAsia="Times New Roman" w:hAnsi="Times New Roman" w:cs="Times New Roman"/>
          <w:spacing w:val="5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sau</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instabile</w:t>
      </w:r>
      <w:r w:rsidRPr="00C7162D">
        <w:rPr>
          <w:rFonts w:ascii="Times New Roman" w:eastAsia="Times New Roman" w:hAnsi="Times New Roman" w:cs="Times New Roman"/>
          <w:spacing w:val="59"/>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clinic)</w:t>
      </w:r>
      <w:r w:rsidRPr="00C7162D">
        <w:rPr>
          <w:rFonts w:ascii="Times New Roman" w:eastAsia="Times New Roman" w:hAnsi="Times New Roman" w:cs="Times New Roman"/>
          <w:spacing w:val="5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sau</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meningită</w:t>
      </w:r>
      <w:r w:rsidRPr="00C7162D">
        <w:rPr>
          <w:rFonts w:ascii="Times New Roman" w:eastAsia="Times New Roman" w:hAnsi="Times New Roman" w:cs="Times New Roman"/>
          <w:spacing w:val="59"/>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carcinomatoasă</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progresivă</w:t>
      </w:r>
    </w:p>
    <w:p w14:paraId="31AD6FE5" w14:textId="77777777" w:rsidR="00C7162D" w:rsidRPr="00C7162D" w:rsidRDefault="00C7162D" w:rsidP="00054402">
      <w:pPr>
        <w:widowControl w:val="0"/>
        <w:numPr>
          <w:ilvl w:val="0"/>
          <w:numId w:val="513"/>
        </w:numPr>
        <w:tabs>
          <w:tab w:val="left" w:pos="837"/>
        </w:tabs>
        <w:autoSpaceDE w:val="0"/>
        <w:autoSpaceDN w:val="0"/>
        <w:spacing w:before="23" w:after="0" w:line="240" w:lineRule="auto"/>
        <w:ind w:right="122"/>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tratament</w:t>
      </w:r>
      <w:r w:rsidRPr="00C7162D">
        <w:rPr>
          <w:rFonts w:ascii="Times New Roman" w:eastAsia="Times New Roman" w:hAnsi="Times New Roman" w:cs="Times New Roman"/>
          <w:spacing w:val="1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cu</w:t>
      </w:r>
      <w:r w:rsidRPr="00C7162D">
        <w:rPr>
          <w:rFonts w:ascii="Times New Roman" w:eastAsia="Times New Roman" w:hAnsi="Times New Roman" w:cs="Times New Roman"/>
          <w:spacing w:val="1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antagonişti</w:t>
      </w:r>
      <w:r w:rsidRPr="00C7162D">
        <w:rPr>
          <w:rFonts w:ascii="Times New Roman" w:eastAsia="Times New Roman" w:hAnsi="Times New Roman" w:cs="Times New Roman"/>
          <w:spacing w:val="1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ai</w:t>
      </w:r>
      <w:r w:rsidRPr="00C7162D">
        <w:rPr>
          <w:rFonts w:ascii="Times New Roman" w:eastAsia="Times New Roman" w:hAnsi="Times New Roman" w:cs="Times New Roman"/>
          <w:spacing w:val="18"/>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receptorilor</w:t>
      </w:r>
      <w:r w:rsidRPr="00C7162D">
        <w:rPr>
          <w:rFonts w:ascii="Times New Roman" w:eastAsia="Times New Roman" w:hAnsi="Times New Roman" w:cs="Times New Roman"/>
          <w:spacing w:val="1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1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androgeni,</w:t>
      </w:r>
      <w:r w:rsidRPr="00C7162D">
        <w:rPr>
          <w:rFonts w:ascii="Times New Roman" w:eastAsia="Times New Roman" w:hAnsi="Times New Roman" w:cs="Times New Roman"/>
          <w:spacing w:val="18"/>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inhibitor</w:t>
      </w:r>
      <w:r w:rsidRPr="00C7162D">
        <w:rPr>
          <w:rFonts w:ascii="Times New Roman" w:eastAsia="Times New Roman" w:hAnsi="Times New Roman" w:cs="Times New Roman"/>
          <w:spacing w:val="1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1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5α</w:t>
      </w:r>
      <w:r w:rsidRPr="00C7162D">
        <w:rPr>
          <w:rFonts w:ascii="Times New Roman" w:eastAsia="Times New Roman" w:hAnsi="Times New Roman" w:cs="Times New Roman"/>
          <w:spacing w:val="1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reductază,</w:t>
      </w:r>
      <w:r w:rsidRPr="00C7162D">
        <w:rPr>
          <w:rFonts w:ascii="Times New Roman" w:eastAsia="Times New Roman" w:hAnsi="Times New Roman" w:cs="Times New Roman"/>
          <w:spacing w:val="1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estrogen</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sau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chimioterapie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timp</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4</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săptămâni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anterior</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începerii tratamentului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abirateronă</w:t>
      </w:r>
    </w:p>
    <w:p w14:paraId="65AA7377" w14:textId="77777777" w:rsidR="00C7162D" w:rsidRPr="00C7162D" w:rsidRDefault="00C7162D" w:rsidP="00054402">
      <w:pPr>
        <w:widowControl w:val="0"/>
        <w:numPr>
          <w:ilvl w:val="0"/>
          <w:numId w:val="513"/>
        </w:numPr>
        <w:tabs>
          <w:tab w:val="left" w:pos="837"/>
        </w:tabs>
        <w:autoSpaceDE w:val="0"/>
        <w:autoSpaceDN w:val="0"/>
        <w:spacing w:before="23" w:after="0" w:line="240" w:lineRule="auto"/>
        <w:ind w:hanging="361"/>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insuficienţă</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hepatică</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severă;</w:t>
      </w:r>
    </w:p>
    <w:p w14:paraId="571C7CD0" w14:textId="77777777" w:rsidR="00C7162D" w:rsidRPr="00C7162D" w:rsidRDefault="00C7162D" w:rsidP="00054402">
      <w:pPr>
        <w:widowControl w:val="0"/>
        <w:numPr>
          <w:ilvl w:val="0"/>
          <w:numId w:val="513"/>
        </w:numPr>
        <w:tabs>
          <w:tab w:val="left" w:pos="837"/>
        </w:tabs>
        <w:autoSpaceDE w:val="0"/>
        <w:autoSpaceDN w:val="0"/>
        <w:spacing w:before="2" w:after="0" w:line="240" w:lineRule="auto"/>
        <w:ind w:hanging="361"/>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hepatită</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virală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activă</w:t>
      </w:r>
      <w:r w:rsidRPr="00C7162D">
        <w:rPr>
          <w:rFonts w:ascii="Times New Roman" w:eastAsia="Times New Roman" w:hAnsi="Times New Roman" w:cs="Times New Roman"/>
          <w:spacing w:val="-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sau simptomatică;</w:t>
      </w:r>
    </w:p>
    <w:p w14:paraId="7AED1691" w14:textId="77777777" w:rsidR="00C7162D" w:rsidRPr="00C7162D" w:rsidRDefault="00C7162D" w:rsidP="00054402">
      <w:pPr>
        <w:widowControl w:val="0"/>
        <w:numPr>
          <w:ilvl w:val="0"/>
          <w:numId w:val="513"/>
        </w:numPr>
        <w:tabs>
          <w:tab w:val="left" w:pos="837"/>
        </w:tabs>
        <w:autoSpaceDE w:val="0"/>
        <w:autoSpaceDN w:val="0"/>
        <w:spacing w:before="1" w:after="0" w:line="240" w:lineRule="auto"/>
        <w:ind w:hanging="361"/>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hipertensiune</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arterială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necontrolabilă;</w:t>
      </w:r>
    </w:p>
    <w:p w14:paraId="7487C52A" w14:textId="77777777" w:rsidR="00C7162D" w:rsidRPr="00C7162D" w:rsidRDefault="00C7162D" w:rsidP="00054402">
      <w:pPr>
        <w:widowControl w:val="0"/>
        <w:numPr>
          <w:ilvl w:val="0"/>
          <w:numId w:val="513"/>
        </w:numPr>
        <w:tabs>
          <w:tab w:val="left" w:pos="837"/>
        </w:tabs>
        <w:autoSpaceDE w:val="0"/>
        <w:autoSpaceDN w:val="0"/>
        <w:spacing w:before="2" w:after="0" w:line="240" w:lineRule="auto"/>
        <w:ind w:hanging="361"/>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istoric</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disfuncţie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adrenală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sau hipofizară</w:t>
      </w:r>
    </w:p>
    <w:p w14:paraId="17A3CC47" w14:textId="77777777" w:rsidR="00C7162D" w:rsidRPr="00C7162D" w:rsidRDefault="00C7162D" w:rsidP="00054402">
      <w:pPr>
        <w:widowControl w:val="0"/>
        <w:numPr>
          <w:ilvl w:val="0"/>
          <w:numId w:val="513"/>
        </w:numPr>
        <w:tabs>
          <w:tab w:val="left" w:pos="837"/>
        </w:tabs>
        <w:autoSpaceDE w:val="0"/>
        <w:autoSpaceDN w:val="0"/>
        <w:spacing w:before="2" w:after="0" w:line="240" w:lineRule="auto"/>
        <w:ind w:hanging="361"/>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administrare concomitenta a Ra-223</w:t>
      </w:r>
    </w:p>
    <w:p w14:paraId="01E0888D" w14:textId="493949B9" w:rsidR="00C7162D" w:rsidRPr="00C7162D" w:rsidRDefault="00C7162D" w:rsidP="00054402">
      <w:pPr>
        <w:widowControl w:val="0"/>
        <w:numPr>
          <w:ilvl w:val="0"/>
          <w:numId w:val="517"/>
        </w:numPr>
        <w:tabs>
          <w:tab w:val="left" w:pos="142"/>
        </w:tabs>
        <w:autoSpaceDE w:val="0"/>
        <w:autoSpaceDN w:val="0"/>
        <w:spacing w:before="236" w:after="0" w:line="237" w:lineRule="auto"/>
        <w:ind w:left="426" w:right="116" w:hanging="426"/>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b/>
          <w:sz w:val="24"/>
          <w:szCs w:val="24"/>
          <w:u w:color="000000"/>
          <w:bdr w:val="nil"/>
          <w:lang w:eastAsia="ro-RO"/>
        </w:rPr>
        <w:t xml:space="preserve">Posologie – forma farmaceutica – comprimate de 250 mg ,  comprimate </w:t>
      </w:r>
      <w:r>
        <w:rPr>
          <w:rFonts w:ascii="Times New Roman" w:eastAsia="Times New Roman" w:hAnsi="Times New Roman" w:cs="Times New Roman"/>
          <w:b/>
          <w:sz w:val="24"/>
          <w:szCs w:val="24"/>
          <w:u w:color="000000"/>
          <w:bdr w:val="nil"/>
          <w:lang w:eastAsia="ro-RO"/>
        </w:rPr>
        <w:t xml:space="preserve">de 500 mg, </w:t>
      </w:r>
      <w:r w:rsidRPr="00C7162D">
        <w:rPr>
          <w:rFonts w:ascii="Times New Roman" w:eastAsia="Times New Roman" w:hAnsi="Times New Roman" w:cs="Times New Roman"/>
          <w:b/>
          <w:sz w:val="24"/>
          <w:szCs w:val="24"/>
          <w:u w:color="000000"/>
          <w:bdr w:val="nil"/>
          <w:lang w:eastAsia="ro-RO"/>
        </w:rPr>
        <w:t>comprimate de 1.000 mg</w:t>
      </w:r>
    </w:p>
    <w:p w14:paraId="1DE34B03" w14:textId="77777777" w:rsidR="00C7162D" w:rsidRPr="00C7162D" w:rsidRDefault="00C7162D" w:rsidP="00C7162D">
      <w:pPr>
        <w:widowControl w:val="0"/>
        <w:tabs>
          <w:tab w:val="left" w:pos="504"/>
        </w:tabs>
        <w:autoSpaceDE w:val="0"/>
        <w:autoSpaceDN w:val="0"/>
        <w:spacing w:before="236" w:line="237" w:lineRule="auto"/>
        <w:ind w:left="116" w:right="116"/>
        <w:jc w:val="both"/>
        <w:rPr>
          <w:rFonts w:ascii="Times New Roman" w:eastAsia="Calibri" w:hAnsi="Times New Roman" w:cs="Times New Roman"/>
          <w:sz w:val="24"/>
          <w:szCs w:val="24"/>
        </w:rPr>
      </w:pPr>
      <w:r w:rsidRPr="00C7162D">
        <w:rPr>
          <w:rFonts w:ascii="Times New Roman" w:eastAsia="Calibri" w:hAnsi="Times New Roman" w:cs="Times New Roman"/>
          <w:sz w:val="24"/>
          <w:szCs w:val="24"/>
        </w:rPr>
        <w:t>Doza recomandată este de 1.000 mg ca doză unică zilnică (</w:t>
      </w:r>
      <w:r w:rsidRPr="00C7162D">
        <w:rPr>
          <w:rFonts w:ascii="Times New Roman" w:eastAsia="Calibri" w:hAnsi="Times New Roman" w:cs="Times New Roman"/>
          <w:b/>
          <w:sz w:val="24"/>
          <w:szCs w:val="24"/>
        </w:rPr>
        <w:t>2  comprimate de 500 mg  sau 4 comprimate de 250 mg sau 1 comprimat de 1000 mg</w:t>
      </w:r>
      <w:r w:rsidRPr="00C7162D">
        <w:rPr>
          <w:rFonts w:ascii="Times New Roman" w:eastAsia="Calibri" w:hAnsi="Times New Roman" w:cs="Times New Roman"/>
          <w:sz w:val="24"/>
          <w:szCs w:val="24"/>
        </w:rPr>
        <w:t>).</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Se</w:t>
      </w:r>
      <w:r w:rsidRPr="00C7162D">
        <w:rPr>
          <w:rFonts w:ascii="Times New Roman" w:eastAsia="Calibri" w:hAnsi="Times New Roman" w:cs="Times New Roman"/>
          <w:spacing w:val="-2"/>
          <w:sz w:val="24"/>
          <w:szCs w:val="24"/>
        </w:rPr>
        <w:t xml:space="preserve"> </w:t>
      </w:r>
      <w:r w:rsidRPr="00C7162D">
        <w:rPr>
          <w:rFonts w:ascii="Times New Roman" w:eastAsia="Calibri" w:hAnsi="Times New Roman" w:cs="Times New Roman"/>
          <w:sz w:val="24"/>
          <w:szCs w:val="24"/>
        </w:rPr>
        <w:t>asociază</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doze</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mici de</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prednison sau prednisolon</w:t>
      </w:r>
      <w:r w:rsidRPr="00C7162D">
        <w:rPr>
          <w:rFonts w:ascii="Times New Roman" w:eastAsia="Calibri" w:hAnsi="Times New Roman" w:cs="Times New Roman"/>
          <w:spacing w:val="3"/>
          <w:sz w:val="24"/>
          <w:szCs w:val="24"/>
        </w:rPr>
        <w:t xml:space="preserve"> </w:t>
      </w:r>
      <w:r w:rsidRPr="00C7162D">
        <w:rPr>
          <w:rFonts w:ascii="Times New Roman" w:eastAsia="Calibri" w:hAnsi="Times New Roman" w:cs="Times New Roman"/>
          <w:sz w:val="24"/>
          <w:szCs w:val="24"/>
        </w:rPr>
        <w:t>-</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10 mg</w:t>
      </w:r>
      <w:r w:rsidRPr="00C7162D">
        <w:rPr>
          <w:rFonts w:ascii="Times New Roman" w:eastAsia="Calibri" w:hAnsi="Times New Roman" w:cs="Times New Roman"/>
          <w:spacing w:val="-2"/>
          <w:sz w:val="24"/>
          <w:szCs w:val="24"/>
        </w:rPr>
        <w:t xml:space="preserve"> </w:t>
      </w:r>
      <w:r w:rsidRPr="00C7162D">
        <w:rPr>
          <w:rFonts w:ascii="Times New Roman" w:eastAsia="Calibri" w:hAnsi="Times New Roman" w:cs="Times New Roman"/>
          <w:sz w:val="24"/>
          <w:szCs w:val="24"/>
        </w:rPr>
        <w:t>pe</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zi.</w:t>
      </w:r>
    </w:p>
    <w:p w14:paraId="33C17800" w14:textId="77777777" w:rsidR="00C7162D" w:rsidRPr="00C7162D" w:rsidRDefault="00C7162D" w:rsidP="00054402">
      <w:pPr>
        <w:widowControl w:val="0"/>
        <w:numPr>
          <w:ilvl w:val="0"/>
          <w:numId w:val="512"/>
        </w:numPr>
        <w:tabs>
          <w:tab w:val="left" w:pos="837"/>
        </w:tabs>
        <w:autoSpaceDE w:val="0"/>
        <w:autoSpaceDN w:val="0"/>
        <w:spacing w:before="7" w:after="0" w:line="240" w:lineRule="auto"/>
        <w:ind w:right="117"/>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Castrarea</w:t>
      </w:r>
      <w:r w:rsidRPr="00C7162D">
        <w:rPr>
          <w:rFonts w:ascii="Times New Roman" w:eastAsia="Times New Roman" w:hAnsi="Times New Roman" w:cs="Times New Roman"/>
          <w:spacing w:val="1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medicală</w:t>
      </w:r>
      <w:r w:rsidRPr="00C7162D">
        <w:rPr>
          <w:rFonts w:ascii="Times New Roman" w:eastAsia="Times New Roman" w:hAnsi="Times New Roman" w:cs="Times New Roman"/>
          <w:spacing w:val="1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cu</w:t>
      </w:r>
      <w:r w:rsidRPr="00C7162D">
        <w:rPr>
          <w:rFonts w:ascii="Times New Roman" w:eastAsia="Times New Roman" w:hAnsi="Times New Roman" w:cs="Times New Roman"/>
          <w:spacing w:val="1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analogi</w:t>
      </w:r>
      <w:r w:rsidRPr="00C7162D">
        <w:rPr>
          <w:rFonts w:ascii="Times New Roman" w:eastAsia="Times New Roman" w:hAnsi="Times New Roman" w:cs="Times New Roman"/>
          <w:spacing w:val="15"/>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LHRH</w:t>
      </w:r>
      <w:r w:rsidRPr="00C7162D">
        <w:rPr>
          <w:rFonts w:ascii="Times New Roman" w:eastAsia="Times New Roman" w:hAnsi="Times New Roman" w:cs="Times New Roman"/>
          <w:spacing w:val="1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trebuie</w:t>
      </w:r>
      <w:r w:rsidRPr="00C7162D">
        <w:rPr>
          <w:rFonts w:ascii="Times New Roman" w:eastAsia="Times New Roman" w:hAnsi="Times New Roman" w:cs="Times New Roman"/>
          <w:spacing w:val="1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continuată</w:t>
      </w:r>
      <w:r w:rsidRPr="00C7162D">
        <w:rPr>
          <w:rFonts w:ascii="Times New Roman" w:eastAsia="Times New Roman" w:hAnsi="Times New Roman" w:cs="Times New Roman"/>
          <w:spacing w:val="1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w:t>
      </w:r>
      <w:r w:rsidRPr="00C7162D">
        <w:rPr>
          <w:rFonts w:ascii="Times New Roman" w:eastAsia="Times New Roman" w:hAnsi="Times New Roman" w:cs="Times New Roman"/>
          <w:spacing w:val="1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timpul</w:t>
      </w:r>
      <w:r w:rsidRPr="00C7162D">
        <w:rPr>
          <w:rFonts w:ascii="Times New Roman" w:eastAsia="Times New Roman" w:hAnsi="Times New Roman" w:cs="Times New Roman"/>
          <w:spacing w:val="1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tratamentului</w:t>
      </w:r>
      <w:r w:rsidRPr="00C7162D">
        <w:rPr>
          <w:rFonts w:ascii="Times New Roman" w:eastAsia="Times New Roman" w:hAnsi="Times New Roman" w:cs="Times New Roman"/>
          <w:spacing w:val="1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cu</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abirateronum.</w:t>
      </w:r>
    </w:p>
    <w:p w14:paraId="2025748A" w14:textId="77777777" w:rsidR="00C7162D" w:rsidRPr="00C7162D" w:rsidRDefault="00C7162D" w:rsidP="00054402">
      <w:pPr>
        <w:widowControl w:val="0"/>
        <w:numPr>
          <w:ilvl w:val="0"/>
          <w:numId w:val="512"/>
        </w:numPr>
        <w:tabs>
          <w:tab w:val="left" w:pos="837"/>
        </w:tabs>
        <w:autoSpaceDE w:val="0"/>
        <w:autoSpaceDN w:val="0"/>
        <w:spacing w:before="25" w:after="0" w:line="240" w:lineRule="auto"/>
        <w:ind w:right="12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NU</w:t>
      </w:r>
      <w:r w:rsidRPr="00C7162D">
        <w:rPr>
          <w:rFonts w:ascii="Times New Roman" w:eastAsia="Times New Roman" w:hAnsi="Times New Roman" w:cs="Times New Roman"/>
          <w:spacing w:val="2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se</w:t>
      </w:r>
      <w:r w:rsidRPr="00C7162D">
        <w:rPr>
          <w:rFonts w:ascii="Times New Roman" w:eastAsia="Times New Roman" w:hAnsi="Times New Roman" w:cs="Times New Roman"/>
          <w:spacing w:val="2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administrează</w:t>
      </w:r>
      <w:r w:rsidRPr="00C7162D">
        <w:rPr>
          <w:rFonts w:ascii="Times New Roman" w:eastAsia="Times New Roman" w:hAnsi="Times New Roman" w:cs="Times New Roman"/>
          <w:spacing w:val="2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cu</w:t>
      </w:r>
      <w:r w:rsidRPr="00C7162D">
        <w:rPr>
          <w:rFonts w:ascii="Times New Roman" w:eastAsia="Times New Roman" w:hAnsi="Times New Roman" w:cs="Times New Roman"/>
          <w:spacing w:val="25"/>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alimente</w:t>
      </w:r>
      <w:r w:rsidRPr="00C7162D">
        <w:rPr>
          <w:rFonts w:ascii="Times New Roman" w:eastAsia="Times New Roman" w:hAnsi="Times New Roman" w:cs="Times New Roman"/>
          <w:spacing w:val="2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(prezenţa</w:t>
      </w:r>
      <w:r w:rsidRPr="00C7162D">
        <w:rPr>
          <w:rFonts w:ascii="Times New Roman" w:eastAsia="Times New Roman" w:hAnsi="Times New Roman" w:cs="Times New Roman"/>
          <w:spacing w:val="2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acestora</w:t>
      </w:r>
      <w:r w:rsidRPr="00C7162D">
        <w:rPr>
          <w:rFonts w:ascii="Times New Roman" w:eastAsia="Times New Roman" w:hAnsi="Times New Roman" w:cs="Times New Roman"/>
          <w:spacing w:val="2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creşte</w:t>
      </w:r>
      <w:r w:rsidRPr="00C7162D">
        <w:rPr>
          <w:rFonts w:ascii="Times New Roman" w:eastAsia="Times New Roman" w:hAnsi="Times New Roman" w:cs="Times New Roman"/>
          <w:spacing w:val="2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expunerea</w:t>
      </w:r>
      <w:r w:rsidRPr="00C7162D">
        <w:rPr>
          <w:rFonts w:ascii="Times New Roman" w:eastAsia="Times New Roman" w:hAnsi="Times New Roman" w:cs="Times New Roman"/>
          <w:spacing w:val="2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sistemică</w:t>
      </w:r>
      <w:r w:rsidRPr="00C7162D">
        <w:rPr>
          <w:rFonts w:ascii="Times New Roman" w:eastAsia="Times New Roman" w:hAnsi="Times New Roman" w:cs="Times New Roman"/>
          <w:spacing w:val="2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la</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abirateron).</w:t>
      </w:r>
    </w:p>
    <w:p w14:paraId="57F4921F" w14:textId="77777777" w:rsidR="00C7162D" w:rsidRPr="00C7162D" w:rsidRDefault="00C7162D" w:rsidP="00054402">
      <w:pPr>
        <w:widowControl w:val="0"/>
        <w:numPr>
          <w:ilvl w:val="0"/>
          <w:numId w:val="512"/>
        </w:numPr>
        <w:tabs>
          <w:tab w:val="left" w:pos="837"/>
        </w:tabs>
        <w:autoSpaceDE w:val="0"/>
        <w:autoSpaceDN w:val="0"/>
        <w:spacing w:before="24" w:after="0" w:line="240" w:lineRule="auto"/>
        <w:ind w:right="124"/>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Se</w:t>
      </w:r>
      <w:r w:rsidRPr="00C7162D">
        <w:rPr>
          <w:rFonts w:ascii="Times New Roman" w:eastAsia="Times New Roman" w:hAnsi="Times New Roman" w:cs="Times New Roman"/>
          <w:spacing w:val="2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administrează</w:t>
      </w:r>
      <w:r w:rsidRPr="00C7162D">
        <w:rPr>
          <w:rFonts w:ascii="Times New Roman" w:eastAsia="Times New Roman" w:hAnsi="Times New Roman" w:cs="Times New Roman"/>
          <w:spacing w:val="2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la</w:t>
      </w:r>
      <w:r w:rsidRPr="00C7162D">
        <w:rPr>
          <w:rFonts w:ascii="Times New Roman" w:eastAsia="Times New Roman" w:hAnsi="Times New Roman" w:cs="Times New Roman"/>
          <w:spacing w:val="2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cel</w:t>
      </w:r>
      <w:r w:rsidRPr="00C7162D">
        <w:rPr>
          <w:rFonts w:ascii="Times New Roman" w:eastAsia="Times New Roman" w:hAnsi="Times New Roman" w:cs="Times New Roman"/>
          <w:spacing w:val="28"/>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puţin</w:t>
      </w:r>
      <w:r w:rsidRPr="00C7162D">
        <w:rPr>
          <w:rFonts w:ascii="Times New Roman" w:eastAsia="Times New Roman" w:hAnsi="Times New Roman" w:cs="Times New Roman"/>
          <w:spacing w:val="2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două</w:t>
      </w:r>
      <w:r w:rsidRPr="00C7162D">
        <w:rPr>
          <w:rFonts w:ascii="Times New Roman" w:eastAsia="Times New Roman" w:hAnsi="Times New Roman" w:cs="Times New Roman"/>
          <w:spacing w:val="2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ore</w:t>
      </w:r>
      <w:r w:rsidRPr="00C7162D">
        <w:rPr>
          <w:rFonts w:ascii="Times New Roman" w:eastAsia="Times New Roman" w:hAnsi="Times New Roman" w:cs="Times New Roman"/>
          <w:spacing w:val="25"/>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după</w:t>
      </w:r>
      <w:r w:rsidRPr="00C7162D">
        <w:rPr>
          <w:rFonts w:ascii="Times New Roman" w:eastAsia="Times New Roman" w:hAnsi="Times New Roman" w:cs="Times New Roman"/>
          <w:spacing w:val="2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masă</w:t>
      </w:r>
      <w:r w:rsidRPr="00C7162D">
        <w:rPr>
          <w:rFonts w:ascii="Times New Roman" w:eastAsia="Times New Roman" w:hAnsi="Times New Roman" w:cs="Times New Roman"/>
          <w:spacing w:val="2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şi</w:t>
      </w:r>
      <w:r w:rsidRPr="00C7162D">
        <w:rPr>
          <w:rFonts w:ascii="Times New Roman" w:eastAsia="Times New Roman" w:hAnsi="Times New Roman" w:cs="Times New Roman"/>
          <w:spacing w:val="28"/>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nu</w:t>
      </w:r>
      <w:r w:rsidRPr="00C7162D">
        <w:rPr>
          <w:rFonts w:ascii="Times New Roman" w:eastAsia="Times New Roman" w:hAnsi="Times New Roman" w:cs="Times New Roman"/>
          <w:spacing w:val="2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trebuie</w:t>
      </w:r>
      <w:r w:rsidRPr="00C7162D">
        <w:rPr>
          <w:rFonts w:ascii="Times New Roman" w:eastAsia="Times New Roman" w:hAnsi="Times New Roman" w:cs="Times New Roman"/>
          <w:spacing w:val="28"/>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consumate</w:t>
      </w:r>
      <w:r w:rsidRPr="00C7162D">
        <w:rPr>
          <w:rFonts w:ascii="Times New Roman" w:eastAsia="Times New Roman" w:hAnsi="Times New Roman" w:cs="Times New Roman"/>
          <w:spacing w:val="2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alimente</w:t>
      </w:r>
      <w:r w:rsidRPr="00C7162D">
        <w:rPr>
          <w:rFonts w:ascii="Times New Roman" w:eastAsia="Times New Roman" w:hAnsi="Times New Roman" w:cs="Times New Roman"/>
          <w:spacing w:val="26"/>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cel</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puţin</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o oră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după administrarea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tratamentului.</w:t>
      </w:r>
    </w:p>
    <w:p w14:paraId="5C968DBF" w14:textId="77777777" w:rsidR="00C7162D" w:rsidRPr="00C7162D" w:rsidRDefault="00C7162D" w:rsidP="00054402">
      <w:pPr>
        <w:widowControl w:val="0"/>
        <w:numPr>
          <w:ilvl w:val="0"/>
          <w:numId w:val="512"/>
        </w:numPr>
        <w:tabs>
          <w:tab w:val="left" w:pos="837"/>
        </w:tabs>
        <w:autoSpaceDE w:val="0"/>
        <w:autoSpaceDN w:val="0"/>
        <w:spacing w:before="23" w:after="0" w:line="240" w:lineRule="auto"/>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Comprimatele</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se</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înghit</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întregi, cu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apă.</w:t>
      </w:r>
    </w:p>
    <w:p w14:paraId="16C8B41A" w14:textId="77777777" w:rsidR="00C7162D" w:rsidRPr="00C7162D" w:rsidRDefault="00C7162D" w:rsidP="00054402">
      <w:pPr>
        <w:widowControl w:val="0"/>
        <w:numPr>
          <w:ilvl w:val="0"/>
          <w:numId w:val="512"/>
        </w:numPr>
        <w:tabs>
          <w:tab w:val="left" w:pos="837"/>
        </w:tabs>
        <w:autoSpaceDE w:val="0"/>
        <w:autoSpaceDN w:val="0"/>
        <w:spacing w:before="2" w:after="0" w:line="240" w:lineRule="auto"/>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doză</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omisă</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nu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reia, tratamentul</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continuă</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ziua următoare,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doza</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uzuală zilnică.</w:t>
      </w:r>
    </w:p>
    <w:p w14:paraId="2CB20983" w14:textId="77777777" w:rsidR="00C7162D" w:rsidRPr="00C7162D" w:rsidRDefault="00C7162D" w:rsidP="00054402">
      <w:pPr>
        <w:widowControl w:val="0"/>
        <w:numPr>
          <w:ilvl w:val="0"/>
          <w:numId w:val="512"/>
        </w:numPr>
        <w:tabs>
          <w:tab w:val="left" w:pos="837"/>
        </w:tabs>
        <w:autoSpaceDE w:val="0"/>
        <w:autoSpaceDN w:val="0"/>
        <w:spacing w:before="1" w:after="0" w:line="252" w:lineRule="auto"/>
        <w:ind w:right="117"/>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Întreruperea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corticoterapiei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trebuie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efectuată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lent,</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scăzând</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doza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progresiv:</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dacă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tratamentul</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abirateronum</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este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continuat</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după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întreruperea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administrării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corticosteroizilor, pacienţii trebuie monitorizaţi pentru apariţia simptomelor de exces de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mineralocorticoizi</w:t>
      </w:r>
    </w:p>
    <w:p w14:paraId="4523A5AE" w14:textId="77777777" w:rsidR="00C7162D" w:rsidRDefault="00C7162D" w:rsidP="00054402">
      <w:pPr>
        <w:widowControl w:val="0"/>
        <w:numPr>
          <w:ilvl w:val="0"/>
          <w:numId w:val="512"/>
        </w:numPr>
        <w:tabs>
          <w:tab w:val="left" w:pos="837"/>
        </w:tabs>
        <w:autoSpaceDE w:val="0"/>
        <w:autoSpaceDN w:val="0"/>
        <w:spacing w:before="14" w:after="0" w:line="242" w:lineRule="auto"/>
        <w:ind w:right="123"/>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În</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cazul</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unor</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situaţii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stres</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neobişnuit,</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poate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fi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indicată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creşterea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dozei</w:t>
      </w:r>
      <w:r w:rsidRPr="00C7162D">
        <w:rPr>
          <w:rFonts w:ascii="Times New Roman" w:eastAsia="Times New Roman" w:hAnsi="Times New Roman" w:cs="Times New Roman"/>
          <w:spacing w:val="60"/>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corticosteroizi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înainte, în timpul</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şi după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situaţia</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stresantă.</w:t>
      </w:r>
    </w:p>
    <w:p w14:paraId="35869157" w14:textId="77777777" w:rsidR="00C7162D" w:rsidRPr="00C7162D" w:rsidRDefault="00C7162D" w:rsidP="00C7162D">
      <w:pPr>
        <w:widowControl w:val="0"/>
        <w:tabs>
          <w:tab w:val="left" w:pos="837"/>
        </w:tabs>
        <w:autoSpaceDE w:val="0"/>
        <w:autoSpaceDN w:val="0"/>
        <w:spacing w:before="14" w:after="0" w:line="242" w:lineRule="auto"/>
        <w:ind w:left="836" w:right="123"/>
        <w:jc w:val="both"/>
        <w:rPr>
          <w:rFonts w:ascii="Times New Roman" w:eastAsia="Times New Roman" w:hAnsi="Times New Roman" w:cs="Times New Roman"/>
          <w:sz w:val="24"/>
          <w:szCs w:val="24"/>
          <w:u w:color="000000"/>
          <w:bdr w:val="nil"/>
          <w:lang w:eastAsia="ro-RO"/>
        </w:rPr>
      </w:pPr>
    </w:p>
    <w:p w14:paraId="0397DBCE" w14:textId="77777777" w:rsidR="00C7162D" w:rsidRPr="00C7162D" w:rsidRDefault="00C7162D" w:rsidP="00054402">
      <w:pPr>
        <w:widowControl w:val="0"/>
        <w:numPr>
          <w:ilvl w:val="0"/>
          <w:numId w:val="517"/>
        </w:numPr>
        <w:tabs>
          <w:tab w:val="left" w:pos="284"/>
        </w:tabs>
        <w:autoSpaceDE w:val="0"/>
        <w:autoSpaceDN w:val="0"/>
        <w:spacing w:before="1" w:after="0" w:line="240" w:lineRule="auto"/>
        <w:ind w:left="409" w:hanging="409"/>
        <w:jc w:val="both"/>
        <w:outlineLvl w:val="0"/>
        <w:rPr>
          <w:rFonts w:ascii="Times New Roman" w:eastAsia="Arial" w:hAnsi="Times New Roman" w:cs="Times New Roman"/>
          <w:b/>
          <w:bCs/>
          <w:sz w:val="24"/>
          <w:szCs w:val="24"/>
        </w:rPr>
      </w:pPr>
      <w:r w:rsidRPr="00C7162D">
        <w:rPr>
          <w:rFonts w:ascii="Times New Roman" w:eastAsia="Arial" w:hAnsi="Times New Roman" w:cs="Times New Roman"/>
          <w:b/>
          <w:bCs/>
          <w:sz w:val="24"/>
          <w:szCs w:val="24"/>
        </w:rPr>
        <w:t>Monitorizarea</w:t>
      </w:r>
      <w:r w:rsidRPr="00C7162D">
        <w:rPr>
          <w:rFonts w:ascii="Times New Roman" w:eastAsia="Arial" w:hAnsi="Times New Roman" w:cs="Times New Roman"/>
          <w:b/>
          <w:bCs/>
          <w:spacing w:val="-3"/>
          <w:sz w:val="24"/>
          <w:szCs w:val="24"/>
        </w:rPr>
        <w:t xml:space="preserve"> </w:t>
      </w:r>
      <w:r w:rsidRPr="00C7162D">
        <w:rPr>
          <w:rFonts w:ascii="Times New Roman" w:eastAsia="Arial" w:hAnsi="Times New Roman" w:cs="Times New Roman"/>
          <w:b/>
          <w:bCs/>
          <w:sz w:val="24"/>
          <w:szCs w:val="24"/>
        </w:rPr>
        <w:t>tratamentului:</w:t>
      </w:r>
    </w:p>
    <w:p w14:paraId="73D82E45" w14:textId="77777777" w:rsidR="00C7162D" w:rsidRPr="00C7162D" w:rsidRDefault="00C7162D" w:rsidP="00C7162D">
      <w:pPr>
        <w:spacing w:line="275" w:lineRule="exact"/>
        <w:rPr>
          <w:rFonts w:ascii="Times New Roman" w:eastAsia="Calibri" w:hAnsi="Times New Roman" w:cs="Times New Roman"/>
          <w:b/>
          <w:sz w:val="24"/>
          <w:szCs w:val="24"/>
        </w:rPr>
      </w:pPr>
      <w:r w:rsidRPr="00C7162D">
        <w:rPr>
          <w:rFonts w:ascii="Times New Roman" w:eastAsia="Calibri" w:hAnsi="Times New Roman" w:cs="Times New Roman"/>
          <w:b/>
          <w:sz w:val="24"/>
          <w:szCs w:val="24"/>
        </w:rPr>
        <w:t>Înainte</w:t>
      </w:r>
      <w:r w:rsidRPr="00C7162D">
        <w:rPr>
          <w:rFonts w:ascii="Times New Roman" w:eastAsia="Calibri" w:hAnsi="Times New Roman" w:cs="Times New Roman"/>
          <w:b/>
          <w:spacing w:val="-3"/>
          <w:sz w:val="24"/>
          <w:szCs w:val="24"/>
        </w:rPr>
        <w:t xml:space="preserve"> </w:t>
      </w:r>
      <w:r w:rsidRPr="00C7162D">
        <w:rPr>
          <w:rFonts w:ascii="Times New Roman" w:eastAsia="Calibri" w:hAnsi="Times New Roman" w:cs="Times New Roman"/>
          <w:b/>
          <w:sz w:val="24"/>
          <w:szCs w:val="24"/>
        </w:rPr>
        <w:t>de</w:t>
      </w:r>
      <w:r w:rsidRPr="00C7162D">
        <w:rPr>
          <w:rFonts w:ascii="Times New Roman" w:eastAsia="Calibri" w:hAnsi="Times New Roman" w:cs="Times New Roman"/>
          <w:b/>
          <w:spacing w:val="-2"/>
          <w:sz w:val="24"/>
          <w:szCs w:val="24"/>
        </w:rPr>
        <w:t xml:space="preserve"> </w:t>
      </w:r>
      <w:r w:rsidRPr="00C7162D">
        <w:rPr>
          <w:rFonts w:ascii="Times New Roman" w:eastAsia="Calibri" w:hAnsi="Times New Roman" w:cs="Times New Roman"/>
          <w:b/>
          <w:sz w:val="24"/>
          <w:szCs w:val="24"/>
        </w:rPr>
        <w:t>iniţierea</w:t>
      </w:r>
      <w:r w:rsidRPr="00C7162D">
        <w:rPr>
          <w:rFonts w:ascii="Times New Roman" w:eastAsia="Calibri" w:hAnsi="Times New Roman" w:cs="Times New Roman"/>
          <w:b/>
          <w:spacing w:val="-1"/>
          <w:sz w:val="24"/>
          <w:szCs w:val="24"/>
        </w:rPr>
        <w:t xml:space="preserve"> </w:t>
      </w:r>
      <w:r w:rsidRPr="00C7162D">
        <w:rPr>
          <w:rFonts w:ascii="Times New Roman" w:eastAsia="Calibri" w:hAnsi="Times New Roman" w:cs="Times New Roman"/>
          <w:b/>
          <w:sz w:val="24"/>
          <w:szCs w:val="24"/>
        </w:rPr>
        <w:t>tratamentului:</w:t>
      </w:r>
    </w:p>
    <w:p w14:paraId="4774155C" w14:textId="77777777" w:rsidR="00C7162D" w:rsidRPr="00C7162D" w:rsidRDefault="00C7162D" w:rsidP="00054402">
      <w:pPr>
        <w:widowControl w:val="0"/>
        <w:numPr>
          <w:ilvl w:val="0"/>
          <w:numId w:val="511"/>
        </w:numPr>
        <w:tabs>
          <w:tab w:val="left" w:pos="837"/>
        </w:tabs>
        <w:autoSpaceDE w:val="0"/>
        <w:autoSpaceDN w:val="0"/>
        <w:spacing w:after="0" w:line="295" w:lineRule="exact"/>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hemoleucogramă</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cu</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formulă</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leucocitară;</w:t>
      </w:r>
    </w:p>
    <w:p w14:paraId="4B6453D8" w14:textId="77777777" w:rsidR="00C7162D" w:rsidRPr="00C7162D" w:rsidRDefault="00C7162D" w:rsidP="00054402">
      <w:pPr>
        <w:widowControl w:val="0"/>
        <w:numPr>
          <w:ilvl w:val="0"/>
          <w:numId w:val="511"/>
        </w:numPr>
        <w:tabs>
          <w:tab w:val="left" w:pos="837"/>
        </w:tabs>
        <w:autoSpaceDE w:val="0"/>
        <w:autoSpaceDN w:val="0"/>
        <w:spacing w:before="2" w:after="0" w:line="240" w:lineRule="auto"/>
        <w:ind w:right="117"/>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analize de biochimie (creatinină; uree; glicemie; transaminaze; ionogramă serică - potasiu,</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sodiu,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clor, calciu,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magneziu; proteine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serice; fosfatază</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alcalină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etc.);</w:t>
      </w:r>
    </w:p>
    <w:p w14:paraId="62F1751C" w14:textId="77777777" w:rsidR="00C7162D" w:rsidRPr="00C7162D" w:rsidRDefault="00C7162D" w:rsidP="00054402">
      <w:pPr>
        <w:widowControl w:val="0"/>
        <w:numPr>
          <w:ilvl w:val="0"/>
          <w:numId w:val="511"/>
        </w:numPr>
        <w:tabs>
          <w:tab w:val="left" w:pos="837"/>
        </w:tabs>
        <w:autoSpaceDE w:val="0"/>
        <w:autoSpaceDN w:val="0"/>
        <w:spacing w:before="23" w:after="0" w:line="240" w:lineRule="auto"/>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PSA</w:t>
      </w:r>
    </w:p>
    <w:p w14:paraId="6426A5BC" w14:textId="77777777" w:rsidR="00C7162D" w:rsidRPr="00C7162D" w:rsidRDefault="00C7162D" w:rsidP="00054402">
      <w:pPr>
        <w:widowControl w:val="0"/>
        <w:numPr>
          <w:ilvl w:val="0"/>
          <w:numId w:val="511"/>
        </w:numPr>
        <w:tabs>
          <w:tab w:val="left" w:pos="837"/>
        </w:tabs>
        <w:autoSpaceDE w:val="0"/>
        <w:autoSpaceDN w:val="0"/>
        <w:spacing w:before="1" w:after="0" w:line="240" w:lineRule="auto"/>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examen</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sumar</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urină;</w:t>
      </w:r>
    </w:p>
    <w:p w14:paraId="39B11316" w14:textId="77777777" w:rsidR="00C7162D" w:rsidRPr="00C7162D" w:rsidRDefault="00C7162D" w:rsidP="00054402">
      <w:pPr>
        <w:widowControl w:val="0"/>
        <w:numPr>
          <w:ilvl w:val="0"/>
          <w:numId w:val="511"/>
        </w:numPr>
        <w:tabs>
          <w:tab w:val="left" w:pos="837"/>
        </w:tabs>
        <w:autoSpaceDE w:val="0"/>
        <w:autoSpaceDN w:val="0"/>
        <w:spacing w:before="2" w:after="0" w:line="240" w:lineRule="auto"/>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evaluare</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cardiologică</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(inclusiv</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EKG</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şi</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ecocardiografie);</w:t>
      </w:r>
    </w:p>
    <w:p w14:paraId="5EDFA504" w14:textId="77777777" w:rsidR="00C7162D" w:rsidRDefault="00C7162D" w:rsidP="00054402">
      <w:pPr>
        <w:widowControl w:val="0"/>
        <w:numPr>
          <w:ilvl w:val="0"/>
          <w:numId w:val="511"/>
        </w:numPr>
        <w:tabs>
          <w:tab w:val="left" w:pos="837"/>
        </w:tabs>
        <w:autoSpaceDE w:val="0"/>
        <w:autoSpaceDN w:val="0"/>
        <w:spacing w:before="2" w:after="0" w:line="240" w:lineRule="auto"/>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evaluare</w:t>
      </w:r>
      <w:r w:rsidRPr="00C7162D">
        <w:rPr>
          <w:rFonts w:ascii="Times New Roman" w:eastAsia="Times New Roman" w:hAnsi="Times New Roman" w:cs="Times New Roman"/>
          <w:spacing w:val="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imagistică</w:t>
      </w:r>
      <w:r w:rsidRPr="00C7162D">
        <w:rPr>
          <w:rFonts w:ascii="Times New Roman" w:eastAsia="Times New Roman" w:hAnsi="Times New Roman" w:cs="Times New Roman"/>
          <w:spacing w:val="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exemplu:</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CT</w:t>
      </w:r>
      <w:r w:rsidRPr="00C7162D">
        <w:rPr>
          <w:rFonts w:ascii="Times New Roman" w:eastAsia="Times New Roman" w:hAnsi="Times New Roman" w:cs="Times New Roman"/>
          <w:spacing w:val="5"/>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torace,</w:t>
      </w:r>
      <w:r w:rsidRPr="00C7162D">
        <w:rPr>
          <w:rFonts w:ascii="Times New Roman" w:eastAsia="Times New Roman" w:hAnsi="Times New Roman" w:cs="Times New Roman"/>
          <w:spacing w:val="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abdomen</w:t>
      </w:r>
      <w:r w:rsidRPr="00C7162D">
        <w:rPr>
          <w:rFonts w:ascii="Times New Roman" w:eastAsia="Times New Roman" w:hAnsi="Times New Roman" w:cs="Times New Roman"/>
          <w:spacing w:val="5"/>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şi</w:t>
      </w:r>
      <w:r w:rsidRPr="00C7162D">
        <w:rPr>
          <w:rFonts w:ascii="Times New Roman" w:eastAsia="Times New Roman" w:hAnsi="Times New Roman" w:cs="Times New Roman"/>
          <w:spacing w:val="5"/>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pelvis,</w:t>
      </w:r>
      <w:r w:rsidRPr="00C7162D">
        <w:rPr>
          <w:rFonts w:ascii="Times New Roman" w:eastAsia="Times New Roman" w:hAnsi="Times New Roman" w:cs="Times New Roman"/>
          <w:spacing w:val="5"/>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RMN,</w:t>
      </w:r>
      <w:r w:rsidRPr="00C7162D">
        <w:rPr>
          <w:rFonts w:ascii="Times New Roman" w:eastAsia="Times New Roman" w:hAnsi="Times New Roman" w:cs="Times New Roman"/>
          <w:spacing w:val="5"/>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scintigrafie</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osoasă</w:t>
      </w:r>
      <w:r w:rsidRPr="00C7162D">
        <w:rPr>
          <w:rFonts w:ascii="Times New Roman" w:eastAsia="Arial" w:hAnsi="Times New Roman" w:cs="Times New Roman"/>
          <w:sz w:val="24"/>
          <w:szCs w:val="24"/>
        </w:rPr>
        <w:t>-</w:t>
      </w:r>
      <w:r w:rsidRPr="00C7162D">
        <w:rPr>
          <w:rFonts w:ascii="Times New Roman" w:eastAsia="Arial" w:hAnsi="Times New Roman" w:cs="Times New Roman"/>
          <w:spacing w:val="-2"/>
          <w:sz w:val="24"/>
          <w:szCs w:val="24"/>
        </w:rPr>
        <w:t xml:space="preserve"> </w:t>
      </w:r>
      <w:r w:rsidRPr="00C7162D">
        <w:rPr>
          <w:rFonts w:ascii="Times New Roman" w:eastAsia="Arial" w:hAnsi="Times New Roman" w:cs="Times New Roman"/>
          <w:sz w:val="24"/>
          <w:szCs w:val="24"/>
        </w:rPr>
        <w:t>dacă</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nu</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au fost</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efectuate în</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ultimele 3</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luni)</w:t>
      </w:r>
    </w:p>
    <w:p w14:paraId="06F0B793" w14:textId="44CA7992" w:rsidR="00C7162D" w:rsidRPr="00C7162D" w:rsidRDefault="00C7162D" w:rsidP="00C7162D">
      <w:pPr>
        <w:widowControl w:val="0"/>
        <w:tabs>
          <w:tab w:val="left" w:pos="837"/>
        </w:tabs>
        <w:autoSpaceDE w:val="0"/>
        <w:autoSpaceDN w:val="0"/>
        <w:spacing w:before="2" w:after="0" w:line="240" w:lineRule="auto"/>
        <w:rPr>
          <w:rFonts w:ascii="Times New Roman" w:eastAsia="Times New Roman" w:hAnsi="Times New Roman" w:cs="Times New Roman"/>
          <w:sz w:val="24"/>
          <w:szCs w:val="24"/>
          <w:u w:color="000000"/>
          <w:bdr w:val="nil"/>
          <w:lang w:eastAsia="ro-RO"/>
        </w:rPr>
      </w:pPr>
      <w:r w:rsidRPr="00C7162D">
        <w:rPr>
          <w:rFonts w:ascii="Times New Roman" w:eastAsia="Arial" w:hAnsi="Times New Roman" w:cs="Times New Roman"/>
          <w:b/>
          <w:bCs/>
          <w:sz w:val="24"/>
          <w:szCs w:val="24"/>
        </w:rPr>
        <w:t>Periodic:</w:t>
      </w:r>
    </w:p>
    <w:p w14:paraId="5BBF42EA" w14:textId="77777777" w:rsidR="00C7162D" w:rsidRPr="00C7162D" w:rsidRDefault="00C7162D" w:rsidP="00054402">
      <w:pPr>
        <w:widowControl w:val="0"/>
        <w:numPr>
          <w:ilvl w:val="0"/>
          <w:numId w:val="511"/>
        </w:numPr>
        <w:tabs>
          <w:tab w:val="left" w:pos="837"/>
        </w:tabs>
        <w:autoSpaceDE w:val="0"/>
        <w:autoSpaceDN w:val="0"/>
        <w:spacing w:after="0" w:line="295" w:lineRule="exact"/>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transaminazele</w:t>
      </w:r>
      <w:r w:rsidRPr="00C7162D">
        <w:rPr>
          <w:rFonts w:ascii="Times New Roman" w:eastAsia="Times New Roman" w:hAnsi="Times New Roman" w:cs="Times New Roman"/>
          <w:spacing w:val="-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serice,</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ionograma</w:t>
      </w:r>
      <w:r w:rsidRPr="00C7162D">
        <w:rPr>
          <w:rFonts w:ascii="Times New Roman" w:eastAsia="Times New Roman" w:hAnsi="Times New Roman" w:cs="Times New Roman"/>
          <w:spacing w:val="-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serică,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glicemie</w:t>
      </w:r>
    </w:p>
    <w:p w14:paraId="5376F3E8" w14:textId="77777777" w:rsidR="00C7162D" w:rsidRPr="00C7162D" w:rsidRDefault="00C7162D" w:rsidP="00054402">
      <w:pPr>
        <w:widowControl w:val="0"/>
        <w:numPr>
          <w:ilvl w:val="0"/>
          <w:numId w:val="511"/>
        </w:numPr>
        <w:tabs>
          <w:tab w:val="left" w:pos="837"/>
        </w:tabs>
        <w:autoSpaceDE w:val="0"/>
        <w:autoSpaceDN w:val="0"/>
        <w:spacing w:before="4" w:after="0" w:line="240" w:lineRule="auto"/>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tensiunea</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arterială,</w:t>
      </w:r>
    </w:p>
    <w:p w14:paraId="1577F083" w14:textId="77777777" w:rsidR="00C7162D" w:rsidRPr="00C7162D" w:rsidRDefault="00C7162D" w:rsidP="00054402">
      <w:pPr>
        <w:widowControl w:val="0"/>
        <w:numPr>
          <w:ilvl w:val="0"/>
          <w:numId w:val="511"/>
        </w:numPr>
        <w:tabs>
          <w:tab w:val="left" w:pos="837"/>
        </w:tabs>
        <w:autoSpaceDE w:val="0"/>
        <w:autoSpaceDN w:val="0"/>
        <w:spacing w:before="1" w:after="0" w:line="240" w:lineRule="auto"/>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evaluarea</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retenţiei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hidrosaline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(efect</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secundar</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tip</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mineralocorticoid)</w:t>
      </w:r>
    </w:p>
    <w:p w14:paraId="35529447" w14:textId="77777777" w:rsidR="00C7162D" w:rsidRPr="00C7162D" w:rsidRDefault="00C7162D" w:rsidP="00054402">
      <w:pPr>
        <w:widowControl w:val="0"/>
        <w:numPr>
          <w:ilvl w:val="0"/>
          <w:numId w:val="511"/>
        </w:numPr>
        <w:tabs>
          <w:tab w:val="left" w:pos="837"/>
        </w:tabs>
        <w:autoSpaceDE w:val="0"/>
        <w:autoSpaceDN w:val="0"/>
        <w:spacing w:before="2" w:after="0" w:line="240" w:lineRule="auto"/>
        <w:ind w:right="120"/>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testosteron</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(doar</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pentru</w:t>
      </w:r>
      <w:r w:rsidRPr="00C7162D">
        <w:rPr>
          <w:rFonts w:ascii="Times New Roman" w:eastAsia="Times New Roman" w:hAnsi="Times New Roman" w:cs="Times New Roman"/>
          <w:spacing w:val="4"/>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pacienţii</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aflaţi</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w:t>
      </w:r>
      <w:r w:rsidRPr="00C7162D">
        <w:rPr>
          <w:rFonts w:ascii="Times New Roman" w:eastAsia="Times New Roman" w:hAnsi="Times New Roman" w:cs="Times New Roman"/>
          <w:spacing w:val="5"/>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tratament</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concomitent</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cu</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analog</w:t>
      </w:r>
      <w:r w:rsidRPr="00C7162D">
        <w:rPr>
          <w:rFonts w:ascii="Times New Roman" w:eastAsia="Times New Roman" w:hAnsi="Times New Roman" w:cs="Times New Roman"/>
          <w:spacing w:val="5"/>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LHRH</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care nu</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fost castraţi chirurgical);</w:t>
      </w:r>
    </w:p>
    <w:p w14:paraId="3C0F3498" w14:textId="77777777" w:rsidR="00C7162D" w:rsidRPr="00C7162D" w:rsidRDefault="00C7162D" w:rsidP="00054402">
      <w:pPr>
        <w:widowControl w:val="0"/>
        <w:numPr>
          <w:ilvl w:val="0"/>
          <w:numId w:val="511"/>
        </w:numPr>
        <w:tabs>
          <w:tab w:val="left" w:pos="837"/>
        </w:tabs>
        <w:autoSpaceDE w:val="0"/>
        <w:autoSpaceDN w:val="0"/>
        <w:spacing w:before="23" w:after="0" w:line="240" w:lineRule="auto"/>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PSA;</w:t>
      </w:r>
    </w:p>
    <w:p w14:paraId="2E618C07" w14:textId="77777777" w:rsidR="00C7162D" w:rsidRPr="00C7162D" w:rsidRDefault="00C7162D" w:rsidP="00054402">
      <w:pPr>
        <w:widowControl w:val="0"/>
        <w:numPr>
          <w:ilvl w:val="0"/>
          <w:numId w:val="511"/>
        </w:numPr>
        <w:tabs>
          <w:tab w:val="left" w:pos="837"/>
        </w:tabs>
        <w:autoSpaceDE w:val="0"/>
        <w:autoSpaceDN w:val="0"/>
        <w:spacing w:before="1" w:after="0" w:line="240" w:lineRule="auto"/>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evaluare</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imagistică</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(Ex CT</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torace,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abdomen</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şi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pelvis,</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RMN)</w:t>
      </w:r>
    </w:p>
    <w:p w14:paraId="6F45B617" w14:textId="77777777" w:rsidR="00C7162D" w:rsidRPr="00C7162D" w:rsidRDefault="00C7162D" w:rsidP="00054402">
      <w:pPr>
        <w:widowControl w:val="0"/>
        <w:numPr>
          <w:ilvl w:val="0"/>
          <w:numId w:val="511"/>
        </w:numPr>
        <w:tabs>
          <w:tab w:val="left" w:pos="837"/>
        </w:tabs>
        <w:autoSpaceDE w:val="0"/>
        <w:autoSpaceDN w:val="0"/>
        <w:spacing w:before="2" w:after="0" w:line="240" w:lineRule="auto"/>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scintigrafie</w:t>
      </w:r>
      <w:r w:rsidRPr="00C7162D">
        <w:rPr>
          <w:rFonts w:ascii="Times New Roman" w:eastAsia="Times New Roman" w:hAnsi="Times New Roman" w:cs="Times New Roman"/>
          <w:spacing w:val="-5"/>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osoasă</w:t>
      </w:r>
    </w:p>
    <w:p w14:paraId="6067907B" w14:textId="77777777" w:rsidR="00C7162D" w:rsidRPr="00C7162D" w:rsidRDefault="00C7162D" w:rsidP="00054402">
      <w:pPr>
        <w:widowControl w:val="0"/>
        <w:numPr>
          <w:ilvl w:val="0"/>
          <w:numId w:val="511"/>
        </w:numPr>
        <w:tabs>
          <w:tab w:val="left" w:pos="837"/>
        </w:tabs>
        <w:autoSpaceDE w:val="0"/>
        <w:autoSpaceDN w:val="0"/>
        <w:spacing w:before="1" w:after="0" w:line="240" w:lineRule="auto"/>
        <w:ind w:hanging="361"/>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evaluare</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clinică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funcţiei</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cardiace.</w:t>
      </w:r>
    </w:p>
    <w:p w14:paraId="001EAFE8" w14:textId="77777777" w:rsidR="00C7162D" w:rsidRPr="00C7162D" w:rsidRDefault="00C7162D" w:rsidP="00054402">
      <w:pPr>
        <w:widowControl w:val="0"/>
        <w:numPr>
          <w:ilvl w:val="0"/>
          <w:numId w:val="517"/>
        </w:numPr>
        <w:tabs>
          <w:tab w:val="left" w:pos="503"/>
        </w:tabs>
        <w:autoSpaceDE w:val="0"/>
        <w:autoSpaceDN w:val="0"/>
        <w:spacing w:before="1" w:after="0" w:line="240" w:lineRule="auto"/>
        <w:ind w:left="502" w:hanging="502"/>
        <w:outlineLvl w:val="0"/>
        <w:rPr>
          <w:rFonts w:ascii="Times New Roman" w:eastAsia="Arial" w:hAnsi="Times New Roman" w:cs="Times New Roman"/>
          <w:b/>
          <w:bCs/>
          <w:sz w:val="24"/>
          <w:szCs w:val="24"/>
        </w:rPr>
      </w:pPr>
      <w:r w:rsidRPr="00C7162D">
        <w:rPr>
          <w:rFonts w:ascii="Times New Roman" w:eastAsia="Arial" w:hAnsi="Times New Roman" w:cs="Times New Roman"/>
          <w:b/>
          <w:bCs/>
          <w:sz w:val="24"/>
          <w:szCs w:val="24"/>
        </w:rPr>
        <w:lastRenderedPageBreak/>
        <w:t>Criterii</w:t>
      </w:r>
      <w:r w:rsidRPr="00C7162D">
        <w:rPr>
          <w:rFonts w:ascii="Times New Roman" w:eastAsia="Arial" w:hAnsi="Times New Roman" w:cs="Times New Roman"/>
          <w:b/>
          <w:bCs/>
          <w:spacing w:val="-2"/>
          <w:sz w:val="24"/>
          <w:szCs w:val="24"/>
        </w:rPr>
        <w:t xml:space="preserve"> </w:t>
      </w:r>
      <w:r w:rsidRPr="00C7162D">
        <w:rPr>
          <w:rFonts w:ascii="Times New Roman" w:eastAsia="Arial" w:hAnsi="Times New Roman" w:cs="Times New Roman"/>
          <w:b/>
          <w:bCs/>
          <w:sz w:val="24"/>
          <w:szCs w:val="24"/>
        </w:rPr>
        <w:t>pentru</w:t>
      </w:r>
      <w:r w:rsidRPr="00C7162D">
        <w:rPr>
          <w:rFonts w:ascii="Times New Roman" w:eastAsia="Arial" w:hAnsi="Times New Roman" w:cs="Times New Roman"/>
          <w:b/>
          <w:bCs/>
          <w:spacing w:val="-1"/>
          <w:sz w:val="24"/>
          <w:szCs w:val="24"/>
        </w:rPr>
        <w:t xml:space="preserve"> </w:t>
      </w:r>
      <w:r w:rsidRPr="00C7162D">
        <w:rPr>
          <w:rFonts w:ascii="Times New Roman" w:eastAsia="Arial" w:hAnsi="Times New Roman" w:cs="Times New Roman"/>
          <w:b/>
          <w:bCs/>
          <w:sz w:val="24"/>
          <w:szCs w:val="24"/>
        </w:rPr>
        <w:t>întreruperea</w:t>
      </w:r>
      <w:r w:rsidRPr="00C7162D">
        <w:rPr>
          <w:rFonts w:ascii="Times New Roman" w:eastAsia="Arial" w:hAnsi="Times New Roman" w:cs="Times New Roman"/>
          <w:b/>
          <w:bCs/>
          <w:spacing w:val="-2"/>
          <w:sz w:val="24"/>
          <w:szCs w:val="24"/>
        </w:rPr>
        <w:t xml:space="preserve"> </w:t>
      </w:r>
      <w:r w:rsidRPr="00C7162D">
        <w:rPr>
          <w:rFonts w:ascii="Times New Roman" w:eastAsia="Arial" w:hAnsi="Times New Roman" w:cs="Times New Roman"/>
          <w:b/>
          <w:bCs/>
          <w:sz w:val="24"/>
          <w:szCs w:val="24"/>
        </w:rPr>
        <w:t>tratamentului</w:t>
      </w:r>
      <w:r w:rsidRPr="00C7162D">
        <w:rPr>
          <w:rFonts w:ascii="Times New Roman" w:eastAsia="Arial" w:hAnsi="Times New Roman" w:cs="Times New Roman"/>
          <w:b/>
          <w:bCs/>
          <w:spacing w:val="-1"/>
          <w:sz w:val="24"/>
          <w:szCs w:val="24"/>
        </w:rPr>
        <w:t xml:space="preserve"> </w:t>
      </w:r>
      <w:r w:rsidRPr="00C7162D">
        <w:rPr>
          <w:rFonts w:ascii="Times New Roman" w:eastAsia="Arial" w:hAnsi="Times New Roman" w:cs="Times New Roman"/>
          <w:b/>
          <w:bCs/>
          <w:sz w:val="24"/>
          <w:szCs w:val="24"/>
        </w:rPr>
        <w:t>cu</w:t>
      </w:r>
      <w:r w:rsidRPr="00C7162D">
        <w:rPr>
          <w:rFonts w:ascii="Times New Roman" w:eastAsia="Arial" w:hAnsi="Times New Roman" w:cs="Times New Roman"/>
          <w:b/>
          <w:bCs/>
          <w:spacing w:val="-2"/>
          <w:sz w:val="24"/>
          <w:szCs w:val="24"/>
        </w:rPr>
        <w:t xml:space="preserve"> </w:t>
      </w:r>
      <w:r w:rsidRPr="00C7162D">
        <w:rPr>
          <w:rFonts w:ascii="Times New Roman" w:eastAsia="Arial" w:hAnsi="Times New Roman" w:cs="Times New Roman"/>
          <w:b/>
          <w:bCs/>
          <w:sz w:val="24"/>
          <w:szCs w:val="24"/>
        </w:rPr>
        <w:t>Abirateronum</w:t>
      </w:r>
    </w:p>
    <w:p w14:paraId="344EF601" w14:textId="77777777" w:rsidR="00C7162D" w:rsidRPr="00C7162D" w:rsidRDefault="00C7162D" w:rsidP="00054402">
      <w:pPr>
        <w:widowControl w:val="0"/>
        <w:numPr>
          <w:ilvl w:val="1"/>
          <w:numId w:val="520"/>
        </w:numPr>
        <w:pBdr>
          <w:top w:val="nil"/>
          <w:left w:val="nil"/>
          <w:bottom w:val="nil"/>
          <w:right w:val="nil"/>
          <w:between w:val="nil"/>
          <w:bar w:val="nil"/>
        </w:pBdr>
        <w:tabs>
          <w:tab w:val="left" w:pos="284"/>
        </w:tabs>
        <w:autoSpaceDE w:val="0"/>
        <w:autoSpaceDN w:val="0"/>
        <w:spacing w:after="0" w:line="240" w:lineRule="auto"/>
        <w:ind w:hanging="1440"/>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cel</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puţin</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2</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din</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cele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3</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criterii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progresie:</w:t>
      </w:r>
    </w:p>
    <w:p w14:paraId="544049F9" w14:textId="77777777" w:rsidR="00C7162D" w:rsidRPr="00C7162D" w:rsidRDefault="00C7162D" w:rsidP="00C7162D">
      <w:pPr>
        <w:spacing w:before="183" w:after="0"/>
        <w:jc w:val="both"/>
        <w:rPr>
          <w:rFonts w:ascii="Times New Roman" w:eastAsia="Calibri" w:hAnsi="Times New Roman" w:cs="Times New Roman"/>
          <w:sz w:val="24"/>
          <w:szCs w:val="24"/>
        </w:rPr>
      </w:pPr>
      <w:r w:rsidRPr="00C7162D">
        <w:rPr>
          <w:rFonts w:ascii="Times New Roman" w:eastAsia="Calibri" w:hAnsi="Times New Roman" w:cs="Times New Roman"/>
          <w:b/>
          <w:sz w:val="24"/>
          <w:szCs w:val="24"/>
        </w:rPr>
        <w:t>Progresie</w:t>
      </w:r>
      <w:r w:rsidRPr="00C7162D">
        <w:rPr>
          <w:rFonts w:ascii="Times New Roman" w:eastAsia="Calibri" w:hAnsi="Times New Roman" w:cs="Times New Roman"/>
          <w:b/>
          <w:spacing w:val="-1"/>
          <w:sz w:val="24"/>
          <w:szCs w:val="24"/>
        </w:rPr>
        <w:t xml:space="preserve"> </w:t>
      </w:r>
      <w:r w:rsidRPr="00C7162D">
        <w:rPr>
          <w:rFonts w:ascii="Times New Roman" w:eastAsia="Calibri" w:hAnsi="Times New Roman" w:cs="Times New Roman"/>
          <w:b/>
          <w:sz w:val="24"/>
          <w:szCs w:val="24"/>
        </w:rPr>
        <w:t>radiologică</w:t>
      </w:r>
      <w:r w:rsidRPr="00C7162D">
        <w:rPr>
          <w:rFonts w:ascii="Times New Roman" w:eastAsia="Calibri" w:hAnsi="Times New Roman" w:cs="Times New Roman"/>
          <w:sz w:val="24"/>
          <w:szCs w:val="24"/>
        </w:rPr>
        <w:t>,</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pe</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baza</w:t>
      </w:r>
      <w:r w:rsidRPr="00C7162D">
        <w:rPr>
          <w:rFonts w:ascii="Times New Roman" w:eastAsia="Calibri" w:hAnsi="Times New Roman" w:cs="Times New Roman"/>
          <w:spacing w:val="-2"/>
          <w:sz w:val="24"/>
          <w:szCs w:val="24"/>
        </w:rPr>
        <w:t xml:space="preserve"> </w:t>
      </w:r>
      <w:r w:rsidRPr="00C7162D">
        <w:rPr>
          <w:rFonts w:ascii="Times New Roman" w:eastAsia="Calibri" w:hAnsi="Times New Roman" w:cs="Times New Roman"/>
          <w:sz w:val="24"/>
          <w:szCs w:val="24"/>
        </w:rPr>
        <w:t>examenului</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CT</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sau</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RMN</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sau</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a</w:t>
      </w:r>
      <w:r w:rsidRPr="00C7162D">
        <w:rPr>
          <w:rFonts w:ascii="Times New Roman" w:eastAsia="Calibri" w:hAnsi="Times New Roman" w:cs="Times New Roman"/>
          <w:spacing w:val="-2"/>
          <w:sz w:val="24"/>
          <w:szCs w:val="24"/>
        </w:rPr>
        <w:t xml:space="preserve"> </w:t>
      </w:r>
      <w:r w:rsidRPr="00C7162D">
        <w:rPr>
          <w:rFonts w:ascii="Times New Roman" w:eastAsia="Calibri" w:hAnsi="Times New Roman" w:cs="Times New Roman"/>
          <w:sz w:val="24"/>
          <w:szCs w:val="24"/>
        </w:rPr>
        <w:t>scintigrafiei</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osoase</w:t>
      </w:r>
    </w:p>
    <w:p w14:paraId="4162B3DE" w14:textId="77777777" w:rsidR="00C7162D" w:rsidRPr="00C7162D" w:rsidRDefault="00C7162D" w:rsidP="00054402">
      <w:pPr>
        <w:widowControl w:val="0"/>
        <w:numPr>
          <w:ilvl w:val="1"/>
          <w:numId w:val="519"/>
        </w:numPr>
        <w:tabs>
          <w:tab w:val="left" w:pos="837"/>
        </w:tabs>
        <w:autoSpaceDE w:val="0"/>
        <w:autoSpaceDN w:val="0"/>
        <w:spacing w:before="2" w:after="0" w:line="240" w:lineRule="auto"/>
        <w:ind w:hanging="361"/>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apariţia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minimum</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2 leziuni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noi,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osoase;</w:t>
      </w:r>
    </w:p>
    <w:p w14:paraId="3452386A" w14:textId="3B299EF9" w:rsidR="00C7162D" w:rsidRDefault="00C7162D" w:rsidP="00054402">
      <w:pPr>
        <w:widowControl w:val="0"/>
        <w:numPr>
          <w:ilvl w:val="1"/>
          <w:numId w:val="519"/>
        </w:numPr>
        <w:tabs>
          <w:tab w:val="left" w:pos="837"/>
        </w:tabs>
        <w:autoSpaceDE w:val="0"/>
        <w:autoSpaceDN w:val="0"/>
        <w:spacing w:before="20" w:after="0" w:line="240" w:lineRule="auto"/>
        <w:ind w:right="115"/>
        <w:jc w:val="both"/>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progresia la nivelul ganglionilor limfatici/alte leziuni de părţi moi va fi în conformitate cu</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criteriile RECIST modificate pentru adenopatii - care trebuia să aibă minimum 15 mm în</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axul scurt pentru a putea fi considerată leziune-ţintă (măsurabilă); trebuie dovedită o</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creştere cu minimum 20% a sumei diametrelor scurte (dar nu în primele 12 săptămâni de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iniţierea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tratamentului) sau apariţia unor</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leziuni noi;</w:t>
      </w:r>
    </w:p>
    <w:p w14:paraId="46C4837C" w14:textId="77777777" w:rsidR="00C7162D" w:rsidRPr="00C7162D" w:rsidRDefault="00C7162D" w:rsidP="00C7162D">
      <w:pPr>
        <w:widowControl w:val="0"/>
        <w:tabs>
          <w:tab w:val="left" w:pos="837"/>
        </w:tabs>
        <w:autoSpaceDE w:val="0"/>
        <w:autoSpaceDN w:val="0"/>
        <w:spacing w:before="20" w:after="0" w:line="240" w:lineRule="auto"/>
        <w:ind w:left="836" w:right="115"/>
        <w:jc w:val="both"/>
        <w:rPr>
          <w:rFonts w:ascii="Times New Roman" w:eastAsia="Times New Roman" w:hAnsi="Times New Roman" w:cs="Times New Roman"/>
          <w:sz w:val="24"/>
          <w:szCs w:val="24"/>
          <w:u w:color="000000"/>
          <w:bdr w:val="nil"/>
          <w:lang w:eastAsia="ro-RO"/>
        </w:rPr>
      </w:pPr>
    </w:p>
    <w:p w14:paraId="143686E1" w14:textId="77777777" w:rsidR="00C7162D" w:rsidRPr="00C7162D" w:rsidRDefault="00C7162D" w:rsidP="00C7162D">
      <w:pPr>
        <w:widowControl w:val="0"/>
        <w:autoSpaceDE w:val="0"/>
        <w:autoSpaceDN w:val="0"/>
        <w:spacing w:before="1"/>
        <w:ind w:right="115"/>
        <w:jc w:val="both"/>
        <w:rPr>
          <w:rFonts w:ascii="Times New Roman" w:eastAsia="Arial" w:hAnsi="Times New Roman" w:cs="Times New Roman"/>
          <w:sz w:val="24"/>
          <w:szCs w:val="24"/>
        </w:rPr>
      </w:pPr>
      <w:r w:rsidRPr="00C7162D">
        <w:rPr>
          <w:rFonts w:ascii="Times New Roman" w:eastAsia="Arial" w:hAnsi="Times New Roman" w:cs="Times New Roman"/>
          <w:b/>
          <w:sz w:val="24"/>
          <w:szCs w:val="24"/>
        </w:rPr>
        <w:t xml:space="preserve">Progresie clinică </w:t>
      </w:r>
      <w:r w:rsidRPr="00C7162D">
        <w:rPr>
          <w:rFonts w:ascii="Times New Roman" w:eastAsia="Arial" w:hAnsi="Times New Roman" w:cs="Times New Roman"/>
          <w:sz w:val="24"/>
          <w:szCs w:val="24"/>
        </w:rPr>
        <w:t>(simptomatologie evidentă care atestă evoluţia bolii): fractură pe os patologic,</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creşterea intensităţii durerii (creşterea dozei de opioid sau obiectivarea printr-o scală numerică:</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VPI,</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BPI-SF etc.),</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compresiune</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medulară,</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necesitatea iradierii</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paleative sau</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a tratamentului</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chirurgical paleativ pentru metastaze osoase, necesitatea creşterii dozei de corticoterapie pentru</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combaterea</w:t>
      </w:r>
      <w:r w:rsidRPr="00C7162D">
        <w:rPr>
          <w:rFonts w:ascii="Times New Roman" w:eastAsia="Arial" w:hAnsi="Times New Roman" w:cs="Times New Roman"/>
          <w:spacing w:val="-2"/>
          <w:sz w:val="24"/>
          <w:szCs w:val="24"/>
        </w:rPr>
        <w:t xml:space="preserve"> </w:t>
      </w:r>
      <w:r w:rsidRPr="00C7162D">
        <w:rPr>
          <w:rFonts w:ascii="Times New Roman" w:eastAsia="Arial" w:hAnsi="Times New Roman" w:cs="Times New Roman"/>
          <w:sz w:val="24"/>
          <w:szCs w:val="24"/>
        </w:rPr>
        <w:t>efectelor toxice</w:t>
      </w:r>
      <w:r w:rsidRPr="00C7162D">
        <w:rPr>
          <w:rFonts w:ascii="Times New Roman" w:eastAsia="Arial" w:hAnsi="Times New Roman" w:cs="Times New Roman"/>
          <w:spacing w:val="-1"/>
          <w:sz w:val="24"/>
          <w:szCs w:val="24"/>
        </w:rPr>
        <w:t xml:space="preserve"> </w:t>
      </w:r>
      <w:r w:rsidRPr="00C7162D">
        <w:rPr>
          <w:rFonts w:ascii="Times New Roman" w:eastAsia="Arial" w:hAnsi="Times New Roman" w:cs="Times New Roman"/>
          <w:sz w:val="24"/>
          <w:szCs w:val="24"/>
        </w:rPr>
        <w:t>etc.</w:t>
      </w:r>
    </w:p>
    <w:p w14:paraId="0AE12476" w14:textId="77777777" w:rsidR="00C7162D" w:rsidRPr="00C7162D" w:rsidRDefault="00C7162D" w:rsidP="00C7162D">
      <w:pPr>
        <w:jc w:val="both"/>
        <w:rPr>
          <w:rFonts w:ascii="Times New Roman" w:eastAsia="Calibri" w:hAnsi="Times New Roman" w:cs="Times New Roman"/>
          <w:sz w:val="24"/>
          <w:szCs w:val="24"/>
        </w:rPr>
      </w:pPr>
      <w:r w:rsidRPr="00C7162D">
        <w:rPr>
          <w:rFonts w:ascii="Times New Roman" w:eastAsia="Calibri" w:hAnsi="Times New Roman" w:cs="Times New Roman"/>
          <w:b/>
          <w:sz w:val="24"/>
          <w:szCs w:val="24"/>
        </w:rPr>
        <w:t>Progresia</w:t>
      </w:r>
      <w:r w:rsidRPr="00C7162D">
        <w:rPr>
          <w:rFonts w:ascii="Times New Roman" w:eastAsia="Calibri" w:hAnsi="Times New Roman" w:cs="Times New Roman"/>
          <w:b/>
          <w:spacing w:val="-1"/>
          <w:sz w:val="24"/>
          <w:szCs w:val="24"/>
        </w:rPr>
        <w:t xml:space="preserve"> </w:t>
      </w:r>
      <w:r w:rsidRPr="00C7162D">
        <w:rPr>
          <w:rFonts w:ascii="Times New Roman" w:eastAsia="Calibri" w:hAnsi="Times New Roman" w:cs="Times New Roman"/>
          <w:b/>
          <w:sz w:val="24"/>
          <w:szCs w:val="24"/>
        </w:rPr>
        <w:t>valorii</w:t>
      </w:r>
      <w:r w:rsidRPr="00C7162D">
        <w:rPr>
          <w:rFonts w:ascii="Times New Roman" w:eastAsia="Calibri" w:hAnsi="Times New Roman" w:cs="Times New Roman"/>
          <w:b/>
          <w:spacing w:val="1"/>
          <w:sz w:val="24"/>
          <w:szCs w:val="24"/>
        </w:rPr>
        <w:t xml:space="preserve"> </w:t>
      </w:r>
      <w:r w:rsidRPr="00C7162D">
        <w:rPr>
          <w:rFonts w:ascii="Times New Roman" w:eastAsia="Calibri" w:hAnsi="Times New Roman" w:cs="Times New Roman"/>
          <w:b/>
          <w:sz w:val="24"/>
          <w:szCs w:val="24"/>
        </w:rPr>
        <w:t>PSA:</w:t>
      </w:r>
      <w:r w:rsidRPr="00C7162D">
        <w:rPr>
          <w:rFonts w:ascii="Times New Roman" w:eastAsia="Calibri" w:hAnsi="Times New Roman" w:cs="Times New Roman"/>
          <w:b/>
          <w:spacing w:val="1"/>
          <w:sz w:val="24"/>
          <w:szCs w:val="24"/>
        </w:rPr>
        <w:t xml:space="preserve"> </w:t>
      </w:r>
      <w:r w:rsidRPr="00C7162D">
        <w:rPr>
          <w:rFonts w:ascii="Times New Roman" w:eastAsia="Calibri" w:hAnsi="Times New Roman" w:cs="Times New Roman"/>
          <w:sz w:val="24"/>
          <w:szCs w:val="24"/>
        </w:rPr>
        <w:t>creştere</w:t>
      </w:r>
      <w:r w:rsidRPr="00C7162D">
        <w:rPr>
          <w:rFonts w:ascii="Times New Roman" w:eastAsia="Calibri" w:hAnsi="Times New Roman" w:cs="Times New Roman"/>
          <w:spacing w:val="-2"/>
          <w:sz w:val="24"/>
          <w:szCs w:val="24"/>
        </w:rPr>
        <w:t xml:space="preserve"> </w:t>
      </w:r>
      <w:r w:rsidRPr="00C7162D">
        <w:rPr>
          <w:rFonts w:ascii="Times New Roman" w:eastAsia="Calibri" w:hAnsi="Times New Roman" w:cs="Times New Roman"/>
          <w:sz w:val="24"/>
          <w:szCs w:val="24"/>
        </w:rPr>
        <w:t>confirmată</w:t>
      </w:r>
      <w:r w:rsidRPr="00C7162D">
        <w:rPr>
          <w:rFonts w:ascii="Times New Roman" w:eastAsia="Calibri" w:hAnsi="Times New Roman" w:cs="Times New Roman"/>
          <w:spacing w:val="-2"/>
          <w:sz w:val="24"/>
          <w:szCs w:val="24"/>
        </w:rPr>
        <w:t xml:space="preserve"> </w:t>
      </w:r>
      <w:r w:rsidRPr="00C7162D">
        <w:rPr>
          <w:rFonts w:ascii="Times New Roman" w:eastAsia="Calibri" w:hAnsi="Times New Roman" w:cs="Times New Roman"/>
          <w:sz w:val="24"/>
          <w:szCs w:val="24"/>
        </w:rPr>
        <w:t>cu</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25%</w:t>
      </w:r>
      <w:r w:rsidRPr="00C7162D">
        <w:rPr>
          <w:rFonts w:ascii="Times New Roman" w:eastAsia="Calibri" w:hAnsi="Times New Roman" w:cs="Times New Roman"/>
          <w:spacing w:val="-2"/>
          <w:sz w:val="24"/>
          <w:szCs w:val="24"/>
        </w:rPr>
        <w:t xml:space="preserve"> </w:t>
      </w:r>
      <w:r w:rsidRPr="00C7162D">
        <w:rPr>
          <w:rFonts w:ascii="Times New Roman" w:eastAsia="Calibri" w:hAnsi="Times New Roman" w:cs="Times New Roman"/>
          <w:sz w:val="24"/>
          <w:szCs w:val="24"/>
        </w:rPr>
        <w:t>faţă</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de</w:t>
      </w:r>
      <w:r w:rsidRPr="00C7162D">
        <w:rPr>
          <w:rFonts w:ascii="Times New Roman" w:eastAsia="Calibri" w:hAnsi="Times New Roman" w:cs="Times New Roman"/>
          <w:spacing w:val="-2"/>
          <w:sz w:val="24"/>
          <w:szCs w:val="24"/>
        </w:rPr>
        <w:t xml:space="preserve"> </w:t>
      </w:r>
      <w:r w:rsidRPr="00C7162D">
        <w:rPr>
          <w:rFonts w:ascii="Times New Roman" w:eastAsia="Calibri" w:hAnsi="Times New Roman" w:cs="Times New Roman"/>
          <w:sz w:val="24"/>
          <w:szCs w:val="24"/>
        </w:rPr>
        <w:t>valoarea</w:t>
      </w:r>
      <w:r w:rsidRPr="00C7162D">
        <w:rPr>
          <w:rFonts w:ascii="Times New Roman" w:eastAsia="Calibri" w:hAnsi="Times New Roman" w:cs="Times New Roman"/>
          <w:spacing w:val="-2"/>
          <w:sz w:val="24"/>
          <w:szCs w:val="24"/>
        </w:rPr>
        <w:t xml:space="preserve"> </w:t>
      </w:r>
      <w:r w:rsidRPr="00C7162D">
        <w:rPr>
          <w:rFonts w:ascii="Times New Roman" w:eastAsia="Calibri" w:hAnsi="Times New Roman" w:cs="Times New Roman"/>
          <w:sz w:val="24"/>
          <w:szCs w:val="24"/>
        </w:rPr>
        <w:t>iniţială</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a</w:t>
      </w:r>
      <w:r w:rsidRPr="00C7162D">
        <w:rPr>
          <w:rFonts w:ascii="Times New Roman" w:eastAsia="Calibri" w:hAnsi="Times New Roman" w:cs="Times New Roman"/>
          <w:spacing w:val="-2"/>
          <w:sz w:val="24"/>
          <w:szCs w:val="24"/>
        </w:rPr>
        <w:t xml:space="preserve"> </w:t>
      </w:r>
      <w:r w:rsidRPr="00C7162D">
        <w:rPr>
          <w:rFonts w:ascii="Times New Roman" w:eastAsia="Calibri" w:hAnsi="Times New Roman" w:cs="Times New Roman"/>
          <w:sz w:val="24"/>
          <w:szCs w:val="24"/>
        </w:rPr>
        <w:t>pacientului</w:t>
      </w:r>
    </w:p>
    <w:p w14:paraId="7A406841" w14:textId="77777777" w:rsidR="00C7162D" w:rsidRPr="00C7162D" w:rsidRDefault="00C7162D" w:rsidP="00054402">
      <w:pPr>
        <w:widowControl w:val="0"/>
        <w:numPr>
          <w:ilvl w:val="0"/>
          <w:numId w:val="519"/>
        </w:numPr>
        <w:tabs>
          <w:tab w:val="left" w:pos="400"/>
        </w:tabs>
        <w:autoSpaceDE w:val="0"/>
        <w:autoSpaceDN w:val="0"/>
        <w:spacing w:after="0" w:line="240" w:lineRule="auto"/>
        <w:ind w:hanging="296"/>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efecte</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secundare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(toxice)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nerecuperate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(temporar/definitiv,</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la</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latitudinea</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medicului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curant):</w:t>
      </w:r>
    </w:p>
    <w:p w14:paraId="13EC77F5" w14:textId="77777777" w:rsidR="00C7162D" w:rsidRPr="00C7162D" w:rsidRDefault="00C7162D" w:rsidP="00054402">
      <w:pPr>
        <w:widowControl w:val="0"/>
        <w:numPr>
          <w:ilvl w:val="0"/>
          <w:numId w:val="518"/>
        </w:numPr>
        <w:tabs>
          <w:tab w:val="left" w:pos="1250"/>
        </w:tabs>
        <w:autoSpaceDE w:val="0"/>
        <w:autoSpaceDN w:val="0"/>
        <w:spacing w:before="22" w:after="0" w:line="240" w:lineRule="auto"/>
        <w:ind w:hanging="426"/>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reducerea</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funcţiei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cardiace,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semnificativă</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din</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punct</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vedere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clinic</w:t>
      </w:r>
    </w:p>
    <w:p w14:paraId="71C2ACAC" w14:textId="77777777" w:rsidR="00C7162D" w:rsidRPr="00C7162D" w:rsidRDefault="00C7162D" w:rsidP="00054402">
      <w:pPr>
        <w:widowControl w:val="0"/>
        <w:numPr>
          <w:ilvl w:val="0"/>
          <w:numId w:val="518"/>
        </w:numPr>
        <w:tabs>
          <w:tab w:val="left" w:pos="1250"/>
        </w:tabs>
        <w:autoSpaceDE w:val="0"/>
        <w:autoSpaceDN w:val="0"/>
        <w:spacing w:before="1" w:after="0" w:line="240" w:lineRule="auto"/>
        <w:ind w:hanging="426"/>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creşterea</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transaminazelor GPT</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sau</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GOT</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val="single" w:color="000000"/>
          <w:bdr w:val="nil"/>
          <w:lang w:eastAsia="ro-RO"/>
        </w:rPr>
        <w:t>&gt;</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5</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ori valoarea</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superioară</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normalului</w:t>
      </w:r>
    </w:p>
    <w:p w14:paraId="546724F0" w14:textId="77777777" w:rsidR="00C7162D" w:rsidRPr="00C7162D" w:rsidRDefault="00C7162D" w:rsidP="00054402">
      <w:pPr>
        <w:widowControl w:val="0"/>
        <w:numPr>
          <w:ilvl w:val="0"/>
          <w:numId w:val="518"/>
        </w:numPr>
        <w:tabs>
          <w:tab w:val="left" w:pos="1250"/>
        </w:tabs>
        <w:autoSpaceDE w:val="0"/>
        <w:autoSpaceDN w:val="0"/>
        <w:spacing w:before="2" w:after="0" w:line="240" w:lineRule="auto"/>
        <w:ind w:right="117"/>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dezvoltarea</w:t>
      </w:r>
      <w:r w:rsidRPr="00C7162D">
        <w:rPr>
          <w:rFonts w:ascii="Times New Roman" w:eastAsia="Times New Roman" w:hAnsi="Times New Roman" w:cs="Times New Roman"/>
          <w:spacing w:val="40"/>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toxicităţii</w:t>
      </w:r>
      <w:r w:rsidRPr="00C7162D">
        <w:rPr>
          <w:rFonts w:ascii="Times New Roman" w:eastAsia="Times New Roman" w:hAnsi="Times New Roman" w:cs="Times New Roman"/>
          <w:spacing w:val="4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de</w:t>
      </w:r>
      <w:r w:rsidRPr="00C7162D">
        <w:rPr>
          <w:rFonts w:ascii="Times New Roman" w:eastAsia="Times New Roman" w:hAnsi="Times New Roman" w:cs="Times New Roman"/>
          <w:spacing w:val="40"/>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Grad</w:t>
      </w:r>
      <w:r w:rsidRPr="00C7162D">
        <w:rPr>
          <w:rFonts w:ascii="Times New Roman" w:eastAsia="Times New Roman" w:hAnsi="Times New Roman" w:cs="Times New Roman"/>
          <w:spacing w:val="44"/>
          <w:sz w:val="24"/>
          <w:szCs w:val="24"/>
          <w:u w:color="000000"/>
          <w:bdr w:val="nil"/>
          <w:lang w:eastAsia="ro-RO"/>
        </w:rPr>
        <w:t xml:space="preserve"> </w:t>
      </w:r>
      <w:r w:rsidRPr="00C7162D">
        <w:rPr>
          <w:rFonts w:ascii="Times New Roman" w:eastAsia="Times New Roman" w:hAnsi="Times New Roman" w:cs="Times New Roman"/>
          <w:sz w:val="24"/>
          <w:szCs w:val="24"/>
          <w:u w:val="single" w:color="000000"/>
          <w:bdr w:val="nil"/>
          <w:lang w:eastAsia="ro-RO"/>
        </w:rPr>
        <w:t>&gt;</w:t>
      </w:r>
      <w:r w:rsidRPr="00C7162D">
        <w:rPr>
          <w:rFonts w:ascii="Times New Roman" w:eastAsia="Times New Roman" w:hAnsi="Times New Roman" w:cs="Times New Roman"/>
          <w:spacing w:val="40"/>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3</w:t>
      </w:r>
      <w:r w:rsidRPr="00C7162D">
        <w:rPr>
          <w:rFonts w:ascii="Times New Roman" w:eastAsia="Times New Roman" w:hAnsi="Times New Roman" w:cs="Times New Roman"/>
          <w:spacing w:val="4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inclusiv</w:t>
      </w:r>
      <w:r w:rsidRPr="00C7162D">
        <w:rPr>
          <w:rFonts w:ascii="Times New Roman" w:eastAsia="Times New Roman" w:hAnsi="Times New Roman" w:cs="Times New Roman"/>
          <w:spacing w:val="4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hipertensiune</w:t>
      </w:r>
      <w:r w:rsidRPr="00C7162D">
        <w:rPr>
          <w:rFonts w:ascii="Times New Roman" w:eastAsia="Times New Roman" w:hAnsi="Times New Roman" w:cs="Times New Roman"/>
          <w:spacing w:val="40"/>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arterială,</w:t>
      </w:r>
      <w:r w:rsidRPr="00C7162D">
        <w:rPr>
          <w:rFonts w:ascii="Times New Roman" w:eastAsia="Times New Roman" w:hAnsi="Times New Roman" w:cs="Times New Roman"/>
          <w:spacing w:val="4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hipopotasemie,</w:t>
      </w:r>
      <w:r w:rsidRPr="00C7162D">
        <w:rPr>
          <w:rFonts w:ascii="Times New Roman" w:eastAsia="Times New Roman" w:hAnsi="Times New Roman" w:cs="Times New Roman"/>
          <w:spacing w:val="-57"/>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edeme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şi</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alte</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toxicităţi de tip non-mineralocorticoid</w:t>
      </w:r>
    </w:p>
    <w:p w14:paraId="1400FF1B" w14:textId="77777777" w:rsidR="00C7162D" w:rsidRPr="00C7162D" w:rsidRDefault="00C7162D" w:rsidP="00054402">
      <w:pPr>
        <w:widowControl w:val="0"/>
        <w:numPr>
          <w:ilvl w:val="0"/>
          <w:numId w:val="519"/>
        </w:numPr>
        <w:tabs>
          <w:tab w:val="left" w:pos="400"/>
        </w:tabs>
        <w:autoSpaceDE w:val="0"/>
        <w:autoSpaceDN w:val="0"/>
        <w:spacing w:before="23" w:after="0" w:line="240" w:lineRule="auto"/>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decizia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medicului;</w:t>
      </w:r>
    </w:p>
    <w:p w14:paraId="05476237" w14:textId="77777777" w:rsidR="00C7162D" w:rsidRDefault="00C7162D" w:rsidP="00054402">
      <w:pPr>
        <w:widowControl w:val="0"/>
        <w:numPr>
          <w:ilvl w:val="0"/>
          <w:numId w:val="519"/>
        </w:numPr>
        <w:tabs>
          <w:tab w:val="left" w:pos="400"/>
        </w:tabs>
        <w:autoSpaceDE w:val="0"/>
        <w:autoSpaceDN w:val="0"/>
        <w:spacing w:before="22" w:after="0" w:line="240" w:lineRule="auto"/>
        <w:rPr>
          <w:rFonts w:ascii="Times New Roman" w:eastAsia="Times New Roman" w:hAnsi="Times New Roman" w:cs="Times New Roman"/>
          <w:sz w:val="24"/>
          <w:szCs w:val="24"/>
          <w:u w:color="000000"/>
          <w:bdr w:val="nil"/>
          <w:lang w:eastAsia="ro-RO"/>
        </w:rPr>
      </w:pPr>
      <w:r w:rsidRPr="00C7162D">
        <w:rPr>
          <w:rFonts w:ascii="Times New Roman" w:eastAsia="Times New Roman" w:hAnsi="Times New Roman" w:cs="Times New Roman"/>
          <w:sz w:val="24"/>
          <w:szCs w:val="24"/>
          <w:u w:color="000000"/>
          <w:bdr w:val="nil"/>
          <w:lang w:eastAsia="ro-RO"/>
        </w:rPr>
        <w:t>dorinţa</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pacientului de</w:t>
      </w:r>
      <w:r w:rsidRPr="00C7162D">
        <w:rPr>
          <w:rFonts w:ascii="Times New Roman" w:eastAsia="Times New Roman" w:hAnsi="Times New Roman" w:cs="Times New Roman"/>
          <w:spacing w:val="-2"/>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a</w:t>
      </w:r>
      <w:r w:rsidRPr="00C7162D">
        <w:rPr>
          <w:rFonts w:ascii="Times New Roman" w:eastAsia="Times New Roman" w:hAnsi="Times New Roman" w:cs="Times New Roman"/>
          <w:spacing w:val="-1"/>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întrerupe</w:t>
      </w:r>
      <w:r w:rsidRPr="00C7162D">
        <w:rPr>
          <w:rFonts w:ascii="Times New Roman" w:eastAsia="Times New Roman" w:hAnsi="Times New Roman" w:cs="Times New Roman"/>
          <w:spacing w:val="-3"/>
          <w:sz w:val="24"/>
          <w:szCs w:val="24"/>
          <w:u w:color="000000"/>
          <w:bdr w:val="nil"/>
          <w:lang w:eastAsia="ro-RO"/>
        </w:rPr>
        <w:t xml:space="preserve"> </w:t>
      </w:r>
      <w:r w:rsidRPr="00C7162D">
        <w:rPr>
          <w:rFonts w:ascii="Times New Roman" w:eastAsia="Times New Roman" w:hAnsi="Times New Roman" w:cs="Times New Roman"/>
          <w:sz w:val="24"/>
          <w:szCs w:val="24"/>
          <w:u w:color="000000"/>
          <w:bdr w:val="nil"/>
          <w:lang w:eastAsia="ro-RO"/>
        </w:rPr>
        <w:t>tratamentul.</w:t>
      </w:r>
    </w:p>
    <w:p w14:paraId="4D93A5F3" w14:textId="77777777" w:rsidR="00C7162D" w:rsidRPr="00C7162D" w:rsidRDefault="00C7162D" w:rsidP="00C7162D">
      <w:pPr>
        <w:widowControl w:val="0"/>
        <w:tabs>
          <w:tab w:val="left" w:pos="400"/>
        </w:tabs>
        <w:autoSpaceDE w:val="0"/>
        <w:autoSpaceDN w:val="0"/>
        <w:spacing w:before="22" w:after="0" w:line="240" w:lineRule="auto"/>
        <w:ind w:left="399"/>
        <w:rPr>
          <w:rFonts w:ascii="Times New Roman" w:eastAsia="Times New Roman" w:hAnsi="Times New Roman" w:cs="Times New Roman"/>
          <w:sz w:val="24"/>
          <w:szCs w:val="24"/>
          <w:u w:color="000000"/>
          <w:bdr w:val="nil"/>
          <w:lang w:eastAsia="ro-RO"/>
        </w:rPr>
      </w:pPr>
    </w:p>
    <w:p w14:paraId="1E8F7C53" w14:textId="77777777" w:rsidR="00C7162D" w:rsidRPr="00C7162D" w:rsidRDefault="00C7162D" w:rsidP="00054402">
      <w:pPr>
        <w:widowControl w:val="0"/>
        <w:numPr>
          <w:ilvl w:val="0"/>
          <w:numId w:val="517"/>
        </w:numPr>
        <w:tabs>
          <w:tab w:val="left" w:pos="567"/>
        </w:tabs>
        <w:autoSpaceDE w:val="0"/>
        <w:autoSpaceDN w:val="0"/>
        <w:spacing w:before="1" w:after="0" w:line="274" w:lineRule="exact"/>
        <w:ind w:left="596" w:hanging="596"/>
        <w:jc w:val="both"/>
        <w:outlineLvl w:val="0"/>
        <w:rPr>
          <w:rFonts w:ascii="Times New Roman" w:eastAsia="Arial" w:hAnsi="Times New Roman" w:cs="Times New Roman"/>
          <w:b/>
          <w:bCs/>
          <w:sz w:val="24"/>
          <w:szCs w:val="24"/>
        </w:rPr>
      </w:pPr>
      <w:r w:rsidRPr="00C7162D">
        <w:rPr>
          <w:rFonts w:ascii="Times New Roman" w:eastAsia="Arial" w:hAnsi="Times New Roman" w:cs="Times New Roman"/>
          <w:b/>
          <w:bCs/>
          <w:sz w:val="24"/>
          <w:szCs w:val="24"/>
        </w:rPr>
        <w:t>Prescriptori:</w:t>
      </w:r>
    </w:p>
    <w:p w14:paraId="01A1334E" w14:textId="77777777" w:rsidR="00C7162D" w:rsidRPr="00C7162D" w:rsidRDefault="00C7162D" w:rsidP="00C7162D">
      <w:pPr>
        <w:jc w:val="both"/>
        <w:rPr>
          <w:rFonts w:ascii="Times New Roman" w:eastAsia="Calibri" w:hAnsi="Times New Roman" w:cs="Times New Roman"/>
          <w:sz w:val="24"/>
          <w:szCs w:val="24"/>
        </w:rPr>
      </w:pPr>
      <w:r w:rsidRPr="00C7162D">
        <w:rPr>
          <w:rFonts w:ascii="Times New Roman" w:eastAsia="Calibri" w:hAnsi="Times New Roman" w:cs="Times New Roman"/>
          <w:sz w:val="24"/>
          <w:szCs w:val="24"/>
        </w:rPr>
        <w:t>Iniţierea</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şi</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continuarea</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tratamentului</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se</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face</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de</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către</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medicii</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din</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specialitatea</w:t>
      </w:r>
      <w:r w:rsidRPr="00C7162D">
        <w:rPr>
          <w:rFonts w:ascii="Times New Roman" w:eastAsia="Calibri" w:hAnsi="Times New Roman" w:cs="Times New Roman"/>
          <w:spacing w:val="60"/>
          <w:sz w:val="24"/>
          <w:szCs w:val="24"/>
        </w:rPr>
        <w:t xml:space="preserve"> </w:t>
      </w:r>
      <w:r w:rsidRPr="00C7162D">
        <w:rPr>
          <w:rFonts w:ascii="Times New Roman" w:eastAsia="Calibri" w:hAnsi="Times New Roman" w:cs="Times New Roman"/>
          <w:sz w:val="24"/>
          <w:szCs w:val="24"/>
        </w:rPr>
        <w:t>oncologie</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medicală. Continuarea tratamentului</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se poate face pe baza scrisorii</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medicale şi</w:t>
      </w:r>
      <w:r w:rsidRPr="00C7162D">
        <w:rPr>
          <w:rFonts w:ascii="Times New Roman" w:eastAsia="Calibri" w:hAnsi="Times New Roman" w:cs="Times New Roman"/>
          <w:spacing w:val="60"/>
          <w:sz w:val="24"/>
          <w:szCs w:val="24"/>
        </w:rPr>
        <w:t xml:space="preserve"> </w:t>
      </w:r>
      <w:r w:rsidRPr="00C7162D">
        <w:rPr>
          <w:rFonts w:ascii="Times New Roman" w:eastAsia="Calibri" w:hAnsi="Times New Roman" w:cs="Times New Roman"/>
          <w:sz w:val="24"/>
          <w:szCs w:val="24"/>
        </w:rPr>
        <w:t>de către medicii</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de</w:t>
      </w:r>
      <w:r w:rsidRPr="00C7162D">
        <w:rPr>
          <w:rFonts w:ascii="Times New Roman" w:eastAsia="Calibri" w:hAnsi="Times New Roman" w:cs="Times New Roman"/>
          <w:spacing w:val="-2"/>
          <w:sz w:val="24"/>
          <w:szCs w:val="24"/>
        </w:rPr>
        <w:t xml:space="preserve"> </w:t>
      </w:r>
      <w:r w:rsidRPr="00C7162D">
        <w:rPr>
          <w:rFonts w:ascii="Times New Roman" w:eastAsia="Calibri" w:hAnsi="Times New Roman" w:cs="Times New Roman"/>
          <w:sz w:val="24"/>
          <w:szCs w:val="24"/>
        </w:rPr>
        <w:t>familie</w:t>
      </w:r>
      <w:r w:rsidRPr="00C7162D">
        <w:rPr>
          <w:rFonts w:ascii="Times New Roman" w:eastAsia="Calibri" w:hAnsi="Times New Roman" w:cs="Times New Roman"/>
          <w:spacing w:val="-1"/>
          <w:sz w:val="24"/>
          <w:szCs w:val="24"/>
        </w:rPr>
        <w:t xml:space="preserve"> </w:t>
      </w:r>
      <w:r w:rsidRPr="00C7162D">
        <w:rPr>
          <w:rFonts w:ascii="Times New Roman" w:eastAsia="Calibri" w:hAnsi="Times New Roman" w:cs="Times New Roman"/>
          <w:sz w:val="24"/>
          <w:szCs w:val="24"/>
        </w:rPr>
        <w:t>desemnaţi.”</w:t>
      </w:r>
    </w:p>
    <w:p w14:paraId="2039DED3" w14:textId="77777777" w:rsidR="00C7162D" w:rsidRPr="00C7162D" w:rsidRDefault="00C7162D" w:rsidP="00C7162D">
      <w:pPr>
        <w:tabs>
          <w:tab w:val="left" w:pos="426"/>
        </w:tabs>
        <w:jc w:val="both"/>
        <w:rPr>
          <w:rFonts w:ascii="Times New Roman" w:eastAsia="Arial" w:hAnsi="Times New Roman" w:cs="Times New Roman"/>
          <w:b/>
          <w:bCs/>
          <w:sz w:val="24"/>
          <w:szCs w:val="24"/>
        </w:rPr>
      </w:pPr>
    </w:p>
    <w:p w14:paraId="672613ED" w14:textId="77777777" w:rsid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7BF4FB65" w14:textId="77777777" w:rsid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005D393F" w14:textId="77777777" w:rsid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1369DA90" w14:textId="77777777" w:rsid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5EF29463" w14:textId="77777777" w:rsid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1B338C84" w14:textId="77777777" w:rsid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23A254E2" w14:textId="77777777" w:rsid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259F2D08" w14:textId="77777777" w:rsid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668F57F5" w14:textId="77777777" w:rsid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242E39DB" w14:textId="77777777" w:rsid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1C6E56F6" w14:textId="77777777" w:rsid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500ACB05" w14:textId="77777777" w:rsid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491B6CBC" w14:textId="77777777" w:rsid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3C27540B" w14:textId="77777777" w:rsidR="00C7162D" w:rsidRPr="00C7162D" w:rsidRDefault="00C7162D" w:rsidP="00C7162D">
      <w:pPr>
        <w:autoSpaceDE w:val="0"/>
        <w:autoSpaceDN w:val="0"/>
        <w:adjustRightInd w:val="0"/>
        <w:spacing w:after="0" w:line="276" w:lineRule="auto"/>
        <w:rPr>
          <w:rFonts w:ascii="Arial" w:eastAsia="Arial" w:hAnsi="Arial" w:cs="Arial"/>
          <w:color w:val="000000"/>
          <w:sz w:val="24"/>
          <w:szCs w:val="24"/>
          <w:lang w:val="en-US"/>
        </w:rPr>
      </w:pPr>
    </w:p>
    <w:p w14:paraId="4864ED01"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7D598C59" w14:textId="77777777" w:rsidR="00394CF2" w:rsidRPr="0049126A" w:rsidRDefault="00394CF2" w:rsidP="00380B65">
      <w:pPr>
        <w:tabs>
          <w:tab w:val="left" w:pos="426"/>
        </w:tabs>
        <w:jc w:val="both"/>
        <w:rPr>
          <w:rFonts w:ascii="Times New Roman" w:eastAsia="Arial" w:hAnsi="Times New Roman" w:cs="Times New Roman"/>
          <w:b/>
          <w:bCs/>
          <w:sz w:val="24"/>
          <w:szCs w:val="24"/>
          <w:lang w:val="en-US"/>
        </w:rPr>
      </w:pPr>
    </w:p>
    <w:p w14:paraId="7B69F18A" w14:textId="7BFCB4E3" w:rsidR="00F73895" w:rsidRPr="0049126A" w:rsidRDefault="00F73895" w:rsidP="00C26280">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1, după protocolul terapeutic corespunzător poziției cu nr. 355 se introduce protocolul terapeutic corespunzător poziției nr. 356 cod (</w:t>
      </w:r>
      <w:r w:rsidR="00896095" w:rsidRPr="0049126A">
        <w:rPr>
          <w:rFonts w:eastAsia="Arial"/>
          <w:b/>
          <w:bCs/>
          <w:color w:val="auto"/>
          <w:lang w:val="en-US"/>
        </w:rPr>
        <w:t>A16AA07</w:t>
      </w:r>
      <w:r w:rsidRPr="0049126A">
        <w:rPr>
          <w:rFonts w:eastAsia="Arial"/>
          <w:b/>
          <w:bCs/>
          <w:color w:val="auto"/>
          <w:lang w:val="en-US"/>
        </w:rPr>
        <w:t xml:space="preserve">): DCI </w:t>
      </w:r>
      <w:r w:rsidR="00896095" w:rsidRPr="0049126A">
        <w:rPr>
          <w:rFonts w:eastAsia="Arial"/>
          <w:b/>
          <w:bCs/>
          <w:color w:val="auto"/>
          <w:lang w:val="en-US"/>
        </w:rPr>
        <w:t>METRELEPTINUM</w:t>
      </w:r>
      <w:r w:rsidRPr="0049126A">
        <w:rPr>
          <w:rFonts w:eastAsia="Arial"/>
          <w:b/>
          <w:bCs/>
          <w:color w:val="auto"/>
          <w:lang w:val="en-US"/>
        </w:rPr>
        <w:t xml:space="preserve"> cu următorul cuprins: </w:t>
      </w:r>
    </w:p>
    <w:p w14:paraId="61EEE7DE"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2DA5A823" w14:textId="05842F7D" w:rsidR="00543C11" w:rsidRPr="0049126A" w:rsidRDefault="00F73895" w:rsidP="001729A3">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 xml:space="preserve">”Protocol terapeutic corespunzător poziţiei nr. </w:t>
      </w:r>
      <w:r w:rsidR="00896095" w:rsidRPr="0049126A">
        <w:rPr>
          <w:rFonts w:ascii="Times New Roman" w:eastAsia="Arial" w:hAnsi="Times New Roman" w:cs="Times New Roman"/>
          <w:b/>
          <w:bCs/>
          <w:sz w:val="24"/>
          <w:szCs w:val="24"/>
          <w:lang w:val="en-US"/>
        </w:rPr>
        <w:t>356 cod (A16AA07): DCI METRELEPTINUM</w:t>
      </w:r>
    </w:p>
    <w:p w14:paraId="47300BF3" w14:textId="78A1111D" w:rsidR="00543C11" w:rsidRPr="0049126A" w:rsidRDefault="00543C11" w:rsidP="00543C11">
      <w:pPr>
        <w:spacing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Sindroamele lipodistrofice sunt un grup heterogen de afecțiuni caracterizate prin absența completă sau parțială a țesutului adipos în anumite arii, concomitent cu acumularea sa în alte zone, în absența deprivării nutriționale sau a statusului catabolic.</w:t>
      </w:r>
    </w:p>
    <w:p w14:paraId="411E6379" w14:textId="77777777" w:rsidR="004B5164" w:rsidRPr="0049126A" w:rsidRDefault="00543C11" w:rsidP="004B5164">
      <w:pPr>
        <w:spacing w:after="0"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Poate fi parțiala sau totală, în ambele subtipuri etiologie fiind congenitală sau dobândită; implică pierderea adipocitelor mature, funcționale, cu afectarea adipogenezei, apoptoza adipocitelor și afectarea depunerii trigliceridelor.</w:t>
      </w:r>
    </w:p>
    <w:p w14:paraId="5CF5326F" w14:textId="45DADF9D" w:rsidR="00543C11" w:rsidRPr="0049126A" w:rsidRDefault="00543C11" w:rsidP="004B5164">
      <w:pPr>
        <w:spacing w:after="0"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br/>
        <w:t>Complicațiile lipodistrofiei sunt determinate de deficitul masei adipoase, care detemină depunerea ectopică de lipide la nivelul țesutului adipos, mușchilor și altor organe, conducând la apariția rezistenței la insulină și ulterior a DZ, hipertrigliceridemiei, SOPC și bolii hepatice steatozice nonalcoolice.</w:t>
      </w:r>
      <w:r w:rsidRPr="0049126A">
        <w:rPr>
          <w:rFonts w:ascii="Times New Roman" w:hAnsi="Times New Roman" w:cs="Times New Roman"/>
          <w:sz w:val="24"/>
          <w:szCs w:val="24"/>
        </w:rPr>
        <w:t xml:space="preserve"> </w:t>
      </w:r>
      <w:r w:rsidRPr="0049126A">
        <w:rPr>
          <w:rFonts w:ascii="Times New Roman" w:hAnsi="Times New Roman" w:cs="Times New Roman"/>
          <w:sz w:val="24"/>
          <w:szCs w:val="24"/>
          <w:lang w:val="it-IT"/>
        </w:rPr>
        <w:t>Lipsa asociată a leptinei, în special la persoanele cu lipodistrofie generalizată, contribuie la apariția simptomelor, precum hiperfagia. Hiperfagia, durerea musculară și disfuncția aparatului reproductiv feminin au un efect semnificativ asupra calității vieții.</w:t>
      </w:r>
    </w:p>
    <w:p w14:paraId="459CA69D" w14:textId="77777777" w:rsidR="00543C11" w:rsidRPr="0049126A" w:rsidRDefault="00543C11" w:rsidP="00543C11">
      <w:pPr>
        <w:spacing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În Europa prevalența principalelor tipuri de lipodistrofii este de 1,3-4.7 cazuri/milion, cele parțiale fiind mai frecvente (2.84 cazuri/milion)  decât cele totale (mai puțin de 1 caz/milion).</w:t>
      </w:r>
    </w:p>
    <w:p w14:paraId="62E2D7B2" w14:textId="77777777" w:rsidR="00543C11" w:rsidRPr="0049126A" w:rsidRDefault="00543C11" w:rsidP="00543C11">
      <w:pPr>
        <w:spacing w:line="276" w:lineRule="auto"/>
        <w:jc w:val="both"/>
        <w:rPr>
          <w:rFonts w:ascii="Times New Roman" w:hAnsi="Times New Roman" w:cs="Times New Roman"/>
          <w:b/>
          <w:bCs/>
          <w:caps/>
          <w:sz w:val="24"/>
          <w:szCs w:val="24"/>
          <w:lang w:val="it-IT"/>
        </w:rPr>
      </w:pPr>
    </w:p>
    <w:p w14:paraId="057C8133" w14:textId="3379A3AD" w:rsidR="00543C11" w:rsidRPr="0049126A" w:rsidRDefault="00543C11" w:rsidP="00543C11">
      <w:pPr>
        <w:spacing w:line="276" w:lineRule="auto"/>
        <w:jc w:val="both"/>
        <w:rPr>
          <w:rFonts w:ascii="Times New Roman" w:hAnsi="Times New Roman" w:cs="Times New Roman"/>
          <w:b/>
          <w:bCs/>
          <w:caps/>
          <w:sz w:val="24"/>
          <w:szCs w:val="24"/>
          <w:lang w:val="it-IT"/>
        </w:rPr>
      </w:pPr>
      <w:r w:rsidRPr="0049126A">
        <w:rPr>
          <w:rFonts w:ascii="Times New Roman" w:hAnsi="Times New Roman" w:cs="Times New Roman"/>
          <w:b/>
          <w:bCs/>
          <w:caps/>
          <w:sz w:val="24"/>
          <w:szCs w:val="24"/>
          <w:lang w:val="it-IT"/>
        </w:rPr>
        <w:t>Definiții și terminologie</w:t>
      </w:r>
    </w:p>
    <w:p w14:paraId="14752BA4" w14:textId="77777777" w:rsidR="00543C11" w:rsidRPr="0049126A" w:rsidRDefault="00543C11" w:rsidP="004B5164">
      <w:pPr>
        <w:spacing w:after="0" w:line="276" w:lineRule="auto"/>
        <w:jc w:val="both"/>
        <w:rPr>
          <w:rFonts w:ascii="Times New Roman" w:hAnsi="Times New Roman" w:cs="Times New Roman"/>
          <w:b/>
          <w:bCs/>
          <w:sz w:val="24"/>
          <w:szCs w:val="24"/>
          <w:lang w:val="it-IT"/>
        </w:rPr>
      </w:pPr>
      <w:r w:rsidRPr="0049126A">
        <w:rPr>
          <w:rFonts w:ascii="Times New Roman" w:hAnsi="Times New Roman" w:cs="Times New Roman"/>
          <w:b/>
          <w:bCs/>
          <w:sz w:val="24"/>
          <w:szCs w:val="24"/>
          <w:lang w:val="it-IT"/>
        </w:rPr>
        <w:t xml:space="preserve">Lipodistrofie = </w:t>
      </w:r>
      <w:r w:rsidRPr="0049126A">
        <w:rPr>
          <w:rFonts w:ascii="Times New Roman" w:hAnsi="Times New Roman" w:cs="Times New Roman"/>
          <w:sz w:val="24"/>
          <w:szCs w:val="24"/>
          <w:lang w:val="it-IT"/>
        </w:rPr>
        <w:t>extensia anormală a țesutului adipos</w:t>
      </w:r>
      <w:r w:rsidRPr="0049126A">
        <w:rPr>
          <w:rFonts w:ascii="Times New Roman" w:hAnsi="Times New Roman" w:cs="Times New Roman"/>
          <w:b/>
          <w:bCs/>
          <w:sz w:val="24"/>
          <w:szCs w:val="24"/>
          <w:lang w:val="it-IT"/>
        </w:rPr>
        <w:t xml:space="preserve"> ≠ Lipoatrofie  - </w:t>
      </w:r>
      <w:r w:rsidRPr="0049126A">
        <w:rPr>
          <w:rFonts w:ascii="Times New Roman" w:hAnsi="Times New Roman" w:cs="Times New Roman"/>
          <w:sz w:val="24"/>
          <w:szCs w:val="24"/>
          <w:lang w:val="it-IT"/>
        </w:rPr>
        <w:t>pierderea de țesut adipos</w:t>
      </w:r>
    </w:p>
    <w:p w14:paraId="6E17E933" w14:textId="77777777" w:rsidR="00543C11" w:rsidRPr="0049126A" w:rsidRDefault="00543C11" w:rsidP="004B5164">
      <w:pPr>
        <w:spacing w:after="0" w:line="276" w:lineRule="auto"/>
        <w:jc w:val="both"/>
        <w:rPr>
          <w:rFonts w:ascii="Times New Roman" w:hAnsi="Times New Roman" w:cs="Times New Roman"/>
          <w:b/>
          <w:bCs/>
          <w:sz w:val="24"/>
          <w:szCs w:val="24"/>
          <w:lang w:val="it-IT"/>
        </w:rPr>
      </w:pPr>
      <w:r w:rsidRPr="0049126A">
        <w:rPr>
          <w:rFonts w:ascii="Times New Roman" w:hAnsi="Times New Roman" w:cs="Times New Roman"/>
          <w:sz w:val="24"/>
          <w:szCs w:val="24"/>
          <w:lang w:val="it-IT"/>
        </w:rPr>
        <w:t>Depunerea</w:t>
      </w:r>
      <w:r w:rsidRPr="0049126A">
        <w:rPr>
          <w:rFonts w:ascii="Times New Roman" w:hAnsi="Times New Roman" w:cs="Times New Roman"/>
          <w:b/>
          <w:bCs/>
          <w:sz w:val="24"/>
          <w:szCs w:val="24"/>
          <w:lang w:val="it-IT"/>
        </w:rPr>
        <w:t xml:space="preserve"> eutopică </w:t>
      </w:r>
      <w:r w:rsidRPr="0049126A">
        <w:rPr>
          <w:rFonts w:ascii="Times New Roman" w:hAnsi="Times New Roman" w:cs="Times New Roman"/>
          <w:sz w:val="24"/>
          <w:szCs w:val="24"/>
          <w:lang w:val="it-IT"/>
        </w:rPr>
        <w:t>de grăsime</w:t>
      </w:r>
      <w:r w:rsidRPr="0049126A">
        <w:rPr>
          <w:rFonts w:ascii="Times New Roman" w:hAnsi="Times New Roman" w:cs="Times New Roman"/>
          <w:b/>
          <w:bCs/>
          <w:sz w:val="24"/>
          <w:szCs w:val="24"/>
          <w:lang w:val="it-IT"/>
        </w:rPr>
        <w:t xml:space="preserve"> = </w:t>
      </w:r>
      <w:r w:rsidRPr="0049126A">
        <w:rPr>
          <w:rFonts w:ascii="Times New Roman" w:hAnsi="Times New Roman" w:cs="Times New Roman"/>
          <w:sz w:val="24"/>
          <w:szCs w:val="24"/>
          <w:lang w:val="it-IT"/>
        </w:rPr>
        <w:t>depunerea grăsimii în țesutul adipos;</w:t>
      </w:r>
    </w:p>
    <w:p w14:paraId="265A3354" w14:textId="77777777" w:rsidR="00543C11" w:rsidRPr="0049126A" w:rsidRDefault="00543C11" w:rsidP="004B5164">
      <w:pPr>
        <w:spacing w:after="0"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Depunerea</w:t>
      </w:r>
      <w:r w:rsidRPr="0049126A">
        <w:rPr>
          <w:rFonts w:ascii="Times New Roman" w:hAnsi="Times New Roman" w:cs="Times New Roman"/>
          <w:b/>
          <w:bCs/>
          <w:sz w:val="24"/>
          <w:szCs w:val="24"/>
          <w:lang w:val="it-IT"/>
        </w:rPr>
        <w:t xml:space="preserve"> ectopică </w:t>
      </w:r>
      <w:r w:rsidRPr="0049126A">
        <w:rPr>
          <w:rFonts w:ascii="Times New Roman" w:hAnsi="Times New Roman" w:cs="Times New Roman"/>
          <w:sz w:val="24"/>
          <w:szCs w:val="24"/>
          <w:lang w:val="it-IT"/>
        </w:rPr>
        <w:t>de grăsime</w:t>
      </w:r>
      <w:r w:rsidRPr="0049126A">
        <w:rPr>
          <w:rFonts w:ascii="Times New Roman" w:hAnsi="Times New Roman" w:cs="Times New Roman"/>
          <w:b/>
          <w:bCs/>
          <w:sz w:val="24"/>
          <w:szCs w:val="24"/>
          <w:lang w:val="it-IT"/>
        </w:rPr>
        <w:t xml:space="preserve"> = </w:t>
      </w:r>
      <w:r w:rsidRPr="0049126A">
        <w:rPr>
          <w:rFonts w:ascii="Times New Roman" w:hAnsi="Times New Roman" w:cs="Times New Roman"/>
          <w:sz w:val="24"/>
          <w:szCs w:val="24"/>
          <w:lang w:val="it-IT"/>
        </w:rPr>
        <w:t>depunerea grăsimii în țesuturi nonadipoase, de tipul ficatului, musculaturii scheletice și pancreasului</w:t>
      </w:r>
    </w:p>
    <w:p w14:paraId="6D6FE345" w14:textId="77777777" w:rsidR="00543C11" w:rsidRPr="0049126A" w:rsidRDefault="00543C11" w:rsidP="004B5164">
      <w:pPr>
        <w:spacing w:after="0" w:line="276" w:lineRule="auto"/>
        <w:jc w:val="both"/>
        <w:rPr>
          <w:rFonts w:ascii="Times New Roman" w:hAnsi="Times New Roman" w:cs="Times New Roman"/>
          <w:b/>
          <w:bCs/>
          <w:sz w:val="24"/>
          <w:szCs w:val="24"/>
          <w:lang w:val="it-IT"/>
        </w:rPr>
      </w:pPr>
      <w:r w:rsidRPr="0049126A">
        <w:rPr>
          <w:rFonts w:ascii="Times New Roman" w:hAnsi="Times New Roman" w:cs="Times New Roman"/>
          <w:b/>
          <w:bCs/>
          <w:sz w:val="24"/>
          <w:szCs w:val="24"/>
          <w:lang w:val="it-IT"/>
        </w:rPr>
        <w:t xml:space="preserve">Extensia lipodistrofiei </w:t>
      </w:r>
    </w:p>
    <w:p w14:paraId="786ED263" w14:textId="77777777" w:rsidR="00543C11" w:rsidRPr="0049126A" w:rsidRDefault="00543C11" w:rsidP="004B5164">
      <w:pPr>
        <w:spacing w:after="0" w:line="276" w:lineRule="auto"/>
        <w:jc w:val="both"/>
        <w:rPr>
          <w:rFonts w:ascii="Times New Roman" w:hAnsi="Times New Roman" w:cs="Times New Roman"/>
          <w:b/>
          <w:bCs/>
          <w:sz w:val="24"/>
          <w:szCs w:val="24"/>
          <w:lang w:val="it-IT"/>
        </w:rPr>
      </w:pPr>
      <w:r w:rsidRPr="0049126A">
        <w:rPr>
          <w:rFonts w:ascii="Times New Roman" w:hAnsi="Times New Roman" w:cs="Times New Roman"/>
          <w:b/>
          <w:bCs/>
          <w:sz w:val="24"/>
          <w:szCs w:val="24"/>
          <w:lang w:val="it-IT"/>
        </w:rPr>
        <w:t>Generalizată</w:t>
      </w:r>
    </w:p>
    <w:p w14:paraId="4E8A17C6" w14:textId="77777777" w:rsidR="00543C11" w:rsidRPr="0049126A" w:rsidRDefault="00543C11" w:rsidP="004B5164">
      <w:pPr>
        <w:spacing w:after="0" w:line="276" w:lineRule="auto"/>
        <w:jc w:val="both"/>
        <w:rPr>
          <w:rFonts w:ascii="Times New Roman" w:hAnsi="Times New Roman" w:cs="Times New Roman"/>
          <w:sz w:val="24"/>
          <w:szCs w:val="24"/>
          <w:lang w:val="it-IT"/>
        </w:rPr>
      </w:pPr>
      <w:r w:rsidRPr="0049126A">
        <w:rPr>
          <w:rFonts w:ascii="Times New Roman" w:hAnsi="Times New Roman" w:cs="Times New Roman"/>
          <w:b/>
          <w:bCs/>
          <w:sz w:val="24"/>
          <w:szCs w:val="24"/>
          <w:lang w:val="it-IT"/>
        </w:rPr>
        <w:t xml:space="preserve">Parțială </w:t>
      </w:r>
      <w:r w:rsidRPr="0049126A">
        <w:rPr>
          <w:rFonts w:ascii="Times New Roman" w:hAnsi="Times New Roman" w:cs="Times New Roman"/>
          <w:sz w:val="24"/>
          <w:szCs w:val="24"/>
          <w:lang w:val="it-IT"/>
        </w:rPr>
        <w:t>= cu distribuție simetrică</w:t>
      </w:r>
    </w:p>
    <w:p w14:paraId="22BEF1DB" w14:textId="77777777" w:rsidR="00543C11" w:rsidRPr="0049126A" w:rsidRDefault="00543C11" w:rsidP="004B5164">
      <w:pPr>
        <w:spacing w:after="0" w:line="276" w:lineRule="auto"/>
        <w:jc w:val="both"/>
        <w:rPr>
          <w:rFonts w:ascii="Times New Roman" w:hAnsi="Times New Roman" w:cs="Times New Roman"/>
          <w:sz w:val="24"/>
          <w:szCs w:val="24"/>
          <w:lang w:val="it-IT"/>
        </w:rPr>
      </w:pPr>
      <w:r w:rsidRPr="0049126A">
        <w:rPr>
          <w:rFonts w:ascii="Times New Roman" w:hAnsi="Times New Roman" w:cs="Times New Roman"/>
          <w:b/>
          <w:bCs/>
          <w:sz w:val="24"/>
          <w:szCs w:val="24"/>
          <w:lang w:val="it-IT"/>
        </w:rPr>
        <w:t xml:space="preserve">Regională = </w:t>
      </w:r>
      <w:r w:rsidRPr="0049126A">
        <w:rPr>
          <w:rFonts w:ascii="Times New Roman" w:hAnsi="Times New Roman" w:cs="Times New Roman"/>
          <w:sz w:val="24"/>
          <w:szCs w:val="24"/>
          <w:lang w:val="it-IT"/>
        </w:rPr>
        <w:t>cu distribuție non-simetrică, localizată</w:t>
      </w:r>
    </w:p>
    <w:p w14:paraId="125119C1" w14:textId="77777777" w:rsidR="00543C11" w:rsidRPr="0049126A" w:rsidRDefault="00543C11" w:rsidP="00543C11">
      <w:pPr>
        <w:spacing w:line="276" w:lineRule="auto"/>
        <w:jc w:val="both"/>
        <w:rPr>
          <w:rFonts w:ascii="Times New Roman" w:hAnsi="Times New Roman" w:cs="Times New Roman"/>
          <w:sz w:val="24"/>
          <w:szCs w:val="24"/>
          <w:lang w:val="it-IT"/>
        </w:rPr>
      </w:pPr>
    </w:p>
    <w:p w14:paraId="11D7F5AF" w14:textId="02B59566" w:rsidR="00543C11" w:rsidRPr="0049126A" w:rsidRDefault="004B5164" w:rsidP="00543C11">
      <w:pPr>
        <w:spacing w:line="276" w:lineRule="auto"/>
        <w:jc w:val="both"/>
        <w:rPr>
          <w:rFonts w:ascii="Times New Roman" w:hAnsi="Times New Roman" w:cs="Times New Roman"/>
          <w:b/>
          <w:bCs/>
          <w:sz w:val="24"/>
          <w:szCs w:val="24"/>
          <w:lang w:val="it-IT"/>
        </w:rPr>
      </w:pPr>
      <w:r w:rsidRPr="0049126A">
        <w:rPr>
          <w:rFonts w:ascii="Times New Roman" w:hAnsi="Times New Roman" w:cs="Times New Roman"/>
          <w:b/>
          <w:bCs/>
          <w:sz w:val="24"/>
          <w:szCs w:val="24"/>
          <w:lang w:val="it-IT"/>
        </w:rPr>
        <w:t>CLASIFICAREA SINDROAMELOR LIPODISTROFICE</w:t>
      </w:r>
    </w:p>
    <w:tbl>
      <w:tblPr>
        <w:tblStyle w:val="TableGrid"/>
        <w:tblW w:w="5000" w:type="pct"/>
        <w:tblLook w:val="04A0" w:firstRow="1" w:lastRow="0" w:firstColumn="1" w:lastColumn="0" w:noHBand="0" w:noVBand="1"/>
      </w:tblPr>
      <w:tblGrid>
        <w:gridCol w:w="2122"/>
        <w:gridCol w:w="3259"/>
        <w:gridCol w:w="4249"/>
      </w:tblGrid>
      <w:tr w:rsidR="0049126A" w:rsidRPr="0049126A" w14:paraId="7B1C4E0C" w14:textId="77777777" w:rsidTr="00543C11">
        <w:tc>
          <w:tcPr>
            <w:tcW w:w="5000" w:type="pct"/>
            <w:gridSpan w:val="3"/>
          </w:tcPr>
          <w:p w14:paraId="24F8E2AA" w14:textId="3F967564"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Tabel 1. Clasificarea sindroamelor lipodistrofice</w:t>
            </w:r>
          </w:p>
        </w:tc>
      </w:tr>
      <w:tr w:rsidR="0049126A" w:rsidRPr="0049126A" w14:paraId="004E85C8" w14:textId="77777777" w:rsidTr="004B5164">
        <w:tc>
          <w:tcPr>
            <w:tcW w:w="1102" w:type="pct"/>
            <w:vMerge w:val="restart"/>
            <w:vAlign w:val="center"/>
          </w:tcPr>
          <w:p w14:paraId="07EB2EB4" w14:textId="77777777" w:rsidR="00543C11" w:rsidRPr="0049126A" w:rsidRDefault="00543C11" w:rsidP="00543C11">
            <w:pPr>
              <w:spacing w:line="276" w:lineRule="auto"/>
              <w:jc w:val="center"/>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A. Sindroame lipodistrofice congenitale</w:t>
            </w:r>
          </w:p>
        </w:tc>
        <w:tc>
          <w:tcPr>
            <w:tcW w:w="1692" w:type="pct"/>
          </w:tcPr>
          <w:p w14:paraId="646B6B1B" w14:textId="54D3234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Generalizate (CGL) = Sindrom Berardinelli-Seip</w:t>
            </w:r>
          </w:p>
          <w:p w14:paraId="07F8E219" w14:textId="77777777" w:rsidR="00543C11" w:rsidRPr="0049126A" w:rsidRDefault="00543C11" w:rsidP="00543C11">
            <w:pPr>
              <w:spacing w:line="276" w:lineRule="auto"/>
              <w:jc w:val="both"/>
              <w:rPr>
                <w:rFonts w:ascii="Times New Roman" w:hAnsi="Times New Roman" w:cs="Times New Roman"/>
                <w:b/>
                <w:bCs/>
                <w:sz w:val="20"/>
                <w:szCs w:val="20"/>
                <w:lang w:val="it-IT"/>
              </w:rPr>
            </w:pPr>
          </w:p>
          <w:p w14:paraId="72069326" w14:textId="77777777" w:rsidR="00543C11" w:rsidRPr="0049126A" w:rsidRDefault="00543C11" w:rsidP="00543C11">
            <w:pPr>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Vârstă debut = 0,3 ani (0-12 ani)</w:t>
            </w:r>
          </w:p>
          <w:p w14:paraId="0148103F" w14:textId="1BFD85E3" w:rsidR="00543C11" w:rsidRPr="0049126A" w:rsidRDefault="004B5164" w:rsidP="00543C11">
            <w:pPr>
              <w:spacing w:line="276" w:lineRule="auto"/>
              <w:jc w:val="both"/>
              <w:rPr>
                <w:rFonts w:ascii="Times New Roman" w:hAnsi="Times New Roman" w:cs="Times New Roman"/>
                <w:b/>
                <w:iCs/>
                <w:sz w:val="20"/>
                <w:szCs w:val="20"/>
                <w:lang w:val="it-IT"/>
              </w:rPr>
            </w:pPr>
            <w:r w:rsidRPr="0049126A">
              <w:rPr>
                <w:rFonts w:ascii="Times New Roman" w:hAnsi="Times New Roman" w:cs="Times New Roman"/>
                <w:b/>
                <w:iCs/>
                <w:sz w:val="20"/>
                <w:szCs w:val="20"/>
                <w:lang w:val="it-IT"/>
              </w:rPr>
              <w:t>(</w:t>
            </w:r>
            <w:r w:rsidR="00543C11" w:rsidRPr="0049126A">
              <w:rPr>
                <w:rFonts w:ascii="Times New Roman" w:hAnsi="Times New Roman" w:cs="Times New Roman"/>
                <w:b/>
                <w:iCs/>
                <w:sz w:val="20"/>
                <w:szCs w:val="20"/>
                <w:lang w:val="it-IT"/>
              </w:rPr>
              <w:t>Anexa 1</w:t>
            </w:r>
            <w:r w:rsidRPr="0049126A">
              <w:rPr>
                <w:rFonts w:ascii="Times New Roman" w:hAnsi="Times New Roman" w:cs="Times New Roman"/>
                <w:b/>
                <w:iCs/>
                <w:sz w:val="20"/>
                <w:szCs w:val="20"/>
                <w:lang w:val="it-IT"/>
              </w:rPr>
              <w:t>)</w:t>
            </w:r>
          </w:p>
        </w:tc>
        <w:tc>
          <w:tcPr>
            <w:tcW w:w="2206" w:type="pct"/>
          </w:tcPr>
          <w:p w14:paraId="44A3E2A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Minim 5 forme etiologice (CGL1-5)</w:t>
            </w:r>
          </w:p>
          <w:p w14:paraId="5E3C03FA"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CGL1 (mutație APGAT2) +</w:t>
            </w:r>
          </w:p>
          <w:p w14:paraId="3F71802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CGL 2 (mutație BSCL2) = 95% din cazuri</w:t>
            </w:r>
          </w:p>
        </w:tc>
      </w:tr>
      <w:tr w:rsidR="0049126A" w:rsidRPr="0049126A" w14:paraId="335172B5" w14:textId="77777777" w:rsidTr="004B5164">
        <w:tc>
          <w:tcPr>
            <w:tcW w:w="1102" w:type="pct"/>
            <w:vMerge/>
          </w:tcPr>
          <w:p w14:paraId="5F6EF7CF"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692" w:type="pct"/>
          </w:tcPr>
          <w:p w14:paraId="581618E1" w14:textId="77777777" w:rsidR="004B5164"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 xml:space="preserve">Parțiale (FPLD) </w:t>
            </w:r>
          </w:p>
          <w:p w14:paraId="25B216B8" w14:textId="45C42304" w:rsidR="00543C11" w:rsidRPr="0049126A" w:rsidRDefault="004B5164"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(A</w:t>
            </w:r>
            <w:r w:rsidR="00543C11" w:rsidRPr="0049126A">
              <w:rPr>
                <w:rFonts w:ascii="Times New Roman" w:hAnsi="Times New Roman" w:cs="Times New Roman"/>
                <w:b/>
                <w:bCs/>
                <w:sz w:val="20"/>
                <w:szCs w:val="20"/>
                <w:lang w:val="it-IT"/>
              </w:rPr>
              <w:t>nexa 2)</w:t>
            </w:r>
          </w:p>
          <w:p w14:paraId="3C1E660A" w14:textId="77777777" w:rsidR="00543C11" w:rsidRPr="0049126A" w:rsidRDefault="00543C11" w:rsidP="00543C11">
            <w:pPr>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Vârsta de debut 9,9 ani (0-16 ani)</w:t>
            </w:r>
          </w:p>
        </w:tc>
        <w:tc>
          <w:tcPr>
            <w:tcW w:w="2206" w:type="pct"/>
          </w:tcPr>
          <w:p w14:paraId="753D554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8 forme etiologice:</w:t>
            </w:r>
          </w:p>
          <w:p w14:paraId="4CFCDE0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1-6. FPLD 1-7</w:t>
            </w:r>
          </w:p>
          <w:p w14:paraId="1BDF9C8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8. lipodistrofia AKT2-linkată</w:t>
            </w:r>
          </w:p>
          <w:p w14:paraId="6C84878F"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288A1FAD" w14:textId="77777777" w:rsidTr="004B5164">
        <w:tc>
          <w:tcPr>
            <w:tcW w:w="1102" w:type="pct"/>
            <w:vMerge w:val="restart"/>
            <w:vAlign w:val="center"/>
          </w:tcPr>
          <w:p w14:paraId="56AA6A09" w14:textId="3ADB2F7E" w:rsidR="00543C11" w:rsidRPr="0049126A" w:rsidRDefault="00543C11" w:rsidP="00543C11">
            <w:pPr>
              <w:spacing w:line="276" w:lineRule="auto"/>
              <w:jc w:val="center"/>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B. Sindroame lipodistrofice dobândite</w:t>
            </w:r>
          </w:p>
        </w:tc>
        <w:tc>
          <w:tcPr>
            <w:tcW w:w="1692" w:type="pct"/>
          </w:tcPr>
          <w:p w14:paraId="62B2C4C4" w14:textId="07B9B4EF"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Lipodistrofia dobândită generalizată (AGL) = Sindrom Lawrence</w:t>
            </w:r>
          </w:p>
          <w:p w14:paraId="7F3389D0" w14:textId="77777777" w:rsidR="00543C11" w:rsidRPr="0049126A" w:rsidRDefault="00543C11" w:rsidP="00543C11">
            <w:pPr>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Vârsta de debut 5 ani (0-15 ani)</w:t>
            </w:r>
          </w:p>
        </w:tc>
        <w:tc>
          <w:tcPr>
            <w:tcW w:w="2206" w:type="pct"/>
            <w:vMerge w:val="restart"/>
          </w:tcPr>
          <w:p w14:paraId="773ADF01" w14:textId="77777777" w:rsidR="00543C11" w:rsidRPr="0049126A" w:rsidRDefault="00543C11" w:rsidP="00543C11">
            <w:pPr>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 xml:space="preserve">Determinate de distrucția autoimună a adipocitelor, deci asociate cu afecțiuni autoimune </w:t>
            </w:r>
          </w:p>
        </w:tc>
      </w:tr>
      <w:tr w:rsidR="0049126A" w:rsidRPr="0049126A" w14:paraId="1F3F43F7" w14:textId="77777777" w:rsidTr="004B5164">
        <w:tc>
          <w:tcPr>
            <w:tcW w:w="1102" w:type="pct"/>
            <w:vMerge/>
          </w:tcPr>
          <w:p w14:paraId="55EE027E"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692" w:type="pct"/>
          </w:tcPr>
          <w:p w14:paraId="26E28307"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Lipodistrofia dobândită parțială (APL) = Sindromul Barraquer-Simons</w:t>
            </w:r>
          </w:p>
          <w:p w14:paraId="5AC9628E" w14:textId="77777777" w:rsidR="00543C11" w:rsidRPr="0049126A" w:rsidRDefault="00543C11" w:rsidP="00543C11">
            <w:pPr>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Vârsta de debut 8,2 ani (0,5-16 ani)</w:t>
            </w:r>
          </w:p>
        </w:tc>
        <w:tc>
          <w:tcPr>
            <w:tcW w:w="2206" w:type="pct"/>
            <w:vMerge/>
          </w:tcPr>
          <w:p w14:paraId="7AD6D892"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r>
      <w:tr w:rsidR="0049126A" w:rsidRPr="0049126A" w14:paraId="5F917FB9" w14:textId="77777777" w:rsidTr="004B5164">
        <w:tc>
          <w:tcPr>
            <w:tcW w:w="1102" w:type="pct"/>
            <w:vMerge/>
          </w:tcPr>
          <w:p w14:paraId="591F15FF"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692" w:type="pct"/>
          </w:tcPr>
          <w:p w14:paraId="189BCB7B"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Lipodistrofia asociată infecției HIV</w:t>
            </w:r>
          </w:p>
        </w:tc>
        <w:tc>
          <w:tcPr>
            <w:tcW w:w="2206" w:type="pct"/>
          </w:tcPr>
          <w:p w14:paraId="2BD9DA1E"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r>
      <w:tr w:rsidR="0049126A" w:rsidRPr="0049126A" w14:paraId="54C2B27F" w14:textId="77777777" w:rsidTr="004B5164">
        <w:tc>
          <w:tcPr>
            <w:tcW w:w="1102" w:type="pct"/>
            <w:vMerge/>
          </w:tcPr>
          <w:p w14:paraId="6BDDB957"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692" w:type="pct"/>
          </w:tcPr>
          <w:p w14:paraId="341C3658"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Lipodistrofii regionale</w:t>
            </w:r>
          </w:p>
        </w:tc>
        <w:tc>
          <w:tcPr>
            <w:tcW w:w="2206" w:type="pct"/>
          </w:tcPr>
          <w:p w14:paraId="395D8BA3"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Ex – post injectări</w:t>
            </w:r>
          </w:p>
        </w:tc>
      </w:tr>
      <w:tr w:rsidR="0049126A" w:rsidRPr="0049126A" w14:paraId="49CCD9FF" w14:textId="77777777" w:rsidTr="004B5164">
        <w:tc>
          <w:tcPr>
            <w:tcW w:w="1102" w:type="pct"/>
            <w:vMerge/>
          </w:tcPr>
          <w:p w14:paraId="4C469A83"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692" w:type="pct"/>
          </w:tcPr>
          <w:p w14:paraId="4BA26E67"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Alte tipuri de lipodistrofii dobândite</w:t>
            </w:r>
          </w:p>
        </w:tc>
        <w:tc>
          <w:tcPr>
            <w:tcW w:w="2206" w:type="pct"/>
          </w:tcPr>
          <w:p w14:paraId="317244F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Asociate cu:</w:t>
            </w:r>
          </w:p>
          <w:p w14:paraId="07CC0ED3" w14:textId="687AEAB8" w:rsidR="00543C11" w:rsidRPr="0049126A" w:rsidRDefault="00543C11" w:rsidP="008F5FCC">
            <w:pPr>
              <w:pStyle w:val="ListParagraph"/>
              <w:numPr>
                <w:ilvl w:val="0"/>
                <w:numId w:val="80"/>
              </w:numPr>
              <w:spacing w:line="276" w:lineRule="auto"/>
              <w:ind w:left="176" w:hanging="176"/>
              <w:jc w:val="both"/>
              <w:rPr>
                <w:color w:val="auto"/>
                <w:sz w:val="20"/>
                <w:szCs w:val="20"/>
                <w:lang w:val="it-IT"/>
              </w:rPr>
            </w:pPr>
            <w:r w:rsidRPr="0049126A">
              <w:rPr>
                <w:color w:val="auto"/>
                <w:sz w:val="20"/>
                <w:szCs w:val="20"/>
                <w:lang w:val="it-IT"/>
              </w:rPr>
              <w:t>iradierea întregului organism;</w:t>
            </w:r>
          </w:p>
          <w:p w14:paraId="3A616163" w14:textId="22EBACD7" w:rsidR="00543C11" w:rsidRPr="0049126A" w:rsidRDefault="00543C11" w:rsidP="008F5FCC">
            <w:pPr>
              <w:pStyle w:val="ListParagraph"/>
              <w:numPr>
                <w:ilvl w:val="0"/>
                <w:numId w:val="80"/>
              </w:numPr>
              <w:spacing w:line="276" w:lineRule="auto"/>
              <w:ind w:left="176" w:hanging="176"/>
              <w:jc w:val="both"/>
              <w:rPr>
                <w:color w:val="auto"/>
                <w:sz w:val="20"/>
                <w:szCs w:val="20"/>
                <w:lang w:val="it-IT"/>
              </w:rPr>
            </w:pPr>
            <w:r w:rsidRPr="0049126A">
              <w:rPr>
                <w:color w:val="auto"/>
                <w:sz w:val="20"/>
                <w:szCs w:val="20"/>
                <w:lang w:val="it-IT"/>
              </w:rPr>
              <w:t>după transplant de celule hematopetice;</w:t>
            </w:r>
          </w:p>
          <w:p w14:paraId="44E1D74D" w14:textId="03F39167" w:rsidR="00543C11" w:rsidRPr="0049126A" w:rsidRDefault="00543C11" w:rsidP="008F5FCC">
            <w:pPr>
              <w:pStyle w:val="ListParagraph"/>
              <w:numPr>
                <w:ilvl w:val="0"/>
                <w:numId w:val="80"/>
              </w:numPr>
              <w:spacing w:line="276" w:lineRule="auto"/>
              <w:ind w:left="176" w:hanging="176"/>
              <w:jc w:val="both"/>
              <w:rPr>
                <w:color w:val="auto"/>
                <w:sz w:val="20"/>
                <w:szCs w:val="20"/>
                <w:lang w:val="it-IT"/>
              </w:rPr>
            </w:pPr>
            <w:r w:rsidRPr="0049126A">
              <w:rPr>
                <w:color w:val="auto"/>
                <w:sz w:val="20"/>
                <w:szCs w:val="20"/>
                <w:lang w:val="it-IT"/>
              </w:rPr>
              <w:t>după anumite tipuri de inhibitori de check-point;</w:t>
            </w:r>
          </w:p>
          <w:p w14:paraId="270D71A0" w14:textId="1F973E58" w:rsidR="00543C11" w:rsidRPr="0049126A" w:rsidRDefault="00543C11" w:rsidP="008F5FCC">
            <w:pPr>
              <w:pStyle w:val="ListParagraph"/>
              <w:numPr>
                <w:ilvl w:val="0"/>
                <w:numId w:val="80"/>
              </w:numPr>
              <w:spacing w:line="276" w:lineRule="auto"/>
              <w:ind w:left="176" w:hanging="176"/>
              <w:jc w:val="both"/>
              <w:rPr>
                <w:color w:val="auto"/>
                <w:sz w:val="20"/>
                <w:szCs w:val="20"/>
                <w:lang w:val="it-IT"/>
              </w:rPr>
            </w:pPr>
            <w:r w:rsidRPr="0049126A">
              <w:rPr>
                <w:color w:val="auto"/>
                <w:sz w:val="20"/>
                <w:szCs w:val="20"/>
                <w:lang w:val="it-IT"/>
              </w:rPr>
              <w:t xml:space="preserve">tumorile diencefalice la copii (eg: astrocitom pilocitic) se pot asocia cu sindroame lipodistrofice generalizată în perioada de nou-născut/sugar, lipodistrofia poate preceda celelalte semne tumorale </w:t>
            </w:r>
          </w:p>
        </w:tc>
      </w:tr>
      <w:tr w:rsidR="004B5164" w:rsidRPr="0049126A" w14:paraId="5566E200" w14:textId="77777777" w:rsidTr="004B5164">
        <w:tc>
          <w:tcPr>
            <w:tcW w:w="1102" w:type="pct"/>
            <w:vAlign w:val="center"/>
          </w:tcPr>
          <w:p w14:paraId="52D3E16E" w14:textId="720619D4" w:rsidR="00543C11" w:rsidRPr="0049126A" w:rsidRDefault="00543C11" w:rsidP="00543C11">
            <w:pPr>
              <w:spacing w:line="276" w:lineRule="auto"/>
              <w:jc w:val="center"/>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 xml:space="preserve">C. Sindroame Progeroide </w:t>
            </w:r>
          </w:p>
        </w:tc>
        <w:tc>
          <w:tcPr>
            <w:tcW w:w="1692" w:type="pct"/>
          </w:tcPr>
          <w:p w14:paraId="257C11FA"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cu lipodistrofie parțială</w:t>
            </w:r>
          </w:p>
          <w:p w14:paraId="23CA7592"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cu lipodistrofie generalizată</w:t>
            </w:r>
          </w:p>
          <w:p w14:paraId="290D1C09" w14:textId="41C668B5" w:rsidR="00543C11" w:rsidRPr="0049126A" w:rsidRDefault="004B5164" w:rsidP="00543C11">
            <w:pPr>
              <w:spacing w:line="276" w:lineRule="auto"/>
              <w:jc w:val="both"/>
              <w:rPr>
                <w:rFonts w:ascii="Times New Roman" w:hAnsi="Times New Roman" w:cs="Times New Roman"/>
                <w:b/>
                <w:bCs/>
                <w:iCs/>
                <w:sz w:val="20"/>
                <w:szCs w:val="20"/>
                <w:lang w:val="it-IT"/>
              </w:rPr>
            </w:pPr>
            <w:r w:rsidRPr="0049126A">
              <w:rPr>
                <w:rFonts w:ascii="Times New Roman" w:hAnsi="Times New Roman" w:cs="Times New Roman"/>
                <w:b/>
                <w:bCs/>
                <w:iCs/>
                <w:sz w:val="20"/>
                <w:szCs w:val="20"/>
                <w:lang w:val="it-IT"/>
              </w:rPr>
              <w:t>(Anexa 3)</w:t>
            </w:r>
          </w:p>
        </w:tc>
        <w:tc>
          <w:tcPr>
            <w:tcW w:w="2206" w:type="pct"/>
          </w:tcPr>
          <w:p w14:paraId="76F94F5F"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r>
    </w:tbl>
    <w:p w14:paraId="66F908D1" w14:textId="77777777" w:rsidR="00543C11" w:rsidRPr="0049126A" w:rsidRDefault="00543C11" w:rsidP="00543C11">
      <w:pPr>
        <w:spacing w:line="276" w:lineRule="auto"/>
        <w:jc w:val="both"/>
        <w:rPr>
          <w:rFonts w:ascii="Times New Roman" w:hAnsi="Times New Roman" w:cs="Times New Roman"/>
          <w:b/>
          <w:bCs/>
          <w:sz w:val="24"/>
          <w:szCs w:val="24"/>
          <w:highlight w:val="yellow"/>
        </w:rPr>
      </w:pPr>
    </w:p>
    <w:p w14:paraId="38BE8D12" w14:textId="6306A2FD" w:rsidR="00543C11" w:rsidRPr="0049126A" w:rsidRDefault="00543C11" w:rsidP="00543C11">
      <w:pPr>
        <w:spacing w:line="276" w:lineRule="auto"/>
        <w:jc w:val="both"/>
        <w:rPr>
          <w:rFonts w:ascii="Times New Roman" w:hAnsi="Times New Roman" w:cs="Times New Roman"/>
          <w:b/>
          <w:bCs/>
          <w:sz w:val="24"/>
          <w:szCs w:val="24"/>
          <w:u w:val="single"/>
          <w:lang w:val="it-IT"/>
        </w:rPr>
      </w:pPr>
      <w:r w:rsidRPr="0049126A">
        <w:rPr>
          <w:rFonts w:ascii="Times New Roman" w:hAnsi="Times New Roman" w:cs="Times New Roman"/>
          <w:b/>
          <w:bCs/>
          <w:sz w:val="24"/>
          <w:szCs w:val="24"/>
          <w:u w:val="single"/>
          <w:lang w:val="it-IT"/>
        </w:rPr>
        <w:t xml:space="preserve">Sindromul Berardinelli-Seip = lipodistrofia </w:t>
      </w:r>
      <w:r w:rsidR="004B5164" w:rsidRPr="0049126A">
        <w:rPr>
          <w:rFonts w:ascii="Times New Roman" w:hAnsi="Times New Roman" w:cs="Times New Roman"/>
          <w:b/>
          <w:bCs/>
          <w:sz w:val="24"/>
          <w:szCs w:val="24"/>
          <w:u w:val="single"/>
          <w:lang w:val="it-IT"/>
        </w:rPr>
        <w:t>generalizată congenitală (CGL)</w:t>
      </w:r>
    </w:p>
    <w:p w14:paraId="0136AFA7" w14:textId="77777777" w:rsidR="00543C11" w:rsidRPr="0049126A" w:rsidRDefault="00543C11" w:rsidP="00543C11">
      <w:pPr>
        <w:spacing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CGL este o boală autozomal recesivă caracterizată prin lipsa generalizată a țesutului adipos la nivelul întregului organism. Semnele și simptomele sunt prezente încă de la naștere (congenital), sau din copilăria timpurie: hipertrigliceridemie, rezistența la insulină, risc de diabet zaharat, steatoză hepatică, cardiomiopatie hipertrofică cu risc de insuficiență cardiacă și moarte subită. Datorită absenței aproape în totalitate a țesutului lipidic și la creșterea excesivă a țesutului muscular, pacienții au un aspect fizic foarte musculos și vene vizibile și proeminente.</w:t>
      </w:r>
    </w:p>
    <w:p w14:paraId="29FD516B"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Absența generalizată (inclusiv palmo-plantară) a țesutului adipos, observată rapid postpartum, în primii doi ani de viată;</w:t>
      </w:r>
    </w:p>
    <w:p w14:paraId="76292EBD"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Manifestări clinice asociate: acanthosis nigicans apărut precoce, abdomen proeminent prin hepato/splenomegalie, cu hernii, musculatura proeminentă;</w:t>
      </w:r>
    </w:p>
    <w:p w14:paraId="24F30F32"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Asocieri fenotipice posibile: hipotonie musculară, instabilitate cervicală la sugar și copilul mic;</w:t>
      </w:r>
    </w:p>
    <w:p w14:paraId="1B9ABD12"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Apetit crescut, creștere liniară accelerată cu maturizare osoasă avansată; foarte rar adrenarha sau menarha  precoce; talie finală adultă normală sau ușor redusă</w:t>
      </w:r>
    </w:p>
    <w:p w14:paraId="1A540F18"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Fenotip de SOPC asociat, cu infertilitate la sexul feminin, dar fertilitate normală la sexul masculin;</w:t>
      </w:r>
    </w:p>
    <w:p w14:paraId="25D3BDFF"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Asocieri descrise: leziuni litice osoase (oase lungi) postpubertare, chisturi osoase, maduvă osoasă hipoplazică. disabilitate intelectuală, cardiomiopatie hipertrofică;</w:t>
      </w:r>
    </w:p>
    <w:p w14:paraId="472CB4E8"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Afecțiunea mai sever și mai devereme exprimată la sexul feminin, deși prevalența este egală la cele două sexe;</w:t>
      </w:r>
    </w:p>
    <w:p w14:paraId="1924F6E2"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Insulinorezistența apare la vârste tinere, chiar de la nastere; diabetul apare rar în copilărie, dar este frecvent în perioada de adolescență/adult tânăr; este noncetogenic și de obicei refractar la terapia cu insulină, iar complicațiile diabetului apar frecvent: nefropatie, retinopatie, pancreatită acută, steatoză hepatică, hipertrigliceridemie importantă cu risc de pancreatită acută.</w:t>
      </w:r>
    </w:p>
    <w:p w14:paraId="3A200455"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Risc de transformare a steatozei în ciroză hepatică.</w:t>
      </w:r>
    </w:p>
    <w:p w14:paraId="716BC8C3" w14:textId="35B83F30" w:rsidR="00A95187" w:rsidRPr="00360828"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b/>
          <w:bCs/>
          <w:color w:val="auto"/>
          <w:lang w:val="it-IT"/>
        </w:rPr>
      </w:pPr>
      <w:r w:rsidRPr="0049126A">
        <w:rPr>
          <w:color w:val="auto"/>
          <w:lang w:val="it-IT"/>
        </w:rPr>
        <w:t xml:space="preserve">Minim 5 etiologii genetice, mutațiile </w:t>
      </w:r>
      <w:r w:rsidRPr="0049126A">
        <w:rPr>
          <w:b/>
          <w:bCs/>
          <w:color w:val="auto"/>
          <w:lang w:val="it-IT"/>
        </w:rPr>
        <w:t xml:space="preserve">AGPAT2 </w:t>
      </w:r>
      <w:r w:rsidRPr="0049126A">
        <w:rPr>
          <w:color w:val="auto"/>
          <w:lang w:val="it-IT"/>
        </w:rPr>
        <w:t xml:space="preserve">și </w:t>
      </w:r>
      <w:r w:rsidRPr="0049126A">
        <w:rPr>
          <w:b/>
          <w:bCs/>
          <w:color w:val="auto"/>
          <w:lang w:val="it-IT"/>
        </w:rPr>
        <w:t xml:space="preserve">BSCL2 </w:t>
      </w:r>
      <w:r w:rsidRPr="0049126A">
        <w:rPr>
          <w:color w:val="auto"/>
          <w:lang w:val="it-IT"/>
        </w:rPr>
        <w:t xml:space="preserve">fiind responsabile de 95% cazuri </w:t>
      </w:r>
      <w:r w:rsidR="004B5164" w:rsidRPr="0049126A">
        <w:rPr>
          <w:color w:val="auto"/>
          <w:lang w:val="it-IT"/>
        </w:rPr>
        <w:t>(Anexa 1</w:t>
      </w:r>
      <w:r w:rsidRPr="0049126A">
        <w:rPr>
          <w:color w:val="auto"/>
          <w:lang w:val="it-IT"/>
        </w:rPr>
        <w:t>).</w:t>
      </w:r>
    </w:p>
    <w:p w14:paraId="3EA8C0E4" w14:textId="1D0D0C45" w:rsidR="00543C11" w:rsidRPr="0049126A" w:rsidRDefault="00543C11" w:rsidP="00543C11">
      <w:pPr>
        <w:spacing w:line="276" w:lineRule="auto"/>
        <w:jc w:val="both"/>
        <w:rPr>
          <w:rFonts w:ascii="Times New Roman" w:hAnsi="Times New Roman" w:cs="Times New Roman"/>
          <w:b/>
          <w:bCs/>
          <w:sz w:val="24"/>
          <w:szCs w:val="24"/>
          <w:u w:val="single"/>
          <w:lang w:val="it-IT"/>
        </w:rPr>
      </w:pPr>
      <w:r w:rsidRPr="0049126A">
        <w:rPr>
          <w:rFonts w:ascii="Times New Roman" w:hAnsi="Times New Roman" w:cs="Times New Roman"/>
          <w:b/>
          <w:bCs/>
          <w:sz w:val="24"/>
          <w:szCs w:val="24"/>
          <w:u w:val="single"/>
          <w:lang w:val="it-IT"/>
        </w:rPr>
        <w:lastRenderedPageBreak/>
        <w:t>Sindromul Lawrence = lipodistrofi</w:t>
      </w:r>
      <w:r w:rsidR="004B5164" w:rsidRPr="0049126A">
        <w:rPr>
          <w:rFonts w:ascii="Times New Roman" w:hAnsi="Times New Roman" w:cs="Times New Roman"/>
          <w:b/>
          <w:bCs/>
          <w:sz w:val="24"/>
          <w:szCs w:val="24"/>
          <w:u w:val="single"/>
          <w:lang w:val="it-IT"/>
        </w:rPr>
        <w:t>a generalizată dobândită (AGL).</w:t>
      </w:r>
    </w:p>
    <w:p w14:paraId="30094E35" w14:textId="77777777" w:rsidR="004B5164" w:rsidRPr="0049126A" w:rsidRDefault="00543C11" w:rsidP="00543C11">
      <w:pPr>
        <w:spacing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 xml:space="preserve">AGL este o afecțiune mai des intâlnită în rândul femeilor albe (femei:bărbați, 3:1) și apare, de obicei, înainte de adolescență (însă, poate apărea în orice moment al vieții) cu pierderea progresivă a țesutului lipidic la nivelul întregului organism, inclusiv la nivelul palmelor și tălpilor, la persoane anterior sănătoase. O acumulare de lipide poate apărea la nivelul feței, gâtului și axilelor, </w:t>
      </w:r>
      <w:r w:rsidRPr="0049126A">
        <w:rPr>
          <w:rFonts w:ascii="Times New Roman" w:hAnsi="Times New Roman" w:cs="Times New Roman"/>
          <w:b/>
          <w:bCs/>
          <w:sz w:val="24"/>
          <w:szCs w:val="24"/>
          <w:u w:val="single"/>
          <w:lang w:val="it-IT"/>
        </w:rPr>
        <w:t>dar țesutul adipos retroorbitar și la nivelul măduvei spinării este adeseori conservat</w:t>
      </w:r>
      <w:r w:rsidRPr="0049126A">
        <w:rPr>
          <w:rFonts w:ascii="Times New Roman" w:hAnsi="Times New Roman" w:cs="Times New Roman"/>
          <w:sz w:val="24"/>
          <w:szCs w:val="24"/>
          <w:lang w:val="it-IT"/>
        </w:rPr>
        <w:t xml:space="preserve">. Complicațiile metabolice sunt frecvente și pot fi severe, DZ dezvoltându-se în medie după cca 4 ani de la dispariția țesutului adipos; sunt frecvente hipertrigliceridemia, steatoza hepatică cu evoluție spre ciroză, acanthosis nigricans, tulburările menstruale și profilul clinico-biologic de SOPC (1/3 cazuri). </w:t>
      </w:r>
      <w:r w:rsidRPr="0049126A">
        <w:rPr>
          <w:rFonts w:ascii="Times New Roman" w:hAnsi="Times New Roman" w:cs="Times New Roman"/>
          <w:sz w:val="24"/>
          <w:szCs w:val="24"/>
          <w:lang w:val="pt-BR"/>
        </w:rPr>
        <w:t xml:space="preserve">În cazul adolescenților, sindromul este asociat cu un apetit vorace și o creștere accelerată. </w:t>
      </w:r>
      <w:r w:rsidRPr="0049126A">
        <w:rPr>
          <w:rFonts w:ascii="Times New Roman" w:hAnsi="Times New Roman" w:cs="Times New Roman"/>
          <w:sz w:val="24"/>
          <w:szCs w:val="24"/>
          <w:lang w:val="it-IT"/>
        </w:rPr>
        <w:t xml:space="preserve">Debutul este adeseori după o afecțiune febrilă, AGL fiind deseori asociată cu apariția bolilor autoimune. </w:t>
      </w:r>
    </w:p>
    <w:p w14:paraId="6AFCB12F" w14:textId="700A175A" w:rsidR="00543C11" w:rsidRPr="0049126A" w:rsidRDefault="00543C11" w:rsidP="00543C11">
      <w:pPr>
        <w:spacing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Se descriu în acest sens 3 tipuri de AGL:</w:t>
      </w:r>
    </w:p>
    <w:p w14:paraId="7B26476A"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Tipul I – asociat cu mainfestarea paniculitei - noduli inflamatori urmați de lipoatrofie;</w:t>
      </w:r>
    </w:p>
    <w:p w14:paraId="068EAAB8" w14:textId="4E2FE5FE"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Tipul II – AGL asociată cu boli autoimune: dermatomiozita cu debut juvenil (8-40% din pacienții cu DMJ dezvoltă AGL), artrita reumatoidă, sleroza sistemică, LES, Sindrom Sjogren; au fost descrise în literatură câteva cazuri de lipodistrofii generalizate dobândite după terapii cu inhibitori de check-point.</w:t>
      </w:r>
    </w:p>
    <w:p w14:paraId="2A37F60A" w14:textId="77777777" w:rsidR="00543C11" w:rsidRPr="0049126A" w:rsidRDefault="00543C11" w:rsidP="00543C11">
      <w:pPr>
        <w:pStyle w:val="List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color w:val="auto"/>
          <w:lang w:val="it-IT"/>
        </w:rPr>
      </w:pPr>
      <w:r w:rsidRPr="0049126A">
        <w:rPr>
          <w:color w:val="auto"/>
          <w:lang w:val="it-IT"/>
        </w:rPr>
        <w:t>Tipul III – idiopatică - AGL fără etiologie autoimună identificată (50% cazuri).</w:t>
      </w:r>
    </w:p>
    <w:p w14:paraId="189C84BE" w14:textId="77777777" w:rsidR="004B5164" w:rsidRPr="0049126A" w:rsidRDefault="004B5164" w:rsidP="004B5164">
      <w:pPr>
        <w:pStyle w:val="Default"/>
        <w:spacing w:line="276" w:lineRule="auto"/>
        <w:jc w:val="both"/>
        <w:rPr>
          <w:rFonts w:ascii="Times New Roman" w:hAnsi="Times New Roman" w:cs="Times New Roman"/>
          <w:color w:val="auto"/>
          <w:lang w:val="it-IT"/>
        </w:rPr>
      </w:pPr>
    </w:p>
    <w:p w14:paraId="3FE6A304" w14:textId="77777777" w:rsidR="00543C11" w:rsidRPr="0049126A" w:rsidRDefault="00543C11" w:rsidP="004B5164">
      <w:pPr>
        <w:pStyle w:val="Default"/>
        <w:spacing w:line="276" w:lineRule="auto"/>
        <w:jc w:val="both"/>
        <w:rPr>
          <w:rFonts w:ascii="Times New Roman" w:hAnsi="Times New Roman" w:cs="Times New Roman"/>
          <w:color w:val="auto"/>
          <w:lang w:val="pt-BR"/>
        </w:rPr>
      </w:pPr>
      <w:r w:rsidRPr="0049126A">
        <w:rPr>
          <w:rFonts w:ascii="Times New Roman" w:hAnsi="Times New Roman" w:cs="Times New Roman"/>
          <w:color w:val="auto"/>
          <w:lang w:val="it-IT"/>
        </w:rPr>
        <w:t xml:space="preserve">Cauzele bolii rămân necunoscute. Ar putea fi factori declanșatori infecțioși (de ex., un caz recent de paniculită apărută după tuberculoză), sau un mecanism autoimun. </w:t>
      </w:r>
      <w:r w:rsidRPr="0049126A">
        <w:rPr>
          <w:rFonts w:ascii="Times New Roman" w:hAnsi="Times New Roman" w:cs="Times New Roman"/>
          <w:color w:val="auto"/>
          <w:lang w:val="pt-BR"/>
        </w:rPr>
        <w:t>Conform unei publicații recente, o cauză ar putea fi activarea căii clasice a complementului (C4) - în contradicție cu lipodistrofia parțială dobândită, care afectează jumătatea superioară a organismului uman și este caracterizată de activarea căii alternative a complementului (C3). Progresia lipoatrofiei, focală sau generalizată, a fost raportată la pacienții cu dermatomiozită, la care, de obicei este prezent anticorpul anti-p155. A fost luată în considerare și ipoteza unui factor genetic declanșator.</w:t>
      </w:r>
    </w:p>
    <w:p w14:paraId="0E08B1F0" w14:textId="77777777" w:rsidR="00543C11" w:rsidRPr="0049126A" w:rsidRDefault="00543C11" w:rsidP="00543C11">
      <w:pPr>
        <w:spacing w:line="276" w:lineRule="auto"/>
        <w:jc w:val="both"/>
        <w:rPr>
          <w:rFonts w:ascii="Times New Roman" w:hAnsi="Times New Roman" w:cs="Times New Roman"/>
          <w:sz w:val="24"/>
          <w:szCs w:val="24"/>
          <w:lang w:val="pt-BR"/>
        </w:rPr>
      </w:pPr>
    </w:p>
    <w:p w14:paraId="355ED19C" w14:textId="479D200D" w:rsidR="00543C11" w:rsidRPr="0049126A" w:rsidRDefault="004B5164" w:rsidP="00543C11">
      <w:pPr>
        <w:spacing w:line="276" w:lineRule="auto"/>
        <w:jc w:val="both"/>
        <w:rPr>
          <w:rFonts w:ascii="Times New Roman" w:hAnsi="Times New Roman" w:cs="Times New Roman"/>
          <w:b/>
          <w:bCs/>
          <w:sz w:val="24"/>
          <w:szCs w:val="24"/>
          <w:lang w:val="it-IT"/>
        </w:rPr>
      </w:pPr>
      <w:r w:rsidRPr="0049126A">
        <w:rPr>
          <w:rFonts w:ascii="Times New Roman" w:hAnsi="Times New Roman" w:cs="Times New Roman"/>
          <w:b/>
          <w:bCs/>
          <w:sz w:val="24"/>
          <w:szCs w:val="24"/>
          <w:lang w:val="it-IT"/>
        </w:rPr>
        <w:t>LIPODISTROFIILE PARȚIALE</w:t>
      </w:r>
    </w:p>
    <w:p w14:paraId="2CE43270" w14:textId="3B0B1608" w:rsidR="00543C11" w:rsidRPr="0049126A" w:rsidRDefault="00543C11" w:rsidP="00543C11">
      <w:pPr>
        <w:spacing w:line="276" w:lineRule="auto"/>
        <w:jc w:val="both"/>
        <w:rPr>
          <w:rFonts w:ascii="Times New Roman" w:hAnsi="Times New Roman" w:cs="Times New Roman"/>
          <w:sz w:val="24"/>
          <w:szCs w:val="24"/>
          <w:lang w:val="pt-BR"/>
        </w:rPr>
      </w:pPr>
      <w:r w:rsidRPr="0049126A">
        <w:rPr>
          <w:rFonts w:ascii="Times New Roman" w:hAnsi="Times New Roman" w:cs="Times New Roman"/>
          <w:sz w:val="24"/>
          <w:szCs w:val="24"/>
          <w:lang w:val="it-IT"/>
        </w:rPr>
        <w:t xml:space="preserve">Formele familiale FPLD – sunt afecțiuni heterogenă din punct de vedere clinic și genetic, reprezentând un grup de boli autozomal dominante caracterizate prin pierderea selectivă a țesutului adipos subcutanat în diferite regiuni ale corpului (predominent pe membre, fese și coapse), variind de la arii de dimensiuni mici pe anumite segmente ale corpului, până la absența țesutului adipos subcutanat pe toata suprafața corpului, cu redistribuția sa în alte zone, ceea ce le poate conferi pacienților un aspect ”Cushingoid”. Pacienții prezintă un aspect normal la naștere și în perioada copilăriei în ceea ce privește distribuția lipidelor, însă dezvoltă modificări clinice în apropierea pubertății. Drept consecință a adipogenezei imperfecte, în perioada adolescenței sau la maturitate apar progresiv complicații metabolice precum: rezistența la insulină, diabetul zaharat, steatoza hepatică, acanthosis nigricans, hipertensiune și ateroscleroză prematură cu risc crescut de afecțiuni cardiovasculare coronariene. </w:t>
      </w:r>
      <w:r w:rsidRPr="0049126A">
        <w:rPr>
          <w:rFonts w:ascii="Times New Roman" w:hAnsi="Times New Roman" w:cs="Times New Roman"/>
          <w:sz w:val="24"/>
          <w:szCs w:val="24"/>
          <w:lang w:val="pt-BR"/>
        </w:rPr>
        <w:t>Unele femei pot prezenta caracteristici ale sindromului ovarelor polichistice, cum ar fi: hirsutism, oligomenoree, ovare polichistice și infertilitate. Pacienții sunt, de obicei, predispuși l</w:t>
      </w:r>
      <w:r w:rsidR="004B5164" w:rsidRPr="0049126A">
        <w:rPr>
          <w:rFonts w:ascii="Times New Roman" w:hAnsi="Times New Roman" w:cs="Times New Roman"/>
          <w:sz w:val="24"/>
          <w:szCs w:val="24"/>
          <w:lang w:val="pt-BR"/>
        </w:rPr>
        <w:t>a boli cardiovasculare precoce.</w:t>
      </w:r>
    </w:p>
    <w:p w14:paraId="2A41E6B6" w14:textId="77777777" w:rsidR="004B5164" w:rsidRDefault="004B5164" w:rsidP="00543C11">
      <w:pPr>
        <w:spacing w:line="276" w:lineRule="auto"/>
        <w:jc w:val="both"/>
        <w:rPr>
          <w:rFonts w:ascii="Times New Roman" w:hAnsi="Times New Roman" w:cs="Times New Roman"/>
          <w:b/>
          <w:sz w:val="24"/>
          <w:szCs w:val="24"/>
          <w:lang w:val="it-IT"/>
        </w:rPr>
      </w:pPr>
    </w:p>
    <w:p w14:paraId="76C2F081" w14:textId="77777777" w:rsidR="00C26280" w:rsidRPr="0049126A" w:rsidRDefault="00C26280" w:rsidP="00543C11">
      <w:pPr>
        <w:spacing w:line="276" w:lineRule="auto"/>
        <w:jc w:val="both"/>
        <w:rPr>
          <w:rFonts w:ascii="Times New Roman" w:hAnsi="Times New Roman" w:cs="Times New Roman"/>
          <w:b/>
          <w:sz w:val="24"/>
          <w:szCs w:val="24"/>
          <w:lang w:val="it-IT"/>
        </w:rPr>
      </w:pPr>
    </w:p>
    <w:p w14:paraId="5F907987" w14:textId="77ED2ADA" w:rsidR="00543C11" w:rsidRPr="0049126A" w:rsidRDefault="00543C11" w:rsidP="00543C11">
      <w:pPr>
        <w:spacing w:line="276" w:lineRule="auto"/>
        <w:jc w:val="both"/>
        <w:rPr>
          <w:rFonts w:ascii="Times New Roman" w:hAnsi="Times New Roman" w:cs="Times New Roman"/>
          <w:b/>
          <w:sz w:val="24"/>
          <w:szCs w:val="24"/>
          <w:lang w:val="it-IT"/>
        </w:rPr>
      </w:pPr>
      <w:r w:rsidRPr="0049126A">
        <w:rPr>
          <w:rFonts w:ascii="Times New Roman" w:hAnsi="Times New Roman" w:cs="Times New Roman"/>
          <w:b/>
          <w:sz w:val="24"/>
          <w:szCs w:val="24"/>
          <w:lang w:val="it-IT"/>
        </w:rPr>
        <w:lastRenderedPageBreak/>
        <w:t>Lipodistrofiile congenitale parțiale (APL</w:t>
      </w:r>
      <w:r w:rsidR="004B5164" w:rsidRPr="0049126A">
        <w:rPr>
          <w:rFonts w:ascii="Times New Roman" w:hAnsi="Times New Roman" w:cs="Times New Roman"/>
          <w:b/>
          <w:sz w:val="24"/>
          <w:szCs w:val="24"/>
          <w:lang w:val="it-IT"/>
        </w:rPr>
        <w:t>)  (Sindromul Barraquer-Simons)</w:t>
      </w:r>
    </w:p>
    <w:p w14:paraId="44930815" w14:textId="77777777" w:rsidR="00543C11" w:rsidRPr="0049126A" w:rsidRDefault="00543C11" w:rsidP="00543C11">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Sunt afecțiuni genetice rare caracterizate prin pierderea selectivă și progresivă în diverse regiuni ale corpului: de obicei reducerea țesutului subcutanat la nivelul membrelor superioare și inferioare și la nivelul trunchiului, concomitent cu depunerea țesutului subcutanat în alte regiuni, mai ales la nivelul feței, gâtului și regiunii intraaabdominale.</w:t>
      </w:r>
    </w:p>
    <w:p w14:paraId="57A9F7E0" w14:textId="4AE20440" w:rsidR="00543C11" w:rsidRPr="0049126A" w:rsidRDefault="00543C11" w:rsidP="00543C11">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În majoritatea cazurilor modificările fenotipice apar la pubertate.</w:t>
      </w:r>
      <w:r w:rsidR="004B5164" w:rsidRPr="0049126A">
        <w:rPr>
          <w:rFonts w:ascii="Times New Roman" w:hAnsi="Times New Roman" w:cs="Times New Roman"/>
          <w:sz w:val="24"/>
          <w:szCs w:val="24"/>
        </w:rPr>
        <w:t xml:space="preserve"> </w:t>
      </w:r>
      <w:r w:rsidRPr="0049126A">
        <w:rPr>
          <w:rFonts w:ascii="Times New Roman" w:hAnsi="Times New Roman" w:cs="Times New Roman"/>
          <w:sz w:val="24"/>
          <w:szCs w:val="24"/>
        </w:rPr>
        <w:t>Asociază o serie de anomalii metabolice, intensitatea acestora fiind adeseori proporțională cu gradul de pierdere a țesutului adipos: intoleranță la glucoză, DZ, hipertrigl</w:t>
      </w:r>
      <w:r w:rsidR="004B5164" w:rsidRPr="0049126A">
        <w:rPr>
          <w:rFonts w:ascii="Times New Roman" w:hAnsi="Times New Roman" w:cs="Times New Roman"/>
          <w:sz w:val="24"/>
          <w:szCs w:val="24"/>
        </w:rPr>
        <w:t xml:space="preserve">iceridemie. </w:t>
      </w:r>
      <w:r w:rsidRPr="0049126A">
        <w:rPr>
          <w:rFonts w:ascii="Times New Roman" w:hAnsi="Times New Roman" w:cs="Times New Roman"/>
          <w:sz w:val="24"/>
          <w:szCs w:val="24"/>
        </w:rPr>
        <w:t xml:space="preserve">Se descriu 8 tipuri de lipodistrofii parțiale familiale (FPLD1-7, FPLD AKT2, din care cele mai frecvente sunt FLPD2-3), 5 cu transmitere autozomal dominantă, 3 cu transmitere autozomal recesivă </w:t>
      </w:r>
      <w:r w:rsidR="004B5164" w:rsidRPr="0049126A">
        <w:rPr>
          <w:rFonts w:ascii="Times New Roman" w:hAnsi="Times New Roman" w:cs="Times New Roman"/>
          <w:sz w:val="24"/>
          <w:szCs w:val="24"/>
        </w:rPr>
        <w:t>(A</w:t>
      </w:r>
      <w:r w:rsidRPr="0049126A">
        <w:rPr>
          <w:rFonts w:ascii="Times New Roman" w:hAnsi="Times New Roman" w:cs="Times New Roman"/>
          <w:sz w:val="24"/>
          <w:szCs w:val="24"/>
        </w:rPr>
        <w:t>nexa 2).</w:t>
      </w:r>
    </w:p>
    <w:p w14:paraId="2E973BF2" w14:textId="77777777" w:rsidR="00543C11" w:rsidRPr="0049126A" w:rsidRDefault="00543C11" w:rsidP="00543C11">
      <w:pPr>
        <w:spacing w:line="276" w:lineRule="auto"/>
        <w:jc w:val="both"/>
        <w:rPr>
          <w:rFonts w:ascii="Times New Roman" w:hAnsi="Times New Roman" w:cs="Times New Roman"/>
          <w:b/>
          <w:sz w:val="24"/>
          <w:szCs w:val="24"/>
          <w:lang w:val="it-IT"/>
        </w:rPr>
      </w:pPr>
    </w:p>
    <w:p w14:paraId="03851D5B" w14:textId="5DDD78AE" w:rsidR="00543C11" w:rsidRPr="0049126A" w:rsidRDefault="00543C11" w:rsidP="00543C11">
      <w:pPr>
        <w:spacing w:line="276" w:lineRule="auto"/>
        <w:jc w:val="both"/>
        <w:rPr>
          <w:rFonts w:ascii="Times New Roman" w:hAnsi="Times New Roman" w:cs="Times New Roman"/>
          <w:b/>
          <w:sz w:val="24"/>
          <w:szCs w:val="24"/>
          <w:lang w:val="it-IT"/>
        </w:rPr>
      </w:pPr>
      <w:r w:rsidRPr="0049126A">
        <w:rPr>
          <w:rFonts w:ascii="Times New Roman" w:hAnsi="Times New Roman" w:cs="Times New Roman"/>
          <w:b/>
          <w:sz w:val="24"/>
          <w:szCs w:val="24"/>
          <w:lang w:val="it-IT"/>
        </w:rPr>
        <w:t>Lipodistrofia dobândită parțială (APL)</w:t>
      </w:r>
      <w:r w:rsidR="004B5164" w:rsidRPr="0049126A">
        <w:rPr>
          <w:rFonts w:ascii="Times New Roman" w:hAnsi="Times New Roman" w:cs="Times New Roman"/>
          <w:b/>
          <w:sz w:val="24"/>
          <w:szCs w:val="24"/>
          <w:lang w:val="it-IT"/>
        </w:rPr>
        <w:t xml:space="preserve">  (Sindromul Barraquer-Simons)</w:t>
      </w:r>
    </w:p>
    <w:p w14:paraId="24C3CD8E" w14:textId="77777777" w:rsidR="00543C11" w:rsidRPr="0049126A" w:rsidRDefault="00543C11" w:rsidP="00543C11">
      <w:pPr>
        <w:spacing w:line="276" w:lineRule="auto"/>
        <w:jc w:val="both"/>
        <w:rPr>
          <w:rFonts w:ascii="Times New Roman" w:hAnsi="Times New Roman" w:cs="Times New Roman"/>
          <w:bCs/>
          <w:sz w:val="24"/>
          <w:szCs w:val="24"/>
          <w:lang w:val="it-IT"/>
        </w:rPr>
      </w:pPr>
      <w:r w:rsidRPr="0049126A">
        <w:rPr>
          <w:rFonts w:ascii="Times New Roman" w:hAnsi="Times New Roman" w:cs="Times New Roman"/>
          <w:bCs/>
          <w:sz w:val="24"/>
          <w:szCs w:val="24"/>
          <w:lang w:val="it-IT"/>
        </w:rPr>
        <w:t xml:space="preserve">Lipodistrofia APL este mai frecventă la sexul feminin (raport sex feminin: sex masculin – 4:1) și debutează de obicei în copilărie și adolescență, </w:t>
      </w:r>
      <w:r w:rsidRPr="0049126A">
        <w:rPr>
          <w:rFonts w:ascii="Times New Roman" w:hAnsi="Times New Roman" w:cs="Times New Roman"/>
          <w:sz w:val="24"/>
          <w:szCs w:val="24"/>
          <w:lang w:val="it-IT"/>
        </w:rPr>
        <w:t>însă poate să apară și până în a patra sau a cincea decadă a vieții.</w:t>
      </w:r>
      <w:r w:rsidRPr="0049126A">
        <w:rPr>
          <w:rFonts w:ascii="Times New Roman" w:hAnsi="Times New Roman" w:cs="Times New Roman"/>
          <w:bCs/>
          <w:sz w:val="24"/>
          <w:szCs w:val="24"/>
          <w:lang w:val="it-IT"/>
        </w:rPr>
        <w:t xml:space="preserve"> Pierderea țesutului adipos se produce cranio-caudal, afectând progresiv fața, gâtul, umerii, brațele și trunchiul, concomitent cu acumularea grăsimii în ½ inferioară (coapse, fese și membre inferioare).</w:t>
      </w:r>
    </w:p>
    <w:p w14:paraId="06B17B7C" w14:textId="77777777" w:rsidR="00543C11" w:rsidRPr="0049126A" w:rsidRDefault="00543C11" w:rsidP="00543C11">
      <w:pPr>
        <w:spacing w:line="276" w:lineRule="auto"/>
        <w:jc w:val="both"/>
        <w:rPr>
          <w:rFonts w:ascii="Times New Roman" w:hAnsi="Times New Roman" w:cs="Times New Roman"/>
          <w:sz w:val="24"/>
          <w:szCs w:val="24"/>
          <w:lang w:val="pt-BR"/>
        </w:rPr>
      </w:pPr>
      <w:r w:rsidRPr="0049126A">
        <w:rPr>
          <w:rFonts w:ascii="Times New Roman" w:hAnsi="Times New Roman" w:cs="Times New Roman"/>
          <w:b/>
          <w:sz w:val="24"/>
          <w:szCs w:val="24"/>
          <w:lang w:val="pt-BR"/>
        </w:rPr>
        <w:t xml:space="preserve">Glomerulonefrita mezangiocapilară este prezentă la o treime din pacienții cu APL, </w:t>
      </w:r>
      <w:r w:rsidRPr="0049126A">
        <w:rPr>
          <w:rFonts w:ascii="Times New Roman" w:hAnsi="Times New Roman" w:cs="Times New Roman"/>
          <w:bCs/>
          <w:sz w:val="24"/>
          <w:szCs w:val="24"/>
          <w:lang w:val="it-IT"/>
        </w:rPr>
        <w:t>apare după o perioadă medie de 5-10 ani de la debutul manifestărilor subcutanate</w:t>
      </w:r>
      <w:r w:rsidRPr="0049126A">
        <w:rPr>
          <w:rFonts w:ascii="Times New Roman" w:hAnsi="Times New Roman" w:cs="Times New Roman"/>
          <w:b/>
          <w:sz w:val="24"/>
          <w:szCs w:val="24"/>
          <w:lang w:val="pt-BR"/>
        </w:rPr>
        <w:t xml:space="preserve"> și este asociată cu niveluri serice scăzute ale componentei C 3 a complementului și prezența factorului C3-nefritic</w:t>
      </w:r>
      <w:r w:rsidRPr="0049126A">
        <w:rPr>
          <w:rFonts w:ascii="Times New Roman" w:hAnsi="Times New Roman" w:cs="Times New Roman"/>
          <w:sz w:val="24"/>
          <w:szCs w:val="24"/>
          <w:lang w:val="pt-BR"/>
        </w:rPr>
        <w:t xml:space="preserve">. </w:t>
      </w:r>
    </w:p>
    <w:p w14:paraId="28769C00" w14:textId="2B5EF261" w:rsidR="004B5164" w:rsidRPr="0049126A" w:rsidRDefault="00543C11" w:rsidP="00543C11">
      <w:pPr>
        <w:spacing w:line="276" w:lineRule="auto"/>
        <w:jc w:val="both"/>
        <w:rPr>
          <w:rFonts w:ascii="Times New Roman" w:hAnsi="Times New Roman" w:cs="Times New Roman"/>
          <w:bCs/>
          <w:sz w:val="24"/>
          <w:szCs w:val="24"/>
          <w:lang w:val="it-IT"/>
        </w:rPr>
      </w:pPr>
      <w:r w:rsidRPr="0049126A">
        <w:rPr>
          <w:rFonts w:ascii="Times New Roman" w:hAnsi="Times New Roman" w:cs="Times New Roman"/>
          <w:sz w:val="24"/>
          <w:szCs w:val="24"/>
          <w:lang w:val="pt-BR"/>
        </w:rPr>
        <w:t xml:space="preserve">Deși există un risc crescut de rezistență la insulină și complicații metabolice (inclusiv dereglări menstruale, hirsutism, diabet zaharat, dislipidemie, hipertensiune arterială și steatoză hepatică), </w:t>
      </w:r>
      <w:r w:rsidRPr="0049126A">
        <w:rPr>
          <w:rFonts w:ascii="Times New Roman" w:hAnsi="Times New Roman" w:cs="Times New Roman"/>
          <w:b/>
          <w:sz w:val="24"/>
          <w:szCs w:val="24"/>
          <w:lang w:val="pt-BR"/>
        </w:rPr>
        <w:t>acestea sunt observate mult mai rar</w:t>
      </w:r>
      <w:r w:rsidRPr="0049126A">
        <w:rPr>
          <w:rFonts w:ascii="Times New Roman" w:hAnsi="Times New Roman" w:cs="Times New Roman"/>
          <w:sz w:val="24"/>
          <w:szCs w:val="24"/>
          <w:lang w:val="pt-BR"/>
        </w:rPr>
        <w:t>, comparativ cu alte tipuri de lipodistrofii. Ocazional, pot fi asociate anomalii funcționale, inclusiv surditate senzorială, epilepsie, deficit intelectual, miopatie și modificări ale retinei. Deși etiologia bolii este necunoscută, susceptibilitatea a fost legată de mutațiile heterozigote la nivelul genei LMNB2 (19p12.3), care codifică proteina din anvelopa nucleară a laminei B2. Cu toate acestea, această mutație este foarte inconstantă. Mai mult, apariția timpurie a bolii sugerează cauze genetice încă necunoscute, implicate probabil în imunitatea înnăscută.</w:t>
      </w:r>
    </w:p>
    <w:p w14:paraId="534C078E" w14:textId="396F03FD" w:rsidR="00543C11" w:rsidRPr="0049126A" w:rsidRDefault="004B5164" w:rsidP="00543C11">
      <w:pPr>
        <w:spacing w:line="276" w:lineRule="auto"/>
        <w:jc w:val="both"/>
        <w:rPr>
          <w:rFonts w:ascii="Times New Roman" w:hAnsi="Times New Roman" w:cs="Times New Roman"/>
          <w:sz w:val="24"/>
          <w:szCs w:val="24"/>
          <w:lang w:val="it-IT"/>
        </w:rPr>
      </w:pPr>
      <w:r w:rsidRPr="0049126A">
        <w:rPr>
          <w:rFonts w:ascii="Times New Roman" w:hAnsi="Times New Roman" w:cs="Times New Roman"/>
          <w:sz w:val="24"/>
          <w:szCs w:val="24"/>
          <w:lang w:val="it-IT"/>
        </w:rPr>
        <w:t>Algoritmul de diagnostic al lipodistrofiilor este cuprins în anexa 4.</w:t>
      </w:r>
    </w:p>
    <w:p w14:paraId="51232A16" w14:textId="77777777" w:rsidR="004B5164" w:rsidRPr="0049126A" w:rsidRDefault="004B5164" w:rsidP="00543C11">
      <w:pPr>
        <w:spacing w:line="276" w:lineRule="auto"/>
        <w:jc w:val="both"/>
        <w:rPr>
          <w:rFonts w:ascii="Times New Roman" w:hAnsi="Times New Roman" w:cs="Times New Roman"/>
          <w:b/>
          <w:sz w:val="24"/>
          <w:szCs w:val="24"/>
        </w:rPr>
      </w:pPr>
    </w:p>
    <w:p w14:paraId="1B5CC5F6" w14:textId="63B5C38F" w:rsidR="004B5164" w:rsidRPr="0049126A" w:rsidRDefault="00543C11" w:rsidP="00543C11">
      <w:pPr>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I.</w:t>
      </w:r>
      <w:r w:rsidR="004B5164" w:rsidRPr="0049126A">
        <w:rPr>
          <w:rFonts w:ascii="Times New Roman" w:hAnsi="Times New Roman" w:cs="Times New Roman"/>
          <w:b/>
          <w:sz w:val="24"/>
          <w:szCs w:val="24"/>
        </w:rPr>
        <w:t xml:space="preserve"> INDICAȚIA TERAPEUTICĂ  </w:t>
      </w:r>
      <w:r w:rsidRPr="0049126A">
        <w:rPr>
          <w:rFonts w:ascii="Times New Roman" w:hAnsi="Times New Roman" w:cs="Times New Roman"/>
          <w:b/>
          <w:sz w:val="24"/>
          <w:szCs w:val="24"/>
        </w:rPr>
        <w:t>(face obi</w:t>
      </w:r>
      <w:r w:rsidR="006920D6" w:rsidRPr="0049126A">
        <w:rPr>
          <w:rFonts w:ascii="Times New Roman" w:hAnsi="Times New Roman" w:cs="Times New Roman"/>
          <w:b/>
          <w:sz w:val="24"/>
          <w:szCs w:val="24"/>
        </w:rPr>
        <w:t>ectul unui contract cost-</w:t>
      </w:r>
      <w:r w:rsidR="004B5164" w:rsidRPr="0049126A">
        <w:rPr>
          <w:rFonts w:ascii="Times New Roman" w:hAnsi="Times New Roman" w:cs="Times New Roman"/>
          <w:b/>
          <w:sz w:val="24"/>
          <w:szCs w:val="24"/>
        </w:rPr>
        <w:t>volum)</w:t>
      </w:r>
    </w:p>
    <w:p w14:paraId="485F821B" w14:textId="2091FB27" w:rsidR="00543C11" w:rsidRPr="0049126A" w:rsidRDefault="00543C11" w:rsidP="00543C11">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Metreleptin este indicată ca adjuvant, pe langă regimul alimentar, ca terapie de substituţie pentru tratamentul complicaţiilor cauzate de deficitul de leptină la pacienţii cu:</w:t>
      </w:r>
    </w:p>
    <w:p w14:paraId="130F207A" w14:textId="4EEC0010" w:rsidR="00543C11" w:rsidRPr="0049126A" w:rsidRDefault="00543C11" w:rsidP="00C949F2">
      <w:pPr>
        <w:pStyle w:val="ListParagraph"/>
        <w:numPr>
          <w:ilvl w:val="0"/>
          <w:numId w:val="81"/>
        </w:numPr>
        <w:spacing w:line="276" w:lineRule="auto"/>
        <w:jc w:val="both"/>
        <w:rPr>
          <w:color w:val="auto"/>
        </w:rPr>
      </w:pPr>
      <w:r w:rsidRPr="0049126A">
        <w:rPr>
          <w:color w:val="auto"/>
        </w:rPr>
        <w:t xml:space="preserve">LD generalizată congenitală </w:t>
      </w:r>
      <w:r w:rsidR="00C949F2" w:rsidRPr="00C949F2">
        <w:rPr>
          <w:color w:val="auto"/>
        </w:rPr>
        <w:t xml:space="preserve">diagnosticată </w:t>
      </w:r>
      <w:r w:rsidRPr="0049126A">
        <w:rPr>
          <w:color w:val="auto"/>
        </w:rPr>
        <w:t xml:space="preserve">(sindrom Berardinelli-Seip) sau LD generalizată dobandită (sindrom Lawrance), confirmată, </w:t>
      </w:r>
      <w:r w:rsidRPr="0049126A">
        <w:rPr>
          <w:b/>
          <w:bCs/>
          <w:color w:val="auto"/>
          <w:u w:val="single"/>
        </w:rPr>
        <w:t>la adulţi, adolescenţi si copii cu varsta de minim 2 ani</w:t>
      </w:r>
      <w:r w:rsidRPr="0049126A">
        <w:rPr>
          <w:color w:val="auto"/>
        </w:rPr>
        <w:t>;</w:t>
      </w:r>
    </w:p>
    <w:p w14:paraId="465D938E" w14:textId="123F1F0E" w:rsidR="00543C11" w:rsidRPr="0049126A" w:rsidRDefault="00543C11" w:rsidP="00C949F2">
      <w:pPr>
        <w:pStyle w:val="ListParagraph"/>
        <w:numPr>
          <w:ilvl w:val="0"/>
          <w:numId w:val="81"/>
        </w:numPr>
        <w:spacing w:line="276" w:lineRule="auto"/>
        <w:jc w:val="both"/>
        <w:rPr>
          <w:b/>
          <w:bCs/>
          <w:color w:val="auto"/>
          <w:u w:val="single"/>
        </w:rPr>
      </w:pPr>
      <w:r w:rsidRPr="0049126A">
        <w:rPr>
          <w:color w:val="auto"/>
        </w:rPr>
        <w:t xml:space="preserve">LD parţială familială </w:t>
      </w:r>
      <w:r w:rsidR="00C949F2" w:rsidRPr="00C949F2">
        <w:rPr>
          <w:color w:val="auto"/>
        </w:rPr>
        <w:t xml:space="preserve">diagnosticată </w:t>
      </w:r>
      <w:r w:rsidRPr="0049126A">
        <w:rPr>
          <w:color w:val="auto"/>
        </w:rPr>
        <w:t xml:space="preserve">(FPLD) sau LD parţială dobandită (sindrom Barraquer-Simons), </w:t>
      </w:r>
      <w:r w:rsidRPr="0049126A">
        <w:rPr>
          <w:b/>
          <w:bCs/>
          <w:color w:val="auto"/>
          <w:u w:val="single"/>
        </w:rPr>
        <w:t>la adulţi și adolescenţi cu varsta de minim 12 ani, la care tratamentele standard au eșuat in atingerea controlului metabolic adecvat.</w:t>
      </w:r>
    </w:p>
    <w:p w14:paraId="4F01DF3E" w14:textId="799FCB4B" w:rsidR="00A95187" w:rsidRPr="0049126A" w:rsidRDefault="00543C11" w:rsidP="00543C11">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lastRenderedPageBreak/>
        <w:t xml:space="preserve">Rezultate așteptate: scăderea hiperfagiei, îmbunătățirea sensibilității la insulină (scăderea valorilor insulinemiei bazale sau scăderea necesarului de insulină), scăderea valorilor HbA1c, a trigliceridelor serice, ameliorarea steatozei hepatice. </w:t>
      </w:r>
    </w:p>
    <w:p w14:paraId="62D309A7" w14:textId="013BC8B5" w:rsidR="00543C11" w:rsidRPr="0049126A" w:rsidRDefault="004B5164" w:rsidP="00543C11">
      <w:pPr>
        <w:spacing w:line="276" w:lineRule="auto"/>
        <w:jc w:val="both"/>
        <w:rPr>
          <w:rFonts w:ascii="Times New Roman" w:hAnsi="Times New Roman" w:cs="Times New Roman"/>
          <w:b/>
          <w:sz w:val="24"/>
          <w:szCs w:val="24"/>
          <w:lang w:val="it-IT"/>
        </w:rPr>
      </w:pPr>
      <w:r w:rsidRPr="0049126A">
        <w:rPr>
          <w:rFonts w:ascii="Times New Roman" w:hAnsi="Times New Roman" w:cs="Times New Roman"/>
          <w:b/>
          <w:sz w:val="24"/>
          <w:szCs w:val="24"/>
          <w:lang w:val="it-IT"/>
        </w:rPr>
        <w:t xml:space="preserve">Tratamentul cu Metreleptină  </w:t>
      </w:r>
    </w:p>
    <w:p w14:paraId="55264128" w14:textId="77777777" w:rsidR="00543C11" w:rsidRPr="0049126A" w:rsidRDefault="00543C11" w:rsidP="00543C11">
      <w:pPr>
        <w:pStyle w:val="Default"/>
        <w:spacing w:line="276" w:lineRule="auto"/>
        <w:jc w:val="both"/>
        <w:rPr>
          <w:rFonts w:ascii="Times New Roman" w:hAnsi="Times New Roman" w:cs="Times New Roman"/>
          <w:color w:val="auto"/>
          <w:lang w:val="pt-BR"/>
        </w:rPr>
      </w:pPr>
      <w:r w:rsidRPr="0049126A">
        <w:rPr>
          <w:rFonts w:ascii="Times New Roman" w:hAnsi="Times New Roman" w:cs="Times New Roman"/>
          <w:color w:val="auto"/>
          <w:lang w:val="ro-RO"/>
        </w:rPr>
        <w:t>Prevenirea apariției complicațiilor și comorbidităților severe ale lipodistrofiilor.</w:t>
      </w:r>
      <w:r w:rsidRPr="0049126A">
        <w:rPr>
          <w:rFonts w:ascii="Times New Roman" w:hAnsi="Times New Roman" w:cs="Times New Roman"/>
          <w:color w:val="auto"/>
          <w:lang w:val="pt-BR"/>
        </w:rPr>
        <w:t xml:space="preserve"> Cauzele majore de mortalitate în LD includ afecțiuni cardiovasculare (cardiomiopatie, infarct miocardic, aritmii), afecțiuni hepatice (insuficiență hepatică, hemoragii gastro-intestinale, carcinom hepatocelular), insuficiență renală, pancreatită acută și sepsis.</w:t>
      </w:r>
    </w:p>
    <w:p w14:paraId="379E6E2E" w14:textId="77777777" w:rsidR="00543C11" w:rsidRPr="0049126A" w:rsidRDefault="00543C11" w:rsidP="00543C11">
      <w:pPr>
        <w:pStyle w:val="Default"/>
        <w:spacing w:line="276" w:lineRule="auto"/>
        <w:rPr>
          <w:rFonts w:ascii="Times New Roman" w:hAnsi="Times New Roman" w:cs="Times New Roman"/>
          <w:color w:val="auto"/>
          <w:lang w:val="ro-RO"/>
        </w:rPr>
      </w:pPr>
    </w:p>
    <w:p w14:paraId="29CE3A2F" w14:textId="08A2C24C" w:rsidR="00543C11" w:rsidRPr="0049126A" w:rsidRDefault="004B5164" w:rsidP="00F1608D">
      <w:pPr>
        <w:pStyle w:val="Default"/>
        <w:spacing w:line="276" w:lineRule="auto"/>
        <w:rPr>
          <w:rFonts w:ascii="Times New Roman" w:hAnsi="Times New Roman" w:cs="Times New Roman"/>
          <w:b/>
          <w:color w:val="auto"/>
          <w:lang w:val="ro-RO"/>
        </w:rPr>
      </w:pPr>
      <w:r w:rsidRPr="0049126A">
        <w:rPr>
          <w:rFonts w:ascii="Times New Roman" w:hAnsi="Times New Roman" w:cs="Times New Roman"/>
          <w:b/>
          <w:color w:val="auto"/>
          <w:lang w:val="ro-RO"/>
        </w:rPr>
        <w:t>II. CRITERII PENTRU INCLUDEREA UNUI PACIENT ÎN TRATAMENT</w:t>
      </w:r>
    </w:p>
    <w:p w14:paraId="670496A1" w14:textId="77777777" w:rsidR="00F1608D" w:rsidRPr="0049126A" w:rsidRDefault="00F1608D" w:rsidP="00543C11">
      <w:pPr>
        <w:spacing w:line="276" w:lineRule="auto"/>
        <w:jc w:val="both"/>
        <w:rPr>
          <w:rFonts w:ascii="Times New Roman" w:hAnsi="Times New Roman" w:cs="Times New Roman"/>
          <w:b/>
          <w:sz w:val="24"/>
          <w:szCs w:val="24"/>
          <w:lang w:val="it-IT"/>
        </w:rPr>
      </w:pPr>
    </w:p>
    <w:p w14:paraId="3B4AAB5C" w14:textId="36138118" w:rsidR="00543C11" w:rsidRPr="0049126A" w:rsidRDefault="00F1608D" w:rsidP="00543C11">
      <w:pPr>
        <w:spacing w:line="276" w:lineRule="auto"/>
        <w:jc w:val="both"/>
        <w:rPr>
          <w:rFonts w:ascii="Times New Roman" w:hAnsi="Times New Roman" w:cs="Times New Roman"/>
          <w:b/>
          <w:sz w:val="24"/>
          <w:szCs w:val="24"/>
          <w:lang w:val="it-IT"/>
        </w:rPr>
      </w:pPr>
      <w:r w:rsidRPr="0049126A">
        <w:rPr>
          <w:rFonts w:ascii="Times New Roman" w:hAnsi="Times New Roman" w:cs="Times New Roman"/>
          <w:b/>
          <w:sz w:val="24"/>
          <w:szCs w:val="24"/>
          <w:lang w:val="it-IT"/>
        </w:rPr>
        <w:t>II.1 Criterii de includere în tratamentul cu Metrelptină</w:t>
      </w:r>
    </w:p>
    <w:p w14:paraId="3A9CACAF" w14:textId="77777777" w:rsidR="00543C11" w:rsidRPr="0049126A" w:rsidRDefault="00543C11" w:rsidP="00543C11">
      <w:pPr>
        <w:pStyle w:val="Default"/>
        <w:spacing w:line="276" w:lineRule="auto"/>
        <w:rPr>
          <w:rFonts w:ascii="Times New Roman" w:hAnsi="Times New Roman" w:cs="Times New Roman"/>
          <w:color w:val="auto"/>
          <w:lang w:val="ro-RO"/>
        </w:rPr>
      </w:pPr>
      <w:r w:rsidRPr="0049126A">
        <w:rPr>
          <w:rFonts w:ascii="Times New Roman" w:hAnsi="Times New Roman" w:cs="Times New Roman"/>
          <w:color w:val="auto"/>
          <w:lang w:val="ro-RO"/>
        </w:rPr>
        <w:t>Următoarele criterii de includere trebuie îndeplinite concomitent:</w:t>
      </w:r>
    </w:p>
    <w:p w14:paraId="27997B42" w14:textId="77777777" w:rsidR="00543C11" w:rsidRPr="0049126A" w:rsidRDefault="00543C11" w:rsidP="00543C11">
      <w:pPr>
        <w:pStyle w:val="Default"/>
        <w:spacing w:line="276" w:lineRule="auto"/>
        <w:rPr>
          <w:rFonts w:ascii="Times New Roman" w:hAnsi="Times New Roman" w:cs="Times New Roman"/>
          <w:color w:val="auto"/>
          <w:lang w:val="ro-RO"/>
        </w:rPr>
      </w:pPr>
    </w:p>
    <w:p w14:paraId="461A69F8" w14:textId="77777777" w:rsidR="00543C11" w:rsidRPr="0049126A" w:rsidRDefault="00543C11" w:rsidP="00F1608D">
      <w:pPr>
        <w:pStyle w:val="Default"/>
        <w:numPr>
          <w:ilvl w:val="0"/>
          <w:numId w:val="72"/>
        </w:numPr>
        <w:spacing w:line="276" w:lineRule="auto"/>
        <w:ind w:left="284" w:hanging="284"/>
        <w:rPr>
          <w:rFonts w:ascii="Times New Roman" w:hAnsi="Times New Roman" w:cs="Times New Roman"/>
          <w:b/>
          <w:bCs/>
          <w:color w:val="auto"/>
          <w:u w:val="single"/>
          <w:lang w:val="ro-RO"/>
        </w:rPr>
      </w:pPr>
      <w:r w:rsidRPr="0049126A">
        <w:rPr>
          <w:rFonts w:ascii="Times New Roman" w:hAnsi="Times New Roman" w:cs="Times New Roman"/>
          <w:b/>
          <w:bCs/>
          <w:color w:val="auto"/>
          <w:u w:val="single"/>
          <w:lang w:val="ro-RO"/>
        </w:rPr>
        <w:t>CRITERIILE DE VÂRSTĂ</w:t>
      </w:r>
    </w:p>
    <w:p w14:paraId="7E602482" w14:textId="77777777" w:rsidR="00543C11" w:rsidRPr="0049126A" w:rsidRDefault="00543C11" w:rsidP="00543C11">
      <w:pPr>
        <w:pStyle w:val="Default"/>
        <w:numPr>
          <w:ilvl w:val="0"/>
          <w:numId w:val="71"/>
        </w:numPr>
        <w:spacing w:line="276" w:lineRule="auto"/>
        <w:rPr>
          <w:rFonts w:ascii="Times New Roman" w:hAnsi="Times New Roman" w:cs="Times New Roman"/>
          <w:color w:val="auto"/>
          <w:lang w:val="ro-RO"/>
        </w:rPr>
      </w:pPr>
      <w:r w:rsidRPr="0049126A">
        <w:rPr>
          <w:rFonts w:ascii="Times New Roman" w:hAnsi="Times New Roman" w:cs="Times New Roman"/>
          <w:color w:val="auto"/>
          <w:lang w:val="ro-RO"/>
        </w:rPr>
        <w:t xml:space="preserve">Vârsta cronologică </w:t>
      </w:r>
      <w:r w:rsidRPr="0049126A">
        <w:rPr>
          <w:rFonts w:ascii="Times New Roman" w:hAnsi="Times New Roman" w:cs="Times New Roman"/>
          <w:b/>
          <w:bCs/>
          <w:color w:val="auto"/>
          <w:lang w:val="ro-RO"/>
        </w:rPr>
        <w:t xml:space="preserve">≥ 2ani </w:t>
      </w:r>
      <w:r w:rsidRPr="0049126A">
        <w:rPr>
          <w:rFonts w:ascii="Times New Roman" w:hAnsi="Times New Roman" w:cs="Times New Roman"/>
          <w:color w:val="auto"/>
          <w:lang w:val="ro-RO"/>
        </w:rPr>
        <w:t xml:space="preserve">pentru </w:t>
      </w:r>
      <w:r w:rsidRPr="0049126A">
        <w:rPr>
          <w:rFonts w:ascii="Times New Roman" w:hAnsi="Times New Roman" w:cs="Times New Roman"/>
          <w:b/>
          <w:bCs/>
          <w:color w:val="auto"/>
          <w:lang w:val="ro-RO"/>
        </w:rPr>
        <w:t>LD generalizată</w:t>
      </w:r>
      <w:r w:rsidRPr="0049126A">
        <w:rPr>
          <w:rFonts w:ascii="Times New Roman" w:hAnsi="Times New Roman" w:cs="Times New Roman"/>
          <w:color w:val="auto"/>
          <w:lang w:val="ro-RO"/>
        </w:rPr>
        <w:t xml:space="preserve"> congenitală sau dobândită;</w:t>
      </w:r>
    </w:p>
    <w:p w14:paraId="1C72242E" w14:textId="4D719C57" w:rsidR="00543C11" w:rsidRPr="0049126A" w:rsidRDefault="00543C11" w:rsidP="00F1608D">
      <w:pPr>
        <w:pStyle w:val="Default"/>
        <w:numPr>
          <w:ilvl w:val="0"/>
          <w:numId w:val="71"/>
        </w:numPr>
        <w:spacing w:line="276" w:lineRule="auto"/>
        <w:rPr>
          <w:rFonts w:ascii="Times New Roman" w:hAnsi="Times New Roman" w:cs="Times New Roman"/>
          <w:color w:val="auto"/>
          <w:lang w:val="ro-RO"/>
        </w:rPr>
      </w:pPr>
      <w:r w:rsidRPr="0049126A">
        <w:rPr>
          <w:rFonts w:ascii="Times New Roman" w:hAnsi="Times New Roman" w:cs="Times New Roman"/>
          <w:color w:val="auto"/>
          <w:lang w:val="ro-RO"/>
        </w:rPr>
        <w:t xml:space="preserve">Vârsta cronologică </w:t>
      </w:r>
      <w:r w:rsidRPr="0049126A">
        <w:rPr>
          <w:rFonts w:ascii="Times New Roman" w:hAnsi="Times New Roman" w:cs="Times New Roman"/>
          <w:b/>
          <w:bCs/>
          <w:color w:val="auto"/>
          <w:lang w:val="ro-RO"/>
        </w:rPr>
        <w:t>≥ 12ani</w:t>
      </w:r>
      <w:r w:rsidRPr="0049126A">
        <w:rPr>
          <w:rFonts w:ascii="Times New Roman" w:hAnsi="Times New Roman" w:cs="Times New Roman"/>
          <w:color w:val="auto"/>
          <w:lang w:val="ro-RO"/>
        </w:rPr>
        <w:t xml:space="preserve"> pentru </w:t>
      </w:r>
      <w:r w:rsidRPr="0049126A">
        <w:rPr>
          <w:rFonts w:ascii="Times New Roman" w:hAnsi="Times New Roman" w:cs="Times New Roman"/>
          <w:b/>
          <w:bCs/>
          <w:color w:val="auto"/>
          <w:lang w:val="ro-RO"/>
        </w:rPr>
        <w:t>LD parțială</w:t>
      </w:r>
      <w:r w:rsidRPr="0049126A">
        <w:rPr>
          <w:rFonts w:ascii="Times New Roman" w:hAnsi="Times New Roman" w:cs="Times New Roman"/>
          <w:color w:val="auto"/>
          <w:lang w:val="ro-RO"/>
        </w:rPr>
        <w:t xml:space="preserve"> congenitală sau dobândită;</w:t>
      </w:r>
    </w:p>
    <w:p w14:paraId="1A879E6F" w14:textId="77777777" w:rsidR="00F1608D" w:rsidRPr="0049126A" w:rsidRDefault="00F1608D" w:rsidP="00F1608D">
      <w:pPr>
        <w:pStyle w:val="Default"/>
        <w:spacing w:line="276" w:lineRule="auto"/>
        <w:ind w:left="720"/>
        <w:rPr>
          <w:rFonts w:ascii="Times New Roman" w:hAnsi="Times New Roman" w:cs="Times New Roman"/>
          <w:color w:val="auto"/>
          <w:lang w:val="ro-RO"/>
        </w:rPr>
      </w:pPr>
    </w:p>
    <w:p w14:paraId="61E2A9F0" w14:textId="77777777" w:rsidR="00543C11" w:rsidRPr="0049126A" w:rsidRDefault="00543C11" w:rsidP="00F1608D">
      <w:pPr>
        <w:pStyle w:val="List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contextualSpacing/>
        <w:jc w:val="both"/>
        <w:rPr>
          <w:b/>
          <w:color w:val="auto"/>
          <w:lang w:val="it-IT"/>
        </w:rPr>
      </w:pPr>
      <w:r w:rsidRPr="0049126A">
        <w:rPr>
          <w:b/>
          <w:color w:val="auto"/>
          <w:u w:val="single"/>
          <w:lang w:val="it-IT"/>
        </w:rPr>
        <w:t>CRITERII DE DIAGNOSTIC CLINIC POZITIV</w:t>
      </w:r>
      <w:r w:rsidRPr="0049126A">
        <w:rPr>
          <w:b/>
          <w:color w:val="auto"/>
          <w:lang w:val="it-IT"/>
        </w:rPr>
        <w:t xml:space="preserve"> (Brown et al, 2016, </w:t>
      </w:r>
      <w:r w:rsidRPr="0049126A">
        <w:rPr>
          <w:color w:val="auto"/>
        </w:rPr>
        <w:t>Handelsman Y, consens AACE, 2013)</w:t>
      </w:r>
    </w:p>
    <w:p w14:paraId="4F9E42FD" w14:textId="77777777" w:rsidR="00543C11" w:rsidRPr="0049126A" w:rsidRDefault="00543C11" w:rsidP="00543C11">
      <w:pPr>
        <w:spacing w:line="276" w:lineRule="auto"/>
        <w:jc w:val="both"/>
        <w:rPr>
          <w:rFonts w:ascii="Times New Roman" w:hAnsi="Times New Roman" w:cs="Times New Roman"/>
          <w:b/>
          <w:sz w:val="24"/>
          <w:szCs w:val="24"/>
          <w:lang w:val="it-IT"/>
        </w:rPr>
      </w:pPr>
    </w:p>
    <w:p w14:paraId="1EBEB275" w14:textId="5FD5C038" w:rsidR="00543C11" w:rsidRPr="0049126A" w:rsidRDefault="00543C11" w:rsidP="00543C11">
      <w:pPr>
        <w:spacing w:line="276" w:lineRule="auto"/>
        <w:jc w:val="both"/>
        <w:rPr>
          <w:rFonts w:ascii="Times New Roman" w:hAnsi="Times New Roman" w:cs="Times New Roman"/>
          <w:b/>
          <w:sz w:val="24"/>
          <w:szCs w:val="24"/>
          <w:lang w:val="it-IT"/>
        </w:rPr>
      </w:pPr>
      <w:r w:rsidRPr="0049126A">
        <w:rPr>
          <w:rFonts w:ascii="Times New Roman" w:hAnsi="Times New Roman" w:cs="Times New Roman"/>
          <w:b/>
          <w:sz w:val="24"/>
          <w:szCs w:val="24"/>
          <w:lang w:val="it-IT"/>
        </w:rPr>
        <w:t>Criteriu clinic obligatoriu</w:t>
      </w:r>
      <w:r w:rsidRPr="0049126A">
        <w:rPr>
          <w:rFonts w:ascii="Times New Roman" w:hAnsi="Times New Roman" w:cs="Times New Roman"/>
          <w:bCs/>
          <w:sz w:val="24"/>
          <w:szCs w:val="24"/>
          <w:lang w:val="it-IT"/>
        </w:rPr>
        <w:t xml:space="preserve"> - Dispariția sau absența țesutului subcutanat parțial sau generalizat + 2 criterii clinice majore sau 1 criteriu clinic major+două criterii minore (tabel)</w:t>
      </w:r>
    </w:p>
    <w:tbl>
      <w:tblPr>
        <w:tblStyle w:val="TableGrid"/>
        <w:tblW w:w="5000" w:type="pct"/>
        <w:tblLook w:val="04A0" w:firstRow="1" w:lastRow="0" w:firstColumn="1" w:lastColumn="0" w:noHBand="0" w:noVBand="1"/>
      </w:tblPr>
      <w:tblGrid>
        <w:gridCol w:w="3115"/>
        <w:gridCol w:w="3684"/>
        <w:gridCol w:w="2831"/>
      </w:tblGrid>
      <w:tr w:rsidR="0049126A" w:rsidRPr="0049126A" w14:paraId="50D4D9A6" w14:textId="77777777" w:rsidTr="00F1608D">
        <w:tc>
          <w:tcPr>
            <w:tcW w:w="1617" w:type="pct"/>
          </w:tcPr>
          <w:p w14:paraId="14D0F4D2"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Caracteristici Clinice majore</w:t>
            </w:r>
          </w:p>
        </w:tc>
        <w:tc>
          <w:tcPr>
            <w:tcW w:w="1913" w:type="pct"/>
          </w:tcPr>
          <w:p w14:paraId="2F4CC640"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Caracteristici Clinice minore</w:t>
            </w:r>
          </w:p>
        </w:tc>
        <w:tc>
          <w:tcPr>
            <w:tcW w:w="1470" w:type="pct"/>
          </w:tcPr>
          <w:p w14:paraId="2F5E544D"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Caracteristici suportive</w:t>
            </w:r>
          </w:p>
        </w:tc>
      </w:tr>
      <w:tr w:rsidR="0049126A" w:rsidRPr="0049126A" w14:paraId="32426673" w14:textId="77777777" w:rsidTr="00F1608D">
        <w:trPr>
          <w:trHeight w:val="1200"/>
        </w:trPr>
        <w:tc>
          <w:tcPr>
            <w:tcW w:w="1617" w:type="pct"/>
          </w:tcPr>
          <w:p w14:paraId="10AEA0AE"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1. Facies și aspect fenotipic specific:</w:t>
            </w:r>
          </w:p>
          <w:p w14:paraId="1656F1DB" w14:textId="77777777" w:rsidR="00543C11" w:rsidRPr="0049126A" w:rsidRDefault="00543C11" w:rsidP="008F5FCC">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ind w:left="313" w:hanging="284"/>
              <w:contextualSpacing/>
              <w:jc w:val="both"/>
              <w:rPr>
                <w:b/>
                <w:color w:val="auto"/>
                <w:sz w:val="20"/>
                <w:szCs w:val="20"/>
                <w:lang w:val="it-IT"/>
              </w:rPr>
            </w:pPr>
            <w:r w:rsidRPr="0049126A">
              <w:rPr>
                <w:b/>
                <w:color w:val="auto"/>
                <w:sz w:val="20"/>
                <w:szCs w:val="20"/>
                <w:lang w:val="it-IT"/>
              </w:rPr>
              <w:t>Cushingoid</w:t>
            </w:r>
          </w:p>
          <w:p w14:paraId="20890C58" w14:textId="77777777" w:rsidR="00543C11" w:rsidRPr="0049126A" w:rsidRDefault="00543C11" w:rsidP="008F5FCC">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ind w:left="313" w:hanging="284"/>
              <w:contextualSpacing/>
              <w:jc w:val="both"/>
              <w:rPr>
                <w:b/>
                <w:color w:val="auto"/>
                <w:sz w:val="20"/>
                <w:szCs w:val="20"/>
                <w:lang w:val="it-IT"/>
              </w:rPr>
            </w:pPr>
            <w:r w:rsidRPr="0049126A">
              <w:rPr>
                <w:b/>
                <w:color w:val="auto"/>
                <w:sz w:val="20"/>
                <w:szCs w:val="20"/>
                <w:lang w:val="it-IT"/>
              </w:rPr>
              <w:t>Acromegaloid</w:t>
            </w:r>
          </w:p>
          <w:p w14:paraId="44AB3EC5" w14:textId="77777777" w:rsidR="00543C11" w:rsidRPr="0049126A" w:rsidRDefault="00543C11" w:rsidP="008F5FCC">
            <w:pPr>
              <w:pStyle w:val="ListParagraph"/>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ind w:left="313" w:hanging="284"/>
              <w:contextualSpacing/>
              <w:jc w:val="both"/>
              <w:rPr>
                <w:b/>
                <w:color w:val="auto"/>
                <w:sz w:val="20"/>
                <w:szCs w:val="20"/>
                <w:lang w:val="it-IT"/>
              </w:rPr>
            </w:pPr>
            <w:r w:rsidRPr="0049126A">
              <w:rPr>
                <w:b/>
                <w:color w:val="auto"/>
                <w:sz w:val="20"/>
                <w:szCs w:val="20"/>
                <w:lang w:val="it-IT"/>
              </w:rPr>
              <w:t>Progeroid</w:t>
            </w:r>
          </w:p>
        </w:tc>
        <w:tc>
          <w:tcPr>
            <w:tcW w:w="1913" w:type="pct"/>
          </w:tcPr>
          <w:p w14:paraId="7893EB3F" w14:textId="6B0EC5FE" w:rsidR="00543C11" w:rsidRPr="0049126A" w:rsidRDefault="00543C11" w:rsidP="00543C11">
            <w:pPr>
              <w:autoSpaceDE w:val="0"/>
              <w:autoSpaceDN w:val="0"/>
              <w:adjustRightInd w:val="0"/>
              <w:spacing w:line="276" w:lineRule="auto"/>
              <w:rPr>
                <w:rFonts w:ascii="Times New Roman" w:hAnsi="Times New Roman" w:cs="Times New Roman"/>
                <w:b/>
                <w:bCs/>
                <w:sz w:val="20"/>
                <w:szCs w:val="20"/>
                <w:lang w:val="pt-BR"/>
              </w:rPr>
            </w:pPr>
            <w:r w:rsidRPr="0049126A">
              <w:rPr>
                <w:rFonts w:ascii="Times New Roman" w:hAnsi="Times New Roman" w:cs="Times New Roman"/>
                <w:b/>
                <w:bCs/>
                <w:sz w:val="20"/>
                <w:szCs w:val="20"/>
                <w:lang w:val="pt-BR"/>
              </w:rPr>
              <w:t>Cardiomiopatie hipertrofică</w:t>
            </w:r>
          </w:p>
          <w:p w14:paraId="5DB4CE5D"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sz w:val="20"/>
                <w:szCs w:val="20"/>
                <w:lang w:val="pt-BR"/>
              </w:rPr>
              <w:t>Poate fi prezentă din perioada de sugar sau poate apărea și ulterior în devoltare</w:t>
            </w:r>
          </w:p>
        </w:tc>
        <w:tc>
          <w:tcPr>
            <w:tcW w:w="1470" w:type="pct"/>
          </w:tcPr>
          <w:p w14:paraId="7C5DB700"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Cs/>
                <w:sz w:val="20"/>
                <w:szCs w:val="20"/>
                <w:lang w:val="it-IT"/>
              </w:rPr>
              <w:t>Falimentul creșterii la sugari și copii mici</w:t>
            </w:r>
          </w:p>
        </w:tc>
      </w:tr>
      <w:tr w:rsidR="0049126A" w:rsidRPr="0049126A" w14:paraId="5C0E553E" w14:textId="77777777" w:rsidTr="00F1608D">
        <w:trPr>
          <w:trHeight w:val="1260"/>
        </w:trPr>
        <w:tc>
          <w:tcPr>
            <w:tcW w:w="1617" w:type="pct"/>
          </w:tcPr>
          <w:p w14:paraId="38610F89"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2. Acanthosis nigricans/elemente clinice de virilizare la sexul feminin</w:t>
            </w:r>
            <w:r w:rsidRPr="0049126A">
              <w:rPr>
                <w:rFonts w:ascii="Times New Roman" w:hAnsi="Times New Roman" w:cs="Times New Roman"/>
                <w:sz w:val="20"/>
                <w:szCs w:val="20"/>
              </w:rPr>
              <w:t xml:space="preserve"> (</w:t>
            </w:r>
            <w:r w:rsidRPr="0049126A">
              <w:rPr>
                <w:rFonts w:ascii="Times New Roman" w:hAnsi="Times New Roman" w:cs="Times New Roman"/>
                <w:b/>
                <w:sz w:val="20"/>
                <w:szCs w:val="20"/>
                <w:lang w:val="it-IT"/>
              </w:rPr>
              <w:t>fenotip de PCOS la sexul feminin)</w:t>
            </w:r>
          </w:p>
        </w:tc>
        <w:tc>
          <w:tcPr>
            <w:tcW w:w="1913" w:type="pct"/>
          </w:tcPr>
          <w:p w14:paraId="7E9DD8BA" w14:textId="70F12B22" w:rsidR="00543C11" w:rsidRPr="0049126A" w:rsidRDefault="00543C11" w:rsidP="00543C11">
            <w:pPr>
              <w:autoSpaceDE w:val="0"/>
              <w:autoSpaceDN w:val="0"/>
              <w:adjustRightInd w:val="0"/>
              <w:spacing w:line="276" w:lineRule="auto"/>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Dizabilitate intelectuală</w:t>
            </w:r>
          </w:p>
          <w:p w14:paraId="233C676C" w14:textId="073092E1" w:rsidR="00543C11" w:rsidRPr="0049126A" w:rsidRDefault="00543C11" w:rsidP="00F1608D">
            <w:pPr>
              <w:autoSpaceDE w:val="0"/>
              <w:autoSpaceDN w:val="0"/>
              <w:adjustRightInd w:val="0"/>
              <w:spacing w:line="276" w:lineRule="auto"/>
              <w:rPr>
                <w:rFonts w:ascii="Times New Roman" w:hAnsi="Times New Roman" w:cs="Times New Roman"/>
                <w:sz w:val="20"/>
                <w:szCs w:val="20"/>
                <w:lang w:val="it-IT"/>
              </w:rPr>
            </w:pPr>
            <w:r w:rsidRPr="0049126A">
              <w:rPr>
                <w:rFonts w:ascii="Times New Roman" w:hAnsi="Times New Roman" w:cs="Times New Roman"/>
                <w:sz w:val="20"/>
                <w:szCs w:val="20"/>
                <w:lang w:val="it-IT"/>
              </w:rPr>
              <w:t>Ușoară (IQ: 50–70) și moderată (IQ: 35–50) – la cca 80 % din cazurile cu mutații BSCL2, respectiv  10 %</w:t>
            </w:r>
            <w:r w:rsidR="00F1608D" w:rsidRPr="0049126A">
              <w:rPr>
                <w:rFonts w:ascii="Times New Roman" w:hAnsi="Times New Roman" w:cs="Times New Roman"/>
                <w:sz w:val="20"/>
                <w:szCs w:val="20"/>
                <w:lang w:val="it-IT"/>
              </w:rPr>
              <w:t xml:space="preserve"> din cazurile cu mutații AGPAT2</w:t>
            </w:r>
          </w:p>
        </w:tc>
        <w:tc>
          <w:tcPr>
            <w:tcW w:w="1470" w:type="pct"/>
          </w:tcPr>
          <w:p w14:paraId="5F585DAB" w14:textId="77777777" w:rsidR="00543C11" w:rsidRPr="0049126A" w:rsidRDefault="00543C11" w:rsidP="00543C11">
            <w:pPr>
              <w:spacing w:line="276" w:lineRule="auto"/>
              <w:jc w:val="both"/>
              <w:rPr>
                <w:rFonts w:ascii="Times New Roman" w:hAnsi="Times New Roman" w:cs="Times New Roman"/>
                <w:bCs/>
                <w:sz w:val="20"/>
                <w:szCs w:val="20"/>
                <w:lang w:val="it-IT"/>
              </w:rPr>
            </w:pPr>
            <w:r w:rsidRPr="0049126A">
              <w:rPr>
                <w:rFonts w:ascii="Times New Roman" w:hAnsi="Times New Roman" w:cs="Times New Roman"/>
                <w:bCs/>
                <w:sz w:val="20"/>
                <w:szCs w:val="20"/>
                <w:lang w:val="it-IT"/>
              </w:rPr>
              <w:t>Hipogonadism secundar la sexul masculin/amenoree primară/secundară la sexul feminin</w:t>
            </w:r>
          </w:p>
        </w:tc>
      </w:tr>
      <w:tr w:rsidR="0049126A" w:rsidRPr="0049126A" w14:paraId="3FF73992" w14:textId="77777777" w:rsidTr="00F1608D">
        <w:tc>
          <w:tcPr>
            <w:tcW w:w="1617" w:type="pct"/>
          </w:tcPr>
          <w:p w14:paraId="2CE9097C"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3. Xantoame cutanate</w:t>
            </w:r>
          </w:p>
        </w:tc>
        <w:tc>
          <w:tcPr>
            <w:tcW w:w="1913" w:type="pct"/>
          </w:tcPr>
          <w:p w14:paraId="031DAB59" w14:textId="70C97970" w:rsidR="00543C11" w:rsidRPr="0049126A" w:rsidRDefault="00543C11" w:rsidP="00543C11">
            <w:pPr>
              <w:autoSpaceDE w:val="0"/>
              <w:autoSpaceDN w:val="0"/>
              <w:adjustRightInd w:val="0"/>
              <w:spacing w:line="276" w:lineRule="auto"/>
              <w:rPr>
                <w:rFonts w:ascii="Times New Roman" w:hAnsi="Times New Roman" w:cs="Times New Roman"/>
                <w:b/>
                <w:bCs/>
                <w:sz w:val="20"/>
                <w:szCs w:val="20"/>
                <w:lang w:val="it-IT"/>
              </w:rPr>
            </w:pPr>
            <w:r w:rsidRPr="0049126A">
              <w:rPr>
                <w:rFonts w:ascii="Times New Roman" w:hAnsi="Times New Roman" w:cs="Times New Roman"/>
                <w:b/>
                <w:bCs/>
                <w:sz w:val="20"/>
                <w:szCs w:val="20"/>
              </w:rPr>
              <w:t>Pubertate precoce la fetițe</w:t>
            </w:r>
          </w:p>
        </w:tc>
        <w:tc>
          <w:tcPr>
            <w:tcW w:w="1470" w:type="pct"/>
          </w:tcPr>
          <w:p w14:paraId="24432BE2" w14:textId="77777777" w:rsidR="00543C11" w:rsidRPr="0049126A" w:rsidRDefault="00543C11" w:rsidP="00543C11">
            <w:pPr>
              <w:spacing w:line="276" w:lineRule="auto"/>
              <w:jc w:val="both"/>
              <w:rPr>
                <w:rFonts w:ascii="Times New Roman" w:hAnsi="Times New Roman" w:cs="Times New Roman"/>
                <w:b/>
                <w:sz w:val="20"/>
                <w:szCs w:val="20"/>
                <w:lang w:val="it-IT"/>
              </w:rPr>
            </w:pPr>
          </w:p>
        </w:tc>
      </w:tr>
      <w:tr w:rsidR="0049126A" w:rsidRPr="0049126A" w14:paraId="184A413A" w14:textId="77777777" w:rsidTr="00F1608D">
        <w:trPr>
          <w:trHeight w:val="657"/>
        </w:trPr>
        <w:tc>
          <w:tcPr>
            <w:tcW w:w="1617" w:type="pct"/>
          </w:tcPr>
          <w:p w14:paraId="64A71040" w14:textId="12870911" w:rsidR="00543C11" w:rsidRPr="0049126A" w:rsidRDefault="00543C11" w:rsidP="00F1608D">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4. Musclatură proeminentă și fl</w:t>
            </w:r>
            <w:r w:rsidR="00F1608D" w:rsidRPr="0049126A">
              <w:rPr>
                <w:rFonts w:ascii="Times New Roman" w:hAnsi="Times New Roman" w:cs="Times New Roman"/>
                <w:b/>
                <w:sz w:val="20"/>
                <w:szCs w:val="20"/>
                <w:lang w:val="it-IT"/>
              </w:rPr>
              <w:t>ebomegalie la nivelul membrelor</w:t>
            </w:r>
          </w:p>
        </w:tc>
        <w:tc>
          <w:tcPr>
            <w:tcW w:w="1913" w:type="pct"/>
          </w:tcPr>
          <w:p w14:paraId="78276341" w14:textId="7C44A815" w:rsidR="00543C11" w:rsidRPr="0049126A" w:rsidRDefault="00543C11" w:rsidP="00543C11">
            <w:pPr>
              <w:spacing w:line="276" w:lineRule="auto"/>
              <w:jc w:val="both"/>
              <w:rPr>
                <w:rFonts w:ascii="Times New Roman" w:hAnsi="Times New Roman" w:cs="Times New Roman"/>
                <w:bCs/>
                <w:sz w:val="20"/>
                <w:szCs w:val="20"/>
                <w:lang w:val="it-IT"/>
              </w:rPr>
            </w:pPr>
            <w:r w:rsidRPr="0049126A">
              <w:rPr>
                <w:rFonts w:ascii="Times New Roman" w:hAnsi="Times New Roman" w:cs="Times New Roman"/>
                <w:b/>
                <w:sz w:val="20"/>
                <w:szCs w:val="20"/>
                <w:lang w:val="it-IT"/>
              </w:rPr>
              <w:t>Hiperfagie disproporționată</w:t>
            </w:r>
            <w:r w:rsidRPr="0049126A">
              <w:rPr>
                <w:rFonts w:ascii="Times New Roman" w:hAnsi="Times New Roman" w:cs="Times New Roman"/>
                <w:bCs/>
                <w:sz w:val="20"/>
                <w:szCs w:val="20"/>
                <w:lang w:val="it-IT"/>
              </w:rPr>
              <w:t>, uneori cu nervozitate și agresivitate la copii</w:t>
            </w:r>
          </w:p>
        </w:tc>
        <w:tc>
          <w:tcPr>
            <w:tcW w:w="1470" w:type="pct"/>
          </w:tcPr>
          <w:p w14:paraId="1A17A60F" w14:textId="77777777" w:rsidR="00543C11" w:rsidRPr="0049126A" w:rsidRDefault="00543C11" w:rsidP="00543C11">
            <w:pPr>
              <w:spacing w:line="276" w:lineRule="auto"/>
              <w:jc w:val="both"/>
              <w:rPr>
                <w:rFonts w:ascii="Times New Roman" w:hAnsi="Times New Roman" w:cs="Times New Roman"/>
                <w:b/>
                <w:sz w:val="20"/>
                <w:szCs w:val="20"/>
                <w:lang w:val="it-IT"/>
              </w:rPr>
            </w:pPr>
          </w:p>
        </w:tc>
      </w:tr>
      <w:tr w:rsidR="0049126A" w:rsidRPr="0049126A" w14:paraId="4AC46B93" w14:textId="77777777" w:rsidTr="00F1608D">
        <w:tc>
          <w:tcPr>
            <w:tcW w:w="1617" w:type="pct"/>
          </w:tcPr>
          <w:p w14:paraId="17D5667D" w14:textId="77777777" w:rsidR="00F1608D" w:rsidRPr="0049126A" w:rsidRDefault="00F1608D" w:rsidP="00F1608D">
            <w:pPr>
              <w:autoSpaceDE w:val="0"/>
              <w:autoSpaceDN w:val="0"/>
              <w:adjustRightInd w:val="0"/>
              <w:spacing w:line="276" w:lineRule="auto"/>
              <w:rPr>
                <w:rFonts w:ascii="Times New Roman" w:hAnsi="Times New Roman" w:cs="Times New Roman"/>
                <w:b/>
                <w:bCs/>
                <w:sz w:val="20"/>
                <w:szCs w:val="20"/>
                <w:lang w:val="pt-BR"/>
              </w:rPr>
            </w:pPr>
            <w:r w:rsidRPr="0049126A">
              <w:rPr>
                <w:rFonts w:ascii="Times New Roman" w:hAnsi="Times New Roman" w:cs="Times New Roman"/>
                <w:b/>
                <w:bCs/>
                <w:sz w:val="20"/>
                <w:szCs w:val="20"/>
                <w:lang w:val="pt-BR"/>
              </w:rPr>
              <w:t>5. Chisturi osoase</w:t>
            </w:r>
          </w:p>
          <w:p w14:paraId="73B51540" w14:textId="77777777" w:rsidR="00543C11" w:rsidRPr="0049126A" w:rsidRDefault="00543C11" w:rsidP="00543C11">
            <w:pPr>
              <w:spacing w:line="276" w:lineRule="auto"/>
              <w:jc w:val="both"/>
              <w:rPr>
                <w:rFonts w:ascii="Times New Roman" w:hAnsi="Times New Roman" w:cs="Times New Roman"/>
                <w:b/>
                <w:sz w:val="20"/>
                <w:szCs w:val="20"/>
                <w:lang w:val="it-IT"/>
              </w:rPr>
            </w:pPr>
          </w:p>
        </w:tc>
        <w:tc>
          <w:tcPr>
            <w:tcW w:w="1913" w:type="pct"/>
          </w:tcPr>
          <w:p w14:paraId="7EE1E91D" w14:textId="1C5587E1" w:rsidR="00543C11" w:rsidRPr="0049126A" w:rsidRDefault="00543C11" w:rsidP="008F5FCC">
            <w:pPr>
              <w:pStyle w:val="ListParagraph"/>
              <w:numPr>
                <w:ilvl w:val="0"/>
                <w:numId w:val="83"/>
              </w:numPr>
              <w:autoSpaceDE w:val="0"/>
              <w:autoSpaceDN w:val="0"/>
              <w:adjustRightInd w:val="0"/>
              <w:spacing w:line="276" w:lineRule="auto"/>
              <w:ind w:left="185" w:hanging="185"/>
              <w:jc w:val="both"/>
              <w:rPr>
                <w:color w:val="auto"/>
                <w:sz w:val="20"/>
                <w:szCs w:val="20"/>
                <w:lang w:val="pt-BR"/>
              </w:rPr>
            </w:pPr>
            <w:r w:rsidRPr="0049126A">
              <w:rPr>
                <w:color w:val="auto"/>
                <w:sz w:val="20"/>
                <w:szCs w:val="20"/>
                <w:lang w:val="pt-BR"/>
              </w:rPr>
              <w:t>Localizate la nivelul regiunii epifizare și metafizare a oaselor lungi</w:t>
            </w:r>
          </w:p>
          <w:p w14:paraId="3BB8E889" w14:textId="1D7CF335" w:rsidR="00543C11" w:rsidRPr="0049126A" w:rsidRDefault="00F1608D" w:rsidP="008F5FCC">
            <w:pPr>
              <w:pStyle w:val="ListParagraph"/>
              <w:numPr>
                <w:ilvl w:val="0"/>
                <w:numId w:val="83"/>
              </w:numPr>
              <w:autoSpaceDE w:val="0"/>
              <w:autoSpaceDN w:val="0"/>
              <w:adjustRightInd w:val="0"/>
              <w:spacing w:line="276" w:lineRule="auto"/>
              <w:ind w:left="185" w:hanging="185"/>
              <w:jc w:val="both"/>
              <w:rPr>
                <w:color w:val="auto"/>
                <w:sz w:val="20"/>
                <w:szCs w:val="20"/>
                <w:lang w:val="pt-BR"/>
              </w:rPr>
            </w:pPr>
            <w:r w:rsidRPr="0049126A">
              <w:rPr>
                <w:color w:val="auto"/>
                <w:sz w:val="20"/>
                <w:szCs w:val="20"/>
                <w:lang w:val="pt-BR"/>
              </w:rPr>
              <w:t>A</w:t>
            </w:r>
            <w:r w:rsidR="00543C11" w:rsidRPr="0049126A">
              <w:rPr>
                <w:color w:val="auto"/>
                <w:sz w:val="20"/>
                <w:szCs w:val="20"/>
                <w:lang w:val="pt-BR"/>
              </w:rPr>
              <w:t>par de obicei în a doua decadă de viață</w:t>
            </w:r>
          </w:p>
          <w:p w14:paraId="3FBD91EE" w14:textId="362EAED9" w:rsidR="00543C11" w:rsidRPr="0049126A" w:rsidRDefault="00F1608D" w:rsidP="008F5FCC">
            <w:pPr>
              <w:pStyle w:val="ListParagraph"/>
              <w:numPr>
                <w:ilvl w:val="0"/>
                <w:numId w:val="83"/>
              </w:numPr>
              <w:autoSpaceDE w:val="0"/>
              <w:autoSpaceDN w:val="0"/>
              <w:adjustRightInd w:val="0"/>
              <w:spacing w:line="276" w:lineRule="auto"/>
              <w:ind w:left="185" w:hanging="185"/>
              <w:jc w:val="both"/>
              <w:rPr>
                <w:color w:val="auto"/>
                <w:sz w:val="20"/>
                <w:szCs w:val="20"/>
              </w:rPr>
            </w:pPr>
            <w:r w:rsidRPr="0049126A">
              <w:rPr>
                <w:color w:val="auto"/>
                <w:sz w:val="20"/>
                <w:szCs w:val="20"/>
              </w:rPr>
              <w:t>A</w:t>
            </w:r>
            <w:r w:rsidR="00543C11" w:rsidRPr="0049126A">
              <w:rPr>
                <w:color w:val="auto"/>
                <w:sz w:val="20"/>
                <w:szCs w:val="20"/>
              </w:rPr>
              <w:t>spect polichistic la evaluarea radiologică</w:t>
            </w:r>
          </w:p>
          <w:p w14:paraId="66944035" w14:textId="37F68323" w:rsidR="00543C11" w:rsidRPr="0049126A" w:rsidRDefault="00543C11" w:rsidP="008F5FCC">
            <w:pPr>
              <w:pStyle w:val="ListParagraph"/>
              <w:numPr>
                <w:ilvl w:val="0"/>
                <w:numId w:val="83"/>
              </w:numPr>
              <w:spacing w:line="276" w:lineRule="auto"/>
              <w:ind w:left="185" w:hanging="185"/>
              <w:jc w:val="both"/>
              <w:rPr>
                <w:bCs/>
                <w:color w:val="auto"/>
                <w:sz w:val="20"/>
                <w:szCs w:val="20"/>
                <w:lang w:val="it-IT"/>
              </w:rPr>
            </w:pPr>
            <w:r w:rsidRPr="0049126A">
              <w:rPr>
                <w:color w:val="auto"/>
                <w:sz w:val="20"/>
                <w:szCs w:val="20"/>
              </w:rPr>
              <w:t>Îndeosebi în mutațiile AGPAT2</w:t>
            </w:r>
          </w:p>
        </w:tc>
        <w:tc>
          <w:tcPr>
            <w:tcW w:w="1470" w:type="pct"/>
          </w:tcPr>
          <w:p w14:paraId="60702EE8" w14:textId="77777777" w:rsidR="00543C11" w:rsidRPr="0049126A" w:rsidRDefault="00543C11" w:rsidP="00543C11">
            <w:pPr>
              <w:spacing w:line="276" w:lineRule="auto"/>
              <w:jc w:val="both"/>
              <w:rPr>
                <w:rFonts w:ascii="Times New Roman" w:hAnsi="Times New Roman" w:cs="Times New Roman"/>
                <w:bCs/>
                <w:sz w:val="20"/>
                <w:szCs w:val="20"/>
                <w:lang w:val="it-IT"/>
              </w:rPr>
            </w:pPr>
          </w:p>
        </w:tc>
      </w:tr>
      <w:tr w:rsidR="0049126A" w:rsidRPr="0049126A" w14:paraId="3E82873E" w14:textId="77777777" w:rsidTr="00F1608D">
        <w:tc>
          <w:tcPr>
            <w:tcW w:w="1617" w:type="pct"/>
          </w:tcPr>
          <w:p w14:paraId="6C5FB274" w14:textId="571A06E0" w:rsidR="00543C11" w:rsidRPr="0049126A" w:rsidRDefault="00F1608D"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bCs/>
                <w:sz w:val="20"/>
                <w:szCs w:val="20"/>
                <w:lang w:val="pt-BR"/>
              </w:rPr>
              <w:t>6. Flebomegalie</w:t>
            </w:r>
            <w:r w:rsidRPr="0049126A">
              <w:rPr>
                <w:rFonts w:ascii="Times New Roman" w:hAnsi="Times New Roman" w:cs="Times New Roman"/>
                <w:sz w:val="20"/>
                <w:szCs w:val="20"/>
                <w:lang w:val="pt-BR"/>
              </w:rPr>
              <w:t xml:space="preserve">  </w:t>
            </w:r>
          </w:p>
        </w:tc>
        <w:tc>
          <w:tcPr>
            <w:tcW w:w="1913" w:type="pct"/>
          </w:tcPr>
          <w:p w14:paraId="2E4DF3FE" w14:textId="1C86B4A4" w:rsidR="00543C11" w:rsidRPr="0049126A" w:rsidRDefault="00543C11" w:rsidP="008F5FCC">
            <w:pPr>
              <w:pStyle w:val="ListParagraph"/>
              <w:numPr>
                <w:ilvl w:val="0"/>
                <w:numId w:val="84"/>
              </w:numPr>
              <w:autoSpaceDE w:val="0"/>
              <w:autoSpaceDN w:val="0"/>
              <w:adjustRightInd w:val="0"/>
              <w:spacing w:line="276" w:lineRule="auto"/>
              <w:ind w:left="174" w:hanging="174"/>
              <w:jc w:val="both"/>
              <w:rPr>
                <w:b/>
                <w:bCs/>
                <w:color w:val="auto"/>
                <w:sz w:val="20"/>
                <w:szCs w:val="20"/>
                <w:lang w:val="pt-BR"/>
              </w:rPr>
            </w:pPr>
            <w:r w:rsidRPr="0049126A">
              <w:rPr>
                <w:color w:val="auto"/>
                <w:sz w:val="20"/>
                <w:szCs w:val="20"/>
                <w:lang w:val="pt-BR"/>
              </w:rPr>
              <w:t>proeminența venelor membrelor superioare/inferioare datorită absenței țesutului subcutanat</w:t>
            </w:r>
          </w:p>
        </w:tc>
        <w:tc>
          <w:tcPr>
            <w:tcW w:w="1470" w:type="pct"/>
          </w:tcPr>
          <w:p w14:paraId="7F9627D1" w14:textId="77777777" w:rsidR="00543C11" w:rsidRPr="0049126A" w:rsidRDefault="00543C11" w:rsidP="00543C11">
            <w:pPr>
              <w:spacing w:line="276" w:lineRule="auto"/>
              <w:jc w:val="both"/>
              <w:rPr>
                <w:rFonts w:ascii="Times New Roman" w:hAnsi="Times New Roman" w:cs="Times New Roman"/>
                <w:bCs/>
                <w:sz w:val="20"/>
                <w:szCs w:val="20"/>
                <w:lang w:val="it-IT"/>
              </w:rPr>
            </w:pPr>
          </w:p>
        </w:tc>
      </w:tr>
      <w:tr w:rsidR="0049126A" w:rsidRPr="0049126A" w14:paraId="7B3EF0DB" w14:textId="77777777" w:rsidTr="00F1608D">
        <w:tc>
          <w:tcPr>
            <w:tcW w:w="1617" w:type="pct"/>
          </w:tcPr>
          <w:p w14:paraId="308B3B5A" w14:textId="77777777" w:rsidR="00543C11" w:rsidRPr="0049126A" w:rsidRDefault="00543C11" w:rsidP="00543C11">
            <w:pPr>
              <w:spacing w:line="276" w:lineRule="auto"/>
              <w:jc w:val="both"/>
              <w:rPr>
                <w:rFonts w:ascii="Times New Roman" w:hAnsi="Times New Roman" w:cs="Times New Roman"/>
                <w:b/>
                <w:sz w:val="20"/>
                <w:szCs w:val="20"/>
                <w:lang w:val="it-IT"/>
              </w:rPr>
            </w:pPr>
          </w:p>
        </w:tc>
        <w:tc>
          <w:tcPr>
            <w:tcW w:w="1913" w:type="pct"/>
          </w:tcPr>
          <w:p w14:paraId="6870BFC3" w14:textId="77777777" w:rsidR="00543C11" w:rsidRPr="0049126A" w:rsidRDefault="00543C11" w:rsidP="00543C11">
            <w:pPr>
              <w:spacing w:line="276" w:lineRule="auto"/>
              <w:jc w:val="both"/>
              <w:rPr>
                <w:rFonts w:ascii="Times New Roman" w:hAnsi="Times New Roman" w:cs="Times New Roman"/>
                <w:bCs/>
                <w:sz w:val="20"/>
                <w:szCs w:val="20"/>
                <w:lang w:val="it-IT"/>
              </w:rPr>
            </w:pPr>
            <w:r w:rsidRPr="0049126A">
              <w:rPr>
                <w:rFonts w:ascii="Times New Roman" w:hAnsi="Times New Roman" w:cs="Times New Roman"/>
                <w:bCs/>
                <w:sz w:val="20"/>
                <w:szCs w:val="20"/>
                <w:lang w:val="it-IT"/>
              </w:rPr>
              <w:t xml:space="preserve">Aspect clinic similar la membrii familiei sau istoric familial de pierdere masă </w:t>
            </w:r>
            <w:r w:rsidRPr="0049126A">
              <w:rPr>
                <w:rFonts w:ascii="Times New Roman" w:hAnsi="Times New Roman" w:cs="Times New Roman"/>
                <w:bCs/>
                <w:sz w:val="20"/>
                <w:szCs w:val="20"/>
                <w:lang w:val="it-IT"/>
              </w:rPr>
              <w:lastRenderedPageBreak/>
              <w:t>adipoasă/complicații metabolice cu pattern de tip autozomal recesiv sau autozomal dominant</w:t>
            </w:r>
          </w:p>
        </w:tc>
        <w:tc>
          <w:tcPr>
            <w:tcW w:w="1470" w:type="pct"/>
          </w:tcPr>
          <w:p w14:paraId="48799466" w14:textId="77777777" w:rsidR="00543C11" w:rsidRPr="0049126A" w:rsidRDefault="00543C11" w:rsidP="00543C11">
            <w:pPr>
              <w:spacing w:line="276" w:lineRule="auto"/>
              <w:jc w:val="both"/>
              <w:rPr>
                <w:rFonts w:ascii="Times New Roman" w:hAnsi="Times New Roman" w:cs="Times New Roman"/>
                <w:bCs/>
                <w:sz w:val="20"/>
                <w:szCs w:val="20"/>
                <w:lang w:val="it-IT"/>
              </w:rPr>
            </w:pPr>
          </w:p>
        </w:tc>
      </w:tr>
    </w:tbl>
    <w:p w14:paraId="131EEB36" w14:textId="724A6F06" w:rsidR="00543C11" w:rsidRPr="0049126A" w:rsidRDefault="00543C11" w:rsidP="00543C11">
      <w:pPr>
        <w:autoSpaceDE w:val="0"/>
        <w:autoSpaceDN w:val="0"/>
        <w:adjustRightInd w:val="0"/>
        <w:spacing w:line="276" w:lineRule="auto"/>
        <w:rPr>
          <w:rFonts w:ascii="Times New Roman" w:hAnsi="Times New Roman" w:cs="Times New Roman"/>
          <w:sz w:val="24"/>
          <w:szCs w:val="24"/>
        </w:rPr>
      </w:pPr>
      <w:r w:rsidRPr="0049126A">
        <w:rPr>
          <w:rFonts w:ascii="Times New Roman" w:hAnsi="Times New Roman" w:cs="Times New Roman"/>
          <w:sz w:val="24"/>
          <w:szCs w:val="24"/>
        </w:rPr>
        <w:t xml:space="preserve"> </w:t>
      </w:r>
    </w:p>
    <w:p w14:paraId="243230EA" w14:textId="77777777" w:rsidR="00543C11" w:rsidRPr="0049126A" w:rsidRDefault="00543C11" w:rsidP="00F1608D">
      <w:pPr>
        <w:pStyle w:val="List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hanging="284"/>
        <w:contextualSpacing/>
        <w:jc w:val="both"/>
        <w:rPr>
          <w:rFonts w:eastAsiaTheme="minorHAnsi"/>
          <w:b/>
          <w:bCs/>
          <w:color w:val="auto"/>
          <w:u w:val="single"/>
          <w:lang w:val="pt-BR" w:eastAsia="en-US"/>
        </w:rPr>
      </w:pPr>
      <w:r w:rsidRPr="0049126A">
        <w:rPr>
          <w:rFonts w:eastAsiaTheme="minorHAnsi"/>
          <w:b/>
          <w:bCs/>
          <w:color w:val="auto"/>
          <w:u w:val="single"/>
          <w:lang w:val="pt-BR" w:eastAsia="en-US"/>
        </w:rPr>
        <w:t>CRITERII BIOLOGICE: minim un criteriu metabolic obligatoriu cu minim unul din criteriile de severitate (tabel)</w:t>
      </w:r>
    </w:p>
    <w:p w14:paraId="348B409F" w14:textId="77777777" w:rsidR="00543C11" w:rsidRPr="0049126A" w:rsidRDefault="00543C11" w:rsidP="00543C11">
      <w:pPr>
        <w:autoSpaceDE w:val="0"/>
        <w:autoSpaceDN w:val="0"/>
        <w:adjustRightInd w:val="0"/>
        <w:spacing w:line="276" w:lineRule="auto"/>
        <w:ind w:left="360"/>
        <w:rPr>
          <w:rFonts w:ascii="Times New Roman" w:hAnsi="Times New Roman" w:cs="Times New Roman"/>
          <w:b/>
          <w:bCs/>
          <w:sz w:val="24"/>
          <w:szCs w:val="24"/>
          <w:u w:val="single"/>
          <w:lang w:val="pt-BR"/>
        </w:rPr>
      </w:pPr>
    </w:p>
    <w:tbl>
      <w:tblPr>
        <w:tblStyle w:val="TableGrid"/>
        <w:tblW w:w="5000" w:type="pct"/>
        <w:tblLook w:val="04A0" w:firstRow="1" w:lastRow="0" w:firstColumn="1" w:lastColumn="0" w:noHBand="0" w:noVBand="1"/>
      </w:tblPr>
      <w:tblGrid>
        <w:gridCol w:w="2972"/>
        <w:gridCol w:w="6658"/>
      </w:tblGrid>
      <w:tr w:rsidR="0049126A" w:rsidRPr="0049126A" w14:paraId="276055B6" w14:textId="77777777" w:rsidTr="00F1608D">
        <w:tc>
          <w:tcPr>
            <w:tcW w:w="1543" w:type="pct"/>
          </w:tcPr>
          <w:p w14:paraId="5D3AF5C4" w14:textId="77777777" w:rsidR="00543C11" w:rsidRPr="0049126A" w:rsidRDefault="00543C11" w:rsidP="00543C11">
            <w:pPr>
              <w:autoSpaceDE w:val="0"/>
              <w:autoSpaceDN w:val="0"/>
              <w:adjustRightInd w:val="0"/>
              <w:spacing w:line="276" w:lineRule="auto"/>
              <w:rPr>
                <w:rFonts w:ascii="Times New Roman" w:hAnsi="Times New Roman" w:cs="Times New Roman"/>
                <w:b/>
                <w:bCs/>
                <w:sz w:val="20"/>
                <w:szCs w:val="20"/>
                <w:u w:val="single"/>
                <w:lang w:val="pt-BR"/>
              </w:rPr>
            </w:pPr>
            <w:r w:rsidRPr="0049126A">
              <w:rPr>
                <w:rFonts w:ascii="Times New Roman" w:hAnsi="Times New Roman" w:cs="Times New Roman"/>
                <w:b/>
                <w:bCs/>
                <w:sz w:val="20"/>
                <w:szCs w:val="20"/>
                <w:u w:val="single"/>
                <w:lang w:val="pt-BR"/>
              </w:rPr>
              <w:t>Criteriu metabolic obligatoriu</w:t>
            </w:r>
          </w:p>
          <w:p w14:paraId="39F35085" w14:textId="77777777" w:rsidR="00543C11" w:rsidRPr="0049126A" w:rsidRDefault="00543C11" w:rsidP="00543C11">
            <w:pPr>
              <w:autoSpaceDE w:val="0"/>
              <w:autoSpaceDN w:val="0"/>
              <w:adjustRightInd w:val="0"/>
              <w:spacing w:line="276" w:lineRule="auto"/>
              <w:rPr>
                <w:rFonts w:ascii="Times New Roman" w:hAnsi="Times New Roman" w:cs="Times New Roman"/>
                <w:b/>
                <w:bCs/>
                <w:sz w:val="20"/>
                <w:szCs w:val="20"/>
                <w:u w:val="single"/>
                <w:lang w:val="pt-BR"/>
              </w:rPr>
            </w:pPr>
            <w:r w:rsidRPr="0049126A">
              <w:rPr>
                <w:rFonts w:ascii="Times New Roman" w:hAnsi="Times New Roman" w:cs="Times New Roman"/>
                <w:b/>
                <w:bCs/>
                <w:sz w:val="20"/>
                <w:szCs w:val="20"/>
                <w:u w:val="single"/>
                <w:lang w:val="pt-BR"/>
              </w:rPr>
              <w:t>(unul din cele de mai jos)</w:t>
            </w:r>
          </w:p>
        </w:tc>
        <w:tc>
          <w:tcPr>
            <w:tcW w:w="3457" w:type="pct"/>
          </w:tcPr>
          <w:p w14:paraId="4664E2DF" w14:textId="77777777" w:rsidR="00543C11" w:rsidRPr="0049126A" w:rsidRDefault="00543C11" w:rsidP="00543C11">
            <w:pPr>
              <w:autoSpaceDE w:val="0"/>
              <w:autoSpaceDN w:val="0"/>
              <w:adjustRightInd w:val="0"/>
              <w:spacing w:line="276" w:lineRule="auto"/>
              <w:rPr>
                <w:rFonts w:ascii="Times New Roman" w:hAnsi="Times New Roman" w:cs="Times New Roman"/>
                <w:b/>
                <w:bCs/>
                <w:sz w:val="20"/>
                <w:szCs w:val="20"/>
                <w:u w:val="single"/>
              </w:rPr>
            </w:pPr>
            <w:r w:rsidRPr="0049126A">
              <w:rPr>
                <w:rFonts w:ascii="Times New Roman" w:hAnsi="Times New Roman" w:cs="Times New Roman"/>
                <w:b/>
                <w:bCs/>
                <w:sz w:val="20"/>
                <w:szCs w:val="20"/>
                <w:u w:val="single"/>
              </w:rPr>
              <w:t>Criterii de severitate (unul din ele însoțind criteriul metabolic obligatoriu)</w:t>
            </w:r>
          </w:p>
        </w:tc>
      </w:tr>
      <w:tr w:rsidR="0049126A" w:rsidRPr="0049126A" w14:paraId="68ABFA3D" w14:textId="77777777" w:rsidTr="00F1608D">
        <w:tc>
          <w:tcPr>
            <w:tcW w:w="1543" w:type="pct"/>
            <w:vMerge w:val="restart"/>
          </w:tcPr>
          <w:p w14:paraId="35C4F2A5" w14:textId="77777777" w:rsidR="00543C11" w:rsidRPr="0049126A" w:rsidRDefault="00543C11" w:rsidP="00543C11">
            <w:pPr>
              <w:autoSpaceDE w:val="0"/>
              <w:autoSpaceDN w:val="0"/>
              <w:adjustRightInd w:val="0"/>
              <w:spacing w:line="276" w:lineRule="auto"/>
              <w:rPr>
                <w:rFonts w:ascii="Times New Roman" w:hAnsi="Times New Roman" w:cs="Times New Roman"/>
                <w:caps/>
                <w:sz w:val="20"/>
                <w:szCs w:val="20"/>
                <w:lang w:val="pt-BR"/>
              </w:rPr>
            </w:pPr>
          </w:p>
          <w:p w14:paraId="5F9D8160" w14:textId="77777777" w:rsidR="00543C11" w:rsidRPr="0049126A" w:rsidRDefault="00543C11" w:rsidP="00543C11">
            <w:pPr>
              <w:autoSpaceDE w:val="0"/>
              <w:autoSpaceDN w:val="0"/>
              <w:adjustRightInd w:val="0"/>
              <w:spacing w:line="276" w:lineRule="auto"/>
              <w:rPr>
                <w:rFonts w:ascii="Times New Roman" w:hAnsi="Times New Roman" w:cs="Times New Roman"/>
                <w:caps/>
                <w:sz w:val="20"/>
                <w:szCs w:val="20"/>
                <w:lang w:val="pt-BR"/>
              </w:rPr>
            </w:pPr>
          </w:p>
          <w:p w14:paraId="38792D1F" w14:textId="77777777" w:rsidR="00543C11" w:rsidRPr="0049126A" w:rsidRDefault="00543C11" w:rsidP="00543C11">
            <w:pPr>
              <w:autoSpaceDE w:val="0"/>
              <w:autoSpaceDN w:val="0"/>
              <w:adjustRightInd w:val="0"/>
              <w:spacing w:line="276" w:lineRule="auto"/>
              <w:rPr>
                <w:rFonts w:ascii="Times New Roman" w:hAnsi="Times New Roman" w:cs="Times New Roman"/>
                <w:caps/>
                <w:sz w:val="20"/>
                <w:szCs w:val="20"/>
                <w:lang w:val="pt-BR"/>
              </w:rPr>
            </w:pPr>
            <w:r w:rsidRPr="0049126A">
              <w:rPr>
                <w:rFonts w:ascii="Times New Roman" w:hAnsi="Times New Roman" w:cs="Times New Roman"/>
                <w:caps/>
                <w:sz w:val="20"/>
                <w:szCs w:val="20"/>
                <w:lang w:val="pt-BR"/>
              </w:rPr>
              <w:t xml:space="preserve">Diabet zaharat  </w:t>
            </w:r>
            <w:r w:rsidRPr="0049126A">
              <w:rPr>
                <w:rFonts w:ascii="Times New Roman" w:hAnsi="Times New Roman" w:cs="Times New Roman"/>
                <w:b/>
                <w:bCs/>
                <w:i/>
                <w:iCs/>
                <w:caps/>
                <w:sz w:val="20"/>
                <w:szCs w:val="20"/>
                <w:lang w:val="pt-BR"/>
              </w:rPr>
              <w:t>plus</w:t>
            </w:r>
            <w:r w:rsidRPr="0049126A">
              <w:rPr>
                <w:rFonts w:ascii="Times New Roman" w:hAnsi="Times New Roman" w:cs="Times New Roman"/>
                <w:caps/>
                <w:sz w:val="20"/>
                <w:szCs w:val="20"/>
                <w:lang w:val="pt-BR"/>
              </w:rPr>
              <w:t xml:space="preserve"> </w:t>
            </w:r>
            <w:r w:rsidRPr="0049126A">
              <w:rPr>
                <w:rFonts w:ascii="Times New Roman" w:hAnsi="Times New Roman" w:cs="Times New Roman"/>
                <w:sz w:val="20"/>
                <w:szCs w:val="20"/>
                <w:lang w:val="pt-BR"/>
              </w:rPr>
              <w:t>minim una din urmatoarele</w:t>
            </w:r>
          </w:p>
        </w:tc>
        <w:tc>
          <w:tcPr>
            <w:tcW w:w="3457" w:type="pct"/>
          </w:tcPr>
          <w:p w14:paraId="1BC4D1A9"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sz w:val="20"/>
                <w:szCs w:val="20"/>
                <w:lang w:val="pt-BR"/>
              </w:rPr>
              <w:t>Cerințe mari de insulină (≥200 U/zi ; ≥2 U/kg/zi)</w:t>
            </w:r>
          </w:p>
        </w:tc>
      </w:tr>
      <w:tr w:rsidR="0049126A" w:rsidRPr="0049126A" w14:paraId="4532D831" w14:textId="77777777" w:rsidTr="00F1608D">
        <w:tc>
          <w:tcPr>
            <w:tcW w:w="1543" w:type="pct"/>
            <w:vMerge/>
          </w:tcPr>
          <w:p w14:paraId="28ABD8B1"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63A4D2AB"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i/>
                <w:iCs/>
                <w:sz w:val="20"/>
                <w:szCs w:val="20"/>
                <w:lang w:val="pt-BR"/>
              </w:rPr>
              <w:t xml:space="preserve">Sau </w:t>
            </w:r>
            <w:r w:rsidRPr="0049126A">
              <w:rPr>
                <w:rFonts w:ascii="Times New Roman" w:hAnsi="Times New Roman" w:cs="Times New Roman"/>
                <w:sz w:val="20"/>
                <w:szCs w:val="20"/>
                <w:lang w:val="pt-BR"/>
              </w:rPr>
              <w:t>HbGlic A1C &gt; de 7,5% sub terapie ADO bine condusă</w:t>
            </w:r>
          </w:p>
        </w:tc>
      </w:tr>
      <w:tr w:rsidR="0049126A" w:rsidRPr="0049126A" w14:paraId="13016A51" w14:textId="77777777" w:rsidTr="00F1608D">
        <w:tc>
          <w:tcPr>
            <w:tcW w:w="1543" w:type="pct"/>
            <w:vMerge/>
          </w:tcPr>
          <w:p w14:paraId="4A9CA31F"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762AB580"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i/>
                <w:iCs/>
                <w:sz w:val="20"/>
                <w:szCs w:val="20"/>
                <w:lang w:val="pt-BR"/>
              </w:rPr>
              <w:t>Sau asociind</w:t>
            </w:r>
            <w:r w:rsidRPr="0049126A">
              <w:rPr>
                <w:rFonts w:ascii="Times New Roman" w:hAnsi="Times New Roman" w:cs="Times New Roman"/>
                <w:sz w:val="20"/>
                <w:szCs w:val="20"/>
                <w:lang w:val="pt-BR"/>
              </w:rPr>
              <w:t xml:space="preserve"> Hepatomegalie și/sau creșterea transaminazelor în absența altor afecțiuni cunoscute a se asocia cu afectare hepatică</w:t>
            </w:r>
          </w:p>
          <w:p w14:paraId="5F81D626"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sz w:val="20"/>
                <w:szCs w:val="20"/>
                <w:lang w:val="pt-BR"/>
              </w:rPr>
              <w:t>Descrierea imagistică a steatozei hepatice</w:t>
            </w:r>
          </w:p>
        </w:tc>
      </w:tr>
      <w:tr w:rsidR="0049126A" w:rsidRPr="0049126A" w14:paraId="28F241F8" w14:textId="77777777" w:rsidTr="00F1608D">
        <w:tc>
          <w:tcPr>
            <w:tcW w:w="1543" w:type="pct"/>
            <w:vMerge w:val="restart"/>
          </w:tcPr>
          <w:p w14:paraId="3858583A"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p w14:paraId="303D88C1"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p w14:paraId="43B42C3B"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sz w:val="20"/>
                <w:szCs w:val="20"/>
                <w:lang w:val="pt-BR"/>
              </w:rPr>
              <w:t>HIPERTRIGLICERIDEMIE</w:t>
            </w:r>
            <w:r w:rsidRPr="0049126A">
              <w:rPr>
                <w:rFonts w:ascii="Times New Roman" w:hAnsi="Times New Roman" w:cs="Times New Roman"/>
                <w:b/>
                <w:bCs/>
                <w:i/>
                <w:iCs/>
                <w:caps/>
                <w:sz w:val="20"/>
                <w:szCs w:val="20"/>
                <w:lang w:val="pt-BR"/>
              </w:rPr>
              <w:t xml:space="preserve"> cu unul din următoarele criterii de severitate</w:t>
            </w:r>
          </w:p>
        </w:tc>
        <w:tc>
          <w:tcPr>
            <w:tcW w:w="3457" w:type="pct"/>
          </w:tcPr>
          <w:p w14:paraId="72119E49"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TG preprandial &gt;5,65 mmol/l (500 mg/dl) </w:t>
            </w:r>
          </w:p>
        </w:tc>
      </w:tr>
      <w:tr w:rsidR="0049126A" w:rsidRPr="0049126A" w14:paraId="681E80FA" w14:textId="77777777" w:rsidTr="00F1608D">
        <w:tc>
          <w:tcPr>
            <w:tcW w:w="1543" w:type="pct"/>
            <w:vMerge/>
          </w:tcPr>
          <w:p w14:paraId="70D98CD9"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64FD6527"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i/>
                <w:iCs/>
                <w:sz w:val="20"/>
                <w:szCs w:val="20"/>
                <w:lang w:val="pt-BR"/>
              </w:rPr>
              <w:t xml:space="preserve">Sau </w:t>
            </w:r>
            <w:r w:rsidRPr="0049126A">
              <w:rPr>
                <w:rFonts w:ascii="Times New Roman" w:hAnsi="Times New Roman" w:cs="Times New Roman"/>
                <w:sz w:val="20"/>
                <w:szCs w:val="20"/>
                <w:lang w:val="pt-BR"/>
              </w:rPr>
              <w:t>TG bazale &gt; 250 mg/dl în pofida terapiei hipolipemiante administrate corect pentru minim 6 luni</w:t>
            </w:r>
          </w:p>
        </w:tc>
      </w:tr>
      <w:tr w:rsidR="0049126A" w:rsidRPr="0049126A" w14:paraId="76020BD1" w14:textId="77777777" w:rsidTr="00F1608D">
        <w:tc>
          <w:tcPr>
            <w:tcW w:w="1543" w:type="pct"/>
            <w:vMerge/>
          </w:tcPr>
          <w:p w14:paraId="7546E1AA"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3B4C37B6"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i/>
                <w:iCs/>
                <w:sz w:val="20"/>
                <w:szCs w:val="20"/>
                <w:lang w:val="pt-BR"/>
              </w:rPr>
              <w:t xml:space="preserve">sau </w:t>
            </w:r>
            <w:r w:rsidRPr="0049126A">
              <w:rPr>
                <w:rFonts w:ascii="Times New Roman" w:hAnsi="Times New Roman" w:cs="Times New Roman"/>
                <w:sz w:val="20"/>
                <w:szCs w:val="20"/>
                <w:lang w:val="pt-BR"/>
              </w:rPr>
              <w:t>istoric de pancreatită prin hipertrigliceridemie</w:t>
            </w:r>
          </w:p>
        </w:tc>
      </w:tr>
      <w:tr w:rsidR="0049126A" w:rsidRPr="0049126A" w14:paraId="671AF354" w14:textId="77777777" w:rsidTr="00F1608D">
        <w:trPr>
          <w:trHeight w:val="1027"/>
        </w:trPr>
        <w:tc>
          <w:tcPr>
            <w:tcW w:w="1543" w:type="pct"/>
            <w:vMerge/>
          </w:tcPr>
          <w:p w14:paraId="478C54CD"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6D9E0A52"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i/>
                <w:iCs/>
                <w:sz w:val="20"/>
                <w:szCs w:val="20"/>
                <w:lang w:val="pt-BR"/>
              </w:rPr>
              <w:t>Sau asociind</w:t>
            </w:r>
            <w:r w:rsidRPr="0049126A">
              <w:rPr>
                <w:rFonts w:ascii="Times New Roman" w:hAnsi="Times New Roman" w:cs="Times New Roman"/>
                <w:sz w:val="20"/>
                <w:szCs w:val="20"/>
                <w:lang w:val="pt-BR"/>
              </w:rPr>
              <w:t xml:space="preserve"> Hepatomegalie și/sau creșterea transaminazelor în absența altor afecțiuni cunoscute a se asocia cu afectare hepatică</w:t>
            </w:r>
          </w:p>
          <w:p w14:paraId="62FEE16D"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sz w:val="20"/>
                <w:szCs w:val="20"/>
                <w:lang w:val="pt-BR"/>
              </w:rPr>
              <w:t>Descrierea imagistică a steatozei hepatice</w:t>
            </w:r>
          </w:p>
        </w:tc>
      </w:tr>
      <w:tr w:rsidR="0049126A" w:rsidRPr="0049126A" w14:paraId="32282C71" w14:textId="77777777" w:rsidTr="00F1608D">
        <w:trPr>
          <w:trHeight w:val="620"/>
        </w:trPr>
        <w:tc>
          <w:tcPr>
            <w:tcW w:w="1543" w:type="pct"/>
            <w:vMerge/>
          </w:tcPr>
          <w:p w14:paraId="0FF5CA77"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6364EEC0"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sz w:val="20"/>
                <w:szCs w:val="20"/>
                <w:lang w:val="pt-BR"/>
              </w:rPr>
              <w:t>Sau dupa minim 6 luni de dietoterapie specifica asociata cu efort fizic la copii</w:t>
            </w:r>
          </w:p>
        </w:tc>
      </w:tr>
      <w:tr w:rsidR="0049126A" w:rsidRPr="0049126A" w14:paraId="6F342D64" w14:textId="77777777" w:rsidTr="00F1608D">
        <w:tc>
          <w:tcPr>
            <w:tcW w:w="1543" w:type="pct"/>
            <w:vMerge w:val="restart"/>
          </w:tcPr>
          <w:p w14:paraId="4A3DCC15"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caps/>
                <w:sz w:val="20"/>
                <w:szCs w:val="20"/>
                <w:lang w:val="pt-BR"/>
              </w:rPr>
              <w:t xml:space="preserve">Hiperinsulinemie </w:t>
            </w:r>
            <w:r w:rsidRPr="0049126A">
              <w:rPr>
                <w:rFonts w:ascii="Times New Roman" w:hAnsi="Times New Roman" w:cs="Times New Roman"/>
                <w:sz w:val="20"/>
                <w:szCs w:val="20"/>
                <w:lang w:val="pt-BR"/>
              </w:rPr>
              <w:t xml:space="preserve">(Insulină în condiții de repaus alimentar &gt;30 μU/ml) </w:t>
            </w:r>
            <w:r w:rsidRPr="0049126A">
              <w:rPr>
                <w:rFonts w:ascii="Times New Roman" w:hAnsi="Times New Roman" w:cs="Times New Roman"/>
                <w:b/>
                <w:bCs/>
                <w:i/>
                <w:iCs/>
                <w:caps/>
                <w:sz w:val="20"/>
                <w:szCs w:val="20"/>
                <w:lang w:val="pt-BR"/>
              </w:rPr>
              <w:t>plus</w:t>
            </w:r>
            <w:r w:rsidRPr="0049126A">
              <w:rPr>
                <w:rFonts w:ascii="Times New Roman" w:hAnsi="Times New Roman" w:cs="Times New Roman"/>
                <w:caps/>
                <w:sz w:val="20"/>
                <w:szCs w:val="20"/>
                <w:lang w:val="pt-BR"/>
              </w:rPr>
              <w:t xml:space="preserve"> </w:t>
            </w:r>
            <w:r w:rsidRPr="0049126A">
              <w:rPr>
                <w:rFonts w:ascii="Times New Roman" w:hAnsi="Times New Roman" w:cs="Times New Roman"/>
                <w:sz w:val="20"/>
                <w:szCs w:val="20"/>
                <w:lang w:val="pt-BR"/>
              </w:rPr>
              <w:t>minim una din urmatoarele</w:t>
            </w:r>
          </w:p>
        </w:tc>
        <w:tc>
          <w:tcPr>
            <w:tcW w:w="3457" w:type="pct"/>
          </w:tcPr>
          <w:p w14:paraId="3FCB2416"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lang w:val="pt-BR"/>
              </w:rPr>
              <w:t xml:space="preserve">Tg crescute </w:t>
            </w:r>
            <w:r w:rsidRPr="0049126A">
              <w:rPr>
                <w:rFonts w:ascii="Times New Roman" w:hAnsi="Times New Roman" w:cs="Times New Roman"/>
                <w:sz w:val="20"/>
                <w:szCs w:val="20"/>
              </w:rPr>
              <w:t>&gt; 200 mg/dl</w:t>
            </w:r>
          </w:p>
        </w:tc>
      </w:tr>
      <w:tr w:rsidR="00543C11" w:rsidRPr="0049126A" w14:paraId="5273C31A" w14:textId="77777777" w:rsidTr="00F1608D">
        <w:tc>
          <w:tcPr>
            <w:tcW w:w="1543" w:type="pct"/>
            <w:vMerge/>
          </w:tcPr>
          <w:p w14:paraId="3FBE4785"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p>
        </w:tc>
        <w:tc>
          <w:tcPr>
            <w:tcW w:w="3457" w:type="pct"/>
          </w:tcPr>
          <w:p w14:paraId="01CA8C44"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i/>
                <w:iCs/>
                <w:sz w:val="20"/>
                <w:szCs w:val="20"/>
                <w:lang w:val="pt-BR"/>
              </w:rPr>
              <w:t>Sau asociind</w:t>
            </w:r>
            <w:r w:rsidRPr="0049126A">
              <w:rPr>
                <w:rFonts w:ascii="Times New Roman" w:hAnsi="Times New Roman" w:cs="Times New Roman"/>
                <w:sz w:val="20"/>
                <w:szCs w:val="20"/>
                <w:lang w:val="pt-BR"/>
              </w:rPr>
              <w:t xml:space="preserve"> steatoza hepatică (imagistic sau hepatomegalie+citoliză)</w:t>
            </w:r>
          </w:p>
        </w:tc>
      </w:tr>
    </w:tbl>
    <w:p w14:paraId="1CA49FBB" w14:textId="77777777" w:rsidR="00543C11" w:rsidRPr="0049126A" w:rsidRDefault="00543C11" w:rsidP="00543C11">
      <w:pPr>
        <w:autoSpaceDE w:val="0"/>
        <w:autoSpaceDN w:val="0"/>
        <w:adjustRightInd w:val="0"/>
        <w:spacing w:line="276" w:lineRule="auto"/>
        <w:rPr>
          <w:rFonts w:ascii="Times New Roman" w:hAnsi="Times New Roman" w:cs="Times New Roman"/>
          <w:b/>
          <w:bCs/>
          <w:sz w:val="24"/>
          <w:szCs w:val="24"/>
          <w:u w:val="single"/>
          <w:lang w:val="pt-BR"/>
        </w:rPr>
      </w:pPr>
    </w:p>
    <w:p w14:paraId="72909CB3" w14:textId="79DEE5C4" w:rsidR="00543C11" w:rsidRPr="0049126A" w:rsidRDefault="00F1608D" w:rsidP="005455B2">
      <w:pPr>
        <w:pStyle w:val="List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hanging="284"/>
        <w:contextualSpacing/>
        <w:rPr>
          <w:rFonts w:eastAsiaTheme="minorHAnsi"/>
          <w:b/>
          <w:color w:val="auto"/>
          <w:lang w:val="pt-BR" w:eastAsia="en-US"/>
        </w:rPr>
      </w:pPr>
      <w:r w:rsidRPr="0049126A">
        <w:rPr>
          <w:rFonts w:eastAsiaTheme="minorHAnsi"/>
          <w:b/>
          <w:color w:val="auto"/>
          <w:lang w:val="pt-BR" w:eastAsia="en-US"/>
        </w:rPr>
        <w:t>Excluderea altor afecțiuni cu aspecte fenotipice/metabolice similare</w:t>
      </w:r>
    </w:p>
    <w:p w14:paraId="30D88214" w14:textId="77777777" w:rsidR="00543C11" w:rsidRPr="0049126A" w:rsidRDefault="00543C11" w:rsidP="00543C11">
      <w:pPr>
        <w:pStyle w:val="ListParagraph"/>
        <w:autoSpaceDE w:val="0"/>
        <w:autoSpaceDN w:val="0"/>
        <w:adjustRightInd w:val="0"/>
        <w:spacing w:line="276" w:lineRule="auto"/>
        <w:rPr>
          <w:rFonts w:eastAsiaTheme="minorHAnsi"/>
          <w:color w:val="auto"/>
          <w:lang w:val="pt-BR" w:eastAsia="en-US"/>
        </w:rPr>
      </w:pPr>
    </w:p>
    <w:tbl>
      <w:tblPr>
        <w:tblStyle w:val="TableGrid"/>
        <w:tblW w:w="9634" w:type="dxa"/>
        <w:tblLook w:val="04A0" w:firstRow="1" w:lastRow="0" w:firstColumn="1" w:lastColumn="0" w:noHBand="0" w:noVBand="1"/>
      </w:tblPr>
      <w:tblGrid>
        <w:gridCol w:w="2972"/>
        <w:gridCol w:w="2693"/>
        <w:gridCol w:w="3969"/>
      </w:tblGrid>
      <w:tr w:rsidR="0049126A" w:rsidRPr="0049126A" w14:paraId="2851332B" w14:textId="77777777" w:rsidTr="005455B2">
        <w:tc>
          <w:tcPr>
            <w:tcW w:w="2972" w:type="dxa"/>
          </w:tcPr>
          <w:p w14:paraId="7D030743"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AFECȚIUNI CU SCĂDERE PONDERALĂ/redistribuție țesut adipos</w:t>
            </w:r>
          </w:p>
        </w:tc>
        <w:tc>
          <w:tcPr>
            <w:tcW w:w="2693" w:type="dxa"/>
          </w:tcPr>
          <w:p w14:paraId="783A98E9"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AFECȚIUNI CU TULBURĂRI METABOLICE</w:t>
            </w:r>
          </w:p>
        </w:tc>
        <w:tc>
          <w:tcPr>
            <w:tcW w:w="3969" w:type="dxa"/>
          </w:tcPr>
          <w:p w14:paraId="7B092158" w14:textId="39A6910C" w:rsidR="00543C11" w:rsidRPr="0049126A" w:rsidRDefault="00543C11" w:rsidP="00543C11">
            <w:pPr>
              <w:autoSpaceDE w:val="0"/>
              <w:autoSpaceDN w:val="0"/>
              <w:adjustRightInd w:val="0"/>
              <w:spacing w:line="276" w:lineRule="auto"/>
              <w:jc w:val="both"/>
              <w:rPr>
                <w:rFonts w:ascii="Times New Roman" w:hAnsi="Times New Roman" w:cs="Times New Roman"/>
                <w:caps/>
                <w:sz w:val="20"/>
                <w:szCs w:val="20"/>
                <w:lang w:val="pt-BR"/>
              </w:rPr>
            </w:pPr>
            <w:r w:rsidRPr="0049126A">
              <w:rPr>
                <w:rFonts w:ascii="Times New Roman" w:hAnsi="Times New Roman" w:cs="Times New Roman"/>
                <w:caps/>
                <w:sz w:val="20"/>
                <w:szCs w:val="20"/>
                <w:lang w:val="pt-BR"/>
              </w:rPr>
              <w:t>Lipodistrofii dobândite regionale</w:t>
            </w:r>
            <w:r w:rsidR="005455B2" w:rsidRPr="0049126A">
              <w:rPr>
                <w:rFonts w:ascii="Times New Roman" w:hAnsi="Times New Roman" w:cs="Times New Roman"/>
                <w:caps/>
                <w:sz w:val="20"/>
                <w:szCs w:val="20"/>
                <w:lang w:val="pt-BR"/>
              </w:rPr>
              <w:t xml:space="preserve"> </w:t>
            </w:r>
            <w:r w:rsidRPr="0049126A">
              <w:rPr>
                <w:rFonts w:ascii="Times New Roman" w:hAnsi="Times New Roman" w:cs="Times New Roman"/>
                <w:caps/>
                <w:sz w:val="20"/>
                <w:szCs w:val="20"/>
                <w:lang w:val="pt-BR"/>
              </w:rPr>
              <w:t>/parțiale</w:t>
            </w:r>
          </w:p>
        </w:tc>
      </w:tr>
      <w:tr w:rsidR="0049126A" w:rsidRPr="0049126A" w14:paraId="24D6816B" w14:textId="77777777" w:rsidTr="005455B2">
        <w:tc>
          <w:tcPr>
            <w:tcW w:w="2972" w:type="dxa"/>
          </w:tcPr>
          <w:p w14:paraId="4E24B862"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Anorexia nervosa</w:t>
            </w:r>
          </w:p>
        </w:tc>
        <w:tc>
          <w:tcPr>
            <w:tcW w:w="2693" w:type="dxa"/>
          </w:tcPr>
          <w:p w14:paraId="71C2778B"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p>
        </w:tc>
        <w:tc>
          <w:tcPr>
            <w:tcW w:w="3969" w:type="dxa"/>
          </w:tcPr>
          <w:p w14:paraId="4C70F792"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Lipodistrofia HIV</w:t>
            </w:r>
          </w:p>
        </w:tc>
      </w:tr>
      <w:tr w:rsidR="0049126A" w:rsidRPr="0049126A" w14:paraId="3E39A137" w14:textId="77777777" w:rsidTr="005455B2">
        <w:tc>
          <w:tcPr>
            <w:tcW w:w="2972" w:type="dxa"/>
          </w:tcPr>
          <w:p w14:paraId="542FB67E"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Cașexia neoplazică</w:t>
            </w:r>
          </w:p>
        </w:tc>
        <w:tc>
          <w:tcPr>
            <w:tcW w:w="2693" w:type="dxa"/>
          </w:tcPr>
          <w:p w14:paraId="4578EAB2"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DZ tip II dezechilibrat</w:t>
            </w:r>
          </w:p>
        </w:tc>
        <w:tc>
          <w:tcPr>
            <w:tcW w:w="3969" w:type="dxa"/>
          </w:tcPr>
          <w:p w14:paraId="4AD09038" w14:textId="31515C04" w:rsidR="00543C11" w:rsidRPr="0049126A" w:rsidRDefault="00543C11" w:rsidP="008F5FCC">
            <w:pPr>
              <w:pStyle w:val="ListParagraph"/>
              <w:numPr>
                <w:ilvl w:val="0"/>
                <w:numId w:val="84"/>
              </w:numPr>
              <w:autoSpaceDE w:val="0"/>
              <w:autoSpaceDN w:val="0"/>
              <w:adjustRightInd w:val="0"/>
              <w:spacing w:line="276" w:lineRule="auto"/>
              <w:ind w:left="175" w:hanging="142"/>
              <w:jc w:val="both"/>
              <w:rPr>
                <w:color w:val="auto"/>
                <w:sz w:val="20"/>
                <w:szCs w:val="20"/>
                <w:lang w:val="pt-BR"/>
              </w:rPr>
            </w:pPr>
            <w:r w:rsidRPr="0049126A">
              <w:rPr>
                <w:color w:val="auto"/>
                <w:sz w:val="20"/>
                <w:szCs w:val="20"/>
                <w:lang w:val="pt-BR"/>
              </w:rPr>
              <w:t>după iradierea întregului organism;</w:t>
            </w:r>
          </w:p>
        </w:tc>
      </w:tr>
      <w:tr w:rsidR="0049126A" w:rsidRPr="0049126A" w14:paraId="6E7BFBCB" w14:textId="77777777" w:rsidTr="005455B2">
        <w:tc>
          <w:tcPr>
            <w:tcW w:w="2972" w:type="dxa"/>
          </w:tcPr>
          <w:p w14:paraId="43EA91E6"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Hipertiroidism</w:t>
            </w:r>
          </w:p>
        </w:tc>
        <w:tc>
          <w:tcPr>
            <w:tcW w:w="2693" w:type="dxa"/>
          </w:tcPr>
          <w:p w14:paraId="18EBF302" w14:textId="265C94AF"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Obezitatea truncală cu sindrom metabolic</w:t>
            </w:r>
          </w:p>
        </w:tc>
        <w:tc>
          <w:tcPr>
            <w:tcW w:w="3969" w:type="dxa"/>
          </w:tcPr>
          <w:p w14:paraId="2ED64E06" w14:textId="60CEC68C" w:rsidR="00543C11" w:rsidRPr="0049126A" w:rsidRDefault="00543C11" w:rsidP="008F5FCC">
            <w:pPr>
              <w:pStyle w:val="ListParagraph"/>
              <w:numPr>
                <w:ilvl w:val="0"/>
                <w:numId w:val="84"/>
              </w:numPr>
              <w:autoSpaceDE w:val="0"/>
              <w:autoSpaceDN w:val="0"/>
              <w:adjustRightInd w:val="0"/>
              <w:spacing w:line="276" w:lineRule="auto"/>
              <w:ind w:left="175" w:hanging="175"/>
              <w:jc w:val="both"/>
              <w:rPr>
                <w:color w:val="auto"/>
                <w:sz w:val="20"/>
                <w:szCs w:val="20"/>
                <w:lang w:val="pt-BR"/>
              </w:rPr>
            </w:pPr>
            <w:r w:rsidRPr="0049126A">
              <w:rPr>
                <w:color w:val="auto"/>
                <w:sz w:val="20"/>
                <w:szCs w:val="20"/>
                <w:lang w:val="pt-BR"/>
              </w:rPr>
              <w:t>după transplant de celule hematopetice;</w:t>
            </w:r>
          </w:p>
        </w:tc>
      </w:tr>
      <w:tr w:rsidR="0049126A" w:rsidRPr="0049126A" w14:paraId="6BB7D8C7" w14:textId="77777777" w:rsidTr="005455B2">
        <w:tc>
          <w:tcPr>
            <w:tcW w:w="2972" w:type="dxa"/>
          </w:tcPr>
          <w:p w14:paraId="25777CC1"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Insuficiență adrenocorticală </w:t>
            </w:r>
          </w:p>
        </w:tc>
        <w:tc>
          <w:tcPr>
            <w:tcW w:w="2693" w:type="dxa"/>
          </w:tcPr>
          <w:p w14:paraId="73F9C211"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Mutațiile receptorului leptinic</w:t>
            </w:r>
          </w:p>
        </w:tc>
        <w:tc>
          <w:tcPr>
            <w:tcW w:w="3969" w:type="dxa"/>
          </w:tcPr>
          <w:p w14:paraId="4F96EABB" w14:textId="6E7DC837" w:rsidR="00543C11" w:rsidRPr="0049126A" w:rsidRDefault="00543C11" w:rsidP="008F5FCC">
            <w:pPr>
              <w:pStyle w:val="ListParagraph"/>
              <w:numPr>
                <w:ilvl w:val="0"/>
                <w:numId w:val="84"/>
              </w:numPr>
              <w:tabs>
                <w:tab w:val="left" w:pos="175"/>
              </w:tabs>
              <w:autoSpaceDE w:val="0"/>
              <w:autoSpaceDN w:val="0"/>
              <w:adjustRightInd w:val="0"/>
              <w:spacing w:line="276" w:lineRule="auto"/>
              <w:ind w:left="175" w:hanging="175"/>
              <w:jc w:val="both"/>
              <w:rPr>
                <w:color w:val="auto"/>
                <w:sz w:val="20"/>
                <w:szCs w:val="20"/>
                <w:lang w:val="pt-BR"/>
              </w:rPr>
            </w:pPr>
            <w:r w:rsidRPr="0049126A">
              <w:rPr>
                <w:color w:val="auto"/>
                <w:sz w:val="20"/>
                <w:szCs w:val="20"/>
                <w:lang w:val="pt-BR"/>
              </w:rPr>
              <w:t>după anumite tipuri de inhibitori de check-point;</w:t>
            </w:r>
          </w:p>
        </w:tc>
      </w:tr>
      <w:tr w:rsidR="0049126A" w:rsidRPr="0049126A" w14:paraId="7A322AD8" w14:textId="77777777" w:rsidTr="005455B2">
        <w:trPr>
          <w:trHeight w:val="44"/>
        </w:trPr>
        <w:tc>
          <w:tcPr>
            <w:tcW w:w="2972" w:type="dxa"/>
          </w:tcPr>
          <w:p w14:paraId="07044A20" w14:textId="77B78E49"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Sindrom Cushing</w:t>
            </w:r>
          </w:p>
        </w:tc>
        <w:tc>
          <w:tcPr>
            <w:tcW w:w="2693" w:type="dxa"/>
          </w:tcPr>
          <w:p w14:paraId="4A9C5C9B"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p>
        </w:tc>
        <w:tc>
          <w:tcPr>
            <w:tcW w:w="3969" w:type="dxa"/>
          </w:tcPr>
          <w:p w14:paraId="6B997BE0" w14:textId="798E3652" w:rsidR="00543C11" w:rsidRPr="0049126A" w:rsidRDefault="00543C11" w:rsidP="008F5FCC">
            <w:pPr>
              <w:pStyle w:val="ListParagraph"/>
              <w:numPr>
                <w:ilvl w:val="0"/>
                <w:numId w:val="84"/>
              </w:numPr>
              <w:autoSpaceDE w:val="0"/>
              <w:autoSpaceDN w:val="0"/>
              <w:adjustRightInd w:val="0"/>
              <w:spacing w:line="276" w:lineRule="auto"/>
              <w:ind w:left="175" w:hanging="142"/>
              <w:jc w:val="both"/>
              <w:rPr>
                <w:color w:val="auto"/>
                <w:sz w:val="20"/>
                <w:szCs w:val="20"/>
                <w:lang w:val="pt-BR"/>
              </w:rPr>
            </w:pPr>
            <w:r w:rsidRPr="0049126A">
              <w:rPr>
                <w:color w:val="auto"/>
                <w:sz w:val="20"/>
                <w:szCs w:val="20"/>
                <w:lang w:val="pt-BR"/>
              </w:rPr>
              <w:t>tumorile diencefalice la copii (eg: astrocitom pilocitic) se pot asocia lipodistrofie generalizată în perioada de nou-născut/sugar, lipodistrofia poate preceda celelalte semne tumorale</w:t>
            </w:r>
          </w:p>
        </w:tc>
      </w:tr>
      <w:tr w:rsidR="0049126A" w:rsidRPr="0049126A" w14:paraId="4738347B" w14:textId="77777777" w:rsidTr="005455B2">
        <w:tc>
          <w:tcPr>
            <w:tcW w:w="2972" w:type="dxa"/>
          </w:tcPr>
          <w:p w14:paraId="71A2A504" w14:textId="745ADDF6"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Sindrom de malabsorbție</w:t>
            </w:r>
          </w:p>
        </w:tc>
        <w:tc>
          <w:tcPr>
            <w:tcW w:w="2693" w:type="dxa"/>
          </w:tcPr>
          <w:p w14:paraId="07A170BC"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p>
        </w:tc>
        <w:tc>
          <w:tcPr>
            <w:tcW w:w="3969" w:type="dxa"/>
          </w:tcPr>
          <w:p w14:paraId="576E8D86"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Lipodistrofii regionale</w:t>
            </w:r>
          </w:p>
        </w:tc>
      </w:tr>
      <w:tr w:rsidR="00543C11" w:rsidRPr="0049126A" w14:paraId="02E4A01F" w14:textId="77777777" w:rsidTr="005455B2">
        <w:tc>
          <w:tcPr>
            <w:tcW w:w="2972" w:type="dxa"/>
          </w:tcPr>
          <w:p w14:paraId="5242349D"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Infecții severe</w:t>
            </w:r>
          </w:p>
        </w:tc>
        <w:tc>
          <w:tcPr>
            <w:tcW w:w="2693" w:type="dxa"/>
          </w:tcPr>
          <w:p w14:paraId="50E95462"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p>
        </w:tc>
        <w:tc>
          <w:tcPr>
            <w:tcW w:w="3969" w:type="dxa"/>
          </w:tcPr>
          <w:p w14:paraId="22571C47" w14:textId="77777777" w:rsidR="00543C11" w:rsidRPr="0049126A" w:rsidRDefault="00543C11" w:rsidP="00543C11">
            <w:pPr>
              <w:autoSpaceDE w:val="0"/>
              <w:autoSpaceDN w:val="0"/>
              <w:adjustRightInd w:val="0"/>
              <w:spacing w:line="276"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Lipomatoza multiplă sistemică</w:t>
            </w:r>
          </w:p>
        </w:tc>
      </w:tr>
    </w:tbl>
    <w:p w14:paraId="2526E6DB" w14:textId="77777777" w:rsidR="00F1608D" w:rsidRPr="0049126A" w:rsidRDefault="00F1608D" w:rsidP="00543C11">
      <w:pPr>
        <w:autoSpaceDE w:val="0"/>
        <w:autoSpaceDN w:val="0"/>
        <w:adjustRightInd w:val="0"/>
        <w:spacing w:line="276" w:lineRule="auto"/>
        <w:rPr>
          <w:rFonts w:ascii="Times New Roman" w:hAnsi="Times New Roman" w:cs="Times New Roman"/>
          <w:sz w:val="24"/>
          <w:szCs w:val="24"/>
          <w:lang w:val="pt-BR"/>
        </w:rPr>
      </w:pPr>
    </w:p>
    <w:p w14:paraId="5388C5AB" w14:textId="77777777" w:rsidR="005455B2" w:rsidRPr="0049126A" w:rsidRDefault="005455B2" w:rsidP="005455B2">
      <w:pPr>
        <w:autoSpaceDE w:val="0"/>
        <w:autoSpaceDN w:val="0"/>
        <w:adjustRightInd w:val="0"/>
        <w:spacing w:line="276" w:lineRule="auto"/>
        <w:jc w:val="both"/>
        <w:rPr>
          <w:rFonts w:ascii="Times New Roman" w:hAnsi="Times New Roman" w:cs="Times New Roman"/>
          <w:b/>
          <w:sz w:val="24"/>
          <w:szCs w:val="24"/>
        </w:rPr>
      </w:pPr>
    </w:p>
    <w:p w14:paraId="6855D975" w14:textId="77777777" w:rsidR="00A95187" w:rsidRPr="0049126A" w:rsidRDefault="00A95187" w:rsidP="005455B2">
      <w:pPr>
        <w:autoSpaceDE w:val="0"/>
        <w:autoSpaceDN w:val="0"/>
        <w:adjustRightInd w:val="0"/>
        <w:spacing w:line="276" w:lineRule="auto"/>
        <w:jc w:val="both"/>
        <w:rPr>
          <w:rFonts w:ascii="Times New Roman" w:hAnsi="Times New Roman" w:cs="Times New Roman"/>
          <w:b/>
          <w:sz w:val="24"/>
          <w:szCs w:val="24"/>
        </w:rPr>
      </w:pPr>
    </w:p>
    <w:p w14:paraId="326F8AA4" w14:textId="77777777" w:rsidR="005455B2" w:rsidRPr="0049126A" w:rsidRDefault="00543C11" w:rsidP="005455B2">
      <w:pPr>
        <w:autoSpaceDE w:val="0"/>
        <w:autoSpaceDN w:val="0"/>
        <w:adjustRightInd w:val="0"/>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lastRenderedPageBreak/>
        <w:t>PARAMETRII DE EVALUARE MINIMĂ ŞI OBLIGATORIE PENTRU INIŢIEREA TRATAMENTULUI CU METRELEPTINĂ</w:t>
      </w:r>
      <w:r w:rsidR="005455B2" w:rsidRPr="0049126A">
        <w:rPr>
          <w:rFonts w:ascii="Times New Roman" w:hAnsi="Times New Roman" w:cs="Times New Roman"/>
          <w:b/>
          <w:sz w:val="24"/>
          <w:szCs w:val="24"/>
        </w:rPr>
        <w:t xml:space="preserve"> </w:t>
      </w:r>
    </w:p>
    <w:p w14:paraId="7E5BAB14" w14:textId="77777777" w:rsidR="005455B2" w:rsidRPr="0049126A" w:rsidRDefault="00543C11" w:rsidP="005455B2">
      <w:pPr>
        <w:autoSpaceDE w:val="0"/>
        <w:autoSpaceDN w:val="0"/>
        <w:adjustRightInd w:val="0"/>
        <w:spacing w:after="0" w:line="276" w:lineRule="auto"/>
        <w:jc w:val="both"/>
        <w:rPr>
          <w:rFonts w:ascii="Times New Roman" w:hAnsi="Times New Roman" w:cs="Times New Roman"/>
          <w:sz w:val="20"/>
          <w:szCs w:val="20"/>
        </w:rPr>
      </w:pPr>
      <w:r w:rsidRPr="0049126A">
        <w:rPr>
          <w:rFonts w:ascii="Times New Roman" w:hAnsi="Times New Roman" w:cs="Times New Roman"/>
          <w:sz w:val="20"/>
          <w:szCs w:val="20"/>
        </w:rPr>
        <w:t xml:space="preserve">* Evaluări nu mai vechi de 1 săptămână, </w:t>
      </w:r>
    </w:p>
    <w:p w14:paraId="4ED56904" w14:textId="5C828153" w:rsidR="00543C11" w:rsidRPr="0049126A" w:rsidRDefault="00543C11" w:rsidP="005455B2">
      <w:pPr>
        <w:autoSpaceDE w:val="0"/>
        <w:autoSpaceDN w:val="0"/>
        <w:adjustRightInd w:val="0"/>
        <w:spacing w:after="0" w:line="276" w:lineRule="auto"/>
        <w:jc w:val="both"/>
        <w:rPr>
          <w:rFonts w:ascii="Times New Roman" w:hAnsi="Times New Roman" w:cs="Times New Roman"/>
          <w:sz w:val="20"/>
          <w:szCs w:val="20"/>
        </w:rPr>
      </w:pPr>
      <w:r w:rsidRPr="0049126A">
        <w:rPr>
          <w:rFonts w:ascii="Times New Roman" w:hAnsi="Times New Roman" w:cs="Times New Roman"/>
          <w:sz w:val="20"/>
          <w:szCs w:val="20"/>
        </w:rPr>
        <w:t xml:space="preserve">** </w:t>
      </w:r>
      <w:r w:rsidR="005455B2" w:rsidRPr="0049126A">
        <w:rPr>
          <w:rFonts w:ascii="Times New Roman" w:hAnsi="Times New Roman" w:cs="Times New Roman"/>
          <w:sz w:val="20"/>
          <w:szCs w:val="20"/>
        </w:rPr>
        <w:t>evaluări nu mai vechi de 1 lună</w:t>
      </w:r>
    </w:p>
    <w:p w14:paraId="6C2A9A63" w14:textId="77777777" w:rsidR="00543C11" w:rsidRPr="0049126A" w:rsidRDefault="00543C11" w:rsidP="005455B2">
      <w:pPr>
        <w:autoSpaceDE w:val="0"/>
        <w:autoSpaceDN w:val="0"/>
        <w:adjustRightInd w:val="0"/>
        <w:spacing w:line="276" w:lineRule="auto"/>
        <w:jc w:val="both"/>
        <w:rPr>
          <w:rFonts w:ascii="Times New Roman" w:hAnsi="Times New Roman" w:cs="Times New Roman"/>
          <w:sz w:val="24"/>
          <w:szCs w:val="24"/>
        </w:rPr>
      </w:pPr>
    </w:p>
    <w:p w14:paraId="5C5E13D9" w14:textId="3D03025A" w:rsidR="00543C11" w:rsidRPr="0049126A" w:rsidRDefault="00543C11" w:rsidP="005455B2">
      <w:pPr>
        <w:spacing w:line="276" w:lineRule="auto"/>
        <w:jc w:val="both"/>
        <w:rPr>
          <w:rFonts w:ascii="Times New Roman" w:hAnsi="Times New Roman" w:cs="Times New Roman"/>
          <w:b/>
          <w:sz w:val="24"/>
          <w:szCs w:val="24"/>
          <w:lang w:val="it-IT"/>
        </w:rPr>
      </w:pPr>
      <w:r w:rsidRPr="0049126A">
        <w:rPr>
          <w:rFonts w:ascii="Times New Roman" w:hAnsi="Times New Roman" w:cs="Times New Roman"/>
          <w:b/>
          <w:sz w:val="24"/>
          <w:szCs w:val="24"/>
          <w:lang w:val="it-IT"/>
        </w:rPr>
        <w:t xml:space="preserve">Evaluarea și monitorizarea comorbidităților și a răspunsului la terapie se vor face în echipă multidisciplinară, care va cuprinde: medic endocrinolog, diabetolog și nutriționist, gastroenterolog/hepatolog, cardiolog, conform protocolului actual, sub coordonarea medicului </w:t>
      </w:r>
      <w:r w:rsidR="005455B2" w:rsidRPr="0049126A">
        <w:rPr>
          <w:rFonts w:ascii="Times New Roman" w:hAnsi="Times New Roman" w:cs="Times New Roman"/>
          <w:b/>
          <w:sz w:val="24"/>
          <w:szCs w:val="24"/>
          <w:lang w:val="it-IT"/>
        </w:rPr>
        <w:t>evaluator.</w:t>
      </w:r>
    </w:p>
    <w:p w14:paraId="202C527C" w14:textId="77777777" w:rsidR="00543C11" w:rsidRPr="0049126A" w:rsidRDefault="00543C11" w:rsidP="00543C11">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rPr>
          <w:rFonts w:eastAsiaTheme="minorHAnsi"/>
          <w:color w:val="auto"/>
          <w:lang w:eastAsia="en-US"/>
        </w:rPr>
      </w:pPr>
      <w:r w:rsidRPr="0049126A">
        <w:rPr>
          <w:rFonts w:eastAsiaTheme="minorHAnsi"/>
          <w:color w:val="auto"/>
          <w:lang w:eastAsia="en-US"/>
        </w:rPr>
        <w:t>Criterii clinice</w:t>
      </w:r>
    </w:p>
    <w:p w14:paraId="5F65330A" w14:textId="77777777" w:rsidR="00543C11" w:rsidRPr="0049126A" w:rsidRDefault="00543C11" w:rsidP="00543C11">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rPr>
          <w:rFonts w:eastAsiaTheme="minorHAnsi"/>
          <w:color w:val="auto"/>
          <w:lang w:eastAsia="en-US"/>
        </w:rPr>
      </w:pPr>
      <w:r w:rsidRPr="0049126A">
        <w:rPr>
          <w:rFonts w:eastAsiaTheme="minorHAnsi"/>
          <w:color w:val="auto"/>
          <w:lang w:eastAsia="en-US"/>
        </w:rPr>
        <w:t>Criterii paraclinice</w:t>
      </w:r>
    </w:p>
    <w:p w14:paraId="4863F839" w14:textId="77777777" w:rsidR="00543C11" w:rsidRPr="0049126A" w:rsidRDefault="00543C11" w:rsidP="00543C11">
      <w:pPr>
        <w:pStyle w:val="List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rPr>
          <w:rFonts w:eastAsiaTheme="minorHAnsi"/>
          <w:color w:val="auto"/>
          <w:lang w:eastAsia="en-US"/>
        </w:rPr>
      </w:pPr>
      <w:r w:rsidRPr="0049126A">
        <w:rPr>
          <w:rFonts w:eastAsiaTheme="minorHAnsi"/>
          <w:color w:val="auto"/>
          <w:lang w:eastAsia="en-US"/>
        </w:rPr>
        <w:t>Evaluări imagistice și funcționale</w:t>
      </w:r>
    </w:p>
    <w:p w14:paraId="3E368AA2" w14:textId="77777777" w:rsidR="00543C11" w:rsidRPr="0049126A" w:rsidRDefault="00543C11" w:rsidP="00543C11">
      <w:pPr>
        <w:autoSpaceDE w:val="0"/>
        <w:autoSpaceDN w:val="0"/>
        <w:adjustRightInd w:val="0"/>
        <w:spacing w:line="276" w:lineRule="auto"/>
        <w:rPr>
          <w:rFonts w:ascii="Times New Roman" w:hAnsi="Times New Roman" w:cs="Times New Roman"/>
          <w:sz w:val="24"/>
          <w:szCs w:val="24"/>
        </w:rPr>
      </w:pPr>
    </w:p>
    <w:p w14:paraId="4D714038" w14:textId="377E188D" w:rsidR="00543C11" w:rsidRPr="0049126A" w:rsidRDefault="00543C11" w:rsidP="005455B2">
      <w:pPr>
        <w:autoSpaceDE w:val="0"/>
        <w:autoSpaceDN w:val="0"/>
        <w:adjustRightInd w:val="0"/>
        <w:spacing w:line="276" w:lineRule="auto"/>
        <w:jc w:val="both"/>
        <w:rPr>
          <w:rFonts w:ascii="Times New Roman" w:hAnsi="Times New Roman" w:cs="Times New Roman"/>
          <w:b/>
          <w:bCs/>
          <w:caps/>
          <w:sz w:val="24"/>
          <w:szCs w:val="24"/>
          <w:u w:val="single"/>
        </w:rPr>
      </w:pPr>
      <w:r w:rsidRPr="0049126A">
        <w:rPr>
          <w:rFonts w:ascii="Times New Roman" w:hAnsi="Times New Roman" w:cs="Times New Roman"/>
          <w:b/>
          <w:bCs/>
          <w:caps/>
          <w:sz w:val="24"/>
          <w:szCs w:val="24"/>
          <w:u w:val="single"/>
        </w:rPr>
        <w:t>A.</w:t>
      </w:r>
      <w:r w:rsidR="005455B2" w:rsidRPr="0049126A">
        <w:rPr>
          <w:rFonts w:ascii="Times New Roman" w:hAnsi="Times New Roman" w:cs="Times New Roman"/>
          <w:b/>
          <w:bCs/>
          <w:caps/>
          <w:sz w:val="24"/>
          <w:szCs w:val="24"/>
          <w:u w:val="single"/>
        </w:rPr>
        <w:t xml:space="preserve"> </w:t>
      </w:r>
      <w:r w:rsidRPr="0049126A">
        <w:rPr>
          <w:rFonts w:ascii="Times New Roman" w:hAnsi="Times New Roman" w:cs="Times New Roman"/>
          <w:b/>
          <w:bCs/>
          <w:caps/>
          <w:sz w:val="24"/>
          <w:szCs w:val="24"/>
          <w:u w:val="single"/>
        </w:rPr>
        <w:t>Criterii clinice</w:t>
      </w:r>
    </w:p>
    <w:p w14:paraId="0CB9763E" w14:textId="7B80BB9A" w:rsidR="00543C11" w:rsidRPr="0049126A" w:rsidRDefault="00543C11" w:rsidP="005455B2">
      <w:pPr>
        <w:autoSpaceDE w:val="0"/>
        <w:autoSpaceDN w:val="0"/>
        <w:adjustRightInd w:val="0"/>
        <w:spacing w:line="276" w:lineRule="auto"/>
        <w:jc w:val="both"/>
        <w:rPr>
          <w:rFonts w:ascii="Times New Roman" w:hAnsi="Times New Roman" w:cs="Times New Roman"/>
          <w:sz w:val="24"/>
          <w:szCs w:val="24"/>
        </w:rPr>
      </w:pPr>
      <w:r w:rsidRPr="0049126A">
        <w:rPr>
          <w:rFonts w:ascii="Times New Roman" w:hAnsi="Times New Roman" w:cs="Times New Roman"/>
          <w:b/>
          <w:bCs/>
          <w:sz w:val="24"/>
          <w:szCs w:val="24"/>
        </w:rPr>
        <w:t>A.1.</w:t>
      </w:r>
      <w:r w:rsidR="005455B2" w:rsidRPr="0049126A">
        <w:rPr>
          <w:rFonts w:ascii="Times New Roman" w:hAnsi="Times New Roman" w:cs="Times New Roman"/>
          <w:b/>
          <w:bCs/>
          <w:sz w:val="24"/>
          <w:szCs w:val="24"/>
        </w:rPr>
        <w:t xml:space="preserve"> </w:t>
      </w:r>
      <w:r w:rsidRPr="0049126A">
        <w:rPr>
          <w:rFonts w:ascii="Times New Roman" w:hAnsi="Times New Roman" w:cs="Times New Roman"/>
          <w:b/>
          <w:bCs/>
          <w:sz w:val="24"/>
          <w:szCs w:val="24"/>
        </w:rPr>
        <w:t>Istoric familial și personal de:</w:t>
      </w:r>
      <w:r w:rsidRPr="0049126A">
        <w:rPr>
          <w:rFonts w:ascii="Times New Roman" w:hAnsi="Times New Roman" w:cs="Times New Roman"/>
          <w:sz w:val="24"/>
          <w:szCs w:val="24"/>
        </w:rPr>
        <w:t xml:space="preserve"> lipodistrofie (vârsta debut, evoluție), DZ, hipertrigliceridemie, steatoză, pancreatită, miopatie, cardiomiopatie, tulburări de conducere</w:t>
      </w:r>
    </w:p>
    <w:p w14:paraId="41F9F074" w14:textId="77777777" w:rsidR="00543C11" w:rsidRPr="0049126A" w:rsidRDefault="00543C11" w:rsidP="005455B2">
      <w:pPr>
        <w:spacing w:line="276" w:lineRule="auto"/>
        <w:contextualSpacing/>
        <w:jc w:val="both"/>
        <w:rPr>
          <w:rFonts w:ascii="Times New Roman" w:hAnsi="Times New Roman" w:cs="Times New Roman"/>
          <w:i/>
          <w:iCs/>
          <w:sz w:val="24"/>
          <w:szCs w:val="24"/>
          <w:lang w:val="pt-BR"/>
        </w:rPr>
      </w:pPr>
      <w:r w:rsidRPr="0049126A">
        <w:rPr>
          <w:rFonts w:ascii="Times New Roman" w:hAnsi="Times New Roman" w:cs="Times New Roman"/>
          <w:i/>
          <w:iCs/>
          <w:sz w:val="24"/>
          <w:szCs w:val="24"/>
          <w:lang w:val="pt-BR"/>
        </w:rPr>
        <w:t>A. 1.1.Mentionarea debutului terapiei și a dozelor de terapie antidiabetică și/sau hipolipemiantă</w:t>
      </w:r>
    </w:p>
    <w:p w14:paraId="2C8A7A5E" w14:textId="77777777" w:rsidR="00543C11" w:rsidRPr="0049126A" w:rsidRDefault="00543C11" w:rsidP="005455B2">
      <w:pPr>
        <w:spacing w:line="276" w:lineRule="auto"/>
        <w:contextualSpacing/>
        <w:jc w:val="both"/>
        <w:rPr>
          <w:rFonts w:ascii="Times New Roman" w:hAnsi="Times New Roman" w:cs="Times New Roman"/>
          <w:i/>
          <w:iCs/>
          <w:sz w:val="24"/>
          <w:szCs w:val="24"/>
        </w:rPr>
      </w:pPr>
      <w:r w:rsidRPr="0049126A">
        <w:rPr>
          <w:rFonts w:ascii="Times New Roman" w:hAnsi="Times New Roman" w:cs="Times New Roman"/>
          <w:i/>
          <w:iCs/>
          <w:sz w:val="24"/>
          <w:szCs w:val="24"/>
          <w:lang w:val="pt-BR"/>
        </w:rPr>
        <w:t>A.1.2. Men</w:t>
      </w:r>
      <w:r w:rsidRPr="0049126A">
        <w:rPr>
          <w:rFonts w:ascii="Times New Roman" w:hAnsi="Times New Roman" w:cs="Times New Roman"/>
          <w:i/>
          <w:iCs/>
          <w:sz w:val="24"/>
          <w:szCs w:val="24"/>
        </w:rPr>
        <w:t>ționarea consumului zilnic de etanol</w:t>
      </w:r>
    </w:p>
    <w:p w14:paraId="57853506" w14:textId="77777777" w:rsidR="00543C11" w:rsidRPr="0049126A" w:rsidRDefault="00543C11" w:rsidP="00543C11">
      <w:pPr>
        <w:autoSpaceDE w:val="0"/>
        <w:autoSpaceDN w:val="0"/>
        <w:adjustRightInd w:val="0"/>
        <w:spacing w:line="276" w:lineRule="auto"/>
        <w:rPr>
          <w:rFonts w:ascii="Times New Roman" w:hAnsi="Times New Roman" w:cs="Times New Roman"/>
          <w:sz w:val="24"/>
          <w:szCs w:val="24"/>
          <w:lang w:val="pt-BR"/>
        </w:rPr>
      </w:pPr>
    </w:p>
    <w:p w14:paraId="2C500EF5" w14:textId="77777777" w:rsidR="00543C11" w:rsidRPr="0049126A" w:rsidRDefault="00543C11" w:rsidP="00543C11">
      <w:pPr>
        <w:autoSpaceDE w:val="0"/>
        <w:autoSpaceDN w:val="0"/>
        <w:adjustRightInd w:val="0"/>
        <w:spacing w:line="276" w:lineRule="auto"/>
        <w:rPr>
          <w:rFonts w:ascii="Times New Roman" w:hAnsi="Times New Roman" w:cs="Times New Roman"/>
          <w:sz w:val="24"/>
          <w:szCs w:val="24"/>
        </w:rPr>
      </w:pPr>
      <w:r w:rsidRPr="0049126A">
        <w:rPr>
          <w:rFonts w:ascii="Times New Roman" w:hAnsi="Times New Roman" w:cs="Times New Roman"/>
          <w:b/>
          <w:bCs/>
          <w:sz w:val="24"/>
          <w:szCs w:val="24"/>
        </w:rPr>
        <w:t>A.2. Criterii antropometrice</w:t>
      </w:r>
      <w:r w:rsidRPr="0049126A">
        <w:rPr>
          <w:rFonts w:ascii="Times New Roman" w:hAnsi="Times New Roman" w:cs="Times New Roman"/>
          <w:sz w:val="24"/>
          <w:szCs w:val="24"/>
        </w:rPr>
        <w:t>: Talie, Greutate, IMC, scoruri Z (talie, greutate, IMC)</w:t>
      </w:r>
    </w:p>
    <w:p w14:paraId="165A9670" w14:textId="565F1BF9" w:rsidR="00543C11" w:rsidRPr="0049126A" w:rsidRDefault="00543C11" w:rsidP="005455B2">
      <w:pPr>
        <w:autoSpaceDE w:val="0"/>
        <w:autoSpaceDN w:val="0"/>
        <w:adjustRightInd w:val="0"/>
        <w:spacing w:after="0" w:line="276" w:lineRule="auto"/>
        <w:rPr>
          <w:rFonts w:ascii="Times New Roman" w:hAnsi="Times New Roman" w:cs="Times New Roman"/>
          <w:b/>
          <w:bCs/>
          <w:sz w:val="24"/>
          <w:szCs w:val="24"/>
        </w:rPr>
      </w:pPr>
      <w:r w:rsidRPr="0049126A">
        <w:rPr>
          <w:rFonts w:ascii="Times New Roman" w:hAnsi="Times New Roman" w:cs="Times New Roman"/>
          <w:b/>
          <w:bCs/>
          <w:sz w:val="24"/>
          <w:szCs w:val="24"/>
        </w:rPr>
        <w:t>A</w:t>
      </w:r>
      <w:r w:rsidR="005455B2" w:rsidRPr="0049126A">
        <w:rPr>
          <w:rFonts w:ascii="Times New Roman" w:hAnsi="Times New Roman" w:cs="Times New Roman"/>
          <w:b/>
          <w:bCs/>
          <w:sz w:val="24"/>
          <w:szCs w:val="24"/>
        </w:rPr>
        <w:t>.3. Examen</w:t>
      </w:r>
      <w:r w:rsidRPr="0049126A">
        <w:rPr>
          <w:rFonts w:ascii="Times New Roman" w:hAnsi="Times New Roman" w:cs="Times New Roman"/>
          <w:b/>
          <w:bCs/>
          <w:sz w:val="24"/>
          <w:szCs w:val="24"/>
        </w:rPr>
        <w:t xml:space="preserve"> clinic general: </w:t>
      </w:r>
    </w:p>
    <w:p w14:paraId="2C49FA77" w14:textId="75BADF68"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dispoziția țesutului adipos</w:t>
      </w:r>
      <w:r w:rsidRPr="0049126A">
        <w:rPr>
          <w:color w:val="auto"/>
        </w:rPr>
        <w:t xml:space="preserve"> (absent/exces sau măsurare pliu cutanat cu calipometru verificat): facial, cervical, trunchi, abdomen, fese, regiunea pubiană, coapse, gambe;</w:t>
      </w:r>
    </w:p>
    <w:p w14:paraId="2D1A6E6A" w14:textId="61E83D56"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modificări tegumentare și țesut subcutanat</w:t>
      </w:r>
      <w:r w:rsidRPr="0049126A">
        <w:rPr>
          <w:color w:val="auto"/>
        </w:rPr>
        <w:t>: acanthosis nigricans, hirsutism, hipertricoză, elemente clinice de androgenizare, xantoame cutanate, lipoame, modificări progeroide;</w:t>
      </w:r>
    </w:p>
    <w:p w14:paraId="6A0AA169" w14:textId="738952CE"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flebomegalie</w:t>
      </w:r>
      <w:r w:rsidRPr="0049126A">
        <w:rPr>
          <w:color w:val="auto"/>
        </w:rPr>
        <w:t>;</w:t>
      </w:r>
    </w:p>
    <w:p w14:paraId="34DF2F3C" w14:textId="3822C25C"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țesut muscular</w:t>
      </w:r>
      <w:r w:rsidRPr="0049126A">
        <w:rPr>
          <w:color w:val="auto"/>
        </w:rPr>
        <w:t>: atrofie/hipertrofie;</w:t>
      </w:r>
    </w:p>
    <w:p w14:paraId="7123CE76" w14:textId="70F0D7A1"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modificări faciale</w:t>
      </w:r>
      <w:r w:rsidRPr="0049126A">
        <w:rPr>
          <w:color w:val="auto"/>
        </w:rPr>
        <w:t xml:space="preserve"> (ex): micro/macrocefalie, hipoplazie de mandibulă, facies acromegaloid/ cushingoid/ progeroid; aspecte particulare nas, urechi, ochi, gură, implantarea dinților etc</w:t>
      </w:r>
    </w:p>
    <w:p w14:paraId="05B47184" w14:textId="170AD0E1"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modificări scheletale</w:t>
      </w:r>
      <w:r w:rsidRPr="0049126A">
        <w:rPr>
          <w:color w:val="auto"/>
        </w:rPr>
        <w:t xml:space="preserve"> – coloana vertebrală, articulații;</w:t>
      </w:r>
    </w:p>
    <w:p w14:paraId="7673971D" w14:textId="3EB77983"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ap cardiovascular</w:t>
      </w:r>
      <w:r w:rsidRPr="0049126A">
        <w:rPr>
          <w:color w:val="auto"/>
        </w:rPr>
        <w:t>: TA, AV; istoric de CMH, CMD, BCI, tulburări de conducere;</w:t>
      </w:r>
    </w:p>
    <w:p w14:paraId="4B791C49" w14:textId="675F20E7"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tub digestiv</w:t>
      </w:r>
      <w:r w:rsidRPr="0049126A">
        <w:rPr>
          <w:color w:val="auto"/>
        </w:rPr>
        <w:t xml:space="preserve"> – tulburări de apetit și de aport alimentar, protruzie abdominală, hepato/splenomegalie;</w:t>
      </w:r>
    </w:p>
    <w:p w14:paraId="003EF3F7" w14:textId="77511BAC"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sistem nervos</w:t>
      </w:r>
      <w:r w:rsidRPr="0049126A">
        <w:rPr>
          <w:color w:val="auto"/>
        </w:rPr>
        <w:t xml:space="preserve"> – dizabilitate intelectuală, hipo/hipertonii, mialgii.</w:t>
      </w:r>
    </w:p>
    <w:p w14:paraId="0A21FD3C" w14:textId="4A1A236A" w:rsidR="00543C11" w:rsidRPr="0049126A" w:rsidRDefault="00543C11" w:rsidP="008F5FCC">
      <w:pPr>
        <w:pStyle w:val="ListParagraph"/>
        <w:numPr>
          <w:ilvl w:val="0"/>
          <w:numId w:val="86"/>
        </w:numPr>
        <w:autoSpaceDE w:val="0"/>
        <w:autoSpaceDN w:val="0"/>
        <w:adjustRightInd w:val="0"/>
        <w:spacing w:line="276" w:lineRule="auto"/>
        <w:ind w:hanging="294"/>
        <w:jc w:val="both"/>
        <w:rPr>
          <w:color w:val="auto"/>
        </w:rPr>
      </w:pPr>
      <w:r w:rsidRPr="0049126A">
        <w:rPr>
          <w:i/>
          <w:iCs/>
          <w:color w:val="auto"/>
        </w:rPr>
        <w:t>sistem reproducător</w:t>
      </w:r>
      <w:r w:rsidRPr="0049126A">
        <w:rPr>
          <w:color w:val="auto"/>
        </w:rPr>
        <w:t>:  stadiul Tanner B/P/G; tulburări menstruale; TDS; infertilitate primară/secundară</w:t>
      </w:r>
    </w:p>
    <w:p w14:paraId="54FCAA9C" w14:textId="77777777" w:rsidR="00543C11" w:rsidRPr="0049126A" w:rsidRDefault="00543C11" w:rsidP="00543C11">
      <w:pPr>
        <w:autoSpaceDE w:val="0"/>
        <w:autoSpaceDN w:val="0"/>
        <w:adjustRightInd w:val="0"/>
        <w:spacing w:line="276" w:lineRule="auto"/>
        <w:rPr>
          <w:rFonts w:ascii="Times New Roman" w:hAnsi="Times New Roman" w:cs="Times New Roman"/>
          <w:sz w:val="24"/>
          <w:szCs w:val="24"/>
        </w:rPr>
      </w:pPr>
    </w:p>
    <w:p w14:paraId="7C29F348" w14:textId="0C397B5D" w:rsidR="00543C11" w:rsidRPr="0049126A" w:rsidRDefault="00543C11" w:rsidP="005455B2">
      <w:pPr>
        <w:autoSpaceDE w:val="0"/>
        <w:autoSpaceDN w:val="0"/>
        <w:adjustRightInd w:val="0"/>
        <w:spacing w:line="276" w:lineRule="auto"/>
        <w:rPr>
          <w:rFonts w:ascii="Times New Roman" w:hAnsi="Times New Roman" w:cs="Times New Roman"/>
          <w:b/>
          <w:sz w:val="24"/>
          <w:szCs w:val="24"/>
        </w:rPr>
      </w:pPr>
      <w:r w:rsidRPr="0049126A">
        <w:rPr>
          <w:rFonts w:ascii="Times New Roman" w:hAnsi="Times New Roman" w:cs="Times New Roman"/>
          <w:b/>
          <w:sz w:val="24"/>
          <w:szCs w:val="24"/>
        </w:rPr>
        <w:t>A.4. Ex</w:t>
      </w:r>
      <w:r w:rsidR="005455B2" w:rsidRPr="0049126A">
        <w:rPr>
          <w:rFonts w:ascii="Times New Roman" w:hAnsi="Times New Roman" w:cs="Times New Roman"/>
          <w:b/>
          <w:sz w:val="24"/>
          <w:szCs w:val="24"/>
        </w:rPr>
        <w:t>amen</w:t>
      </w:r>
      <w:r w:rsidRPr="0049126A">
        <w:rPr>
          <w:rFonts w:ascii="Times New Roman" w:hAnsi="Times New Roman" w:cs="Times New Roman"/>
          <w:b/>
          <w:sz w:val="24"/>
          <w:szCs w:val="24"/>
        </w:rPr>
        <w:t xml:space="preserve"> genetician clinician</w:t>
      </w:r>
    </w:p>
    <w:p w14:paraId="3DE82B8E" w14:textId="77777777" w:rsidR="00226B27" w:rsidRPr="0049126A" w:rsidRDefault="00226B27" w:rsidP="00A95187">
      <w:pPr>
        <w:autoSpaceDE w:val="0"/>
        <w:autoSpaceDN w:val="0"/>
        <w:adjustRightInd w:val="0"/>
        <w:spacing w:line="276" w:lineRule="auto"/>
        <w:rPr>
          <w:rFonts w:ascii="Times New Roman" w:hAnsi="Times New Roman" w:cs="Times New Roman"/>
          <w:sz w:val="24"/>
          <w:szCs w:val="24"/>
        </w:rPr>
      </w:pPr>
    </w:p>
    <w:p w14:paraId="53125700" w14:textId="77777777" w:rsidR="00A95187" w:rsidRPr="0049126A" w:rsidRDefault="00A95187" w:rsidP="00A95187">
      <w:pPr>
        <w:autoSpaceDE w:val="0"/>
        <w:autoSpaceDN w:val="0"/>
        <w:adjustRightInd w:val="0"/>
        <w:spacing w:line="276" w:lineRule="auto"/>
        <w:rPr>
          <w:rFonts w:ascii="Times New Roman" w:hAnsi="Times New Roman" w:cs="Times New Roman"/>
          <w:sz w:val="24"/>
          <w:szCs w:val="24"/>
        </w:rPr>
      </w:pPr>
    </w:p>
    <w:p w14:paraId="408444E8" w14:textId="77777777" w:rsidR="00A95187" w:rsidRPr="0049126A" w:rsidRDefault="00A95187" w:rsidP="00A95187">
      <w:pPr>
        <w:autoSpaceDE w:val="0"/>
        <w:autoSpaceDN w:val="0"/>
        <w:adjustRightInd w:val="0"/>
        <w:spacing w:line="276" w:lineRule="auto"/>
        <w:rPr>
          <w:rFonts w:ascii="Times New Roman" w:hAnsi="Times New Roman" w:cs="Times New Roman"/>
          <w:sz w:val="24"/>
          <w:szCs w:val="24"/>
        </w:rPr>
      </w:pPr>
    </w:p>
    <w:p w14:paraId="3D56C511" w14:textId="77777777" w:rsidR="00543C11" w:rsidRPr="0049126A" w:rsidRDefault="00543C11" w:rsidP="00226B27">
      <w:pPr>
        <w:pStyle w:val="ListParagraph"/>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60" w:line="276" w:lineRule="auto"/>
        <w:ind w:left="284" w:hanging="284"/>
        <w:contextualSpacing/>
        <w:jc w:val="both"/>
        <w:rPr>
          <w:rFonts w:eastAsiaTheme="minorHAnsi"/>
          <w:b/>
          <w:bCs/>
          <w:caps/>
          <w:color w:val="auto"/>
          <w:u w:val="single"/>
          <w:lang w:eastAsia="en-US"/>
        </w:rPr>
      </w:pPr>
      <w:bookmarkStart w:id="1" w:name="_Hlk159365182"/>
      <w:r w:rsidRPr="0049126A">
        <w:rPr>
          <w:rFonts w:eastAsiaTheme="minorHAnsi"/>
          <w:b/>
          <w:bCs/>
          <w:caps/>
          <w:color w:val="auto"/>
          <w:u w:val="single"/>
          <w:lang w:eastAsia="en-US"/>
        </w:rPr>
        <w:lastRenderedPageBreak/>
        <w:t>1. Criterii paraclinice și explorări complementare obligatorii</w:t>
      </w:r>
    </w:p>
    <w:bookmarkEnd w:id="1"/>
    <w:p w14:paraId="44D2E76E" w14:textId="77777777" w:rsidR="00543C11" w:rsidRPr="0049126A" w:rsidRDefault="00543C11" w:rsidP="00543C11">
      <w:pPr>
        <w:spacing w:line="276" w:lineRule="auto"/>
        <w:jc w:val="both"/>
        <w:rPr>
          <w:rFonts w:ascii="Times New Roman" w:hAnsi="Times New Roman" w:cs="Times New Roman"/>
          <w:b/>
          <w:sz w:val="24"/>
          <w:szCs w:val="24"/>
          <w:lang w:val="it-IT"/>
        </w:rPr>
      </w:pPr>
    </w:p>
    <w:tbl>
      <w:tblPr>
        <w:tblStyle w:val="TableGrid"/>
        <w:tblW w:w="0" w:type="auto"/>
        <w:tblLayout w:type="fixed"/>
        <w:tblLook w:val="04A0" w:firstRow="1" w:lastRow="0" w:firstColumn="1" w:lastColumn="0" w:noHBand="0" w:noVBand="1"/>
      </w:tblPr>
      <w:tblGrid>
        <w:gridCol w:w="1523"/>
        <w:gridCol w:w="2725"/>
        <w:gridCol w:w="2835"/>
        <w:gridCol w:w="2493"/>
      </w:tblGrid>
      <w:tr w:rsidR="0049126A" w:rsidRPr="0049126A" w14:paraId="17B3372C" w14:textId="77777777" w:rsidTr="002E1180">
        <w:tc>
          <w:tcPr>
            <w:tcW w:w="1523" w:type="dxa"/>
          </w:tcPr>
          <w:p w14:paraId="6A05410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Afecțiune</w:t>
            </w:r>
          </w:p>
        </w:tc>
        <w:tc>
          <w:tcPr>
            <w:tcW w:w="2725" w:type="dxa"/>
          </w:tcPr>
          <w:p w14:paraId="669C69C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Testare</w:t>
            </w:r>
          </w:p>
        </w:tc>
        <w:tc>
          <w:tcPr>
            <w:tcW w:w="2835" w:type="dxa"/>
          </w:tcPr>
          <w:p w14:paraId="1992048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Ritmicitate</w:t>
            </w:r>
          </w:p>
        </w:tc>
        <w:tc>
          <w:tcPr>
            <w:tcW w:w="2493" w:type="dxa"/>
          </w:tcPr>
          <w:p w14:paraId="11C3983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Observații</w:t>
            </w:r>
          </w:p>
        </w:tc>
      </w:tr>
      <w:tr w:rsidR="0049126A" w:rsidRPr="0049126A" w14:paraId="35224BEF" w14:textId="77777777" w:rsidTr="002E1180">
        <w:tc>
          <w:tcPr>
            <w:tcW w:w="1523" w:type="dxa"/>
          </w:tcPr>
          <w:p w14:paraId="5158478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Investigații generale</w:t>
            </w:r>
          </w:p>
        </w:tc>
        <w:tc>
          <w:tcPr>
            <w:tcW w:w="2725" w:type="dxa"/>
          </w:tcPr>
          <w:p w14:paraId="42BC2CBB"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Hemogramă, VSH, fibrinogen</w:t>
            </w:r>
          </w:p>
          <w:p w14:paraId="480CC7FE"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 xml:space="preserve">Calciu, fosfor, fosfatază alcalină, albumina </w:t>
            </w:r>
          </w:p>
          <w:p w14:paraId="2D612EBF"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Sodiu,potasiu, clor seric</w:t>
            </w:r>
          </w:p>
        </w:tc>
        <w:tc>
          <w:tcPr>
            <w:tcW w:w="2835" w:type="dxa"/>
          </w:tcPr>
          <w:p w14:paraId="044B163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ulterior  la 6 luni</w:t>
            </w:r>
          </w:p>
        </w:tc>
        <w:tc>
          <w:tcPr>
            <w:tcW w:w="2493" w:type="dxa"/>
          </w:tcPr>
          <w:p w14:paraId="4F9F80F0"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2125DA7C" w14:textId="77777777" w:rsidTr="002E1180">
        <w:tc>
          <w:tcPr>
            <w:tcW w:w="1523" w:type="dxa"/>
          </w:tcPr>
          <w:p w14:paraId="7FC7D40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Diabetul zaharat</w:t>
            </w:r>
          </w:p>
          <w:p w14:paraId="301D35CE"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725" w:type="dxa"/>
          </w:tcPr>
          <w:p w14:paraId="6BA5FB05"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Glicemie a jeun</w:t>
            </w:r>
          </w:p>
          <w:p w14:paraId="599BF131"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OGTT</w:t>
            </w:r>
          </w:p>
          <w:p w14:paraId="4E80C0B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bCs/>
                <w:sz w:val="20"/>
                <w:szCs w:val="20"/>
                <w:lang w:val="it-IT"/>
              </w:rPr>
              <w:t>HbA1c</w:t>
            </w:r>
          </w:p>
        </w:tc>
        <w:tc>
          <w:tcPr>
            <w:tcW w:w="2835" w:type="dxa"/>
          </w:tcPr>
          <w:p w14:paraId="3C6EE7A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la 6 luni</w:t>
            </w:r>
          </w:p>
        </w:tc>
        <w:tc>
          <w:tcPr>
            <w:tcW w:w="2493" w:type="dxa"/>
          </w:tcPr>
          <w:p w14:paraId="05B8E49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Pot dezvolta si DZ tip 1 – se vor măsura Ac specifici în cazuri selecționate</w:t>
            </w:r>
          </w:p>
        </w:tc>
      </w:tr>
      <w:tr w:rsidR="0049126A" w:rsidRPr="0049126A" w14:paraId="7B64E445" w14:textId="77777777" w:rsidTr="002E1180">
        <w:tc>
          <w:tcPr>
            <w:tcW w:w="1523" w:type="dxa"/>
          </w:tcPr>
          <w:p w14:paraId="443B7CE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Rezistența la insulină </w:t>
            </w:r>
          </w:p>
          <w:p w14:paraId="3934343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(în absența criteriilor de DZ)</w:t>
            </w:r>
          </w:p>
        </w:tc>
        <w:tc>
          <w:tcPr>
            <w:tcW w:w="2725" w:type="dxa"/>
          </w:tcPr>
          <w:p w14:paraId="22C3EA97"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Insulinemie bazală, peptid C*</w:t>
            </w:r>
          </w:p>
          <w:p w14:paraId="510B56B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bCs/>
                <w:sz w:val="20"/>
                <w:szCs w:val="20"/>
                <w:lang w:val="it-IT"/>
              </w:rPr>
              <w:t>Scor HOMA</w:t>
            </w:r>
          </w:p>
        </w:tc>
        <w:tc>
          <w:tcPr>
            <w:tcW w:w="2835" w:type="dxa"/>
          </w:tcPr>
          <w:p w14:paraId="3B0A2BE8"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6 luni</w:t>
            </w:r>
          </w:p>
        </w:tc>
        <w:tc>
          <w:tcPr>
            <w:tcW w:w="2493" w:type="dxa"/>
          </w:tcPr>
          <w:p w14:paraId="10432812"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119BF28F" w14:textId="77777777" w:rsidTr="002E1180">
        <w:tc>
          <w:tcPr>
            <w:tcW w:w="1523" w:type="dxa"/>
            <w:vMerge w:val="restart"/>
          </w:tcPr>
          <w:p w14:paraId="689631EF"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Dislipidemia</w:t>
            </w:r>
          </w:p>
          <w:p w14:paraId="65069C3A"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725" w:type="dxa"/>
          </w:tcPr>
          <w:p w14:paraId="49A44752"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Trigliceride</w:t>
            </w:r>
          </w:p>
        </w:tc>
        <w:tc>
          <w:tcPr>
            <w:tcW w:w="2835" w:type="dxa"/>
          </w:tcPr>
          <w:p w14:paraId="3E50DDFF"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6 luni; oricând  la apariția durerilor abdominale/ la apariția xantoamelor</w:t>
            </w:r>
          </w:p>
        </w:tc>
        <w:tc>
          <w:tcPr>
            <w:tcW w:w="2493" w:type="dxa"/>
          </w:tcPr>
          <w:p w14:paraId="3F6144DF"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3CB26890" w14:textId="77777777" w:rsidTr="002E1180">
        <w:tc>
          <w:tcPr>
            <w:tcW w:w="1523" w:type="dxa"/>
            <w:vMerge/>
          </w:tcPr>
          <w:p w14:paraId="26B51FBB"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725" w:type="dxa"/>
          </w:tcPr>
          <w:p w14:paraId="0D8F233A"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Colesterol total</w:t>
            </w:r>
          </w:p>
          <w:p w14:paraId="474716D3"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LDL și HDL colesterol</w:t>
            </w:r>
          </w:p>
        </w:tc>
        <w:tc>
          <w:tcPr>
            <w:tcW w:w="2835" w:type="dxa"/>
          </w:tcPr>
          <w:p w14:paraId="0D4383AF"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dg. și anual după vârsta cronologică 10 ani</w:t>
            </w:r>
          </w:p>
        </w:tc>
        <w:tc>
          <w:tcPr>
            <w:tcW w:w="2493" w:type="dxa"/>
          </w:tcPr>
          <w:p w14:paraId="721F7AAE"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507181BA" w14:textId="77777777" w:rsidTr="002E1180">
        <w:tc>
          <w:tcPr>
            <w:tcW w:w="1523" w:type="dxa"/>
          </w:tcPr>
          <w:p w14:paraId="23621FD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Afecțiunea hepatică</w:t>
            </w:r>
          </w:p>
        </w:tc>
        <w:tc>
          <w:tcPr>
            <w:tcW w:w="2725" w:type="dxa"/>
          </w:tcPr>
          <w:p w14:paraId="066BAE62"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TGO, TGP, GGT, Bil T, D</w:t>
            </w:r>
          </w:p>
        </w:tc>
        <w:tc>
          <w:tcPr>
            <w:tcW w:w="2835" w:type="dxa"/>
          </w:tcPr>
          <w:p w14:paraId="6C0D991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ultterior la 6 luni; oricând  la apariția durerilor abdominale/la apariția xantoamelor</w:t>
            </w:r>
          </w:p>
        </w:tc>
        <w:tc>
          <w:tcPr>
            <w:tcW w:w="2493" w:type="dxa"/>
          </w:tcPr>
          <w:p w14:paraId="60B665F0"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31FBC0A1" w14:textId="77777777" w:rsidTr="002E1180">
        <w:tc>
          <w:tcPr>
            <w:tcW w:w="1523" w:type="dxa"/>
            <w:vMerge w:val="restart"/>
          </w:tcPr>
          <w:p w14:paraId="2D8A98B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Steatoză/ fibroză</w:t>
            </w:r>
          </w:p>
          <w:p w14:paraId="391227CF"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725" w:type="dxa"/>
          </w:tcPr>
          <w:p w14:paraId="088DFCEE"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Ecografie hepatică</w:t>
            </w:r>
          </w:p>
        </w:tc>
        <w:tc>
          <w:tcPr>
            <w:tcW w:w="2835" w:type="dxa"/>
          </w:tcPr>
          <w:p w14:paraId="4A2CE9F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Anual și la nevoie în funcție de clinică</w:t>
            </w:r>
          </w:p>
        </w:tc>
        <w:tc>
          <w:tcPr>
            <w:tcW w:w="2493" w:type="dxa"/>
          </w:tcPr>
          <w:p w14:paraId="38176DD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Se vor evalua:</w:t>
            </w:r>
          </w:p>
          <w:p w14:paraId="75DE6A4F" w14:textId="43BFF4FC" w:rsidR="00543C11" w:rsidRPr="0049126A" w:rsidRDefault="00543C11" w:rsidP="008F5FCC">
            <w:pPr>
              <w:pStyle w:val="ListParagraph"/>
              <w:numPr>
                <w:ilvl w:val="0"/>
                <w:numId w:val="89"/>
              </w:numPr>
              <w:spacing w:line="276" w:lineRule="auto"/>
              <w:ind w:left="200" w:hanging="142"/>
              <w:jc w:val="both"/>
              <w:rPr>
                <w:color w:val="auto"/>
                <w:sz w:val="20"/>
                <w:szCs w:val="20"/>
                <w:lang w:val="it-IT"/>
              </w:rPr>
            </w:pPr>
            <w:r w:rsidRPr="0049126A">
              <w:rPr>
                <w:color w:val="auto"/>
                <w:sz w:val="20"/>
                <w:szCs w:val="20"/>
                <w:lang w:val="it-IT"/>
              </w:rPr>
              <w:t>dimensiuni ficat, splină</w:t>
            </w:r>
          </w:p>
          <w:p w14:paraId="70A14D49" w14:textId="0E2A8E45" w:rsidR="00543C11" w:rsidRPr="0049126A" w:rsidRDefault="00543C11" w:rsidP="008F5FCC">
            <w:pPr>
              <w:pStyle w:val="ListParagraph"/>
              <w:numPr>
                <w:ilvl w:val="0"/>
                <w:numId w:val="89"/>
              </w:numPr>
              <w:spacing w:line="276" w:lineRule="auto"/>
              <w:ind w:left="200" w:hanging="142"/>
              <w:jc w:val="both"/>
              <w:rPr>
                <w:color w:val="auto"/>
                <w:sz w:val="20"/>
                <w:szCs w:val="20"/>
                <w:lang w:val="it-IT"/>
              </w:rPr>
            </w:pPr>
            <w:r w:rsidRPr="0049126A">
              <w:rPr>
                <w:color w:val="auto"/>
                <w:sz w:val="20"/>
                <w:szCs w:val="20"/>
                <w:lang w:val="it-IT"/>
              </w:rPr>
              <w:t>existența si severitatea steatozei/fibrozei</w:t>
            </w:r>
          </w:p>
          <w:p w14:paraId="771EDBA2" w14:textId="3517843D" w:rsidR="00543C11" w:rsidRPr="0049126A" w:rsidRDefault="00543C11" w:rsidP="008F5FCC">
            <w:pPr>
              <w:pStyle w:val="ListParagraph"/>
              <w:numPr>
                <w:ilvl w:val="0"/>
                <w:numId w:val="89"/>
              </w:numPr>
              <w:spacing w:line="276" w:lineRule="auto"/>
              <w:ind w:left="200" w:hanging="142"/>
              <w:jc w:val="both"/>
              <w:rPr>
                <w:color w:val="auto"/>
                <w:sz w:val="20"/>
                <w:szCs w:val="20"/>
                <w:lang w:val="it-IT"/>
              </w:rPr>
            </w:pPr>
            <w:r w:rsidRPr="0049126A">
              <w:rPr>
                <w:color w:val="auto"/>
                <w:sz w:val="20"/>
                <w:szCs w:val="20"/>
                <w:lang w:val="it-IT"/>
              </w:rPr>
              <w:t>existența hipertensiunii portale</w:t>
            </w:r>
          </w:p>
          <w:p w14:paraId="75DCC84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În cazul AGL se vor face teste specifice pentru hepatite autoimune</w:t>
            </w:r>
          </w:p>
        </w:tc>
      </w:tr>
      <w:tr w:rsidR="0049126A" w:rsidRPr="0049126A" w14:paraId="51B24D78" w14:textId="77777777" w:rsidTr="002E1180">
        <w:tc>
          <w:tcPr>
            <w:tcW w:w="1523" w:type="dxa"/>
            <w:vMerge/>
          </w:tcPr>
          <w:p w14:paraId="2219B7EF"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725" w:type="dxa"/>
          </w:tcPr>
          <w:p w14:paraId="4FB1FE53"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FIBROSCAN /FIBROMAX</w:t>
            </w:r>
          </w:p>
        </w:tc>
        <w:tc>
          <w:tcPr>
            <w:tcW w:w="2835" w:type="dxa"/>
          </w:tcPr>
          <w:p w14:paraId="7A76A05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anual și oricând în funcție de contextul clinic</w:t>
            </w:r>
          </w:p>
        </w:tc>
        <w:tc>
          <w:tcPr>
            <w:tcW w:w="2493" w:type="dxa"/>
          </w:tcPr>
          <w:p w14:paraId="33F178C1"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1472A07B" w14:textId="77777777" w:rsidTr="002E1180">
        <w:tc>
          <w:tcPr>
            <w:tcW w:w="1523" w:type="dxa"/>
          </w:tcPr>
          <w:p w14:paraId="4052C7C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cardiacă</w:t>
            </w:r>
          </w:p>
        </w:tc>
        <w:tc>
          <w:tcPr>
            <w:tcW w:w="2725" w:type="dxa"/>
          </w:tcPr>
          <w:p w14:paraId="42C67582"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EKG, ecografie</w:t>
            </w:r>
          </w:p>
        </w:tc>
        <w:tc>
          <w:tcPr>
            <w:tcW w:w="2835" w:type="dxa"/>
          </w:tcPr>
          <w:p w14:paraId="5296C4C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apoi anual</w:t>
            </w:r>
          </w:p>
        </w:tc>
        <w:tc>
          <w:tcPr>
            <w:tcW w:w="2493" w:type="dxa"/>
          </w:tcPr>
          <w:p w14:paraId="7D0719B8"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40C31717" w14:textId="77777777" w:rsidTr="002E1180">
        <w:tc>
          <w:tcPr>
            <w:tcW w:w="1523" w:type="dxa"/>
          </w:tcPr>
          <w:p w14:paraId="0C83533F"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renală</w:t>
            </w:r>
          </w:p>
        </w:tc>
        <w:tc>
          <w:tcPr>
            <w:tcW w:w="2725" w:type="dxa"/>
          </w:tcPr>
          <w:p w14:paraId="251D5315"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Uree ,creatinină, ac uric</w:t>
            </w:r>
          </w:p>
          <w:p w14:paraId="71091322"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Măsurare proteinurie</w:t>
            </w:r>
          </w:p>
          <w:p w14:paraId="042FFCA3" w14:textId="77777777" w:rsidR="00543C11" w:rsidRPr="0049126A" w:rsidRDefault="00543C11" w:rsidP="002E1180">
            <w:pPr>
              <w:tabs>
                <w:tab w:val="left" w:pos="207"/>
              </w:tabs>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w:t>
            </w:r>
            <w:r w:rsidRPr="0049126A">
              <w:rPr>
                <w:rFonts w:ascii="Times New Roman" w:hAnsi="Times New Roman" w:cs="Times New Roman"/>
                <w:b/>
                <w:bCs/>
                <w:sz w:val="20"/>
                <w:szCs w:val="20"/>
                <w:lang w:val="it-IT"/>
              </w:rPr>
              <w:tab/>
              <w:t>În urina pe 24 ore</w:t>
            </w:r>
          </w:p>
          <w:p w14:paraId="3FFBA14D" w14:textId="77777777" w:rsidR="00543C11" w:rsidRPr="0049126A" w:rsidRDefault="00543C11" w:rsidP="002E1180">
            <w:pPr>
              <w:tabs>
                <w:tab w:val="left" w:pos="207"/>
              </w:tabs>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w:t>
            </w:r>
            <w:r w:rsidRPr="0049126A">
              <w:rPr>
                <w:rFonts w:ascii="Times New Roman" w:hAnsi="Times New Roman" w:cs="Times New Roman"/>
                <w:b/>
                <w:bCs/>
                <w:sz w:val="20"/>
                <w:szCs w:val="20"/>
                <w:lang w:val="it-IT"/>
              </w:rPr>
              <w:tab/>
              <w:t>În spotul urinar, raport proteine/creatinină</w:t>
            </w:r>
          </w:p>
          <w:p w14:paraId="3367E7A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bCs/>
                <w:sz w:val="20"/>
                <w:szCs w:val="20"/>
                <w:lang w:val="it-IT"/>
              </w:rPr>
              <w:t>Glicozurie în urina spontană</w:t>
            </w:r>
          </w:p>
        </w:tc>
        <w:tc>
          <w:tcPr>
            <w:tcW w:w="2835" w:type="dxa"/>
          </w:tcPr>
          <w:p w14:paraId="342DF17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La inițierea terapiei, apoi anual </w:t>
            </w:r>
          </w:p>
          <w:p w14:paraId="6195443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3 luni la pacienții cu afectare renală preexistentă</w:t>
            </w:r>
          </w:p>
        </w:tc>
        <w:tc>
          <w:tcPr>
            <w:tcW w:w="2493" w:type="dxa"/>
          </w:tcPr>
          <w:p w14:paraId="3667A21E" w14:textId="77777777" w:rsidR="00543C11" w:rsidRPr="0049126A" w:rsidRDefault="00543C11" w:rsidP="00543C11">
            <w:pPr>
              <w:spacing w:line="276" w:lineRule="auto"/>
              <w:jc w:val="both"/>
              <w:rPr>
                <w:rFonts w:ascii="Times New Roman" w:hAnsi="Times New Roman" w:cs="Times New Roman"/>
                <w:sz w:val="20"/>
                <w:szCs w:val="20"/>
                <w:lang w:val="it-IT"/>
              </w:rPr>
            </w:pPr>
          </w:p>
        </w:tc>
      </w:tr>
    </w:tbl>
    <w:p w14:paraId="17599E0E" w14:textId="77777777" w:rsidR="00543C11" w:rsidRPr="0049126A" w:rsidRDefault="00543C11" w:rsidP="002E1180">
      <w:pPr>
        <w:autoSpaceDE w:val="0"/>
        <w:autoSpaceDN w:val="0"/>
        <w:adjustRightInd w:val="0"/>
        <w:spacing w:line="276" w:lineRule="auto"/>
        <w:ind w:left="360" w:hanging="360"/>
        <w:rPr>
          <w:rFonts w:ascii="Times New Roman" w:hAnsi="Times New Roman" w:cs="Times New Roman"/>
          <w:sz w:val="20"/>
          <w:szCs w:val="20"/>
        </w:rPr>
      </w:pPr>
      <w:r w:rsidRPr="0049126A">
        <w:rPr>
          <w:rFonts w:ascii="Times New Roman" w:hAnsi="Times New Roman" w:cs="Times New Roman"/>
          <w:sz w:val="20"/>
          <w:szCs w:val="20"/>
        </w:rPr>
        <w:t>* peptid C doar la inițierea terapiei, pentru dg etiologic</w:t>
      </w:r>
    </w:p>
    <w:p w14:paraId="4C70657D" w14:textId="77777777" w:rsidR="002E1180" w:rsidRPr="0049126A" w:rsidRDefault="002E1180" w:rsidP="002E1180">
      <w:pPr>
        <w:autoSpaceDE w:val="0"/>
        <w:autoSpaceDN w:val="0"/>
        <w:adjustRightInd w:val="0"/>
        <w:spacing w:line="276" w:lineRule="auto"/>
        <w:rPr>
          <w:rFonts w:ascii="Times New Roman" w:hAnsi="Times New Roman" w:cs="Times New Roman"/>
          <w:b/>
          <w:bCs/>
          <w:caps/>
          <w:sz w:val="24"/>
          <w:szCs w:val="24"/>
          <w:u w:val="single"/>
        </w:rPr>
      </w:pPr>
    </w:p>
    <w:p w14:paraId="0EF24AAC" w14:textId="77777777" w:rsidR="002E1180" w:rsidRPr="0049126A" w:rsidRDefault="002E1180" w:rsidP="002E1180">
      <w:pPr>
        <w:autoSpaceDE w:val="0"/>
        <w:autoSpaceDN w:val="0"/>
        <w:adjustRightInd w:val="0"/>
        <w:spacing w:line="276" w:lineRule="auto"/>
        <w:rPr>
          <w:rFonts w:ascii="Times New Roman" w:hAnsi="Times New Roman" w:cs="Times New Roman"/>
          <w:b/>
          <w:bCs/>
          <w:caps/>
          <w:sz w:val="24"/>
          <w:szCs w:val="24"/>
          <w:u w:val="single"/>
        </w:rPr>
      </w:pPr>
    </w:p>
    <w:p w14:paraId="00276F4C" w14:textId="77777777" w:rsidR="002E1180" w:rsidRPr="0049126A" w:rsidRDefault="002E1180" w:rsidP="002E1180">
      <w:pPr>
        <w:autoSpaceDE w:val="0"/>
        <w:autoSpaceDN w:val="0"/>
        <w:adjustRightInd w:val="0"/>
        <w:spacing w:line="276" w:lineRule="auto"/>
        <w:rPr>
          <w:rFonts w:ascii="Times New Roman" w:hAnsi="Times New Roman" w:cs="Times New Roman"/>
          <w:b/>
          <w:bCs/>
          <w:caps/>
          <w:sz w:val="24"/>
          <w:szCs w:val="24"/>
          <w:u w:val="single"/>
        </w:rPr>
      </w:pPr>
    </w:p>
    <w:p w14:paraId="06684679" w14:textId="03E55CAD" w:rsidR="00543C11" w:rsidRPr="0049126A" w:rsidRDefault="00543C11" w:rsidP="002E1180">
      <w:pPr>
        <w:autoSpaceDE w:val="0"/>
        <w:autoSpaceDN w:val="0"/>
        <w:adjustRightInd w:val="0"/>
        <w:spacing w:line="276" w:lineRule="auto"/>
        <w:jc w:val="both"/>
        <w:rPr>
          <w:rFonts w:ascii="Times New Roman" w:hAnsi="Times New Roman" w:cs="Times New Roman"/>
          <w:b/>
          <w:bCs/>
          <w:caps/>
          <w:sz w:val="24"/>
          <w:szCs w:val="24"/>
          <w:u w:val="single"/>
        </w:rPr>
      </w:pPr>
      <w:r w:rsidRPr="0049126A">
        <w:rPr>
          <w:rFonts w:ascii="Times New Roman" w:hAnsi="Times New Roman" w:cs="Times New Roman"/>
          <w:b/>
          <w:bCs/>
          <w:caps/>
          <w:sz w:val="24"/>
          <w:szCs w:val="24"/>
          <w:u w:val="single"/>
        </w:rPr>
        <w:lastRenderedPageBreak/>
        <w:t xml:space="preserve">B.2. Criterii paraclinice </w:t>
      </w:r>
      <w:r w:rsidRPr="0049126A">
        <w:rPr>
          <w:rFonts w:ascii="Times New Roman" w:hAnsi="Times New Roman" w:cs="Times New Roman"/>
          <w:sz w:val="24"/>
          <w:szCs w:val="24"/>
        </w:rPr>
        <w:t>în funcție de forma clinica de boala (necesari evaluării afecțiunii, dar neobligatorii la initierea terapiei)</w:t>
      </w:r>
    </w:p>
    <w:tbl>
      <w:tblPr>
        <w:tblStyle w:val="TableGrid"/>
        <w:tblW w:w="5000" w:type="pct"/>
        <w:tblLook w:val="04A0" w:firstRow="1" w:lastRow="0" w:firstColumn="1" w:lastColumn="0" w:noHBand="0" w:noVBand="1"/>
      </w:tblPr>
      <w:tblGrid>
        <w:gridCol w:w="2771"/>
        <w:gridCol w:w="2560"/>
        <w:gridCol w:w="4299"/>
      </w:tblGrid>
      <w:tr w:rsidR="0049126A" w:rsidRPr="0049126A" w14:paraId="58836949" w14:textId="77777777" w:rsidTr="00543C11">
        <w:tc>
          <w:tcPr>
            <w:tcW w:w="1417" w:type="pct"/>
          </w:tcPr>
          <w:p w14:paraId="696456D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Afecțiune</w:t>
            </w:r>
          </w:p>
        </w:tc>
        <w:tc>
          <w:tcPr>
            <w:tcW w:w="1340" w:type="pct"/>
          </w:tcPr>
          <w:p w14:paraId="4964498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Motivație</w:t>
            </w:r>
          </w:p>
        </w:tc>
        <w:tc>
          <w:tcPr>
            <w:tcW w:w="2243" w:type="pct"/>
          </w:tcPr>
          <w:p w14:paraId="276493B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Investigații</w:t>
            </w:r>
          </w:p>
        </w:tc>
      </w:tr>
      <w:tr w:rsidR="0049126A" w:rsidRPr="0049126A" w14:paraId="58A2E5A2" w14:textId="77777777" w:rsidTr="00543C11">
        <w:tc>
          <w:tcPr>
            <w:tcW w:w="1417" w:type="pct"/>
          </w:tcPr>
          <w:p w14:paraId="446AE9E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Diabetul zaharat/alte autoimunopatii</w:t>
            </w:r>
          </w:p>
          <w:p w14:paraId="549B9789"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7011361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Suspiciunea DZ Tip I</w:t>
            </w:r>
          </w:p>
          <w:p w14:paraId="5F54E998"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altor autoimunopatii</w:t>
            </w:r>
          </w:p>
          <w:p w14:paraId="579252F2" w14:textId="77777777" w:rsidR="00543C11" w:rsidRPr="0049126A" w:rsidRDefault="00543C11" w:rsidP="00543C11">
            <w:pPr>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(în formele dobândite)</w:t>
            </w:r>
          </w:p>
          <w:p w14:paraId="2384E8E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etiopatogenică în formele dobândite</w:t>
            </w:r>
          </w:p>
        </w:tc>
        <w:tc>
          <w:tcPr>
            <w:tcW w:w="2243" w:type="pct"/>
          </w:tcPr>
          <w:p w14:paraId="3CE6C6D9"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anticorpi anti-decarboxilaza acidului glutamic;</w:t>
            </w:r>
          </w:p>
          <w:p w14:paraId="7C6734C4"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anticorpi anti cellule insulare;</w:t>
            </w:r>
          </w:p>
          <w:p w14:paraId="1E603D6A"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anticorpii anti-insulină (CN 5430)</w:t>
            </w:r>
          </w:p>
          <w:p w14:paraId="6D20C8DF"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 xml:space="preserve">anticorpi anti-celule parietale gastrice </w:t>
            </w:r>
          </w:p>
          <w:p w14:paraId="1DC70A26"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anticorpilor anti-transglutaminază IgA</w:t>
            </w:r>
          </w:p>
          <w:p w14:paraId="77DD2673"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anticorpii anti-peroxidază și anti-tiroglobulină tiroidieni; TSH, freeT4</w:t>
            </w:r>
          </w:p>
          <w:p w14:paraId="7A18F106" w14:textId="77777777" w:rsidR="00543C11" w:rsidRPr="0049126A" w:rsidRDefault="00543C11" w:rsidP="008F5FCC">
            <w:pPr>
              <w:pStyle w:val="ListParagraph"/>
              <w:numPr>
                <w:ilvl w:val="0"/>
                <w:numId w:val="87"/>
              </w:numPr>
              <w:spacing w:line="276" w:lineRule="auto"/>
              <w:ind w:left="226" w:hanging="226"/>
              <w:jc w:val="both"/>
              <w:rPr>
                <w:color w:val="auto"/>
                <w:sz w:val="20"/>
                <w:szCs w:val="20"/>
                <w:lang w:val="it-IT"/>
              </w:rPr>
            </w:pPr>
            <w:r w:rsidRPr="0049126A">
              <w:rPr>
                <w:color w:val="auto"/>
                <w:sz w:val="20"/>
                <w:szCs w:val="20"/>
                <w:lang w:val="it-IT"/>
              </w:rPr>
              <w:t>anticorpii antisuprarenali și antinucleari</w:t>
            </w:r>
          </w:p>
          <w:p w14:paraId="29E37F13" w14:textId="1C677D5A" w:rsidR="00543C11" w:rsidRPr="0049126A" w:rsidRDefault="002E1180" w:rsidP="00543C11">
            <w:pPr>
              <w:spacing w:line="276" w:lineRule="auto"/>
              <w:contextualSpacing/>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    </w:t>
            </w:r>
            <w:r w:rsidR="00543C11" w:rsidRPr="0049126A">
              <w:rPr>
                <w:rFonts w:ascii="Times New Roman" w:hAnsi="Times New Roman" w:cs="Times New Roman"/>
                <w:sz w:val="20"/>
                <w:szCs w:val="20"/>
                <w:lang w:val="pt-BR"/>
              </w:rPr>
              <w:t>± Complement C3 si C4</w:t>
            </w:r>
          </w:p>
          <w:p w14:paraId="178EB42D" w14:textId="4940B1F9" w:rsidR="00543C11" w:rsidRPr="0049126A" w:rsidRDefault="002E1180"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pt-BR"/>
              </w:rPr>
              <w:t xml:space="preserve">    </w:t>
            </w:r>
            <w:r w:rsidR="00543C11" w:rsidRPr="0049126A">
              <w:rPr>
                <w:rFonts w:ascii="Times New Roman" w:hAnsi="Times New Roman" w:cs="Times New Roman"/>
                <w:sz w:val="20"/>
                <w:szCs w:val="20"/>
                <w:lang w:val="pt-BR"/>
              </w:rPr>
              <w:t>± prezența factorului nefritic C3</w:t>
            </w:r>
          </w:p>
        </w:tc>
      </w:tr>
      <w:tr w:rsidR="0049126A" w:rsidRPr="0049126A" w14:paraId="15D6029B" w14:textId="77777777" w:rsidTr="00543C11">
        <w:tc>
          <w:tcPr>
            <w:tcW w:w="1417" w:type="pct"/>
          </w:tcPr>
          <w:p w14:paraId="7C505608"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31017D7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complicațiilor DZ</w:t>
            </w:r>
          </w:p>
        </w:tc>
        <w:tc>
          <w:tcPr>
            <w:tcW w:w="2243" w:type="pct"/>
          </w:tcPr>
          <w:p w14:paraId="21375B82" w14:textId="77777777" w:rsidR="00543C11" w:rsidRPr="0049126A" w:rsidRDefault="00543C11" w:rsidP="008F5FCC">
            <w:pPr>
              <w:pStyle w:val="ListParagraph"/>
              <w:numPr>
                <w:ilvl w:val="0"/>
                <w:numId w:val="88"/>
              </w:numPr>
              <w:spacing w:line="276" w:lineRule="auto"/>
              <w:ind w:left="226" w:hanging="226"/>
              <w:jc w:val="both"/>
              <w:rPr>
                <w:color w:val="auto"/>
                <w:sz w:val="20"/>
                <w:szCs w:val="20"/>
                <w:lang w:val="it-IT"/>
              </w:rPr>
            </w:pPr>
            <w:r w:rsidRPr="0049126A">
              <w:rPr>
                <w:color w:val="auto"/>
                <w:sz w:val="20"/>
                <w:szCs w:val="20"/>
                <w:lang w:val="it-IT"/>
              </w:rPr>
              <w:t>Examen oftalmologic complet, inclusiv examinarea cu lampă cu fantă (hiperlipemie)</w:t>
            </w:r>
          </w:p>
          <w:p w14:paraId="63BE47D1" w14:textId="77777777" w:rsidR="00543C11" w:rsidRPr="0049126A" w:rsidRDefault="00543C11" w:rsidP="008F5FCC">
            <w:pPr>
              <w:pStyle w:val="ListParagraph"/>
              <w:numPr>
                <w:ilvl w:val="0"/>
                <w:numId w:val="88"/>
              </w:numPr>
              <w:spacing w:line="276" w:lineRule="auto"/>
              <w:ind w:left="226" w:hanging="226"/>
              <w:jc w:val="both"/>
              <w:rPr>
                <w:color w:val="auto"/>
                <w:sz w:val="20"/>
                <w:szCs w:val="20"/>
                <w:lang w:val="it-IT"/>
              </w:rPr>
            </w:pPr>
            <w:r w:rsidRPr="0049126A">
              <w:rPr>
                <w:color w:val="auto"/>
                <w:sz w:val="20"/>
                <w:szCs w:val="20"/>
                <w:lang w:val="it-IT"/>
              </w:rPr>
              <w:t>Biopsie renală</w:t>
            </w:r>
          </w:p>
        </w:tc>
      </w:tr>
      <w:tr w:rsidR="0049126A" w:rsidRPr="0049126A" w14:paraId="3C108D2A" w14:textId="77777777" w:rsidTr="00543C11">
        <w:tc>
          <w:tcPr>
            <w:tcW w:w="1417" w:type="pct"/>
          </w:tcPr>
          <w:p w14:paraId="4E2EBA7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Afecțiunea hepatică</w:t>
            </w:r>
          </w:p>
        </w:tc>
        <w:tc>
          <w:tcPr>
            <w:tcW w:w="1340" w:type="pct"/>
          </w:tcPr>
          <w:p w14:paraId="71B35B7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Dg diferențial cu hepatitele autoimune, </w:t>
            </w:r>
            <w:r w:rsidRPr="0049126A">
              <w:rPr>
                <w:rFonts w:ascii="Times New Roman" w:hAnsi="Times New Roman" w:cs="Times New Roman"/>
                <w:i/>
                <w:iCs/>
                <w:sz w:val="20"/>
                <w:szCs w:val="20"/>
                <w:lang w:val="it-IT"/>
              </w:rPr>
              <w:t>în formele dobândite</w:t>
            </w:r>
          </w:p>
        </w:tc>
        <w:tc>
          <w:tcPr>
            <w:tcW w:w="2243" w:type="pct"/>
          </w:tcPr>
          <w:p w14:paraId="08C9AD78"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Ac specifici hepatitelor autoimune</w:t>
            </w:r>
          </w:p>
        </w:tc>
      </w:tr>
      <w:tr w:rsidR="0049126A" w:rsidRPr="0049126A" w14:paraId="4E8BD87C" w14:textId="77777777" w:rsidTr="00543C11">
        <w:tc>
          <w:tcPr>
            <w:tcW w:w="1417" w:type="pct"/>
          </w:tcPr>
          <w:p w14:paraId="6204636A"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Afecțiuni digestive</w:t>
            </w:r>
          </w:p>
        </w:tc>
        <w:tc>
          <w:tcPr>
            <w:tcW w:w="1340" w:type="pct"/>
          </w:tcPr>
          <w:p w14:paraId="5D66CD9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 risc de pancreatită</w:t>
            </w:r>
          </w:p>
        </w:tc>
        <w:tc>
          <w:tcPr>
            <w:tcW w:w="2243" w:type="pct"/>
          </w:tcPr>
          <w:p w14:paraId="4BE941B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Lipaza, amilază serică</w:t>
            </w:r>
          </w:p>
        </w:tc>
      </w:tr>
      <w:tr w:rsidR="0049126A" w:rsidRPr="0049126A" w14:paraId="42E7D4A3" w14:textId="77777777" w:rsidTr="00543C11">
        <w:tc>
          <w:tcPr>
            <w:tcW w:w="1417" w:type="pct"/>
          </w:tcPr>
          <w:p w14:paraId="65FCEB4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cardiacă</w:t>
            </w:r>
          </w:p>
        </w:tc>
        <w:tc>
          <w:tcPr>
            <w:tcW w:w="1340" w:type="pct"/>
          </w:tcPr>
          <w:p w14:paraId="32DBFC82" w14:textId="35580EC1"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Forme LD cu afectare cardiacă extinsă, cu risc de aritmii maligne/ishcemie miocardică (în general formele asociate cu sindroame progeroide, CGL4, FPLD2 prin mutații LMNA)</w:t>
            </w:r>
          </w:p>
        </w:tc>
        <w:tc>
          <w:tcPr>
            <w:tcW w:w="2243" w:type="pct"/>
          </w:tcPr>
          <w:p w14:paraId="3C72D3A7" w14:textId="77777777" w:rsidR="00543C11" w:rsidRPr="0049126A" w:rsidRDefault="00543C11" w:rsidP="008F5FCC">
            <w:pPr>
              <w:pStyle w:val="ListParagraph"/>
              <w:numPr>
                <w:ilvl w:val="0"/>
                <w:numId w:val="90"/>
              </w:numPr>
              <w:spacing w:line="276" w:lineRule="auto"/>
              <w:ind w:left="226" w:hanging="226"/>
              <w:jc w:val="both"/>
              <w:rPr>
                <w:color w:val="auto"/>
                <w:sz w:val="20"/>
                <w:szCs w:val="20"/>
                <w:lang w:val="it-IT"/>
              </w:rPr>
            </w:pPr>
            <w:r w:rsidRPr="0049126A">
              <w:rPr>
                <w:color w:val="auto"/>
                <w:sz w:val="20"/>
                <w:szCs w:val="20"/>
                <w:lang w:val="it-IT"/>
              </w:rPr>
              <w:t xml:space="preserve">Creatinkinază </w:t>
            </w:r>
          </w:p>
          <w:p w14:paraId="1C2E9200" w14:textId="77777777" w:rsidR="00543C11" w:rsidRPr="0049126A" w:rsidRDefault="00543C11" w:rsidP="008F5FCC">
            <w:pPr>
              <w:pStyle w:val="ListParagraph"/>
              <w:numPr>
                <w:ilvl w:val="0"/>
                <w:numId w:val="90"/>
              </w:numPr>
              <w:spacing w:line="276" w:lineRule="auto"/>
              <w:ind w:left="226" w:hanging="226"/>
              <w:jc w:val="both"/>
              <w:rPr>
                <w:color w:val="auto"/>
                <w:sz w:val="20"/>
                <w:szCs w:val="20"/>
                <w:lang w:val="it-IT"/>
              </w:rPr>
            </w:pPr>
            <w:r w:rsidRPr="0049126A">
              <w:rPr>
                <w:color w:val="auto"/>
                <w:sz w:val="20"/>
                <w:szCs w:val="20"/>
                <w:lang w:val="it-IT"/>
              </w:rPr>
              <w:t>Monitorizare HOLTER EKG</w:t>
            </w:r>
          </w:p>
          <w:p w14:paraId="41A3C5CB" w14:textId="77777777" w:rsidR="00543C11" w:rsidRPr="0049126A" w:rsidRDefault="00543C11" w:rsidP="008F5FCC">
            <w:pPr>
              <w:pStyle w:val="ListParagraph"/>
              <w:numPr>
                <w:ilvl w:val="0"/>
                <w:numId w:val="90"/>
              </w:numPr>
              <w:spacing w:line="276" w:lineRule="auto"/>
              <w:ind w:left="226" w:hanging="226"/>
              <w:jc w:val="both"/>
              <w:rPr>
                <w:color w:val="auto"/>
                <w:sz w:val="20"/>
                <w:szCs w:val="20"/>
                <w:lang w:val="it-IT"/>
              </w:rPr>
            </w:pPr>
            <w:r w:rsidRPr="0049126A">
              <w:rPr>
                <w:color w:val="auto"/>
                <w:sz w:val="20"/>
                <w:szCs w:val="20"/>
                <w:lang w:val="it-IT"/>
              </w:rPr>
              <w:t>Evaluare ischemie cardiacă (ex: teste de efort)</w:t>
            </w:r>
          </w:p>
        </w:tc>
      </w:tr>
      <w:tr w:rsidR="0049126A" w:rsidRPr="0049126A" w14:paraId="085AF992" w14:textId="77777777" w:rsidTr="00543C11">
        <w:tc>
          <w:tcPr>
            <w:tcW w:w="1417" w:type="pct"/>
            <w:vMerge w:val="restart"/>
          </w:tcPr>
          <w:p w14:paraId="52D54D8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renală</w:t>
            </w:r>
          </w:p>
        </w:tc>
        <w:tc>
          <w:tcPr>
            <w:tcW w:w="1340" w:type="pct"/>
          </w:tcPr>
          <w:p w14:paraId="5C0C057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dimensiunilor renale (forme de LD asociate afectărilor renale)</w:t>
            </w:r>
          </w:p>
        </w:tc>
        <w:tc>
          <w:tcPr>
            <w:tcW w:w="2243" w:type="pct"/>
          </w:tcPr>
          <w:p w14:paraId="543B774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Ecografie/RMN abdominal</w:t>
            </w:r>
          </w:p>
        </w:tc>
      </w:tr>
      <w:tr w:rsidR="0049126A" w:rsidRPr="0049126A" w14:paraId="6C4BD6DB" w14:textId="77777777" w:rsidTr="00543C11">
        <w:tc>
          <w:tcPr>
            <w:tcW w:w="1417" w:type="pct"/>
            <w:vMerge/>
          </w:tcPr>
          <w:p w14:paraId="2524FA4E"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16A358E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Biopsie renală</w:t>
            </w:r>
          </w:p>
        </w:tc>
        <w:tc>
          <w:tcPr>
            <w:tcW w:w="2243" w:type="pct"/>
          </w:tcPr>
          <w:p w14:paraId="139581B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În funcție de contextul clinic, se pot descrie</w:t>
            </w:r>
          </w:p>
          <w:p w14:paraId="699DF204" w14:textId="77777777" w:rsidR="00543C11" w:rsidRPr="0049126A" w:rsidRDefault="00543C11" w:rsidP="008F5FCC">
            <w:pPr>
              <w:pStyle w:val="ListParagraph"/>
              <w:numPr>
                <w:ilvl w:val="0"/>
                <w:numId w:val="91"/>
              </w:numPr>
              <w:autoSpaceDE w:val="0"/>
              <w:autoSpaceDN w:val="0"/>
              <w:adjustRightInd w:val="0"/>
              <w:spacing w:line="276" w:lineRule="auto"/>
              <w:ind w:left="226" w:hanging="226"/>
              <w:rPr>
                <w:color w:val="auto"/>
                <w:sz w:val="20"/>
                <w:szCs w:val="20"/>
              </w:rPr>
            </w:pPr>
            <w:r w:rsidRPr="0049126A">
              <w:rPr>
                <w:color w:val="auto"/>
                <w:sz w:val="20"/>
                <w:szCs w:val="20"/>
              </w:rPr>
              <w:t>Nefropatie diabetică</w:t>
            </w:r>
          </w:p>
          <w:p w14:paraId="6B5A678E" w14:textId="77777777" w:rsidR="00543C11" w:rsidRPr="0049126A" w:rsidRDefault="00543C11" w:rsidP="008F5FCC">
            <w:pPr>
              <w:pStyle w:val="ListParagraph"/>
              <w:numPr>
                <w:ilvl w:val="0"/>
                <w:numId w:val="91"/>
              </w:numPr>
              <w:autoSpaceDE w:val="0"/>
              <w:autoSpaceDN w:val="0"/>
              <w:adjustRightInd w:val="0"/>
              <w:spacing w:line="276" w:lineRule="auto"/>
              <w:ind w:left="226" w:hanging="226"/>
              <w:rPr>
                <w:color w:val="auto"/>
                <w:sz w:val="20"/>
                <w:szCs w:val="20"/>
              </w:rPr>
            </w:pPr>
            <w:r w:rsidRPr="0049126A">
              <w:rPr>
                <w:color w:val="auto"/>
                <w:sz w:val="20"/>
                <w:szCs w:val="20"/>
              </w:rPr>
              <w:t>Glomeruloscleroză focală segmentară (CGL)</w:t>
            </w:r>
          </w:p>
          <w:p w14:paraId="0643A634" w14:textId="77777777" w:rsidR="00543C11" w:rsidRPr="0049126A" w:rsidRDefault="00543C11" w:rsidP="008F5FCC">
            <w:pPr>
              <w:pStyle w:val="ListParagraph"/>
              <w:numPr>
                <w:ilvl w:val="0"/>
                <w:numId w:val="91"/>
              </w:numPr>
              <w:autoSpaceDE w:val="0"/>
              <w:autoSpaceDN w:val="0"/>
              <w:adjustRightInd w:val="0"/>
              <w:spacing w:line="276" w:lineRule="auto"/>
              <w:ind w:left="226" w:hanging="226"/>
              <w:rPr>
                <w:color w:val="auto"/>
                <w:sz w:val="20"/>
                <w:szCs w:val="20"/>
              </w:rPr>
            </w:pPr>
            <w:r w:rsidRPr="0049126A">
              <w:rPr>
                <w:bCs/>
                <w:color w:val="auto"/>
                <w:sz w:val="20"/>
                <w:szCs w:val="20"/>
                <w:lang w:val="pt-BR"/>
              </w:rPr>
              <w:t xml:space="preserve">Glomerulonefrita </w:t>
            </w:r>
            <w:r w:rsidRPr="0049126A">
              <w:rPr>
                <w:color w:val="auto"/>
                <w:sz w:val="20"/>
                <w:szCs w:val="20"/>
                <w:lang w:val="pt-BR"/>
              </w:rPr>
              <w:t>proliferativă mezangială (</w:t>
            </w:r>
            <w:r w:rsidRPr="0049126A">
              <w:rPr>
                <w:color w:val="auto"/>
                <w:sz w:val="20"/>
                <w:szCs w:val="20"/>
              </w:rPr>
              <w:t>MPGN) (APL)</w:t>
            </w:r>
          </w:p>
        </w:tc>
      </w:tr>
      <w:tr w:rsidR="0049126A" w:rsidRPr="0049126A" w14:paraId="10B29509" w14:textId="77777777" w:rsidTr="00543C11">
        <w:tc>
          <w:tcPr>
            <w:tcW w:w="1417" w:type="pct"/>
            <w:vMerge w:val="restart"/>
          </w:tcPr>
          <w:p w14:paraId="347E71B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scheletică</w:t>
            </w:r>
          </w:p>
        </w:tc>
        <w:tc>
          <w:tcPr>
            <w:tcW w:w="1340" w:type="pct"/>
          </w:tcPr>
          <w:p w14:paraId="71DD518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Estimarea VO în tulburările pubertare asociate/statură mică</w:t>
            </w:r>
          </w:p>
        </w:tc>
        <w:tc>
          <w:tcPr>
            <w:tcW w:w="2243" w:type="pct"/>
          </w:tcPr>
          <w:p w14:paraId="528D459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Radiografie mână nondominantă</w:t>
            </w:r>
          </w:p>
        </w:tc>
      </w:tr>
      <w:tr w:rsidR="0049126A" w:rsidRPr="0049126A" w14:paraId="430C7649" w14:textId="77777777" w:rsidTr="00543C11">
        <w:tc>
          <w:tcPr>
            <w:tcW w:w="1417" w:type="pct"/>
            <w:vMerge/>
          </w:tcPr>
          <w:p w14:paraId="2E0C2714"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2343F59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LD cu risc de subluxație atlanto-axoidiană (CGL tip 4)</w:t>
            </w:r>
          </w:p>
        </w:tc>
        <w:tc>
          <w:tcPr>
            <w:tcW w:w="2243" w:type="pct"/>
          </w:tcPr>
          <w:p w14:paraId="0130AA9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RMN coloană cervicală</w:t>
            </w:r>
          </w:p>
        </w:tc>
      </w:tr>
      <w:tr w:rsidR="0049126A" w:rsidRPr="0049126A" w14:paraId="29300A31" w14:textId="77777777" w:rsidTr="00543C11">
        <w:tc>
          <w:tcPr>
            <w:tcW w:w="1417" w:type="pct"/>
            <w:vMerge/>
          </w:tcPr>
          <w:p w14:paraId="5022A0CB"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5B7F5B9E" w14:textId="77777777" w:rsidR="00543C11" w:rsidRPr="0049126A" w:rsidRDefault="00543C11" w:rsidP="00543C11">
            <w:pPr>
              <w:spacing w:line="276" w:lineRule="auto"/>
              <w:contextualSpacing/>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Evaluarea chisturilor osoase  (CGL tip1 sau 2) </w:t>
            </w:r>
          </w:p>
        </w:tc>
        <w:tc>
          <w:tcPr>
            <w:tcW w:w="2243" w:type="pct"/>
          </w:tcPr>
          <w:p w14:paraId="3FEAAE5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Studiu scheletic (radiografie convențională/ RMN) oase lungi/coloană</w:t>
            </w:r>
          </w:p>
        </w:tc>
      </w:tr>
      <w:tr w:rsidR="0049126A" w:rsidRPr="0049126A" w14:paraId="7AF3FF59" w14:textId="77777777" w:rsidTr="00543C11">
        <w:tc>
          <w:tcPr>
            <w:tcW w:w="1417" w:type="pct"/>
            <w:vMerge w:val="restart"/>
          </w:tcPr>
          <w:p w14:paraId="3303BC9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neurologică/micro/macrocefalie</w:t>
            </w:r>
          </w:p>
        </w:tc>
        <w:tc>
          <w:tcPr>
            <w:tcW w:w="1340" w:type="pct"/>
          </w:tcPr>
          <w:p w14:paraId="3165B41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capacității cognitive</w:t>
            </w:r>
          </w:p>
        </w:tc>
        <w:tc>
          <w:tcPr>
            <w:tcW w:w="2243" w:type="pct"/>
          </w:tcPr>
          <w:p w14:paraId="25BA665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rPr>
              <w:t>Scale adecvate vârstei (IQ);</w:t>
            </w:r>
          </w:p>
        </w:tc>
      </w:tr>
      <w:tr w:rsidR="0049126A" w:rsidRPr="0049126A" w14:paraId="6CFD634D" w14:textId="77777777" w:rsidTr="00543C11">
        <w:tc>
          <w:tcPr>
            <w:tcW w:w="1417" w:type="pct"/>
            <w:vMerge/>
          </w:tcPr>
          <w:p w14:paraId="7D97F5EF"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49C2D4B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Excluderea altor leziuni malformative</w:t>
            </w:r>
          </w:p>
        </w:tc>
        <w:tc>
          <w:tcPr>
            <w:tcW w:w="2243" w:type="pct"/>
          </w:tcPr>
          <w:p w14:paraId="5267A3A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RMN CEREBRAL</w:t>
            </w:r>
          </w:p>
        </w:tc>
      </w:tr>
      <w:tr w:rsidR="0049126A" w:rsidRPr="0049126A" w14:paraId="61B9ED49" w14:textId="77777777" w:rsidTr="00543C11">
        <w:tc>
          <w:tcPr>
            <w:tcW w:w="1417" w:type="pct"/>
            <w:vMerge/>
          </w:tcPr>
          <w:p w14:paraId="4FD77EED"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192D30FA"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Excluderea LD dienfecalice din tumori cerebrale mari (eg astrocitom)</w:t>
            </w:r>
          </w:p>
        </w:tc>
        <w:tc>
          <w:tcPr>
            <w:tcW w:w="2243" w:type="pct"/>
          </w:tcPr>
          <w:p w14:paraId="75BCA95B"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RMN CEREBRAL</w:t>
            </w:r>
          </w:p>
        </w:tc>
      </w:tr>
      <w:tr w:rsidR="0049126A" w:rsidRPr="0049126A" w14:paraId="3FBB5217" w14:textId="77777777" w:rsidTr="00543C11">
        <w:tc>
          <w:tcPr>
            <w:tcW w:w="1417" w:type="pct"/>
          </w:tcPr>
          <w:p w14:paraId="34D0F2A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statusului pubertar</w:t>
            </w:r>
          </w:p>
        </w:tc>
        <w:tc>
          <w:tcPr>
            <w:tcW w:w="1340" w:type="pct"/>
          </w:tcPr>
          <w:p w14:paraId="4EF977B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Adrenarha precoce</w:t>
            </w:r>
          </w:p>
        </w:tc>
        <w:tc>
          <w:tcPr>
            <w:tcW w:w="2243" w:type="pct"/>
            <w:vMerge w:val="restart"/>
          </w:tcPr>
          <w:p w14:paraId="53725DC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DHEAS, 17 OHP, +/- androstendion</w:t>
            </w:r>
          </w:p>
          <w:p w14:paraId="658575C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FSH, LH, estradiol/testosteron, PRL</w:t>
            </w:r>
          </w:p>
          <w:p w14:paraId="4C03901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lastRenderedPageBreak/>
              <w:t>ecografie pelvis</w:t>
            </w:r>
          </w:p>
        </w:tc>
      </w:tr>
      <w:tr w:rsidR="0049126A" w:rsidRPr="0049126A" w14:paraId="5836E995" w14:textId="77777777" w:rsidTr="00543C11">
        <w:tc>
          <w:tcPr>
            <w:tcW w:w="1417" w:type="pct"/>
          </w:tcPr>
          <w:p w14:paraId="10491BBE"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5FBA044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Pubertate precoce</w:t>
            </w:r>
          </w:p>
        </w:tc>
        <w:tc>
          <w:tcPr>
            <w:tcW w:w="2243" w:type="pct"/>
            <w:vMerge/>
          </w:tcPr>
          <w:p w14:paraId="7E42800A"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11E90A3A" w14:textId="77777777" w:rsidTr="00543C11">
        <w:tc>
          <w:tcPr>
            <w:tcW w:w="1417" w:type="pct"/>
          </w:tcPr>
          <w:p w14:paraId="4DABCCF9"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52E3501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Pubertate întîrziată/hipogonadism primar sau secundar</w:t>
            </w:r>
          </w:p>
        </w:tc>
        <w:tc>
          <w:tcPr>
            <w:tcW w:w="2243" w:type="pct"/>
            <w:vMerge/>
          </w:tcPr>
          <w:p w14:paraId="75853256"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55B24CD7" w14:textId="77777777" w:rsidTr="00543C11">
        <w:tc>
          <w:tcPr>
            <w:tcW w:w="1417" w:type="pct"/>
          </w:tcPr>
          <w:p w14:paraId="343A05A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Evaluarea statusului reproducător</w:t>
            </w:r>
          </w:p>
        </w:tc>
        <w:tc>
          <w:tcPr>
            <w:tcW w:w="1340" w:type="pct"/>
          </w:tcPr>
          <w:p w14:paraId="30F77C16" w14:textId="77777777" w:rsidR="00543C11" w:rsidRPr="0049126A" w:rsidRDefault="00543C11" w:rsidP="00543C11">
            <w:pPr>
              <w:spacing w:line="276" w:lineRule="auto"/>
              <w:contextualSpacing/>
              <w:rPr>
                <w:rFonts w:ascii="Times New Roman" w:hAnsi="Times New Roman" w:cs="Times New Roman"/>
                <w:sz w:val="20"/>
                <w:szCs w:val="20"/>
              </w:rPr>
            </w:pPr>
            <w:r w:rsidRPr="0049126A">
              <w:rPr>
                <w:rFonts w:ascii="Times New Roman" w:hAnsi="Times New Roman" w:cs="Times New Roman"/>
                <w:sz w:val="20"/>
                <w:szCs w:val="20"/>
              </w:rPr>
              <w:t>Evaluarea SOPC</w:t>
            </w:r>
          </w:p>
          <w:p w14:paraId="2160161C" w14:textId="77777777" w:rsidR="00543C11" w:rsidRPr="0049126A" w:rsidRDefault="00543C11" w:rsidP="00543C11">
            <w:pPr>
              <w:spacing w:line="276" w:lineRule="auto"/>
              <w:contextualSpacing/>
              <w:rPr>
                <w:rFonts w:ascii="Times New Roman" w:hAnsi="Times New Roman" w:cs="Times New Roman"/>
                <w:sz w:val="20"/>
                <w:szCs w:val="20"/>
              </w:rPr>
            </w:pPr>
            <w:r w:rsidRPr="0049126A">
              <w:rPr>
                <w:rFonts w:ascii="Times New Roman" w:hAnsi="Times New Roman" w:cs="Times New Roman"/>
                <w:sz w:val="20"/>
                <w:szCs w:val="20"/>
              </w:rPr>
              <w:t>Evaluarea hipogonadismului</w:t>
            </w:r>
          </w:p>
          <w:p w14:paraId="7E3CF9E6"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243" w:type="pct"/>
          </w:tcPr>
          <w:p w14:paraId="044BE29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Testosteron total, liber, ecografie utero-ovariană</w:t>
            </w:r>
          </w:p>
          <w:p w14:paraId="6E3FB1CF"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FSH, LH, estradiol/testosteron, PRL</w:t>
            </w:r>
          </w:p>
          <w:p w14:paraId="1C9549F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Inhibina B, AMH</w:t>
            </w:r>
          </w:p>
          <w:p w14:paraId="264239DB"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spermogramă</w:t>
            </w:r>
          </w:p>
        </w:tc>
      </w:tr>
      <w:tr w:rsidR="0049126A" w:rsidRPr="0049126A" w14:paraId="4D5BE4DA" w14:textId="77777777" w:rsidTr="00543C11">
        <w:tc>
          <w:tcPr>
            <w:tcW w:w="1417" w:type="pct"/>
          </w:tcPr>
          <w:p w14:paraId="343ABC7B"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Malignități</w:t>
            </w:r>
          </w:p>
          <w:p w14:paraId="4C5D957F"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1340" w:type="pct"/>
          </w:tcPr>
          <w:p w14:paraId="3D3D08A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NU EXISTA CONSENS DE MONITORIZARE MALIGNITĂȚI</w:t>
            </w:r>
          </w:p>
        </w:tc>
        <w:tc>
          <w:tcPr>
            <w:tcW w:w="2243" w:type="pct"/>
          </w:tcPr>
          <w:p w14:paraId="698278A9"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073E7E8D" w14:textId="77777777" w:rsidTr="00543C11">
        <w:tc>
          <w:tcPr>
            <w:tcW w:w="1417" w:type="pct"/>
          </w:tcPr>
          <w:p w14:paraId="596769E4"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Limfoame, în special cu celule T</w:t>
            </w:r>
          </w:p>
        </w:tc>
        <w:tc>
          <w:tcPr>
            <w:tcW w:w="1340" w:type="pct"/>
          </w:tcPr>
          <w:p w14:paraId="6F5642D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Evaluare </w:t>
            </w:r>
            <w:r w:rsidRPr="0049126A">
              <w:rPr>
                <w:rFonts w:ascii="Times New Roman" w:hAnsi="Times New Roman" w:cs="Times New Roman"/>
                <w:b/>
                <w:bCs/>
                <w:sz w:val="20"/>
                <w:szCs w:val="20"/>
                <w:lang w:val="it-IT"/>
              </w:rPr>
              <w:t>clinică</w:t>
            </w:r>
            <w:r w:rsidRPr="0049126A">
              <w:rPr>
                <w:rFonts w:ascii="Times New Roman" w:hAnsi="Times New Roman" w:cs="Times New Roman"/>
                <w:sz w:val="20"/>
                <w:szCs w:val="20"/>
                <w:lang w:val="it-IT"/>
              </w:rPr>
              <w:t xml:space="preserve"> tegumente, grupe ganglionare</w:t>
            </w:r>
          </w:p>
        </w:tc>
        <w:tc>
          <w:tcPr>
            <w:tcW w:w="2243" w:type="pct"/>
          </w:tcPr>
          <w:p w14:paraId="5B4F2B57"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anual</w:t>
            </w:r>
          </w:p>
        </w:tc>
      </w:tr>
      <w:tr w:rsidR="0049126A" w:rsidRPr="0049126A" w14:paraId="47ED68D9" w14:textId="77777777" w:rsidTr="00543C11">
        <w:tc>
          <w:tcPr>
            <w:tcW w:w="1417" w:type="pct"/>
          </w:tcPr>
          <w:p w14:paraId="0389A7D1"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Pentru susținerea dg</w:t>
            </w:r>
          </w:p>
        </w:tc>
        <w:tc>
          <w:tcPr>
            <w:tcW w:w="1340" w:type="pct"/>
          </w:tcPr>
          <w:p w14:paraId="52F7A01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Pentru susținerea dg în forme parțiale</w:t>
            </w:r>
          </w:p>
          <w:p w14:paraId="00C48D4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Asociere incertă cu un răspuns mai bun la metreleptină</w:t>
            </w:r>
          </w:p>
        </w:tc>
        <w:tc>
          <w:tcPr>
            <w:tcW w:w="2243" w:type="pct"/>
          </w:tcPr>
          <w:p w14:paraId="0F6CEC9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Dozare leptină serică (ELISA)</w:t>
            </w:r>
            <w:r w:rsidRPr="0049126A">
              <w:rPr>
                <w:rFonts w:ascii="Times New Roman" w:hAnsi="Times New Roman" w:cs="Times New Roman"/>
                <w:sz w:val="20"/>
                <w:szCs w:val="20"/>
                <w:vertAlign w:val="superscript"/>
                <w:lang w:val="it-IT"/>
              </w:rPr>
              <w:t>#</w:t>
            </w:r>
          </w:p>
          <w:p w14:paraId="60BCD969"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075A2F38" w14:textId="77777777" w:rsidTr="00543C11">
        <w:tc>
          <w:tcPr>
            <w:tcW w:w="1417" w:type="pct"/>
          </w:tcPr>
          <w:p w14:paraId="79DC2AF0"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340" w:type="pct"/>
          </w:tcPr>
          <w:p w14:paraId="0E683ECA"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În special în formele parțiale/progeroide</w:t>
            </w:r>
            <w:r w:rsidRPr="0049126A">
              <w:rPr>
                <w:rFonts w:ascii="Times New Roman" w:hAnsi="Times New Roman" w:cs="Times New Roman"/>
                <w:sz w:val="20"/>
                <w:szCs w:val="20"/>
              </w:rPr>
              <w:t xml:space="preserve"> </w:t>
            </w:r>
          </w:p>
        </w:tc>
        <w:tc>
          <w:tcPr>
            <w:tcW w:w="2243" w:type="pct"/>
          </w:tcPr>
          <w:p w14:paraId="503D79C3" w14:textId="77777777" w:rsidR="00543C11" w:rsidRPr="0049126A" w:rsidRDefault="00543C11" w:rsidP="00543C11">
            <w:pPr>
              <w:spacing w:line="276" w:lineRule="auto"/>
              <w:jc w:val="both"/>
              <w:rPr>
                <w:rFonts w:ascii="Times New Roman" w:hAnsi="Times New Roman" w:cs="Times New Roman"/>
                <w:sz w:val="20"/>
                <w:szCs w:val="20"/>
              </w:rPr>
            </w:pPr>
            <w:r w:rsidRPr="0049126A">
              <w:rPr>
                <w:rFonts w:ascii="Times New Roman" w:hAnsi="Times New Roman" w:cs="Times New Roman"/>
                <w:sz w:val="20"/>
                <w:szCs w:val="20"/>
              </w:rPr>
              <w:t>Determinări genetice moleculare cu identificarea mutatiei</w:t>
            </w:r>
            <w:r w:rsidRPr="0049126A">
              <w:rPr>
                <w:rFonts w:ascii="Times New Roman" w:hAnsi="Times New Roman" w:cs="Times New Roman"/>
                <w:sz w:val="20"/>
                <w:szCs w:val="20"/>
                <w:vertAlign w:val="superscript"/>
              </w:rPr>
              <w:t>##</w:t>
            </w:r>
          </w:p>
          <w:p w14:paraId="61751863"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Secvențiere genă candidat</w:t>
            </w:r>
          </w:p>
          <w:p w14:paraId="6435730B" w14:textId="77777777" w:rsidR="00543C11" w:rsidRPr="0049126A" w:rsidRDefault="00543C11" w:rsidP="00543C11">
            <w:pPr>
              <w:spacing w:line="276" w:lineRule="auto"/>
              <w:jc w:val="both"/>
              <w:rPr>
                <w:rFonts w:ascii="Times New Roman" w:hAnsi="Times New Roman" w:cs="Times New Roman"/>
                <w:b/>
                <w:sz w:val="20"/>
                <w:szCs w:val="20"/>
                <w:lang w:val="it-IT"/>
              </w:rPr>
            </w:pPr>
            <w:r w:rsidRPr="0049126A">
              <w:rPr>
                <w:rFonts w:ascii="Times New Roman" w:hAnsi="Times New Roman" w:cs="Times New Roman"/>
                <w:b/>
                <w:sz w:val="20"/>
                <w:szCs w:val="20"/>
                <w:lang w:val="it-IT"/>
              </w:rPr>
              <w:t>NGS pentru panel de gene</w:t>
            </w:r>
          </w:p>
          <w:p w14:paraId="718B481B"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sz w:val="20"/>
                <w:szCs w:val="20"/>
                <w:lang w:val="it-IT"/>
              </w:rPr>
              <w:t>Testare WES</w:t>
            </w:r>
          </w:p>
        </w:tc>
      </w:tr>
      <w:tr w:rsidR="0049126A" w:rsidRPr="0049126A" w14:paraId="01593402" w14:textId="77777777" w:rsidTr="00543C11">
        <w:tc>
          <w:tcPr>
            <w:tcW w:w="1417" w:type="pct"/>
          </w:tcPr>
          <w:p w14:paraId="29D2311D"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340" w:type="pct"/>
          </w:tcPr>
          <w:p w14:paraId="7FB30118" w14:textId="77777777" w:rsidR="00543C11" w:rsidRPr="0049126A" w:rsidRDefault="00543C11" w:rsidP="00543C11">
            <w:pPr>
              <w:spacing w:line="276" w:lineRule="auto"/>
              <w:contextualSpacing/>
              <w:rPr>
                <w:rFonts w:ascii="Times New Roman" w:hAnsi="Times New Roman" w:cs="Times New Roman"/>
                <w:sz w:val="20"/>
                <w:szCs w:val="20"/>
                <w:lang w:val="it-IT"/>
              </w:rPr>
            </w:pPr>
            <w:r w:rsidRPr="0049126A">
              <w:rPr>
                <w:rFonts w:ascii="Times New Roman" w:hAnsi="Times New Roman" w:cs="Times New Roman"/>
                <w:sz w:val="20"/>
                <w:szCs w:val="20"/>
                <w:lang w:val="it-IT"/>
              </w:rPr>
              <w:t>Aprecierea obiectivă a cuantumului de țesut adipos</w:t>
            </w:r>
          </w:p>
          <w:p w14:paraId="113DF493" w14:textId="77777777" w:rsidR="00543C11" w:rsidRPr="0049126A" w:rsidRDefault="00543C11" w:rsidP="00543C11">
            <w:pPr>
              <w:spacing w:line="276" w:lineRule="auto"/>
              <w:contextualSpacing/>
              <w:rPr>
                <w:rFonts w:ascii="Times New Roman" w:hAnsi="Times New Roman" w:cs="Times New Roman"/>
                <w:sz w:val="20"/>
                <w:szCs w:val="20"/>
                <w:lang w:val="it-IT"/>
              </w:rPr>
            </w:pPr>
            <w:r w:rsidRPr="0049126A">
              <w:rPr>
                <w:rFonts w:ascii="Times New Roman" w:hAnsi="Times New Roman" w:cs="Times New Roman"/>
                <w:sz w:val="20"/>
                <w:szCs w:val="20"/>
                <w:lang w:val="it-IT"/>
              </w:rPr>
              <w:t>Aprecierea distrubuției țestului adipos</w:t>
            </w:r>
          </w:p>
        </w:tc>
        <w:tc>
          <w:tcPr>
            <w:tcW w:w="2243" w:type="pct"/>
          </w:tcPr>
          <w:p w14:paraId="10DC72D0" w14:textId="77777777" w:rsidR="00543C11" w:rsidRPr="0049126A" w:rsidRDefault="00543C11" w:rsidP="00543C11">
            <w:pPr>
              <w:spacing w:line="276" w:lineRule="auto"/>
              <w:contextualSpacing/>
              <w:rPr>
                <w:rFonts w:ascii="Times New Roman" w:hAnsi="Times New Roman" w:cs="Times New Roman"/>
                <w:sz w:val="20"/>
                <w:szCs w:val="20"/>
              </w:rPr>
            </w:pPr>
            <w:r w:rsidRPr="0049126A">
              <w:rPr>
                <w:rFonts w:ascii="Times New Roman" w:hAnsi="Times New Roman" w:cs="Times New Roman"/>
                <w:sz w:val="20"/>
                <w:szCs w:val="20"/>
              </w:rPr>
              <w:t>Evaluare DXA</w:t>
            </w:r>
            <w:r w:rsidRPr="0049126A">
              <w:rPr>
                <w:rFonts w:ascii="Times New Roman" w:hAnsi="Times New Roman" w:cs="Times New Roman"/>
                <w:sz w:val="20"/>
                <w:szCs w:val="20"/>
                <w:vertAlign w:val="superscript"/>
              </w:rPr>
              <w:t>###</w:t>
            </w:r>
          </w:p>
          <w:p w14:paraId="742D4D02" w14:textId="77777777" w:rsidR="00543C11" w:rsidRPr="0049126A" w:rsidRDefault="00543C11" w:rsidP="00543C11">
            <w:pPr>
              <w:spacing w:line="276" w:lineRule="auto"/>
              <w:contextualSpacing/>
              <w:rPr>
                <w:rFonts w:ascii="Times New Roman" w:hAnsi="Times New Roman" w:cs="Times New Roman"/>
                <w:sz w:val="20"/>
                <w:szCs w:val="20"/>
                <w:lang w:val="pt-BR"/>
              </w:rPr>
            </w:pPr>
            <w:r w:rsidRPr="0049126A">
              <w:rPr>
                <w:rFonts w:ascii="Times New Roman" w:hAnsi="Times New Roman" w:cs="Times New Roman"/>
                <w:sz w:val="20"/>
                <w:szCs w:val="20"/>
                <w:lang w:val="pt-BR"/>
              </w:rPr>
              <w:t>Evaluare RMN a țestului gras</w:t>
            </w:r>
          </w:p>
          <w:p w14:paraId="08F02F74" w14:textId="77777777" w:rsidR="00543C11" w:rsidRPr="0049126A" w:rsidRDefault="00543C11" w:rsidP="00543C11">
            <w:pPr>
              <w:spacing w:line="276" w:lineRule="auto"/>
              <w:jc w:val="both"/>
              <w:rPr>
                <w:rFonts w:ascii="Times New Roman" w:hAnsi="Times New Roman" w:cs="Times New Roman"/>
                <w:sz w:val="20"/>
                <w:szCs w:val="20"/>
                <w:lang w:val="it-IT"/>
              </w:rPr>
            </w:pPr>
          </w:p>
        </w:tc>
      </w:tr>
      <w:tr w:rsidR="0049126A" w:rsidRPr="0049126A" w14:paraId="4D8C662D" w14:textId="77777777" w:rsidTr="00543C11">
        <w:tc>
          <w:tcPr>
            <w:tcW w:w="1417" w:type="pct"/>
          </w:tcPr>
          <w:p w14:paraId="562CF369" w14:textId="77777777" w:rsidR="00543C11" w:rsidRPr="0049126A" w:rsidRDefault="00543C11" w:rsidP="00543C11">
            <w:pPr>
              <w:spacing w:line="276" w:lineRule="auto"/>
              <w:jc w:val="both"/>
              <w:rPr>
                <w:rFonts w:ascii="Times New Roman" w:hAnsi="Times New Roman" w:cs="Times New Roman"/>
                <w:b/>
                <w:bCs/>
                <w:sz w:val="20"/>
                <w:szCs w:val="20"/>
                <w:lang w:val="it-IT"/>
              </w:rPr>
            </w:pPr>
          </w:p>
        </w:tc>
        <w:tc>
          <w:tcPr>
            <w:tcW w:w="1340" w:type="pct"/>
          </w:tcPr>
          <w:p w14:paraId="1582F650" w14:textId="77777777" w:rsidR="00543C11" w:rsidRPr="0049126A" w:rsidRDefault="00543C11" w:rsidP="00543C11">
            <w:pPr>
              <w:spacing w:line="276" w:lineRule="auto"/>
              <w:contextualSpacing/>
              <w:rPr>
                <w:rFonts w:ascii="Times New Roman" w:hAnsi="Times New Roman" w:cs="Times New Roman"/>
                <w:sz w:val="20"/>
                <w:szCs w:val="20"/>
                <w:lang w:val="it-IT"/>
              </w:rPr>
            </w:pPr>
            <w:r w:rsidRPr="0049126A">
              <w:rPr>
                <w:rFonts w:ascii="Times New Roman" w:hAnsi="Times New Roman" w:cs="Times New Roman"/>
                <w:sz w:val="20"/>
                <w:szCs w:val="20"/>
                <w:lang w:val="it-IT"/>
              </w:rPr>
              <w:t>In suspiciunea de LD dobândite</w:t>
            </w:r>
          </w:p>
        </w:tc>
        <w:tc>
          <w:tcPr>
            <w:tcW w:w="2243" w:type="pct"/>
          </w:tcPr>
          <w:p w14:paraId="5C3020F8" w14:textId="77777777" w:rsidR="00543C11" w:rsidRPr="0049126A" w:rsidRDefault="00543C11" w:rsidP="00543C11">
            <w:pPr>
              <w:spacing w:line="276" w:lineRule="auto"/>
              <w:contextualSpacing/>
              <w:rPr>
                <w:rFonts w:ascii="Times New Roman" w:hAnsi="Times New Roman" w:cs="Times New Roman"/>
                <w:sz w:val="20"/>
                <w:szCs w:val="20"/>
              </w:rPr>
            </w:pPr>
            <w:r w:rsidRPr="0049126A">
              <w:rPr>
                <w:rFonts w:ascii="Times New Roman" w:hAnsi="Times New Roman" w:cs="Times New Roman"/>
                <w:sz w:val="20"/>
                <w:szCs w:val="20"/>
              </w:rPr>
              <w:t>Complement C3 si C4</w:t>
            </w:r>
          </w:p>
          <w:p w14:paraId="3D6DB5FE" w14:textId="77777777" w:rsidR="00543C11" w:rsidRPr="0049126A" w:rsidRDefault="00543C11" w:rsidP="00543C11">
            <w:pPr>
              <w:spacing w:line="276" w:lineRule="auto"/>
              <w:contextualSpacing/>
              <w:rPr>
                <w:rFonts w:ascii="Times New Roman" w:hAnsi="Times New Roman" w:cs="Times New Roman"/>
                <w:sz w:val="20"/>
                <w:szCs w:val="20"/>
                <w:lang w:val="pt-BR"/>
              </w:rPr>
            </w:pPr>
            <w:r w:rsidRPr="0049126A">
              <w:rPr>
                <w:rFonts w:ascii="Times New Roman" w:hAnsi="Times New Roman" w:cs="Times New Roman"/>
                <w:sz w:val="20"/>
                <w:szCs w:val="20"/>
                <w:lang w:val="pt-BR"/>
              </w:rPr>
              <w:t>Dozarea Factorului Nefritic C3</w:t>
            </w:r>
          </w:p>
          <w:p w14:paraId="34EB9A54" w14:textId="77777777" w:rsidR="00543C11" w:rsidRPr="0049126A" w:rsidRDefault="00543C11" w:rsidP="00543C11">
            <w:pPr>
              <w:spacing w:after="200" w:line="276" w:lineRule="auto"/>
              <w:jc w:val="both"/>
              <w:rPr>
                <w:rFonts w:ascii="Times New Roman" w:hAnsi="Times New Roman" w:cs="Times New Roman"/>
                <w:sz w:val="20"/>
                <w:szCs w:val="20"/>
              </w:rPr>
            </w:pPr>
            <w:r w:rsidRPr="0049126A">
              <w:rPr>
                <w:rFonts w:ascii="Times New Roman" w:hAnsi="Times New Roman" w:cs="Times New Roman"/>
                <w:sz w:val="20"/>
                <w:szCs w:val="20"/>
              </w:rPr>
              <w:t>factor antinuclear, factor anti ADN dublu catenar</w:t>
            </w:r>
          </w:p>
        </w:tc>
      </w:tr>
    </w:tbl>
    <w:p w14:paraId="0BF5B2F2" w14:textId="77777777" w:rsidR="002E1180" w:rsidRPr="0049126A" w:rsidRDefault="00543C11" w:rsidP="002E1180">
      <w:pPr>
        <w:spacing w:line="276" w:lineRule="auto"/>
        <w:contextualSpacing/>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 NU există valori serice ale leptinei care să definească/excludă lipodistrofiile</w:t>
      </w:r>
    </w:p>
    <w:p w14:paraId="7E970DBE" w14:textId="6BDE9ED7" w:rsidR="00543C11" w:rsidRPr="0049126A" w:rsidRDefault="00543C11" w:rsidP="002E1180">
      <w:pPr>
        <w:spacing w:line="276" w:lineRule="auto"/>
        <w:contextualSpacing/>
        <w:jc w:val="both"/>
        <w:rPr>
          <w:rFonts w:ascii="Times New Roman" w:hAnsi="Times New Roman" w:cs="Times New Roman"/>
          <w:i/>
          <w:iCs/>
          <w:sz w:val="20"/>
          <w:szCs w:val="20"/>
          <w:lang w:val="it-IT"/>
        </w:rPr>
      </w:pPr>
      <w:r w:rsidRPr="0049126A">
        <w:rPr>
          <w:rFonts w:ascii="Times New Roman" w:hAnsi="Times New Roman" w:cs="Times New Roman"/>
          <w:bCs/>
          <w:i/>
          <w:iCs/>
          <w:sz w:val="20"/>
          <w:szCs w:val="20"/>
          <w:lang w:val="it-IT"/>
        </w:rPr>
        <w:t>## absența identificării mutației genice NU exclude etiologia genetică</w:t>
      </w:r>
    </w:p>
    <w:p w14:paraId="7527DDF0" w14:textId="157A2EA3" w:rsidR="001729A3" w:rsidRPr="0049126A" w:rsidRDefault="00543C11" w:rsidP="002E1180">
      <w:pPr>
        <w:autoSpaceDE w:val="0"/>
        <w:autoSpaceDN w:val="0"/>
        <w:adjustRightInd w:val="0"/>
        <w:spacing w:line="276" w:lineRule="auto"/>
        <w:jc w:val="both"/>
        <w:rPr>
          <w:rFonts w:ascii="Times New Roman" w:hAnsi="Times New Roman" w:cs="Times New Roman"/>
          <w:i/>
          <w:iCs/>
          <w:sz w:val="20"/>
          <w:szCs w:val="20"/>
          <w:lang w:val="it-IT"/>
        </w:rPr>
      </w:pPr>
      <w:r w:rsidRPr="0049126A">
        <w:rPr>
          <w:rFonts w:ascii="Times New Roman" w:hAnsi="Times New Roman" w:cs="Times New Roman"/>
          <w:i/>
          <w:iCs/>
          <w:sz w:val="20"/>
          <w:szCs w:val="20"/>
          <w:lang w:val="it-IT"/>
        </w:rPr>
        <w:t xml:space="preserve">### nu există referințe DXA care să confirme/infirme dg de lipodistrofie; se pot calcula  </w:t>
      </w:r>
      <w:r w:rsidRPr="0049126A">
        <w:rPr>
          <w:rFonts w:ascii="Times New Roman" w:hAnsi="Times New Roman" w:cs="Times New Roman"/>
          <w:b/>
          <w:bCs/>
          <w:i/>
          <w:iCs/>
          <w:sz w:val="20"/>
          <w:szCs w:val="20"/>
          <w:lang w:val="it-IT"/>
        </w:rPr>
        <w:t>fat mass index= (FMI), procent de masă grasă/talie</w:t>
      </w:r>
      <w:r w:rsidRPr="0049126A">
        <w:rPr>
          <w:rFonts w:ascii="Times New Roman" w:hAnsi="Times New Roman" w:cs="Times New Roman"/>
          <w:b/>
          <w:bCs/>
          <w:i/>
          <w:iCs/>
          <w:sz w:val="20"/>
          <w:szCs w:val="20"/>
          <w:vertAlign w:val="superscript"/>
          <w:lang w:val="it-IT"/>
        </w:rPr>
        <w:t>2</w:t>
      </w:r>
      <w:r w:rsidRPr="0049126A">
        <w:rPr>
          <w:rFonts w:ascii="Times New Roman" w:hAnsi="Times New Roman" w:cs="Times New Roman"/>
          <w:i/>
          <w:iCs/>
          <w:sz w:val="20"/>
          <w:szCs w:val="20"/>
          <w:lang w:val="it-IT"/>
        </w:rPr>
        <w:t xml:space="preserve">; raportul </w:t>
      </w:r>
      <w:r w:rsidRPr="0049126A">
        <w:rPr>
          <w:rFonts w:ascii="Times New Roman" w:hAnsi="Times New Roman" w:cs="Times New Roman"/>
          <w:b/>
          <w:bCs/>
          <w:i/>
          <w:iCs/>
          <w:sz w:val="20"/>
          <w:szCs w:val="20"/>
          <w:lang w:val="it-IT"/>
        </w:rPr>
        <w:t>Android/Gynoid (AG) = raport conținut masă grasă regiuni de interse androidă/ginoidă</w:t>
      </w:r>
      <w:r w:rsidRPr="0049126A">
        <w:rPr>
          <w:rFonts w:ascii="Times New Roman" w:hAnsi="Times New Roman" w:cs="Times New Roman"/>
          <w:i/>
          <w:iCs/>
          <w:sz w:val="20"/>
          <w:szCs w:val="20"/>
          <w:lang w:val="it-IT"/>
        </w:rPr>
        <w:t xml:space="preserve">, raport </w:t>
      </w:r>
      <w:r w:rsidRPr="0049126A">
        <w:rPr>
          <w:rFonts w:ascii="Times New Roman" w:hAnsi="Times New Roman" w:cs="Times New Roman"/>
          <w:b/>
          <w:bCs/>
          <w:i/>
          <w:iCs/>
          <w:sz w:val="20"/>
          <w:szCs w:val="20"/>
          <w:lang w:val="it-IT"/>
        </w:rPr>
        <w:t>% masă grasă trunchi/membre</w:t>
      </w:r>
    </w:p>
    <w:p w14:paraId="08A3EAD7" w14:textId="77777777" w:rsidR="001729A3" w:rsidRPr="0049126A" w:rsidRDefault="001729A3" w:rsidP="001729A3">
      <w:pPr>
        <w:tabs>
          <w:tab w:val="right" w:pos="9360"/>
        </w:tabs>
        <w:spacing w:after="0" w:line="276" w:lineRule="auto"/>
        <w:rPr>
          <w:rFonts w:ascii="Times New Roman" w:hAnsi="Times New Roman" w:cs="Times New Roman"/>
          <w:b/>
          <w:bCs/>
          <w:sz w:val="24"/>
          <w:szCs w:val="24"/>
          <w:lang w:val="pt-BR"/>
        </w:rPr>
      </w:pPr>
    </w:p>
    <w:p w14:paraId="3E62352F" w14:textId="77777777" w:rsidR="005455B2" w:rsidRPr="0049126A" w:rsidRDefault="005455B2" w:rsidP="001729A3">
      <w:pPr>
        <w:tabs>
          <w:tab w:val="right" w:pos="9360"/>
        </w:tabs>
        <w:spacing w:after="0" w:line="276" w:lineRule="auto"/>
        <w:rPr>
          <w:rFonts w:ascii="Times New Roman" w:hAnsi="Times New Roman" w:cs="Times New Roman"/>
          <w:sz w:val="24"/>
          <w:szCs w:val="24"/>
          <w:highlight w:val="yellow"/>
          <w:lang w:val="pt-BR"/>
        </w:rPr>
      </w:pPr>
      <w:r w:rsidRPr="0049126A">
        <w:rPr>
          <w:rFonts w:ascii="Times New Roman" w:hAnsi="Times New Roman" w:cs="Times New Roman"/>
          <w:b/>
          <w:bCs/>
          <w:sz w:val="24"/>
          <w:szCs w:val="24"/>
          <w:lang w:val="pt-BR"/>
        </w:rPr>
        <w:t>II.2 Criterii de excludere (inclusiv contraindicații)</w:t>
      </w:r>
      <w:r w:rsidRPr="0049126A">
        <w:rPr>
          <w:rFonts w:ascii="Times New Roman" w:hAnsi="Times New Roman" w:cs="Times New Roman"/>
          <w:sz w:val="24"/>
          <w:szCs w:val="24"/>
          <w:lang w:val="pt-BR"/>
        </w:rPr>
        <w:tab/>
      </w:r>
    </w:p>
    <w:p w14:paraId="589F0EE9"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 xml:space="preserve">Obezitatea generală si boli metabolice care nu sunt asociate cu deficit congenital de leptină/ </w:t>
      </w:r>
      <w:r w:rsidRPr="0049126A">
        <w:rPr>
          <w:b/>
          <w:color w:val="auto"/>
          <w:lang w:val="pt-BR"/>
        </w:rPr>
        <w:t>fara dovezi concomitente de lipodistrofie</w:t>
      </w:r>
      <w:r w:rsidRPr="0049126A">
        <w:rPr>
          <w:color w:val="auto"/>
          <w:lang w:val="pt-BR"/>
        </w:rPr>
        <w:t xml:space="preserve"> </w:t>
      </w:r>
    </w:p>
    <w:p w14:paraId="690BDB61"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Lipodistrofie legată de HIV;</w:t>
      </w:r>
    </w:p>
    <w:p w14:paraId="06EC172C"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Lipodistrofiile regionale/alte tipuri de lipodistrofii dobândite ( postiradiere etc, tabelul 1)</w:t>
      </w:r>
    </w:p>
    <w:p w14:paraId="2A419AEC" w14:textId="77777777" w:rsidR="005455B2" w:rsidRPr="0049126A" w:rsidRDefault="005455B2" w:rsidP="008F5FCC">
      <w:pPr>
        <w:pStyle w:val="ListParagraph"/>
        <w:numPr>
          <w:ilvl w:val="0"/>
          <w:numId w:val="82"/>
        </w:numPr>
        <w:spacing w:line="276" w:lineRule="auto"/>
        <w:jc w:val="both"/>
        <w:rPr>
          <w:b/>
          <w:color w:val="auto"/>
          <w:lang w:val="pt-BR"/>
        </w:rPr>
      </w:pPr>
      <w:r w:rsidRPr="0049126A">
        <w:rPr>
          <w:color w:val="auto"/>
          <w:lang w:val="pt-BR"/>
        </w:rPr>
        <w:t>Boală hepatică</w:t>
      </w:r>
      <w:r w:rsidRPr="0049126A">
        <w:rPr>
          <w:i/>
          <w:color w:val="auto"/>
          <w:lang w:val="pt-BR"/>
        </w:rPr>
        <w:t xml:space="preserve"> </w:t>
      </w:r>
      <w:r w:rsidRPr="0049126A">
        <w:rPr>
          <w:iCs/>
          <w:color w:val="auto"/>
          <w:lang w:val="pt-BR"/>
        </w:rPr>
        <w:t>cunoscută din alte cauze</w:t>
      </w:r>
      <w:r w:rsidRPr="0049126A">
        <w:rPr>
          <w:color w:val="auto"/>
          <w:lang w:val="pt-BR"/>
        </w:rPr>
        <w:t xml:space="preserve">, inclusiv NASH (Steatohepatita nonalcolică)/ </w:t>
      </w:r>
      <w:r w:rsidRPr="0049126A">
        <w:rPr>
          <w:b/>
          <w:color w:val="auto"/>
          <w:lang w:val="pt-BR"/>
        </w:rPr>
        <w:t xml:space="preserve">fara dovezi concomitente de lipodistrofie </w:t>
      </w:r>
    </w:p>
    <w:p w14:paraId="31E12275"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Copiii &lt; 2ani ptr LD generalizată și &lt; de 12 ani ptr LD parțială;</w:t>
      </w:r>
    </w:p>
    <w:p w14:paraId="24F3AA5D"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Insuficiență hepatica și renală</w:t>
      </w:r>
    </w:p>
    <w:p w14:paraId="32DB6CAE"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Femei însărcinate</w:t>
      </w:r>
    </w:p>
    <w:p w14:paraId="26E52036" w14:textId="77777777" w:rsidR="005455B2" w:rsidRPr="0049126A" w:rsidRDefault="005455B2" w:rsidP="008F5FCC">
      <w:pPr>
        <w:pStyle w:val="ListParagraph"/>
        <w:numPr>
          <w:ilvl w:val="0"/>
          <w:numId w:val="82"/>
        </w:numPr>
        <w:spacing w:line="276" w:lineRule="auto"/>
        <w:jc w:val="both"/>
        <w:rPr>
          <w:color w:val="auto"/>
          <w:lang w:val="pt-BR"/>
        </w:rPr>
      </w:pPr>
      <w:r w:rsidRPr="0049126A">
        <w:rPr>
          <w:color w:val="auto"/>
          <w:lang w:val="pt-BR"/>
        </w:rPr>
        <w:t>Femei care alăptează</w:t>
      </w:r>
    </w:p>
    <w:p w14:paraId="3F1178A8" w14:textId="77777777" w:rsidR="005455B2" w:rsidRPr="0049126A" w:rsidRDefault="005455B2" w:rsidP="008F5FCC">
      <w:pPr>
        <w:pStyle w:val="Default"/>
        <w:numPr>
          <w:ilvl w:val="0"/>
          <w:numId w:val="82"/>
        </w:numPr>
        <w:spacing w:line="276" w:lineRule="auto"/>
        <w:jc w:val="both"/>
        <w:rPr>
          <w:rFonts w:ascii="Times New Roman" w:hAnsi="Times New Roman" w:cs="Times New Roman"/>
          <w:color w:val="auto"/>
          <w:lang w:val="ro-RO"/>
        </w:rPr>
      </w:pPr>
      <w:r w:rsidRPr="0049126A">
        <w:rPr>
          <w:rFonts w:ascii="Times New Roman" w:hAnsi="Times New Roman" w:cs="Times New Roman"/>
          <w:color w:val="auto"/>
          <w:lang w:val="ro-RO"/>
        </w:rPr>
        <w:t>Neoplazie activă/istoric de neoplazii maligne hematologice</w:t>
      </w:r>
    </w:p>
    <w:p w14:paraId="1C4E91FC" w14:textId="77777777" w:rsidR="005455B2" w:rsidRPr="0049126A" w:rsidRDefault="005455B2" w:rsidP="008F5FCC">
      <w:pPr>
        <w:pStyle w:val="Default"/>
        <w:numPr>
          <w:ilvl w:val="0"/>
          <w:numId w:val="82"/>
        </w:numPr>
        <w:spacing w:line="276" w:lineRule="auto"/>
        <w:jc w:val="both"/>
        <w:rPr>
          <w:rFonts w:ascii="Times New Roman" w:hAnsi="Times New Roman" w:cs="Times New Roman"/>
          <w:color w:val="auto"/>
          <w:lang w:val="ro-RO"/>
        </w:rPr>
      </w:pPr>
      <w:r w:rsidRPr="0049126A">
        <w:rPr>
          <w:rFonts w:ascii="Times New Roman" w:hAnsi="Times New Roman" w:cs="Times New Roman"/>
          <w:color w:val="auto"/>
          <w:lang w:val="ro-RO"/>
        </w:rPr>
        <w:t>Pacienți cu leucopenie, neutropenie, anomalii la nivelul măduvei osoase, limfom și/sau limfadenopatii/persistente/recurente/în curs de evaluare</w:t>
      </w:r>
    </w:p>
    <w:p w14:paraId="14F0D72E" w14:textId="547967A2" w:rsidR="00A95187" w:rsidRPr="0049126A" w:rsidRDefault="005455B2" w:rsidP="00543C11">
      <w:pPr>
        <w:pStyle w:val="ListParagraph"/>
        <w:numPr>
          <w:ilvl w:val="0"/>
          <w:numId w:val="82"/>
        </w:numPr>
        <w:spacing w:line="276" w:lineRule="auto"/>
        <w:jc w:val="both"/>
        <w:rPr>
          <w:color w:val="auto"/>
        </w:rPr>
      </w:pPr>
      <w:r w:rsidRPr="0049126A">
        <w:rPr>
          <w:color w:val="auto"/>
        </w:rPr>
        <w:t xml:space="preserve">Pacienții consumători cronici de etanol, definiți ca un consum zilnic de alcool </w:t>
      </w:r>
      <w:r w:rsidRPr="0049126A">
        <w:rPr>
          <w:color w:val="auto"/>
          <w:lang w:val="pt-BR"/>
        </w:rPr>
        <w:t>&gt;</w:t>
      </w:r>
      <w:r w:rsidRPr="0049126A">
        <w:rPr>
          <w:color w:val="auto"/>
        </w:rPr>
        <w:t xml:space="preserve"> 20 g/zi la sexul masculin și </w:t>
      </w:r>
      <w:r w:rsidRPr="0049126A">
        <w:rPr>
          <w:color w:val="auto"/>
          <w:lang w:val="pt-BR"/>
        </w:rPr>
        <w:t xml:space="preserve">&gt; </w:t>
      </w:r>
      <w:r w:rsidRPr="0049126A">
        <w:rPr>
          <w:color w:val="auto"/>
        </w:rPr>
        <w:t>10 g/zi la sexul feminin</w:t>
      </w:r>
    </w:p>
    <w:p w14:paraId="05422B55" w14:textId="50899BE0" w:rsidR="00A95187" w:rsidRPr="0049126A" w:rsidRDefault="002E1180" w:rsidP="002E1180">
      <w:pPr>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lastRenderedPageBreak/>
        <w:t xml:space="preserve">III. TRATAMENT </w:t>
      </w:r>
    </w:p>
    <w:p w14:paraId="3E1706B7" w14:textId="576D403B" w:rsidR="00543C11" w:rsidRPr="0049126A" w:rsidRDefault="00543C11" w:rsidP="002E1180">
      <w:pPr>
        <w:spacing w:line="276" w:lineRule="auto"/>
        <w:jc w:val="both"/>
        <w:rPr>
          <w:rFonts w:ascii="Times New Roman" w:hAnsi="Times New Roman" w:cs="Times New Roman"/>
          <w:b/>
          <w:bCs/>
          <w:sz w:val="24"/>
          <w:szCs w:val="24"/>
          <w:lang w:val="pt-BR"/>
        </w:rPr>
      </w:pPr>
      <w:r w:rsidRPr="0049126A">
        <w:rPr>
          <w:rFonts w:ascii="Times New Roman" w:hAnsi="Times New Roman" w:cs="Times New Roman"/>
          <w:b/>
          <w:bCs/>
          <w:sz w:val="24"/>
          <w:szCs w:val="24"/>
          <w:lang w:val="pt-BR"/>
        </w:rPr>
        <w:t>Opțiuni terapeutice înainte de inițierea terapiei cu metrelptină</w:t>
      </w:r>
    </w:p>
    <w:p w14:paraId="14696244" w14:textId="77777777" w:rsidR="00543C11" w:rsidRPr="0049126A" w:rsidRDefault="00543C11" w:rsidP="00543C11">
      <w:pPr>
        <w:spacing w:line="276" w:lineRule="auto"/>
        <w:jc w:val="both"/>
        <w:rPr>
          <w:rFonts w:ascii="Times New Roman" w:hAnsi="Times New Roman" w:cs="Times New Roman"/>
          <w:b/>
          <w:bCs/>
          <w:sz w:val="24"/>
          <w:szCs w:val="24"/>
          <w:u w:val="single"/>
          <w:lang w:val="pt-BR"/>
        </w:rPr>
      </w:pPr>
      <w:r w:rsidRPr="0049126A">
        <w:rPr>
          <w:rFonts w:ascii="Times New Roman" w:hAnsi="Times New Roman" w:cs="Times New Roman"/>
          <w:b/>
          <w:bCs/>
          <w:sz w:val="24"/>
          <w:szCs w:val="24"/>
          <w:u w:val="single"/>
          <w:lang w:val="pt-BR"/>
        </w:rPr>
        <w:t>Dieta pacienților cu lipodistrofie – considerații generale</w:t>
      </w:r>
    </w:p>
    <w:p w14:paraId="29EB7EA1" w14:textId="7E5704CC" w:rsidR="00543C11" w:rsidRPr="0049126A" w:rsidRDefault="002E1180" w:rsidP="008F5FCC">
      <w:pPr>
        <w:pStyle w:val="ListParagraph"/>
        <w:numPr>
          <w:ilvl w:val="0"/>
          <w:numId w:val="92"/>
        </w:numPr>
        <w:autoSpaceDE w:val="0"/>
        <w:autoSpaceDN w:val="0"/>
        <w:adjustRightInd w:val="0"/>
        <w:spacing w:line="276" w:lineRule="auto"/>
        <w:rPr>
          <w:color w:val="auto"/>
          <w:lang w:val="pt-BR"/>
        </w:rPr>
      </w:pPr>
      <w:r w:rsidRPr="0049126A">
        <w:rPr>
          <w:color w:val="auto"/>
          <w:lang w:val="pt-BR"/>
        </w:rPr>
        <w:t>D</w:t>
      </w:r>
      <w:r w:rsidR="00543C11" w:rsidRPr="0049126A">
        <w:rPr>
          <w:color w:val="auto"/>
          <w:lang w:val="pt-BR"/>
        </w:rPr>
        <w:t>ieta pacienților cu lipodistrofie va fi stabilită împreună cu medicul nutriționist</w:t>
      </w:r>
    </w:p>
    <w:p w14:paraId="4A65BB9B" w14:textId="6B5FFCDE" w:rsidR="00543C11" w:rsidRPr="0049126A" w:rsidRDefault="00543C11" w:rsidP="008F5FCC">
      <w:pPr>
        <w:pStyle w:val="ListParagraph"/>
        <w:numPr>
          <w:ilvl w:val="0"/>
          <w:numId w:val="92"/>
        </w:numPr>
        <w:autoSpaceDE w:val="0"/>
        <w:autoSpaceDN w:val="0"/>
        <w:adjustRightInd w:val="0"/>
        <w:spacing w:line="276" w:lineRule="auto"/>
        <w:rPr>
          <w:color w:val="auto"/>
          <w:lang w:val="pt-BR"/>
        </w:rPr>
      </w:pPr>
      <w:r w:rsidRPr="0049126A">
        <w:rPr>
          <w:color w:val="auto"/>
          <w:lang w:val="pt-BR"/>
        </w:rPr>
        <w:t xml:space="preserve">Se va evita dieta hipercalorică la copii; datorită compoziției corporale atipice se indică menținerea unui IMC/ a unei greutăți pentru lungime </w:t>
      </w:r>
      <w:r w:rsidRPr="0049126A">
        <w:rPr>
          <w:b/>
          <w:bCs/>
          <w:i/>
          <w:iCs/>
          <w:color w:val="auto"/>
          <w:lang w:val="pt-BR"/>
        </w:rPr>
        <w:t>la limita inferioară a normalului</w:t>
      </w:r>
      <w:r w:rsidRPr="0049126A">
        <w:rPr>
          <w:color w:val="auto"/>
          <w:lang w:val="pt-BR"/>
        </w:rPr>
        <w:t>, sau care asigură creșterea staturală normală; în caz de hipertrigliceridemie severă se vor utiliza ulei cu acizi grași cu lanț mediu (ulei de cocos, ulei de palmier)</w:t>
      </w:r>
    </w:p>
    <w:p w14:paraId="3BDB1056" w14:textId="5C74CD1A" w:rsidR="00543C11" w:rsidRPr="0049126A" w:rsidRDefault="00543C11" w:rsidP="008F5FCC">
      <w:pPr>
        <w:pStyle w:val="ListParagraph"/>
        <w:numPr>
          <w:ilvl w:val="0"/>
          <w:numId w:val="92"/>
        </w:numPr>
        <w:spacing w:line="276" w:lineRule="auto"/>
        <w:jc w:val="both"/>
        <w:rPr>
          <w:color w:val="auto"/>
          <w:lang w:val="pt-BR"/>
        </w:rPr>
      </w:pPr>
      <w:r w:rsidRPr="0049126A">
        <w:rPr>
          <w:color w:val="auto"/>
          <w:lang w:val="pt-BR"/>
        </w:rPr>
        <w:t>Adulții vor urma dietă hipocalorică și hipolipidică: 50-60% carbohidrați, 20-30% grăsimi, cca 20% proteine; se vor evita carbohidrații simpli și se vor utiliza complexe carbohidrați-fibre (carbohidrați cu eliberare lentă), distribuiți în mod egal la mesele zilei și gustări și întotdeauna în asociere cu proteine sau lipide.  Grăsimile din alimentație se vor constitui din acizi grași cu lanț lung omega 3 și grăsimi cis-mono-nesaturate.</w:t>
      </w:r>
    </w:p>
    <w:p w14:paraId="5E0E83B7" w14:textId="77777777" w:rsidR="00543C11" w:rsidRPr="0049126A" w:rsidRDefault="00543C11" w:rsidP="00543C11">
      <w:pPr>
        <w:spacing w:line="276" w:lineRule="auto"/>
        <w:jc w:val="both"/>
        <w:rPr>
          <w:rFonts w:ascii="Times New Roman" w:hAnsi="Times New Roman" w:cs="Times New Roman"/>
          <w:sz w:val="24"/>
          <w:szCs w:val="24"/>
          <w:lang w:val="pt-BR"/>
        </w:rPr>
      </w:pPr>
    </w:p>
    <w:p w14:paraId="6DDFE077" w14:textId="1545E9DC" w:rsidR="00543C11" w:rsidRPr="0049126A" w:rsidRDefault="00543C11" w:rsidP="00543C11">
      <w:pPr>
        <w:spacing w:line="276" w:lineRule="auto"/>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Înainte de tratamentul cu metreleptină SE VOR INIȚIA ALTE TERAPII SPECIFICE ALE AFECTĂRILOR METABOLIE: terapie antidiabetică specifică, terapie hipolipemiantă etc de catre medicul din specialitatea corespunzatoare, sub coordonarea medicului evaluator.</w:t>
      </w:r>
    </w:p>
    <w:p w14:paraId="32BA3BAA" w14:textId="77777777" w:rsidR="00543C11" w:rsidRPr="0049126A" w:rsidRDefault="00543C11" w:rsidP="00543C11">
      <w:pPr>
        <w:pStyle w:val="Default"/>
        <w:spacing w:line="276" w:lineRule="auto"/>
        <w:rPr>
          <w:rFonts w:ascii="Times New Roman" w:hAnsi="Times New Roman" w:cs="Times New Roman"/>
          <w:color w:val="auto"/>
          <w:lang w:val="ro-RO"/>
        </w:rPr>
      </w:pPr>
    </w:p>
    <w:p w14:paraId="2D8FC6B8" w14:textId="362948E8" w:rsidR="00543C11" w:rsidRPr="0049126A" w:rsidRDefault="002E1180" w:rsidP="002E1180">
      <w:pPr>
        <w:pStyle w:val="Default"/>
        <w:spacing w:line="276" w:lineRule="auto"/>
        <w:rPr>
          <w:rFonts w:ascii="Times New Roman" w:hAnsi="Times New Roman" w:cs="Times New Roman"/>
          <w:b/>
          <w:color w:val="auto"/>
          <w:lang w:val="ro-RO"/>
        </w:rPr>
      </w:pPr>
      <w:r w:rsidRPr="0049126A">
        <w:rPr>
          <w:rFonts w:ascii="Times New Roman" w:hAnsi="Times New Roman" w:cs="Times New Roman"/>
          <w:b/>
          <w:color w:val="auto"/>
          <w:lang w:val="ro-RO"/>
        </w:rPr>
        <w:t>Schema terapeutică pentru tratamentul cu metreleptin</w:t>
      </w:r>
    </w:p>
    <w:p w14:paraId="7FC75223" w14:textId="00D1010A" w:rsidR="00543C11" w:rsidRPr="0049126A" w:rsidRDefault="00543C11" w:rsidP="008F5FCC">
      <w:pPr>
        <w:pStyle w:val="Default"/>
        <w:numPr>
          <w:ilvl w:val="0"/>
          <w:numId w:val="93"/>
        </w:numPr>
        <w:spacing w:line="276" w:lineRule="auto"/>
        <w:rPr>
          <w:rFonts w:ascii="Times New Roman" w:hAnsi="Times New Roman" w:cs="Times New Roman"/>
          <w:color w:val="auto"/>
          <w:lang w:val="pt-BR"/>
        </w:rPr>
      </w:pPr>
      <w:r w:rsidRPr="0049126A">
        <w:rPr>
          <w:rFonts w:ascii="Times New Roman" w:hAnsi="Times New Roman" w:cs="Times New Roman"/>
          <w:color w:val="auto"/>
          <w:lang w:val="pt-BR"/>
        </w:rPr>
        <w:t>doza zilnică recomandată de metreleptină se stabilește în funcție de greutatea corporală, după cum se indică în tabelul de mai jos;</w:t>
      </w:r>
    </w:p>
    <w:p w14:paraId="1CA70BFE" w14:textId="6D219461" w:rsidR="00543C11" w:rsidRPr="0049126A" w:rsidRDefault="00543C11" w:rsidP="008F5FCC">
      <w:pPr>
        <w:pStyle w:val="Default"/>
        <w:numPr>
          <w:ilvl w:val="0"/>
          <w:numId w:val="93"/>
        </w:numPr>
        <w:spacing w:line="276" w:lineRule="auto"/>
        <w:rPr>
          <w:rFonts w:ascii="Times New Roman" w:hAnsi="Times New Roman" w:cs="Times New Roman"/>
          <w:color w:val="auto"/>
          <w:lang w:val="pt-BR"/>
        </w:rPr>
      </w:pPr>
      <w:r w:rsidRPr="0049126A">
        <w:rPr>
          <w:rFonts w:ascii="Times New Roman" w:hAnsi="Times New Roman" w:cs="Times New Roman"/>
          <w:color w:val="auto"/>
          <w:lang w:val="pt-BR"/>
        </w:rPr>
        <w:t>pentru a exista siguranța că pacienții și persoanele care au grijă de pacienți înțeleg doza corectă care trebuie injectată, medicul prescriptor trebuie să prescrie doza adecvată atât în miligrame, cât și ca volum în mililitri;</w:t>
      </w:r>
    </w:p>
    <w:p w14:paraId="4F83CBBD" w14:textId="3C462C79" w:rsidR="00543C11" w:rsidRPr="0049126A" w:rsidRDefault="00543C11" w:rsidP="008F5FCC">
      <w:pPr>
        <w:pStyle w:val="Default"/>
        <w:numPr>
          <w:ilvl w:val="0"/>
          <w:numId w:val="93"/>
        </w:numPr>
        <w:spacing w:line="276" w:lineRule="auto"/>
        <w:rPr>
          <w:rFonts w:ascii="Times New Roman" w:hAnsi="Times New Roman" w:cs="Times New Roman"/>
          <w:color w:val="auto"/>
          <w:lang w:val="pt-BR"/>
        </w:rPr>
      </w:pPr>
      <w:r w:rsidRPr="0049126A">
        <w:rPr>
          <w:rFonts w:ascii="Times New Roman" w:hAnsi="Times New Roman" w:cs="Times New Roman"/>
          <w:color w:val="auto"/>
          <w:lang w:val="pt-BR"/>
        </w:rPr>
        <w:t>pentru a evita erorile de medicație, inclusiv supradozajul, trebuie respectate notele de orientare din RCP cu privire la calcularea și ajustarea dozei;</w:t>
      </w:r>
    </w:p>
    <w:p w14:paraId="0E2C01E8" w14:textId="6B24FE3D" w:rsidR="00543C11" w:rsidRPr="0049126A" w:rsidRDefault="00543C11" w:rsidP="008F5FCC">
      <w:pPr>
        <w:pStyle w:val="ListParagraph"/>
        <w:numPr>
          <w:ilvl w:val="0"/>
          <w:numId w:val="93"/>
        </w:numPr>
        <w:autoSpaceDE w:val="0"/>
        <w:autoSpaceDN w:val="0"/>
        <w:adjustRightInd w:val="0"/>
        <w:spacing w:line="276" w:lineRule="auto"/>
        <w:jc w:val="both"/>
        <w:rPr>
          <w:color w:val="auto"/>
          <w:lang w:val="pt-BR"/>
        </w:rPr>
      </w:pPr>
      <w:r w:rsidRPr="0049126A">
        <w:rPr>
          <w:color w:val="auto"/>
          <w:lang w:val="pt-BR"/>
        </w:rPr>
        <w:t>în timpul utilizării Metreleptină se recomandă o evaluare a tehnicii de autoadministrare a pacientului o dată la 6 luni;</w:t>
      </w:r>
    </w:p>
    <w:p w14:paraId="4951D881" w14:textId="053A53AA" w:rsidR="00543C11" w:rsidRPr="0049126A" w:rsidRDefault="00543C11" w:rsidP="008F5FCC">
      <w:pPr>
        <w:pStyle w:val="ListParagraph"/>
        <w:numPr>
          <w:ilvl w:val="0"/>
          <w:numId w:val="93"/>
        </w:numPr>
        <w:autoSpaceDE w:val="0"/>
        <w:autoSpaceDN w:val="0"/>
        <w:adjustRightInd w:val="0"/>
        <w:spacing w:line="276" w:lineRule="auto"/>
        <w:jc w:val="both"/>
        <w:rPr>
          <w:color w:val="auto"/>
          <w:lang w:val="pt-BR"/>
        </w:rPr>
      </w:pPr>
      <w:r w:rsidRPr="0049126A">
        <w:rPr>
          <w:color w:val="auto"/>
          <w:lang w:val="pt-BR"/>
        </w:rPr>
        <w:t xml:space="preserve">la calcularea dozei trebuie să se utilizeze întotdeauna greutatea corporală efectivă la inițierea tratamentului </w:t>
      </w:r>
    </w:p>
    <w:p w14:paraId="63EBA1AE" w14:textId="29A84AA5" w:rsidR="00543C11" w:rsidRPr="0049126A" w:rsidRDefault="00543C11" w:rsidP="008F5FCC">
      <w:pPr>
        <w:pStyle w:val="Default"/>
        <w:numPr>
          <w:ilvl w:val="0"/>
          <w:numId w:val="93"/>
        </w:numPr>
        <w:spacing w:line="276" w:lineRule="auto"/>
        <w:rPr>
          <w:rFonts w:ascii="Times New Roman" w:hAnsi="Times New Roman" w:cs="Times New Roman"/>
          <w:color w:val="auto"/>
          <w:lang w:val="pt-BR"/>
        </w:rPr>
      </w:pPr>
      <w:r w:rsidRPr="0049126A">
        <w:rPr>
          <w:rFonts w:ascii="Times New Roman" w:hAnsi="Times New Roman" w:cs="Times New Roman"/>
          <w:color w:val="auto"/>
          <w:lang w:val="pt-BR"/>
        </w:rPr>
        <w:t>necesita creșterea dozei pe kg, mai ales când ajung la pubertate. Poate fi observată o creștere a incidenței valorilor anormale ale TG și HbA1c,</w:t>
      </w:r>
    </w:p>
    <w:p w14:paraId="61A681BA" w14:textId="38446406" w:rsidR="00543C11" w:rsidRPr="0049126A" w:rsidRDefault="00543C11" w:rsidP="008F5FCC">
      <w:pPr>
        <w:pStyle w:val="Default"/>
        <w:numPr>
          <w:ilvl w:val="0"/>
          <w:numId w:val="93"/>
        </w:numPr>
        <w:spacing w:line="276" w:lineRule="auto"/>
        <w:rPr>
          <w:rFonts w:ascii="Times New Roman" w:hAnsi="Times New Roman" w:cs="Times New Roman"/>
          <w:color w:val="auto"/>
          <w:lang w:val="pt-BR"/>
        </w:rPr>
      </w:pPr>
      <w:r w:rsidRPr="0049126A">
        <w:rPr>
          <w:rFonts w:ascii="Times New Roman" w:hAnsi="Times New Roman" w:cs="Times New Roman"/>
          <w:color w:val="auto"/>
          <w:lang w:val="pt-BR"/>
        </w:rPr>
        <w:t>tratament cronic</w:t>
      </w:r>
    </w:p>
    <w:p w14:paraId="5D671F87" w14:textId="77777777" w:rsidR="00543C11" w:rsidRPr="0049126A" w:rsidRDefault="00543C11" w:rsidP="00543C11">
      <w:pPr>
        <w:pStyle w:val="Default"/>
        <w:spacing w:line="276" w:lineRule="auto"/>
        <w:rPr>
          <w:rFonts w:ascii="Times New Roman" w:hAnsi="Times New Roman" w:cs="Times New Roman"/>
          <w:color w:val="auto"/>
        </w:rPr>
      </w:pPr>
    </w:p>
    <w:tbl>
      <w:tblPr>
        <w:tblStyle w:val="TableGrid"/>
        <w:tblW w:w="9792" w:type="dxa"/>
        <w:tblLayout w:type="fixed"/>
        <w:tblLook w:val="0000" w:firstRow="0" w:lastRow="0" w:firstColumn="0" w:lastColumn="0" w:noHBand="0" w:noVBand="0"/>
      </w:tblPr>
      <w:tblGrid>
        <w:gridCol w:w="2405"/>
        <w:gridCol w:w="2491"/>
        <w:gridCol w:w="2448"/>
        <w:gridCol w:w="2448"/>
      </w:tblGrid>
      <w:tr w:rsidR="0049126A" w:rsidRPr="0049126A" w14:paraId="13ED8DB9" w14:textId="77777777" w:rsidTr="00BB4129">
        <w:trPr>
          <w:trHeight w:val="244"/>
        </w:trPr>
        <w:tc>
          <w:tcPr>
            <w:tcW w:w="2405" w:type="dxa"/>
          </w:tcPr>
          <w:p w14:paraId="583175ED"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b/>
                <w:bCs/>
                <w:sz w:val="20"/>
                <w:szCs w:val="20"/>
              </w:rPr>
              <w:t xml:space="preserve">Greutatea la momentul inițial </w:t>
            </w:r>
          </w:p>
        </w:tc>
        <w:tc>
          <w:tcPr>
            <w:tcW w:w="2491" w:type="dxa"/>
          </w:tcPr>
          <w:p w14:paraId="7C85F6E9"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Doza inițială zilnică </w:t>
            </w:r>
          </w:p>
          <w:p w14:paraId="3A5E457A"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(volum injectabil) </w:t>
            </w:r>
          </w:p>
        </w:tc>
        <w:tc>
          <w:tcPr>
            <w:tcW w:w="2448" w:type="dxa"/>
          </w:tcPr>
          <w:p w14:paraId="4D9C2479"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Ajustări ale dozei </w:t>
            </w:r>
          </w:p>
          <w:p w14:paraId="7A3016E9"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(volumul injecției) </w:t>
            </w:r>
          </w:p>
        </w:tc>
        <w:tc>
          <w:tcPr>
            <w:tcW w:w="2448" w:type="dxa"/>
          </w:tcPr>
          <w:p w14:paraId="21EBEA7F"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Doza zilnică maximă </w:t>
            </w:r>
          </w:p>
          <w:p w14:paraId="728FDBBB"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(volumul injecției) </w:t>
            </w:r>
          </w:p>
        </w:tc>
      </w:tr>
      <w:tr w:rsidR="0049126A" w:rsidRPr="0049126A" w14:paraId="16893987" w14:textId="77777777" w:rsidTr="00BB4129">
        <w:trPr>
          <w:trHeight w:val="243"/>
        </w:trPr>
        <w:tc>
          <w:tcPr>
            <w:tcW w:w="2405" w:type="dxa"/>
          </w:tcPr>
          <w:p w14:paraId="1B629E31"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Pacienți de sex masculin și feminin ≤40 kg </w:t>
            </w:r>
          </w:p>
        </w:tc>
        <w:tc>
          <w:tcPr>
            <w:tcW w:w="2491" w:type="dxa"/>
          </w:tcPr>
          <w:p w14:paraId="1FAA7936" w14:textId="263A0FD4" w:rsidR="00543C11" w:rsidRPr="0049126A" w:rsidRDefault="002E1180"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0,06 mg/kg </w:t>
            </w:r>
            <w:r w:rsidR="00543C11" w:rsidRPr="0049126A">
              <w:rPr>
                <w:rFonts w:ascii="Times New Roman" w:hAnsi="Times New Roman" w:cs="Times New Roman"/>
                <w:sz w:val="20"/>
                <w:szCs w:val="20"/>
              </w:rPr>
              <w:t xml:space="preserve">(0,012 ml/kg) </w:t>
            </w:r>
          </w:p>
        </w:tc>
        <w:tc>
          <w:tcPr>
            <w:tcW w:w="2448" w:type="dxa"/>
          </w:tcPr>
          <w:p w14:paraId="0B12DAAC" w14:textId="241439C9" w:rsidR="00543C11" w:rsidRPr="0049126A" w:rsidRDefault="00BB4129"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0,02 mg/kg  </w:t>
            </w:r>
            <w:r w:rsidR="00543C11" w:rsidRPr="0049126A">
              <w:rPr>
                <w:rFonts w:ascii="Times New Roman" w:hAnsi="Times New Roman" w:cs="Times New Roman"/>
                <w:sz w:val="20"/>
                <w:szCs w:val="20"/>
              </w:rPr>
              <w:t xml:space="preserve">(0,004 ml/kg) </w:t>
            </w:r>
          </w:p>
        </w:tc>
        <w:tc>
          <w:tcPr>
            <w:tcW w:w="2448" w:type="dxa"/>
          </w:tcPr>
          <w:p w14:paraId="72E356E3" w14:textId="1F933C02" w:rsidR="00543C11" w:rsidRPr="0049126A" w:rsidRDefault="00BB4129"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0,13 mg/kg  </w:t>
            </w:r>
            <w:r w:rsidR="00543C11" w:rsidRPr="0049126A">
              <w:rPr>
                <w:rFonts w:ascii="Times New Roman" w:hAnsi="Times New Roman" w:cs="Times New Roman"/>
                <w:sz w:val="20"/>
                <w:szCs w:val="20"/>
              </w:rPr>
              <w:t xml:space="preserve">(0,026 ml/kg) </w:t>
            </w:r>
          </w:p>
        </w:tc>
      </w:tr>
      <w:tr w:rsidR="0049126A" w:rsidRPr="0049126A" w14:paraId="7CE1C1F7" w14:textId="77777777" w:rsidTr="00BB4129">
        <w:trPr>
          <w:trHeight w:val="243"/>
        </w:trPr>
        <w:tc>
          <w:tcPr>
            <w:tcW w:w="2405" w:type="dxa"/>
          </w:tcPr>
          <w:p w14:paraId="2970BBA6"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Pacienți de sex masculin &gt;40 kg </w:t>
            </w:r>
          </w:p>
        </w:tc>
        <w:tc>
          <w:tcPr>
            <w:tcW w:w="2491" w:type="dxa"/>
          </w:tcPr>
          <w:p w14:paraId="55CA5218" w14:textId="3781FD3A" w:rsidR="00543C11" w:rsidRPr="0049126A" w:rsidRDefault="002E1180"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2,5 mg  </w:t>
            </w:r>
            <w:r w:rsidR="00543C11" w:rsidRPr="0049126A">
              <w:rPr>
                <w:rFonts w:ascii="Times New Roman" w:hAnsi="Times New Roman" w:cs="Times New Roman"/>
                <w:sz w:val="20"/>
                <w:szCs w:val="20"/>
              </w:rPr>
              <w:t xml:space="preserve">(0,5 ml) </w:t>
            </w:r>
          </w:p>
        </w:tc>
        <w:tc>
          <w:tcPr>
            <w:tcW w:w="2448" w:type="dxa"/>
          </w:tcPr>
          <w:p w14:paraId="4DBC367D"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1,25 mg (0,25 ml) până la 2,5 mg (0,5 ml) </w:t>
            </w:r>
          </w:p>
        </w:tc>
        <w:tc>
          <w:tcPr>
            <w:tcW w:w="2448" w:type="dxa"/>
          </w:tcPr>
          <w:p w14:paraId="6CBF2B01" w14:textId="27D0639D" w:rsidR="00543C11" w:rsidRPr="0049126A" w:rsidRDefault="002E1180"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10 mg  </w:t>
            </w:r>
            <w:r w:rsidR="00543C11" w:rsidRPr="0049126A">
              <w:rPr>
                <w:rFonts w:ascii="Times New Roman" w:hAnsi="Times New Roman" w:cs="Times New Roman"/>
                <w:sz w:val="20"/>
                <w:szCs w:val="20"/>
              </w:rPr>
              <w:t xml:space="preserve">(2 ml) </w:t>
            </w:r>
          </w:p>
        </w:tc>
      </w:tr>
      <w:tr w:rsidR="00543C11" w:rsidRPr="0049126A" w14:paraId="7D188F6B" w14:textId="77777777" w:rsidTr="00BB4129">
        <w:trPr>
          <w:trHeight w:val="244"/>
        </w:trPr>
        <w:tc>
          <w:tcPr>
            <w:tcW w:w="2405" w:type="dxa"/>
          </w:tcPr>
          <w:p w14:paraId="7BDB23A0"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lang w:val="pt-BR"/>
              </w:rPr>
            </w:pPr>
            <w:r w:rsidRPr="0049126A">
              <w:rPr>
                <w:rFonts w:ascii="Times New Roman" w:hAnsi="Times New Roman" w:cs="Times New Roman"/>
                <w:b/>
                <w:bCs/>
                <w:sz w:val="20"/>
                <w:szCs w:val="20"/>
                <w:lang w:val="pt-BR"/>
              </w:rPr>
              <w:t xml:space="preserve">Pacienți de sex feminin &gt;40 kg </w:t>
            </w:r>
          </w:p>
        </w:tc>
        <w:tc>
          <w:tcPr>
            <w:tcW w:w="2491" w:type="dxa"/>
          </w:tcPr>
          <w:p w14:paraId="1B6C9F8A" w14:textId="75E9F135" w:rsidR="00543C11" w:rsidRPr="0049126A" w:rsidRDefault="002E1180"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5 mg  </w:t>
            </w:r>
            <w:r w:rsidR="00543C11" w:rsidRPr="0049126A">
              <w:rPr>
                <w:rFonts w:ascii="Times New Roman" w:hAnsi="Times New Roman" w:cs="Times New Roman"/>
                <w:sz w:val="20"/>
                <w:szCs w:val="20"/>
              </w:rPr>
              <w:t xml:space="preserve">(1 ml) </w:t>
            </w:r>
          </w:p>
        </w:tc>
        <w:tc>
          <w:tcPr>
            <w:tcW w:w="2448" w:type="dxa"/>
          </w:tcPr>
          <w:p w14:paraId="31312955" w14:textId="77777777" w:rsidR="00543C11" w:rsidRPr="0049126A" w:rsidRDefault="00543C11"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1,25 mg (0,25 ml) până la 2,5 mg (0,5 ml) </w:t>
            </w:r>
          </w:p>
        </w:tc>
        <w:tc>
          <w:tcPr>
            <w:tcW w:w="2448" w:type="dxa"/>
          </w:tcPr>
          <w:p w14:paraId="3D298678" w14:textId="56236081" w:rsidR="00543C11" w:rsidRPr="0049126A" w:rsidRDefault="002E1180" w:rsidP="00543C11">
            <w:pPr>
              <w:autoSpaceDE w:val="0"/>
              <w:autoSpaceDN w:val="0"/>
              <w:adjustRightInd w:val="0"/>
              <w:spacing w:line="276" w:lineRule="auto"/>
              <w:rPr>
                <w:rFonts w:ascii="Times New Roman" w:hAnsi="Times New Roman" w:cs="Times New Roman"/>
                <w:sz w:val="20"/>
                <w:szCs w:val="20"/>
              </w:rPr>
            </w:pPr>
            <w:r w:rsidRPr="0049126A">
              <w:rPr>
                <w:rFonts w:ascii="Times New Roman" w:hAnsi="Times New Roman" w:cs="Times New Roman"/>
                <w:sz w:val="20"/>
                <w:szCs w:val="20"/>
              </w:rPr>
              <w:t xml:space="preserve">10 mg  </w:t>
            </w:r>
            <w:r w:rsidR="00543C11" w:rsidRPr="0049126A">
              <w:rPr>
                <w:rFonts w:ascii="Times New Roman" w:hAnsi="Times New Roman" w:cs="Times New Roman"/>
                <w:sz w:val="20"/>
                <w:szCs w:val="20"/>
              </w:rPr>
              <w:t xml:space="preserve">(2 ml) </w:t>
            </w:r>
          </w:p>
        </w:tc>
      </w:tr>
    </w:tbl>
    <w:p w14:paraId="3242F64E" w14:textId="77777777" w:rsidR="00543C11" w:rsidRPr="0049126A" w:rsidRDefault="00543C11" w:rsidP="00543C11">
      <w:pPr>
        <w:spacing w:line="276" w:lineRule="auto"/>
        <w:jc w:val="both"/>
        <w:rPr>
          <w:rFonts w:ascii="Times New Roman" w:hAnsi="Times New Roman" w:cs="Times New Roman"/>
          <w:sz w:val="24"/>
          <w:szCs w:val="24"/>
        </w:rPr>
      </w:pPr>
    </w:p>
    <w:p w14:paraId="0B0DE943" w14:textId="77777777" w:rsidR="002E1180" w:rsidRPr="0049126A" w:rsidRDefault="002E1180" w:rsidP="00543C11">
      <w:pPr>
        <w:spacing w:line="276" w:lineRule="auto"/>
        <w:jc w:val="both"/>
        <w:rPr>
          <w:rFonts w:ascii="Times New Roman" w:hAnsi="Times New Roman" w:cs="Times New Roman"/>
          <w:sz w:val="24"/>
          <w:szCs w:val="24"/>
        </w:rPr>
      </w:pPr>
    </w:p>
    <w:p w14:paraId="4DEFE0AE" w14:textId="77777777" w:rsidR="00543C11" w:rsidRPr="0049126A" w:rsidRDefault="00543C11" w:rsidP="00543C11">
      <w:pPr>
        <w:spacing w:line="276" w:lineRule="auto"/>
        <w:rPr>
          <w:rFonts w:ascii="Times New Roman" w:hAnsi="Times New Roman" w:cs="Times New Roman"/>
          <w:b/>
          <w:sz w:val="24"/>
          <w:szCs w:val="24"/>
          <w:lang w:val="en-US"/>
        </w:rPr>
      </w:pPr>
      <w:r w:rsidRPr="0049126A">
        <w:rPr>
          <w:rFonts w:ascii="Times New Roman" w:hAnsi="Times New Roman" w:cs="Times New Roman"/>
          <w:b/>
          <w:sz w:val="24"/>
          <w:szCs w:val="24"/>
          <w:lang w:val="en-US"/>
        </w:rPr>
        <w:lastRenderedPageBreak/>
        <w:t>IV. Monitorizarea tratamentului/criterii de evaluare a eficacitatii terapeutice</w:t>
      </w:r>
    </w:p>
    <w:p w14:paraId="068B64F5" w14:textId="43389DE5" w:rsidR="00543C11" w:rsidRPr="0049126A" w:rsidRDefault="002E1180" w:rsidP="002E1180">
      <w:pPr>
        <w:tabs>
          <w:tab w:val="left" w:pos="142"/>
        </w:tabs>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Parametrii de evaluare minimă şi obligatorie pentru monitorizarea tratamentului cu metreleptin</w:t>
      </w:r>
    </w:p>
    <w:p w14:paraId="78879833" w14:textId="70C63DBA" w:rsidR="00543C11" w:rsidRPr="0049126A" w:rsidRDefault="00543C11" w:rsidP="00543C11">
      <w:pPr>
        <w:numPr>
          <w:ilvl w:val="0"/>
          <w:numId w:val="76"/>
        </w:numPr>
        <w:spacing w:line="276" w:lineRule="auto"/>
        <w:contextualSpacing/>
        <w:rPr>
          <w:rFonts w:ascii="Times New Roman" w:hAnsi="Times New Roman" w:cs="Times New Roman"/>
          <w:b/>
          <w:sz w:val="24"/>
          <w:szCs w:val="24"/>
        </w:rPr>
      </w:pPr>
      <w:r w:rsidRPr="0049126A">
        <w:rPr>
          <w:rFonts w:ascii="Times New Roman" w:hAnsi="Times New Roman" w:cs="Times New Roman"/>
          <w:b/>
          <w:sz w:val="24"/>
          <w:szCs w:val="24"/>
        </w:rPr>
        <w:t>Clinic  - fisa monitorizare registru</w:t>
      </w:r>
    </w:p>
    <w:p w14:paraId="04E6D58A" w14:textId="77777777" w:rsidR="00543C11" w:rsidRPr="0049126A" w:rsidRDefault="00543C11" w:rsidP="00543C11">
      <w:pPr>
        <w:pStyle w:val="ListParagraph"/>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rPr>
          <w:rFonts w:eastAsiaTheme="minorHAnsi"/>
          <w:color w:val="auto"/>
          <w:lang w:val="en-US" w:eastAsia="en-US"/>
        </w:rPr>
      </w:pPr>
      <w:r w:rsidRPr="0049126A">
        <w:rPr>
          <w:rFonts w:eastAsiaTheme="minorHAnsi"/>
          <w:b/>
          <w:color w:val="auto"/>
          <w:lang w:eastAsia="en-US"/>
        </w:rPr>
        <w:t xml:space="preserve">Paraclinic și explorări complementare </w:t>
      </w:r>
    </w:p>
    <w:tbl>
      <w:tblPr>
        <w:tblStyle w:val="TableGrid"/>
        <w:tblW w:w="5000" w:type="pct"/>
        <w:tblLook w:val="04A0" w:firstRow="1" w:lastRow="0" w:firstColumn="1" w:lastColumn="0" w:noHBand="0" w:noVBand="1"/>
      </w:tblPr>
      <w:tblGrid>
        <w:gridCol w:w="1981"/>
        <w:gridCol w:w="4111"/>
        <w:gridCol w:w="3538"/>
      </w:tblGrid>
      <w:tr w:rsidR="0049126A" w:rsidRPr="0049126A" w14:paraId="07794D26" w14:textId="77777777" w:rsidTr="00BB4129">
        <w:tc>
          <w:tcPr>
            <w:tcW w:w="1028" w:type="pct"/>
          </w:tcPr>
          <w:p w14:paraId="269AD01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Afecțiune</w:t>
            </w:r>
          </w:p>
        </w:tc>
        <w:tc>
          <w:tcPr>
            <w:tcW w:w="2134" w:type="pct"/>
          </w:tcPr>
          <w:p w14:paraId="1C2E151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Testare</w:t>
            </w:r>
          </w:p>
        </w:tc>
        <w:tc>
          <w:tcPr>
            <w:tcW w:w="1837" w:type="pct"/>
          </w:tcPr>
          <w:p w14:paraId="2EEAF9A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Ritmicitate</w:t>
            </w:r>
          </w:p>
        </w:tc>
      </w:tr>
      <w:tr w:rsidR="0049126A" w:rsidRPr="0049126A" w14:paraId="77205C24" w14:textId="77777777" w:rsidTr="00BB4129">
        <w:tc>
          <w:tcPr>
            <w:tcW w:w="1028" w:type="pct"/>
          </w:tcPr>
          <w:p w14:paraId="5391627A"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Investigații generale</w:t>
            </w:r>
          </w:p>
        </w:tc>
        <w:tc>
          <w:tcPr>
            <w:tcW w:w="2134" w:type="pct"/>
          </w:tcPr>
          <w:p w14:paraId="0B7BBA97"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Hemogramă, VSH, fibrinogen</w:t>
            </w:r>
          </w:p>
          <w:p w14:paraId="24B1E549"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Calciu, fosfor, fosfatază alcalină, albumina Sodiu,potasiu, clor seric</w:t>
            </w:r>
          </w:p>
        </w:tc>
        <w:tc>
          <w:tcPr>
            <w:tcW w:w="1837" w:type="pct"/>
          </w:tcPr>
          <w:p w14:paraId="57B5DE5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ulterior la la 6 luni</w:t>
            </w:r>
          </w:p>
        </w:tc>
      </w:tr>
      <w:tr w:rsidR="0049126A" w:rsidRPr="0049126A" w14:paraId="66EC9B69" w14:textId="77777777" w:rsidTr="00BB4129">
        <w:tc>
          <w:tcPr>
            <w:tcW w:w="1028" w:type="pct"/>
          </w:tcPr>
          <w:p w14:paraId="2F7BC06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Diabetul zaharat</w:t>
            </w:r>
          </w:p>
          <w:p w14:paraId="3991C614"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2868B4C0"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Glicemie a jeun</w:t>
            </w:r>
          </w:p>
          <w:p w14:paraId="53EAE82A"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OGTT</w:t>
            </w:r>
          </w:p>
          <w:p w14:paraId="75D978D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bCs/>
                <w:sz w:val="20"/>
                <w:szCs w:val="20"/>
                <w:lang w:val="it-IT"/>
              </w:rPr>
              <w:t>HbA1c</w:t>
            </w:r>
          </w:p>
        </w:tc>
        <w:tc>
          <w:tcPr>
            <w:tcW w:w="1837" w:type="pct"/>
          </w:tcPr>
          <w:p w14:paraId="32FE757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la 6 luni</w:t>
            </w:r>
          </w:p>
        </w:tc>
      </w:tr>
      <w:tr w:rsidR="0049126A" w:rsidRPr="0049126A" w14:paraId="609427B5" w14:textId="77777777" w:rsidTr="00BB4129">
        <w:tc>
          <w:tcPr>
            <w:tcW w:w="1028" w:type="pct"/>
          </w:tcPr>
          <w:p w14:paraId="1E12F4C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Rezistența la insulină </w:t>
            </w:r>
          </w:p>
          <w:p w14:paraId="5845EDE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(în absența criteriilor de DZ)</w:t>
            </w:r>
          </w:p>
        </w:tc>
        <w:tc>
          <w:tcPr>
            <w:tcW w:w="2134" w:type="pct"/>
          </w:tcPr>
          <w:p w14:paraId="0DC5A9AB"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Insulinemie bazală</w:t>
            </w:r>
          </w:p>
          <w:p w14:paraId="730AAF4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bCs/>
                <w:sz w:val="20"/>
                <w:szCs w:val="20"/>
                <w:lang w:val="it-IT"/>
              </w:rPr>
              <w:t>Scor HOMA</w:t>
            </w:r>
          </w:p>
        </w:tc>
        <w:tc>
          <w:tcPr>
            <w:tcW w:w="1837" w:type="pct"/>
          </w:tcPr>
          <w:p w14:paraId="7BF4274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la 6 luni</w:t>
            </w:r>
          </w:p>
        </w:tc>
      </w:tr>
      <w:tr w:rsidR="0049126A" w:rsidRPr="0049126A" w14:paraId="221E23AD" w14:textId="77777777" w:rsidTr="00BB4129">
        <w:tc>
          <w:tcPr>
            <w:tcW w:w="1028" w:type="pct"/>
            <w:vMerge w:val="restart"/>
          </w:tcPr>
          <w:p w14:paraId="2EC4454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Dislipidemia</w:t>
            </w:r>
          </w:p>
          <w:p w14:paraId="3AA1F481"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722DD88B"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Trigliceride</w:t>
            </w:r>
          </w:p>
        </w:tc>
        <w:tc>
          <w:tcPr>
            <w:tcW w:w="1837" w:type="pct"/>
          </w:tcPr>
          <w:p w14:paraId="63D94AF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6 luni; oricând  la apariția durerilor abdominale/la apariția xantoamelor</w:t>
            </w:r>
          </w:p>
        </w:tc>
      </w:tr>
      <w:tr w:rsidR="0049126A" w:rsidRPr="0049126A" w14:paraId="56C51C10" w14:textId="77777777" w:rsidTr="00BB4129">
        <w:tc>
          <w:tcPr>
            <w:tcW w:w="1028" w:type="pct"/>
            <w:vMerge/>
          </w:tcPr>
          <w:p w14:paraId="794B68EE"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5D055E6E"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Colesterol total</w:t>
            </w:r>
          </w:p>
          <w:p w14:paraId="3204986C"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LDL și HDL colesterol</w:t>
            </w:r>
          </w:p>
        </w:tc>
        <w:tc>
          <w:tcPr>
            <w:tcW w:w="1837" w:type="pct"/>
          </w:tcPr>
          <w:p w14:paraId="755847B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și ulterior la 6 luni;</w:t>
            </w:r>
          </w:p>
        </w:tc>
      </w:tr>
      <w:tr w:rsidR="0049126A" w:rsidRPr="0049126A" w14:paraId="0C9DBA79" w14:textId="77777777" w:rsidTr="00BB4129">
        <w:tc>
          <w:tcPr>
            <w:tcW w:w="1028" w:type="pct"/>
          </w:tcPr>
          <w:p w14:paraId="62D27C22"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Afecțiunea hepatică</w:t>
            </w:r>
          </w:p>
        </w:tc>
        <w:tc>
          <w:tcPr>
            <w:tcW w:w="2134" w:type="pct"/>
          </w:tcPr>
          <w:p w14:paraId="3FF11AE3"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TGO, TGP, GGT, Bil T, D</w:t>
            </w:r>
          </w:p>
        </w:tc>
        <w:tc>
          <w:tcPr>
            <w:tcW w:w="1837" w:type="pct"/>
          </w:tcPr>
          <w:p w14:paraId="1FA15DF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la 3 luni în primul an de terapie, ulterior la 6 luni; oricând  la apariția durerilor abdominale</w:t>
            </w:r>
          </w:p>
        </w:tc>
      </w:tr>
      <w:tr w:rsidR="0049126A" w:rsidRPr="0049126A" w14:paraId="3519DBFA" w14:textId="77777777" w:rsidTr="00BB4129">
        <w:tc>
          <w:tcPr>
            <w:tcW w:w="1028" w:type="pct"/>
            <w:vMerge w:val="restart"/>
          </w:tcPr>
          <w:p w14:paraId="1A077838"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Steatoză/fibroză</w:t>
            </w:r>
          </w:p>
          <w:p w14:paraId="2B9BC207"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116F5D8A"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Ecografie hepatică</w:t>
            </w:r>
          </w:p>
        </w:tc>
        <w:tc>
          <w:tcPr>
            <w:tcW w:w="1837" w:type="pct"/>
          </w:tcPr>
          <w:p w14:paraId="7864262F"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Anual și la nevoie în funcție de clinică</w:t>
            </w:r>
          </w:p>
        </w:tc>
      </w:tr>
      <w:tr w:rsidR="0049126A" w:rsidRPr="0049126A" w14:paraId="4724DC26" w14:textId="77777777" w:rsidTr="00BB4129">
        <w:tc>
          <w:tcPr>
            <w:tcW w:w="1028" w:type="pct"/>
            <w:vMerge/>
          </w:tcPr>
          <w:p w14:paraId="3C18C5E2"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1D6C548F"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FIBROSCAN /FIBROMAX</w:t>
            </w:r>
          </w:p>
        </w:tc>
        <w:tc>
          <w:tcPr>
            <w:tcW w:w="1837" w:type="pct"/>
          </w:tcPr>
          <w:p w14:paraId="5FF4A32D"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anual și oricând în funcție de contextul clinic</w:t>
            </w:r>
          </w:p>
        </w:tc>
      </w:tr>
      <w:tr w:rsidR="0049126A" w:rsidRPr="0049126A" w14:paraId="0EDF0F0B" w14:textId="77777777" w:rsidTr="00BB4129">
        <w:tc>
          <w:tcPr>
            <w:tcW w:w="1028" w:type="pct"/>
          </w:tcPr>
          <w:p w14:paraId="6C1E7FB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cardiacă</w:t>
            </w:r>
          </w:p>
        </w:tc>
        <w:tc>
          <w:tcPr>
            <w:tcW w:w="2134" w:type="pct"/>
          </w:tcPr>
          <w:p w14:paraId="691738A5"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Consult cardiologic (EKG, ecografie</w:t>
            </w:r>
          </w:p>
          <w:p w14:paraId="3AE4FAC4"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 xml:space="preserve">Eventual Holter EKG) </w:t>
            </w:r>
          </w:p>
        </w:tc>
        <w:tc>
          <w:tcPr>
            <w:tcW w:w="1837" w:type="pct"/>
          </w:tcPr>
          <w:p w14:paraId="7D750F7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inițierea terapiei, apoi anual și intermediar la nevoie</w:t>
            </w:r>
          </w:p>
        </w:tc>
      </w:tr>
      <w:tr w:rsidR="0049126A" w:rsidRPr="0049126A" w14:paraId="7B26FCB5" w14:textId="77777777" w:rsidTr="00BB4129">
        <w:tc>
          <w:tcPr>
            <w:tcW w:w="1028" w:type="pct"/>
          </w:tcPr>
          <w:p w14:paraId="1E50BF23"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renală</w:t>
            </w:r>
          </w:p>
        </w:tc>
        <w:tc>
          <w:tcPr>
            <w:tcW w:w="2134" w:type="pct"/>
          </w:tcPr>
          <w:p w14:paraId="1AC166A7" w14:textId="1267B2C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Uree ,</w:t>
            </w:r>
            <w:r w:rsidR="00BB4129" w:rsidRPr="0049126A">
              <w:rPr>
                <w:rFonts w:ascii="Times New Roman" w:hAnsi="Times New Roman" w:cs="Times New Roman"/>
                <w:b/>
                <w:bCs/>
                <w:sz w:val="20"/>
                <w:szCs w:val="20"/>
                <w:lang w:val="it-IT"/>
              </w:rPr>
              <w:t xml:space="preserve"> </w:t>
            </w:r>
            <w:r w:rsidRPr="0049126A">
              <w:rPr>
                <w:rFonts w:ascii="Times New Roman" w:hAnsi="Times New Roman" w:cs="Times New Roman"/>
                <w:b/>
                <w:bCs/>
                <w:sz w:val="20"/>
                <w:szCs w:val="20"/>
                <w:lang w:val="it-IT"/>
              </w:rPr>
              <w:t>creatinină, ac uric</w:t>
            </w:r>
          </w:p>
          <w:p w14:paraId="088BCC58"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Măsurare proteinurie</w:t>
            </w:r>
          </w:p>
          <w:p w14:paraId="762AFDDE" w14:textId="77777777" w:rsidR="00543C11" w:rsidRPr="0049126A" w:rsidRDefault="00543C11" w:rsidP="00BB4129">
            <w:pPr>
              <w:tabs>
                <w:tab w:val="left" w:pos="132"/>
              </w:tabs>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w:t>
            </w:r>
            <w:r w:rsidRPr="0049126A">
              <w:rPr>
                <w:rFonts w:ascii="Times New Roman" w:hAnsi="Times New Roman" w:cs="Times New Roman"/>
                <w:b/>
                <w:bCs/>
                <w:sz w:val="20"/>
                <w:szCs w:val="20"/>
                <w:lang w:val="it-IT"/>
              </w:rPr>
              <w:tab/>
              <w:t>În urina pe 24 ore</w:t>
            </w:r>
          </w:p>
          <w:p w14:paraId="6A5A2CCD" w14:textId="1C34D173" w:rsidR="00543C11" w:rsidRPr="0049126A" w:rsidRDefault="00543C11" w:rsidP="00BB4129">
            <w:pPr>
              <w:tabs>
                <w:tab w:val="left" w:pos="132"/>
              </w:tabs>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w:t>
            </w:r>
            <w:r w:rsidRPr="0049126A">
              <w:rPr>
                <w:rFonts w:ascii="Times New Roman" w:hAnsi="Times New Roman" w:cs="Times New Roman"/>
                <w:b/>
                <w:bCs/>
                <w:sz w:val="20"/>
                <w:szCs w:val="20"/>
                <w:lang w:val="it-IT"/>
              </w:rPr>
              <w:tab/>
              <w:t>În spotul urinar, raport proteine/creatinină</w:t>
            </w:r>
          </w:p>
          <w:p w14:paraId="207597C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b/>
                <w:bCs/>
                <w:sz w:val="20"/>
                <w:szCs w:val="20"/>
                <w:lang w:val="it-IT"/>
              </w:rPr>
              <w:t>Glicozurie în urina spontană</w:t>
            </w:r>
          </w:p>
        </w:tc>
        <w:tc>
          <w:tcPr>
            <w:tcW w:w="1837" w:type="pct"/>
          </w:tcPr>
          <w:p w14:paraId="5A4B947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La inițierea terapiei, apoi anual </w:t>
            </w:r>
          </w:p>
          <w:p w14:paraId="208A77EA"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3 luni la pacienții cu afectare renală preexistentă</w:t>
            </w:r>
          </w:p>
        </w:tc>
      </w:tr>
      <w:tr w:rsidR="0049126A" w:rsidRPr="0049126A" w14:paraId="227D102C" w14:textId="77777777" w:rsidTr="00BB4129">
        <w:tc>
          <w:tcPr>
            <w:tcW w:w="1028" w:type="pct"/>
          </w:tcPr>
          <w:p w14:paraId="21B9AE82"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6B68635A"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Ecografie renală</w:t>
            </w:r>
          </w:p>
        </w:tc>
        <w:tc>
          <w:tcPr>
            <w:tcW w:w="1837" w:type="pct"/>
          </w:tcPr>
          <w:p w14:paraId="1EB8616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6 luni la pacienții cu afectare renală preexistentă sau cu modificări biologice</w:t>
            </w:r>
          </w:p>
        </w:tc>
      </w:tr>
      <w:tr w:rsidR="0049126A" w:rsidRPr="0049126A" w14:paraId="4779D38E" w14:textId="77777777" w:rsidTr="00BB4129">
        <w:tc>
          <w:tcPr>
            <w:tcW w:w="1028" w:type="pct"/>
          </w:tcPr>
          <w:p w14:paraId="32E22F78"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Afectarea gonadică</w:t>
            </w:r>
          </w:p>
        </w:tc>
        <w:tc>
          <w:tcPr>
            <w:tcW w:w="2134" w:type="pct"/>
          </w:tcPr>
          <w:p w14:paraId="2A43CD03"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În funcție de context</w:t>
            </w:r>
          </w:p>
          <w:p w14:paraId="061CAB55" w14:textId="3153F308" w:rsidR="00543C11" w:rsidRPr="0049126A" w:rsidRDefault="00543C11" w:rsidP="00BB4129">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32" w:hanging="132"/>
              <w:contextualSpacing/>
              <w:jc w:val="both"/>
              <w:rPr>
                <w:b/>
                <w:bCs/>
                <w:color w:val="auto"/>
                <w:sz w:val="20"/>
                <w:szCs w:val="20"/>
                <w:lang w:val="it-IT"/>
              </w:rPr>
            </w:pPr>
            <w:r w:rsidRPr="0049126A">
              <w:rPr>
                <w:b/>
                <w:bCs/>
                <w:color w:val="auto"/>
                <w:sz w:val="20"/>
                <w:szCs w:val="20"/>
                <w:lang w:val="it-IT"/>
              </w:rPr>
              <w:t>Evaluări specifice conform protocoalelor de pubertate precoce/întârziată</w:t>
            </w:r>
          </w:p>
        </w:tc>
        <w:tc>
          <w:tcPr>
            <w:tcW w:w="1837" w:type="pct"/>
          </w:tcPr>
          <w:p w14:paraId="14E59B0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6 luni</w:t>
            </w:r>
          </w:p>
        </w:tc>
      </w:tr>
      <w:tr w:rsidR="0049126A" w:rsidRPr="0049126A" w14:paraId="745345A7" w14:textId="77777777" w:rsidTr="00BB4129">
        <w:tc>
          <w:tcPr>
            <w:tcW w:w="1028" w:type="pct"/>
          </w:tcPr>
          <w:p w14:paraId="27B5D145"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052A0003" w14:textId="77777777" w:rsidR="00543C11" w:rsidRPr="0049126A" w:rsidRDefault="00543C11" w:rsidP="00BB4129">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32" w:hanging="142"/>
              <w:contextualSpacing/>
              <w:jc w:val="both"/>
              <w:rPr>
                <w:b/>
                <w:bCs/>
                <w:color w:val="auto"/>
                <w:sz w:val="20"/>
                <w:szCs w:val="20"/>
                <w:lang w:val="it-IT"/>
              </w:rPr>
            </w:pPr>
            <w:r w:rsidRPr="0049126A">
              <w:rPr>
                <w:b/>
                <w:bCs/>
                <w:color w:val="auto"/>
                <w:sz w:val="20"/>
                <w:szCs w:val="20"/>
                <w:lang w:val="it-IT"/>
              </w:rPr>
              <w:t>Evaluări conform protocoalelor de terapie si monitorizarea SOPC</w:t>
            </w:r>
          </w:p>
        </w:tc>
        <w:tc>
          <w:tcPr>
            <w:tcW w:w="1837" w:type="pct"/>
          </w:tcPr>
          <w:p w14:paraId="374F328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6 luni</w:t>
            </w:r>
          </w:p>
        </w:tc>
      </w:tr>
      <w:tr w:rsidR="0049126A" w:rsidRPr="0049126A" w14:paraId="67B36029" w14:textId="77777777" w:rsidTr="00BB4129">
        <w:tc>
          <w:tcPr>
            <w:tcW w:w="1028" w:type="pct"/>
          </w:tcPr>
          <w:p w14:paraId="39A4103A" w14:textId="77777777" w:rsidR="00543C11" w:rsidRPr="0049126A" w:rsidRDefault="00543C11" w:rsidP="00543C11">
            <w:pPr>
              <w:spacing w:line="276" w:lineRule="auto"/>
              <w:jc w:val="both"/>
              <w:rPr>
                <w:rFonts w:ascii="Times New Roman" w:hAnsi="Times New Roman" w:cs="Times New Roman"/>
                <w:sz w:val="20"/>
                <w:szCs w:val="20"/>
                <w:lang w:val="it-IT"/>
              </w:rPr>
            </w:pPr>
          </w:p>
        </w:tc>
        <w:tc>
          <w:tcPr>
            <w:tcW w:w="2134" w:type="pct"/>
          </w:tcPr>
          <w:p w14:paraId="660F64F3" w14:textId="77777777" w:rsidR="00543C11" w:rsidRPr="0049126A" w:rsidRDefault="00543C11" w:rsidP="00BB4129">
            <w:pPr>
              <w:pStyle w:val="List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132" w:hanging="142"/>
              <w:contextualSpacing/>
              <w:jc w:val="both"/>
              <w:rPr>
                <w:b/>
                <w:bCs/>
                <w:color w:val="auto"/>
                <w:sz w:val="20"/>
                <w:szCs w:val="20"/>
                <w:lang w:val="it-IT"/>
              </w:rPr>
            </w:pPr>
            <w:r w:rsidRPr="0049126A">
              <w:rPr>
                <w:b/>
                <w:bCs/>
                <w:color w:val="auto"/>
                <w:sz w:val="20"/>
                <w:szCs w:val="20"/>
                <w:lang w:val="it-IT"/>
              </w:rPr>
              <w:t>Evalări specificie protocoalelor de hipogonadism</w:t>
            </w:r>
          </w:p>
        </w:tc>
        <w:tc>
          <w:tcPr>
            <w:tcW w:w="1837" w:type="pct"/>
          </w:tcPr>
          <w:p w14:paraId="77A09CFC"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6 luni</w:t>
            </w:r>
          </w:p>
        </w:tc>
      </w:tr>
      <w:tr w:rsidR="0049126A" w:rsidRPr="0049126A" w14:paraId="0C95E496" w14:textId="77777777" w:rsidTr="00BB4129">
        <w:tc>
          <w:tcPr>
            <w:tcW w:w="1028" w:type="pct"/>
          </w:tcPr>
          <w:p w14:paraId="677D0565"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 xml:space="preserve">Evaluare funcție tiroidiană </w:t>
            </w:r>
          </w:p>
        </w:tc>
        <w:tc>
          <w:tcPr>
            <w:tcW w:w="2134" w:type="pct"/>
          </w:tcPr>
          <w:p w14:paraId="4244E13D"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TSH, freeT4, ATPO</w:t>
            </w:r>
          </w:p>
          <w:p w14:paraId="6781AA10"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b/>
                <w:bCs/>
                <w:sz w:val="20"/>
                <w:szCs w:val="20"/>
                <w:lang w:val="it-IT"/>
              </w:rPr>
              <w:t>La nevoie (context clinic, autoimunitate pozitivă) - ecografie tiroidiană</w:t>
            </w:r>
          </w:p>
        </w:tc>
        <w:tc>
          <w:tcPr>
            <w:tcW w:w="1837" w:type="pct"/>
          </w:tcPr>
          <w:p w14:paraId="74661DE6"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Anual</w:t>
            </w:r>
          </w:p>
        </w:tc>
      </w:tr>
      <w:tr w:rsidR="0049126A" w:rsidRPr="0049126A" w14:paraId="316EB849" w14:textId="77777777" w:rsidTr="00BB4129">
        <w:tc>
          <w:tcPr>
            <w:tcW w:w="1028" w:type="pct"/>
          </w:tcPr>
          <w:p w14:paraId="6D6F14D9"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Afectare oftalmologică</w:t>
            </w:r>
          </w:p>
        </w:tc>
        <w:tc>
          <w:tcPr>
            <w:tcW w:w="2134" w:type="pct"/>
          </w:tcPr>
          <w:p w14:paraId="597FB82D"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sz w:val="20"/>
                <w:szCs w:val="20"/>
                <w:lang w:val="it-IT"/>
              </w:rPr>
              <w:t>Examen oftalmologic complet, inclusiv examinarea cu lampă cu fantă (hiperlipemie)</w:t>
            </w:r>
          </w:p>
        </w:tc>
        <w:tc>
          <w:tcPr>
            <w:tcW w:w="1837" w:type="pct"/>
          </w:tcPr>
          <w:p w14:paraId="13C96D31"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Anual</w:t>
            </w:r>
          </w:p>
        </w:tc>
      </w:tr>
      <w:tr w:rsidR="00543C11" w:rsidRPr="0049126A" w14:paraId="3DE19D2F" w14:textId="77777777" w:rsidTr="00BB4129">
        <w:tc>
          <w:tcPr>
            <w:tcW w:w="1028" w:type="pct"/>
          </w:tcPr>
          <w:p w14:paraId="7FA086EE"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În cazul infecțiilor recurente</w:t>
            </w:r>
          </w:p>
        </w:tc>
        <w:tc>
          <w:tcPr>
            <w:tcW w:w="2134" w:type="pct"/>
          </w:tcPr>
          <w:p w14:paraId="4C65646D" w14:textId="77777777" w:rsidR="00543C11" w:rsidRPr="0049126A" w:rsidRDefault="00543C11" w:rsidP="00543C11">
            <w:pPr>
              <w:spacing w:line="276" w:lineRule="auto"/>
              <w:jc w:val="both"/>
              <w:rPr>
                <w:rFonts w:ascii="Times New Roman" w:hAnsi="Times New Roman" w:cs="Times New Roman"/>
                <w:b/>
                <w:bCs/>
                <w:sz w:val="20"/>
                <w:szCs w:val="20"/>
                <w:lang w:val="it-IT"/>
              </w:rPr>
            </w:pPr>
            <w:r w:rsidRPr="0049126A">
              <w:rPr>
                <w:rFonts w:ascii="Times New Roman" w:hAnsi="Times New Roman" w:cs="Times New Roman"/>
                <w:sz w:val="20"/>
                <w:szCs w:val="20"/>
                <w:lang w:val="pt-BR"/>
              </w:rPr>
              <w:t>Dozare anticorpi antileptină neutralizanți</w:t>
            </w:r>
          </w:p>
        </w:tc>
        <w:tc>
          <w:tcPr>
            <w:tcW w:w="1837" w:type="pct"/>
          </w:tcPr>
          <w:p w14:paraId="68CA8F20" w14:textId="77777777" w:rsidR="00543C11" w:rsidRPr="0049126A" w:rsidRDefault="00543C11" w:rsidP="00543C11">
            <w:pPr>
              <w:spacing w:line="276" w:lineRule="auto"/>
              <w:jc w:val="both"/>
              <w:rPr>
                <w:rFonts w:ascii="Times New Roman" w:hAnsi="Times New Roman" w:cs="Times New Roman"/>
                <w:sz w:val="20"/>
                <w:szCs w:val="20"/>
                <w:lang w:val="it-IT"/>
              </w:rPr>
            </w:pPr>
            <w:r w:rsidRPr="0049126A">
              <w:rPr>
                <w:rFonts w:ascii="Times New Roman" w:hAnsi="Times New Roman" w:cs="Times New Roman"/>
                <w:sz w:val="20"/>
                <w:szCs w:val="20"/>
                <w:lang w:val="it-IT"/>
              </w:rPr>
              <w:t>La nevoie</w:t>
            </w:r>
          </w:p>
        </w:tc>
      </w:tr>
    </w:tbl>
    <w:p w14:paraId="5DEE47DB" w14:textId="77777777" w:rsidR="00EA64E2" w:rsidRPr="0049126A" w:rsidRDefault="00EA64E2" w:rsidP="00BB4129">
      <w:pPr>
        <w:spacing w:line="276" w:lineRule="auto"/>
        <w:contextualSpacing/>
        <w:rPr>
          <w:rFonts w:ascii="Times New Roman" w:hAnsi="Times New Roman" w:cs="Times New Roman"/>
          <w:b/>
          <w:sz w:val="24"/>
          <w:szCs w:val="24"/>
          <w:lang w:val="en-US"/>
        </w:rPr>
      </w:pPr>
    </w:p>
    <w:p w14:paraId="7DCEA918" w14:textId="4EF4740B" w:rsidR="00543C11" w:rsidRPr="0049126A" w:rsidRDefault="00543C11" w:rsidP="00543C11">
      <w:pPr>
        <w:numPr>
          <w:ilvl w:val="0"/>
          <w:numId w:val="76"/>
        </w:numPr>
        <w:spacing w:line="276" w:lineRule="auto"/>
        <w:contextualSpacing/>
        <w:rPr>
          <w:rFonts w:ascii="Times New Roman" w:hAnsi="Times New Roman" w:cs="Times New Roman"/>
          <w:sz w:val="24"/>
          <w:szCs w:val="24"/>
          <w:lang w:val="pt-BR"/>
        </w:rPr>
      </w:pPr>
      <w:r w:rsidRPr="0049126A">
        <w:rPr>
          <w:rFonts w:ascii="Times New Roman" w:hAnsi="Times New Roman" w:cs="Times New Roman"/>
          <w:b/>
          <w:sz w:val="24"/>
          <w:szCs w:val="24"/>
          <w:lang w:val="pt-BR"/>
        </w:rPr>
        <w:t>Dozele de terapie antidiabetică și/ sau hipolipemiantă</w:t>
      </w:r>
    </w:p>
    <w:p w14:paraId="7C39F646" w14:textId="6E0E2950" w:rsidR="00543C11" w:rsidRPr="0049126A" w:rsidRDefault="00BB4129" w:rsidP="00543C11">
      <w:pPr>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lastRenderedPageBreak/>
        <w:t xml:space="preserve">Criteriile de evaluare a eficacităţii terapeutice </w:t>
      </w:r>
    </w:p>
    <w:p w14:paraId="56A9E5AC" w14:textId="77777777" w:rsidR="00543C11" w:rsidRPr="0049126A" w:rsidRDefault="00543C11" w:rsidP="00BB4129">
      <w:pPr>
        <w:spacing w:line="276" w:lineRule="auto"/>
        <w:contextualSpacing/>
        <w:jc w:val="both"/>
        <w:rPr>
          <w:rFonts w:ascii="Times New Roman" w:hAnsi="Times New Roman" w:cs="Times New Roman"/>
          <w:sz w:val="24"/>
          <w:szCs w:val="24"/>
        </w:rPr>
      </w:pPr>
      <w:r w:rsidRPr="0049126A">
        <w:rPr>
          <w:rFonts w:ascii="Times New Roman" w:hAnsi="Times New Roman" w:cs="Times New Roman"/>
          <w:b/>
          <w:sz w:val="24"/>
          <w:szCs w:val="24"/>
        </w:rPr>
        <w:t>1. Evaluarea şi reevaluarea pacienţilor</w:t>
      </w:r>
      <w:r w:rsidRPr="0049126A">
        <w:rPr>
          <w:rFonts w:ascii="Times New Roman" w:hAnsi="Times New Roman" w:cs="Times New Roman"/>
          <w:sz w:val="24"/>
          <w:szCs w:val="24"/>
        </w:rPr>
        <w:t xml:space="preserve"> se face de către un medic endocrinolog sau diabetolog  cu experiență în tratamentul pacienților cu boli  metabolice dintr-o clinică universitară (Bucureşti, Iaşi, Tg. Mureş, Cluj, Timișoara, Oradea, Craiova,Constanța, Sibiu) numit evaluator. La nivelul fiecarui Centru Universitar se va numi </w:t>
      </w:r>
      <w:r w:rsidRPr="0049126A">
        <w:rPr>
          <w:rFonts w:ascii="Times New Roman" w:hAnsi="Times New Roman" w:cs="Times New Roman"/>
          <w:b/>
          <w:sz w:val="24"/>
          <w:szCs w:val="24"/>
        </w:rPr>
        <w:t>o comisie de avizare a initierii si continuarii/intreruperii terapiei</w:t>
      </w:r>
      <w:r w:rsidRPr="0049126A">
        <w:rPr>
          <w:rFonts w:ascii="Times New Roman" w:hAnsi="Times New Roman" w:cs="Times New Roman"/>
          <w:sz w:val="24"/>
          <w:szCs w:val="24"/>
        </w:rPr>
        <w:t xml:space="preserve"> alcatuită din medic endocrinolog, diabetolog, genetician clinician, pediatru, cardiolog, gastroenterolog, reumatolog (LP dobandite), hematolog. Șeful clinicii universitare cu drept de prescriere va propune președintele comisiei de avizare, care va fi medic endocrinolog și care va propune ceilalți membri ai comisiei. </w:t>
      </w:r>
    </w:p>
    <w:p w14:paraId="79877DBA" w14:textId="77777777" w:rsidR="00BB4129" w:rsidRPr="0049126A" w:rsidRDefault="00BB4129" w:rsidP="00BB4129">
      <w:pPr>
        <w:spacing w:line="276" w:lineRule="auto"/>
        <w:contextualSpacing/>
        <w:jc w:val="both"/>
        <w:rPr>
          <w:rFonts w:ascii="Times New Roman" w:hAnsi="Times New Roman" w:cs="Times New Roman"/>
          <w:b/>
          <w:sz w:val="24"/>
          <w:szCs w:val="24"/>
        </w:rPr>
      </w:pPr>
    </w:p>
    <w:p w14:paraId="4EDCD645" w14:textId="77777777" w:rsidR="00543C11" w:rsidRPr="0049126A" w:rsidRDefault="00543C11" w:rsidP="00BB4129">
      <w:pPr>
        <w:spacing w:line="276" w:lineRule="auto"/>
        <w:contextualSpacing/>
        <w:jc w:val="both"/>
        <w:rPr>
          <w:rFonts w:ascii="Times New Roman" w:hAnsi="Times New Roman" w:cs="Times New Roman"/>
          <w:b/>
          <w:sz w:val="24"/>
          <w:szCs w:val="24"/>
          <w:lang w:val="pt-BR"/>
        </w:rPr>
      </w:pPr>
      <w:r w:rsidRPr="0049126A">
        <w:rPr>
          <w:rFonts w:ascii="Times New Roman" w:hAnsi="Times New Roman" w:cs="Times New Roman"/>
          <w:b/>
          <w:sz w:val="24"/>
          <w:szCs w:val="24"/>
        </w:rPr>
        <w:t xml:space="preserve">2. Criterii de apreciere a eficienţei terapiei: </w:t>
      </w:r>
    </w:p>
    <w:p w14:paraId="01D37AD4" w14:textId="21ABB540" w:rsidR="00543C11" w:rsidRPr="0049126A" w:rsidRDefault="00543C11" w:rsidP="00EA64E2">
      <w:pPr>
        <w:spacing w:line="276" w:lineRule="auto"/>
        <w:contextualSpacing/>
        <w:jc w:val="both"/>
        <w:rPr>
          <w:rFonts w:ascii="Times New Roman" w:hAnsi="Times New Roman" w:cs="Times New Roman"/>
          <w:sz w:val="24"/>
          <w:szCs w:val="24"/>
        </w:rPr>
      </w:pPr>
      <w:r w:rsidRPr="0049126A">
        <w:rPr>
          <w:rFonts w:ascii="Times New Roman" w:hAnsi="Times New Roman" w:cs="Times New Roman"/>
          <w:sz w:val="24"/>
          <w:szCs w:val="24"/>
        </w:rPr>
        <w:t xml:space="preserve">În cursul primului an de terapie </w:t>
      </w:r>
      <w:r w:rsidR="00EA64E2" w:rsidRPr="0049126A">
        <w:rPr>
          <w:rFonts w:ascii="Times New Roman" w:hAnsi="Times New Roman" w:cs="Times New Roman"/>
          <w:sz w:val="24"/>
          <w:szCs w:val="24"/>
        </w:rPr>
        <w:t>este considerat raspuns minim :</w:t>
      </w:r>
    </w:p>
    <w:p w14:paraId="291BD79B" w14:textId="77777777" w:rsidR="00543C11" w:rsidRPr="0049126A" w:rsidRDefault="00543C11" w:rsidP="008F5FCC">
      <w:pPr>
        <w:numPr>
          <w:ilvl w:val="1"/>
          <w:numId w:val="78"/>
        </w:numPr>
        <w:spacing w:line="276" w:lineRule="auto"/>
        <w:contextualSpacing/>
        <w:jc w:val="both"/>
        <w:rPr>
          <w:rFonts w:ascii="Times New Roman" w:hAnsi="Times New Roman" w:cs="Times New Roman"/>
          <w:sz w:val="24"/>
          <w:szCs w:val="24"/>
          <w:lang w:val="en-US"/>
        </w:rPr>
      </w:pPr>
      <w:r w:rsidRPr="0049126A">
        <w:rPr>
          <w:rFonts w:ascii="Times New Roman" w:hAnsi="Times New Roman" w:cs="Times New Roman"/>
          <w:sz w:val="24"/>
          <w:szCs w:val="24"/>
          <w:lang w:val="en-US"/>
        </w:rPr>
        <w:t xml:space="preserve">≥ 0,5% reducere a HbA1C ± </w:t>
      </w:r>
    </w:p>
    <w:p w14:paraId="2C2B1ED1" w14:textId="77777777" w:rsidR="00543C11" w:rsidRPr="0049126A" w:rsidRDefault="00543C11" w:rsidP="008F5FCC">
      <w:pPr>
        <w:numPr>
          <w:ilvl w:val="1"/>
          <w:numId w:val="78"/>
        </w:numPr>
        <w:spacing w:line="276" w:lineRule="auto"/>
        <w:contextualSpacing/>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25% reducere a necesarului de insulină ±</w:t>
      </w:r>
    </w:p>
    <w:p w14:paraId="2255524B" w14:textId="7AF9A863" w:rsidR="00EA64E2" w:rsidRPr="0049126A" w:rsidRDefault="00543C11" w:rsidP="008F5FCC">
      <w:pPr>
        <w:numPr>
          <w:ilvl w:val="1"/>
          <w:numId w:val="78"/>
        </w:numPr>
        <w:spacing w:line="276" w:lineRule="auto"/>
        <w:contextualSpacing/>
        <w:jc w:val="both"/>
        <w:rPr>
          <w:rFonts w:ascii="Times New Roman" w:hAnsi="Times New Roman" w:cs="Times New Roman"/>
          <w:sz w:val="24"/>
          <w:szCs w:val="24"/>
          <w:lang w:val="en-US"/>
        </w:rPr>
      </w:pPr>
      <w:r w:rsidRPr="0049126A">
        <w:rPr>
          <w:rFonts w:ascii="Times New Roman" w:hAnsi="Times New Roman" w:cs="Times New Roman"/>
          <w:sz w:val="24"/>
          <w:szCs w:val="24"/>
          <w:lang w:val="en-US"/>
        </w:rPr>
        <w:t>≥ 15% reducere a trigliceridelor</w:t>
      </w:r>
    </w:p>
    <w:p w14:paraId="03A18794" w14:textId="77777777" w:rsidR="00543C11" w:rsidRPr="0049126A" w:rsidRDefault="00543C11" w:rsidP="008F5FCC">
      <w:pPr>
        <w:numPr>
          <w:ilvl w:val="0"/>
          <w:numId w:val="79"/>
        </w:numPr>
        <w:spacing w:line="276" w:lineRule="auto"/>
        <w:ind w:left="284" w:hanging="284"/>
        <w:contextualSpacing/>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Scaderea foamei ( scaderea nr de Kcal zilnice cu care se ajunge la satietate) si secundar </w:t>
      </w:r>
    </w:p>
    <w:p w14:paraId="66DADE9A" w14:textId="77777777" w:rsidR="00543C11" w:rsidRPr="0049126A" w:rsidRDefault="00543C11" w:rsidP="008F5FCC">
      <w:pPr>
        <w:numPr>
          <w:ilvl w:val="0"/>
          <w:numId w:val="79"/>
        </w:numPr>
        <w:spacing w:line="276" w:lineRule="auto"/>
        <w:ind w:left="284" w:hanging="284"/>
        <w:contextualSpacing/>
        <w:jc w:val="both"/>
        <w:rPr>
          <w:rFonts w:ascii="Times New Roman" w:hAnsi="Times New Roman" w:cs="Times New Roman"/>
          <w:sz w:val="24"/>
          <w:szCs w:val="24"/>
          <w:lang w:val="en-US"/>
        </w:rPr>
      </w:pPr>
      <w:r w:rsidRPr="0049126A">
        <w:rPr>
          <w:rFonts w:ascii="Times New Roman" w:hAnsi="Times New Roman" w:cs="Times New Roman"/>
          <w:sz w:val="24"/>
          <w:szCs w:val="24"/>
          <w:lang w:val="en-US"/>
        </w:rPr>
        <w:t>Modificarea greutatii corporale</w:t>
      </w:r>
    </w:p>
    <w:p w14:paraId="759AAFBB" w14:textId="77777777" w:rsidR="00543C11" w:rsidRPr="0049126A" w:rsidRDefault="00543C11" w:rsidP="008F5FCC">
      <w:pPr>
        <w:numPr>
          <w:ilvl w:val="0"/>
          <w:numId w:val="79"/>
        </w:numPr>
        <w:spacing w:line="276" w:lineRule="auto"/>
        <w:ind w:left="284" w:hanging="284"/>
        <w:contextualSpacing/>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Scaderea dozelor de medicatie antidiabetica/hipolipemiantă</w:t>
      </w:r>
    </w:p>
    <w:p w14:paraId="2FC94B74" w14:textId="77777777" w:rsidR="00EA64E2" w:rsidRPr="0049126A" w:rsidRDefault="00EA64E2" w:rsidP="00EA64E2">
      <w:pPr>
        <w:spacing w:line="276" w:lineRule="auto"/>
        <w:contextualSpacing/>
        <w:jc w:val="both"/>
        <w:rPr>
          <w:rFonts w:ascii="Times New Roman" w:hAnsi="Times New Roman" w:cs="Times New Roman"/>
          <w:sz w:val="24"/>
          <w:szCs w:val="24"/>
          <w:lang w:val="pt-BR"/>
        </w:rPr>
      </w:pPr>
    </w:p>
    <w:p w14:paraId="6E85E207" w14:textId="60420A21" w:rsidR="00543C11" w:rsidRPr="0049126A" w:rsidRDefault="00853B92" w:rsidP="00A95187">
      <w:pPr>
        <w:spacing w:line="276" w:lineRule="auto"/>
        <w:contextualSpacing/>
        <w:jc w:val="both"/>
        <w:rPr>
          <w:rFonts w:ascii="Times New Roman" w:hAnsi="Times New Roman" w:cs="Times New Roman"/>
          <w:b/>
          <w:sz w:val="24"/>
          <w:szCs w:val="24"/>
          <w:lang w:val="pt-BR"/>
        </w:rPr>
      </w:pPr>
      <w:r w:rsidRPr="0049126A">
        <w:rPr>
          <w:rFonts w:ascii="Times New Roman" w:hAnsi="Times New Roman" w:cs="Times New Roman"/>
          <w:b/>
          <w:sz w:val="24"/>
          <w:szCs w:val="24"/>
        </w:rPr>
        <w:t xml:space="preserve">V. </w:t>
      </w:r>
      <w:r w:rsidR="00543C11" w:rsidRPr="0049126A">
        <w:rPr>
          <w:rFonts w:ascii="Times New Roman" w:hAnsi="Times New Roman" w:cs="Times New Roman"/>
          <w:b/>
          <w:sz w:val="24"/>
          <w:szCs w:val="24"/>
        </w:rPr>
        <w:t>Criterii pentru întreruperea definitivă a tratamentului</w:t>
      </w:r>
    </w:p>
    <w:p w14:paraId="213D0B53"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rPr>
      </w:pPr>
      <w:r w:rsidRPr="0049126A">
        <w:rPr>
          <w:rFonts w:ascii="Times New Roman" w:hAnsi="Times New Roman" w:cs="Times New Roman"/>
          <w:bCs/>
          <w:sz w:val="24"/>
          <w:szCs w:val="24"/>
        </w:rPr>
        <w:t>reacție alergică sistemică la Metreleptina  care pune viața în pericol;</w:t>
      </w:r>
    </w:p>
    <w:p w14:paraId="3DE82E78"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pt-BR"/>
        </w:rPr>
      </w:pPr>
      <w:r w:rsidRPr="0049126A">
        <w:rPr>
          <w:rFonts w:ascii="Times New Roman" w:hAnsi="Times New Roman" w:cs="Times New Roman"/>
          <w:bCs/>
          <w:sz w:val="24"/>
          <w:szCs w:val="24"/>
          <w:lang w:val="pt-BR"/>
        </w:rPr>
        <w:t>evenimente adverse care nu au fost explicate ușor de alte cauze care nu au legătură cu tratamentul actual:</w:t>
      </w:r>
    </w:p>
    <w:p w14:paraId="0F4B77BB" w14:textId="77777777" w:rsidR="00543C11" w:rsidRPr="0049126A" w:rsidRDefault="00543C11" w:rsidP="008F5FCC">
      <w:pPr>
        <w:numPr>
          <w:ilvl w:val="2"/>
          <w:numId w:val="77"/>
        </w:numPr>
        <w:autoSpaceDE w:val="0"/>
        <w:autoSpaceDN w:val="0"/>
        <w:adjustRightInd w:val="0"/>
        <w:spacing w:after="0" w:line="240" w:lineRule="auto"/>
        <w:ind w:left="567" w:hanging="283"/>
        <w:jc w:val="both"/>
        <w:rPr>
          <w:rFonts w:ascii="Times New Roman" w:hAnsi="Times New Roman" w:cs="Times New Roman"/>
          <w:sz w:val="24"/>
          <w:szCs w:val="24"/>
          <w:lang w:val="en-US"/>
        </w:rPr>
      </w:pPr>
      <w:r w:rsidRPr="0049126A">
        <w:rPr>
          <w:rFonts w:ascii="Times New Roman" w:hAnsi="Times New Roman" w:cs="Times New Roman"/>
          <w:sz w:val="24"/>
          <w:szCs w:val="24"/>
          <w:lang w:val="en-US"/>
        </w:rPr>
        <w:t>sepsis, pneumonie, osteomielită, celulită;</w:t>
      </w:r>
    </w:p>
    <w:p w14:paraId="5D3CF502" w14:textId="77777777" w:rsidR="00543C11" w:rsidRPr="0049126A" w:rsidRDefault="00543C11" w:rsidP="008F5FCC">
      <w:pPr>
        <w:numPr>
          <w:ilvl w:val="2"/>
          <w:numId w:val="77"/>
        </w:numPr>
        <w:autoSpaceDE w:val="0"/>
        <w:autoSpaceDN w:val="0"/>
        <w:adjustRightInd w:val="0"/>
        <w:spacing w:after="0" w:line="240" w:lineRule="auto"/>
        <w:ind w:left="567" w:hanging="283"/>
        <w:jc w:val="both"/>
        <w:rPr>
          <w:rFonts w:ascii="Times New Roman" w:hAnsi="Times New Roman" w:cs="Times New Roman"/>
          <w:sz w:val="24"/>
          <w:szCs w:val="24"/>
          <w:lang w:val="en-US"/>
        </w:rPr>
      </w:pPr>
      <w:r w:rsidRPr="0049126A">
        <w:rPr>
          <w:rFonts w:ascii="Times New Roman" w:hAnsi="Times New Roman" w:cs="Times New Roman"/>
          <w:sz w:val="24"/>
          <w:szCs w:val="24"/>
          <w:lang w:val="en-US"/>
        </w:rPr>
        <w:t>pancreatită sau recurență pancreatitică;</w:t>
      </w:r>
    </w:p>
    <w:p w14:paraId="069030C9" w14:textId="77777777" w:rsidR="00543C11" w:rsidRPr="0049126A" w:rsidRDefault="00543C11" w:rsidP="008F5FCC">
      <w:pPr>
        <w:numPr>
          <w:ilvl w:val="2"/>
          <w:numId w:val="77"/>
        </w:numPr>
        <w:autoSpaceDE w:val="0"/>
        <w:autoSpaceDN w:val="0"/>
        <w:adjustRightInd w:val="0"/>
        <w:spacing w:after="0" w:line="240" w:lineRule="auto"/>
        <w:ind w:left="567" w:hanging="283"/>
        <w:jc w:val="both"/>
        <w:rPr>
          <w:rFonts w:ascii="Times New Roman" w:hAnsi="Times New Roman" w:cs="Times New Roman"/>
          <w:sz w:val="24"/>
          <w:szCs w:val="24"/>
          <w:lang w:val="en-US"/>
        </w:rPr>
      </w:pPr>
      <w:r w:rsidRPr="0049126A">
        <w:rPr>
          <w:rFonts w:ascii="Times New Roman" w:hAnsi="Times New Roman" w:cs="Times New Roman"/>
          <w:sz w:val="24"/>
          <w:szCs w:val="24"/>
          <w:lang w:val="en-US"/>
        </w:rPr>
        <w:t>eveniment hepatic grav;</w:t>
      </w:r>
    </w:p>
    <w:p w14:paraId="1414D260" w14:textId="3B007FFB" w:rsidR="00543C11" w:rsidRPr="0049126A" w:rsidRDefault="00543C11" w:rsidP="008F5FCC">
      <w:pPr>
        <w:numPr>
          <w:ilvl w:val="2"/>
          <w:numId w:val="77"/>
        </w:numPr>
        <w:autoSpaceDE w:val="0"/>
        <w:autoSpaceDN w:val="0"/>
        <w:adjustRightInd w:val="0"/>
        <w:spacing w:after="0" w:line="240" w:lineRule="auto"/>
        <w:ind w:left="567" w:hanging="283"/>
        <w:jc w:val="both"/>
        <w:rPr>
          <w:rFonts w:ascii="Times New Roman" w:hAnsi="Times New Roman" w:cs="Times New Roman"/>
          <w:bCs/>
          <w:sz w:val="24"/>
          <w:szCs w:val="24"/>
          <w:lang w:val="pt-BR"/>
        </w:rPr>
      </w:pPr>
      <w:r w:rsidRPr="0049126A">
        <w:rPr>
          <w:rFonts w:ascii="Times New Roman" w:hAnsi="Times New Roman" w:cs="Times New Roman"/>
          <w:bCs/>
          <w:sz w:val="24"/>
          <w:szCs w:val="24"/>
          <w:lang w:val="pt-BR"/>
        </w:rPr>
        <w:t>suspiciunea de apariție de anticorpi neutralizanți când  nu mai exista raspuns la dozele ajustate de tratament si /sau  apar  infecții repetate→dozare ac antileptinici neutralizanți→se întrerupe tratamentul</w:t>
      </w:r>
    </w:p>
    <w:p w14:paraId="7DD76D76"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pt-BR"/>
        </w:rPr>
      </w:pPr>
      <w:r w:rsidRPr="0049126A">
        <w:rPr>
          <w:rFonts w:ascii="Times New Roman" w:hAnsi="Times New Roman" w:cs="Times New Roman"/>
          <w:bCs/>
          <w:sz w:val="24"/>
          <w:szCs w:val="24"/>
          <w:lang w:val="pt-BR"/>
        </w:rPr>
        <w:t>nerespectarea cerințelor de automonitorizare și vizite la centrele clinice;</w:t>
      </w:r>
    </w:p>
    <w:p w14:paraId="4C8F37BC"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pt-BR"/>
        </w:rPr>
      </w:pPr>
      <w:r w:rsidRPr="0049126A">
        <w:rPr>
          <w:rFonts w:ascii="Times New Roman" w:hAnsi="Times New Roman" w:cs="Times New Roman"/>
          <w:bCs/>
          <w:sz w:val="24"/>
          <w:szCs w:val="24"/>
          <w:lang w:val="pt-BR"/>
        </w:rPr>
        <w:t>scădere mai mare de 8% a hematocritului și întreruperea tratamentului recomandat de Serviciul de Hematologie;</w:t>
      </w:r>
    </w:p>
    <w:p w14:paraId="2D5A087B"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pt-BR"/>
        </w:rPr>
      </w:pPr>
      <w:r w:rsidRPr="0049126A">
        <w:rPr>
          <w:rFonts w:ascii="Times New Roman" w:hAnsi="Times New Roman" w:cs="Times New Roman"/>
          <w:bCs/>
          <w:sz w:val="24"/>
          <w:szCs w:val="24"/>
          <w:lang w:val="pt-BR"/>
        </w:rPr>
        <w:t>număr de globule albe &lt;2500 µL sau număr absolut de neutrofile &lt;1000 µL și întreruperea tratamentului recomandată de Serviciul de Hematologie;</w:t>
      </w:r>
    </w:p>
    <w:p w14:paraId="720420B6"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en-US"/>
        </w:rPr>
      </w:pPr>
      <w:r w:rsidRPr="0049126A">
        <w:rPr>
          <w:rFonts w:ascii="Times New Roman" w:hAnsi="Times New Roman" w:cs="Times New Roman"/>
          <w:bCs/>
          <w:sz w:val="24"/>
          <w:szCs w:val="24"/>
          <w:lang w:val="en-US"/>
        </w:rPr>
        <w:t>limfom aparut in timpul terapiei</w:t>
      </w:r>
    </w:p>
    <w:p w14:paraId="2367D1A4"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pt-BR"/>
        </w:rPr>
      </w:pPr>
      <w:r w:rsidRPr="0049126A">
        <w:rPr>
          <w:rFonts w:ascii="Times New Roman" w:hAnsi="Times New Roman" w:cs="Times New Roman"/>
          <w:bCs/>
          <w:sz w:val="24"/>
          <w:szCs w:val="24"/>
          <w:lang w:val="pt-BR"/>
        </w:rPr>
        <w:t xml:space="preserve">Glomerulonefrita </w:t>
      </w:r>
      <w:r w:rsidRPr="0049126A">
        <w:rPr>
          <w:rFonts w:ascii="Times New Roman" w:hAnsi="Times New Roman" w:cs="Times New Roman"/>
          <w:sz w:val="24"/>
          <w:szCs w:val="24"/>
          <w:lang w:val="pt-BR"/>
        </w:rPr>
        <w:t>proliferativă mezangială</w:t>
      </w:r>
      <w:r w:rsidRPr="0049126A">
        <w:rPr>
          <w:rFonts w:ascii="Times New Roman" w:hAnsi="Times New Roman" w:cs="Times New Roman"/>
          <w:b/>
          <w:i/>
          <w:sz w:val="24"/>
          <w:szCs w:val="24"/>
          <w:lang w:val="pt-BR"/>
        </w:rPr>
        <w:t xml:space="preserve"> </w:t>
      </w:r>
      <w:r w:rsidRPr="0049126A">
        <w:rPr>
          <w:rFonts w:ascii="Times New Roman" w:hAnsi="Times New Roman" w:cs="Times New Roman"/>
          <w:bCs/>
          <w:sz w:val="24"/>
          <w:szCs w:val="24"/>
          <w:lang w:val="pt-BR"/>
        </w:rPr>
        <w:t xml:space="preserve">apărută in cursul tratamentului </w:t>
      </w:r>
    </w:p>
    <w:p w14:paraId="60E24D3A"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pt-BR"/>
        </w:rPr>
      </w:pPr>
      <w:r w:rsidRPr="0049126A">
        <w:rPr>
          <w:rFonts w:ascii="Times New Roman" w:hAnsi="Times New Roman" w:cs="Times New Roman"/>
          <w:b/>
          <w:bCs/>
          <w:sz w:val="24"/>
          <w:szCs w:val="24"/>
          <w:lang w:val="pt-BR"/>
        </w:rPr>
        <w:t>absenta criteriilor de eficienta terapeutica</w:t>
      </w:r>
    </w:p>
    <w:p w14:paraId="64B9A34D" w14:textId="77777777" w:rsidR="00543C11" w:rsidRPr="0049126A" w:rsidRDefault="00543C11" w:rsidP="00A95187">
      <w:pPr>
        <w:numPr>
          <w:ilvl w:val="0"/>
          <w:numId w:val="75"/>
        </w:numPr>
        <w:autoSpaceDE w:val="0"/>
        <w:autoSpaceDN w:val="0"/>
        <w:adjustRightInd w:val="0"/>
        <w:spacing w:after="0" w:line="240" w:lineRule="auto"/>
        <w:ind w:left="284" w:hanging="284"/>
        <w:jc w:val="both"/>
        <w:rPr>
          <w:rFonts w:ascii="Times New Roman" w:hAnsi="Times New Roman" w:cs="Times New Roman"/>
          <w:bCs/>
          <w:sz w:val="24"/>
          <w:szCs w:val="24"/>
          <w:lang w:val="en-US"/>
        </w:rPr>
      </w:pPr>
      <w:r w:rsidRPr="0049126A">
        <w:rPr>
          <w:rFonts w:ascii="Times New Roman" w:hAnsi="Times New Roman" w:cs="Times New Roman"/>
          <w:bCs/>
          <w:sz w:val="24"/>
          <w:szCs w:val="24"/>
          <w:lang w:val="en-US"/>
        </w:rPr>
        <w:t>la cererea pacientului</w:t>
      </w:r>
    </w:p>
    <w:p w14:paraId="40BABD21" w14:textId="77777777" w:rsidR="00543C11" w:rsidRPr="0049126A" w:rsidRDefault="00543C11" w:rsidP="00543C11">
      <w:pPr>
        <w:spacing w:line="276" w:lineRule="auto"/>
        <w:jc w:val="both"/>
        <w:rPr>
          <w:rFonts w:ascii="Times New Roman" w:hAnsi="Times New Roman" w:cs="Times New Roman"/>
          <w:sz w:val="24"/>
          <w:szCs w:val="24"/>
          <w:lang w:val="en-US"/>
        </w:rPr>
      </w:pPr>
    </w:p>
    <w:p w14:paraId="56F67401" w14:textId="3C6C0887" w:rsidR="00543C11" w:rsidRPr="0049126A" w:rsidRDefault="00543C11" w:rsidP="00543C11">
      <w:pPr>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V</w:t>
      </w:r>
      <w:r w:rsidR="00853B92" w:rsidRPr="0049126A">
        <w:rPr>
          <w:rFonts w:ascii="Times New Roman" w:hAnsi="Times New Roman" w:cs="Times New Roman"/>
          <w:b/>
          <w:sz w:val="24"/>
          <w:szCs w:val="24"/>
        </w:rPr>
        <w:t>I</w:t>
      </w:r>
      <w:r w:rsidRPr="0049126A">
        <w:rPr>
          <w:rFonts w:ascii="Times New Roman" w:hAnsi="Times New Roman" w:cs="Times New Roman"/>
          <w:b/>
          <w:sz w:val="24"/>
          <w:szCs w:val="24"/>
        </w:rPr>
        <w:t>.</w:t>
      </w:r>
      <w:r w:rsidR="00A95187" w:rsidRPr="0049126A">
        <w:rPr>
          <w:rFonts w:ascii="Times New Roman" w:hAnsi="Times New Roman" w:cs="Times New Roman"/>
          <w:b/>
          <w:sz w:val="24"/>
          <w:szCs w:val="24"/>
        </w:rPr>
        <w:t xml:space="preserve"> Prescriptori</w:t>
      </w:r>
    </w:p>
    <w:p w14:paraId="47CD1C1C" w14:textId="77777777" w:rsidR="00543C11" w:rsidRPr="0049126A" w:rsidRDefault="00543C11" w:rsidP="00543C11">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 xml:space="preserve">Initiere:Medici endocrinologi, medici diabetologi din centrele universitare amintite cu avizul </w:t>
      </w:r>
      <w:r w:rsidRPr="0049126A">
        <w:rPr>
          <w:rFonts w:ascii="Times New Roman" w:hAnsi="Times New Roman" w:cs="Times New Roman"/>
          <w:b/>
          <w:sz w:val="24"/>
          <w:szCs w:val="24"/>
        </w:rPr>
        <w:t>Comisiei de avizare a initierii si continuarii/intreruperii terapiei</w:t>
      </w:r>
      <w:r w:rsidRPr="0049126A">
        <w:rPr>
          <w:rFonts w:ascii="Times New Roman" w:hAnsi="Times New Roman" w:cs="Times New Roman"/>
          <w:sz w:val="24"/>
          <w:szCs w:val="24"/>
        </w:rPr>
        <w:t xml:space="preserve"> cf cap IV. Pct. B subpct. 1- care vor verifica criteriile de includere si monitorizare a terapiei la fiecare pacient la fiecare 6 luni.</w:t>
      </w:r>
    </w:p>
    <w:p w14:paraId="2AB7B183" w14:textId="785CDA44" w:rsidR="00543C11" w:rsidRPr="0049126A" w:rsidRDefault="00543C11" w:rsidP="00543C11">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Continuare: medicii mai sus mentionati sau medicii endocrinologi, diabetologi din zona administrativ teritorială a pacientului, care vor continua prescrierea în dozele și pe durata menționate în scrisoarea medicală.</w:t>
      </w:r>
    </w:p>
    <w:p w14:paraId="5583BB42" w14:textId="77777777" w:rsidR="003913BC" w:rsidRPr="0049126A" w:rsidRDefault="003913BC" w:rsidP="003913BC">
      <w:pPr>
        <w:rPr>
          <w:rFonts w:ascii="Times New Roman" w:hAnsi="Times New Roman" w:cs="Times New Roman"/>
          <w:b/>
          <w:sz w:val="24"/>
          <w:szCs w:val="24"/>
        </w:rPr>
      </w:pPr>
      <w:r w:rsidRPr="0049126A">
        <w:rPr>
          <w:rFonts w:ascii="Times New Roman" w:hAnsi="Times New Roman" w:cs="Times New Roman"/>
          <w:b/>
          <w:sz w:val="24"/>
          <w:szCs w:val="24"/>
        </w:rPr>
        <w:lastRenderedPageBreak/>
        <w:t xml:space="preserve">ANEXA 1 </w:t>
      </w:r>
    </w:p>
    <w:p w14:paraId="39B3C1B9" w14:textId="77777777" w:rsidR="003913BC" w:rsidRPr="0049126A" w:rsidRDefault="003913BC" w:rsidP="003913BC">
      <w:pPr>
        <w:jc w:val="both"/>
        <w:rPr>
          <w:rFonts w:ascii="Times New Roman" w:hAnsi="Times New Roman" w:cs="Times New Roman"/>
          <w:b/>
          <w:sz w:val="24"/>
          <w:szCs w:val="24"/>
        </w:rPr>
      </w:pPr>
      <w:r w:rsidRPr="0049126A">
        <w:rPr>
          <w:rFonts w:ascii="Times New Roman" w:hAnsi="Times New Roman" w:cs="Times New Roman"/>
          <w:b/>
          <w:sz w:val="24"/>
          <w:szCs w:val="24"/>
        </w:rPr>
        <w:t>LIPODISTROFII CONGENITALE GENERALIZATE</w:t>
      </w:r>
      <w:r w:rsidRPr="0049126A">
        <w:rPr>
          <w:rFonts w:ascii="Times New Roman" w:hAnsi="Times New Roman" w:cs="Times New Roman"/>
          <w:b/>
          <w:bCs/>
          <w:sz w:val="24"/>
          <w:szCs w:val="24"/>
          <w:lang w:val="it-IT"/>
        </w:rPr>
        <w:t xml:space="preserve"> - </w:t>
      </w:r>
      <w:r w:rsidRPr="0049126A">
        <w:rPr>
          <w:rFonts w:ascii="Times New Roman" w:hAnsi="Times New Roman" w:cs="Times New Roman"/>
          <w:b/>
          <w:sz w:val="24"/>
          <w:szCs w:val="24"/>
          <w:lang w:val="it-IT"/>
        </w:rPr>
        <w:t>FORME CLINICO-PATOGENE</w:t>
      </w:r>
    </w:p>
    <w:tbl>
      <w:tblPr>
        <w:tblStyle w:val="TableGrid"/>
        <w:tblW w:w="5000" w:type="pct"/>
        <w:tblLayout w:type="fixed"/>
        <w:tblLook w:val="04A0" w:firstRow="1" w:lastRow="0" w:firstColumn="1" w:lastColumn="0" w:noHBand="0" w:noVBand="1"/>
      </w:tblPr>
      <w:tblGrid>
        <w:gridCol w:w="1979"/>
        <w:gridCol w:w="1701"/>
        <w:gridCol w:w="1560"/>
        <w:gridCol w:w="1643"/>
        <w:gridCol w:w="1381"/>
        <w:gridCol w:w="1366"/>
      </w:tblGrid>
      <w:tr w:rsidR="0049126A" w:rsidRPr="0049126A" w14:paraId="3AE39F4D" w14:textId="77777777" w:rsidTr="003913BC">
        <w:tc>
          <w:tcPr>
            <w:tcW w:w="1028" w:type="pct"/>
          </w:tcPr>
          <w:p w14:paraId="401B9B84"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Tip</w:t>
            </w:r>
          </w:p>
        </w:tc>
        <w:tc>
          <w:tcPr>
            <w:tcW w:w="883" w:type="pct"/>
          </w:tcPr>
          <w:p w14:paraId="7E29F177"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CGL tip 1</w:t>
            </w:r>
          </w:p>
        </w:tc>
        <w:tc>
          <w:tcPr>
            <w:tcW w:w="810" w:type="pct"/>
          </w:tcPr>
          <w:p w14:paraId="2A214C41"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CGL tip 2</w:t>
            </w:r>
          </w:p>
        </w:tc>
        <w:tc>
          <w:tcPr>
            <w:tcW w:w="853" w:type="pct"/>
          </w:tcPr>
          <w:p w14:paraId="5A77345A"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CGL tip 3</w:t>
            </w:r>
          </w:p>
        </w:tc>
        <w:tc>
          <w:tcPr>
            <w:tcW w:w="717" w:type="pct"/>
          </w:tcPr>
          <w:p w14:paraId="2A203943"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CGL tip 4</w:t>
            </w:r>
          </w:p>
        </w:tc>
        <w:tc>
          <w:tcPr>
            <w:tcW w:w="709" w:type="pct"/>
          </w:tcPr>
          <w:p w14:paraId="31418DA4"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CGL PPARG</w:t>
            </w:r>
          </w:p>
        </w:tc>
      </w:tr>
      <w:tr w:rsidR="0049126A" w:rsidRPr="0049126A" w14:paraId="57FE2629" w14:textId="77777777" w:rsidTr="003913BC">
        <w:tc>
          <w:tcPr>
            <w:tcW w:w="1028" w:type="pct"/>
          </w:tcPr>
          <w:p w14:paraId="496314D4"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transmitere</w:t>
            </w:r>
          </w:p>
        </w:tc>
        <w:tc>
          <w:tcPr>
            <w:tcW w:w="883" w:type="pct"/>
          </w:tcPr>
          <w:p w14:paraId="7922EA45"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AR, OMIM #608594</w:t>
            </w:r>
          </w:p>
        </w:tc>
        <w:tc>
          <w:tcPr>
            <w:tcW w:w="810" w:type="pct"/>
          </w:tcPr>
          <w:p w14:paraId="4B82506D"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AR, OMIM #269700</w:t>
            </w:r>
          </w:p>
        </w:tc>
        <w:tc>
          <w:tcPr>
            <w:tcW w:w="853" w:type="pct"/>
          </w:tcPr>
          <w:p w14:paraId="61544D12"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AR, OMIM #612526</w:t>
            </w:r>
          </w:p>
        </w:tc>
        <w:tc>
          <w:tcPr>
            <w:tcW w:w="717" w:type="pct"/>
          </w:tcPr>
          <w:p w14:paraId="7A1DA5D2"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AR, OMIM</w:t>
            </w:r>
          </w:p>
          <w:p w14:paraId="5E6F53E9"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#613327</w:t>
            </w:r>
          </w:p>
        </w:tc>
        <w:tc>
          <w:tcPr>
            <w:tcW w:w="709" w:type="pct"/>
          </w:tcPr>
          <w:p w14:paraId="6FF2FDC3"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AR</w:t>
            </w:r>
          </w:p>
        </w:tc>
      </w:tr>
      <w:tr w:rsidR="0049126A" w:rsidRPr="0049126A" w14:paraId="5D54E455" w14:textId="77777777" w:rsidTr="003913BC">
        <w:tc>
          <w:tcPr>
            <w:tcW w:w="1028" w:type="pct"/>
          </w:tcPr>
          <w:p w14:paraId="4C0AEAB4"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Substrat genetic</w:t>
            </w:r>
          </w:p>
        </w:tc>
        <w:tc>
          <w:tcPr>
            <w:tcW w:w="883" w:type="pct"/>
          </w:tcPr>
          <w:p w14:paraId="59DAE63D"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 xml:space="preserve">Mutații </w:t>
            </w:r>
            <w:r w:rsidRPr="0049126A">
              <w:rPr>
                <w:rFonts w:ascii="Arial Narrow" w:hAnsi="Arial Narrow" w:cs="Times New Roman"/>
                <w:b/>
                <w:bCs/>
                <w:i/>
                <w:iCs/>
                <w:sz w:val="20"/>
                <w:szCs w:val="20"/>
                <w:lang w:val="it-IT"/>
              </w:rPr>
              <w:t>AGPAT2</w:t>
            </w:r>
            <w:r w:rsidRPr="0049126A">
              <w:rPr>
                <w:rFonts w:ascii="Arial Narrow" w:hAnsi="Arial Narrow" w:cs="Times New Roman"/>
                <w:b/>
                <w:bCs/>
                <w:sz w:val="20"/>
                <w:szCs w:val="20"/>
                <w:lang w:val="it-IT"/>
              </w:rPr>
              <w:t>, 9q34.22,23</w:t>
            </w:r>
          </w:p>
        </w:tc>
        <w:tc>
          <w:tcPr>
            <w:tcW w:w="810" w:type="pct"/>
          </w:tcPr>
          <w:p w14:paraId="3DBF8CC0"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 xml:space="preserve">Mutații </w:t>
            </w:r>
            <w:r w:rsidRPr="0049126A">
              <w:rPr>
                <w:rFonts w:ascii="Arial Narrow" w:hAnsi="Arial Narrow" w:cs="Times New Roman"/>
                <w:b/>
                <w:bCs/>
                <w:i/>
                <w:iCs/>
                <w:sz w:val="20"/>
                <w:szCs w:val="20"/>
                <w:lang w:val="it-IT"/>
              </w:rPr>
              <w:t>BSCL2</w:t>
            </w:r>
            <w:r w:rsidRPr="0049126A">
              <w:rPr>
                <w:rFonts w:ascii="Arial Narrow" w:hAnsi="Arial Narrow" w:cs="Times New Roman"/>
                <w:b/>
                <w:bCs/>
                <w:sz w:val="20"/>
                <w:szCs w:val="20"/>
                <w:lang w:val="it-IT"/>
              </w:rPr>
              <w:t>, 11q13</w:t>
            </w:r>
          </w:p>
        </w:tc>
        <w:tc>
          <w:tcPr>
            <w:tcW w:w="853" w:type="pct"/>
          </w:tcPr>
          <w:p w14:paraId="78876C60"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Mutații CAV1, 7q31</w:t>
            </w:r>
          </w:p>
        </w:tc>
        <w:tc>
          <w:tcPr>
            <w:tcW w:w="717" w:type="pct"/>
          </w:tcPr>
          <w:p w14:paraId="7E559BC7"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Mutații CAVIN1</w:t>
            </w:r>
          </w:p>
        </w:tc>
        <w:tc>
          <w:tcPr>
            <w:tcW w:w="709" w:type="pct"/>
          </w:tcPr>
          <w:p w14:paraId="354619B4"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Mutații PPARG</w:t>
            </w:r>
          </w:p>
        </w:tc>
      </w:tr>
      <w:tr w:rsidR="0049126A" w:rsidRPr="0049126A" w14:paraId="323DF014" w14:textId="77777777" w:rsidTr="003913BC">
        <w:tc>
          <w:tcPr>
            <w:tcW w:w="1028" w:type="pct"/>
          </w:tcPr>
          <w:p w14:paraId="1CC877D5"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Fiziopatologie</w:t>
            </w:r>
          </w:p>
        </w:tc>
        <w:tc>
          <w:tcPr>
            <w:tcW w:w="883" w:type="pct"/>
          </w:tcPr>
          <w:p w14:paraId="51A9EFE2"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AGPAT2 = 1-acylglycerol-3-phosphate</w:t>
            </w:r>
          </w:p>
          <w:p w14:paraId="7F649235"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 xml:space="preserve">O-acyltransferaza 2, </w:t>
            </w:r>
            <w:r w:rsidRPr="0049126A">
              <w:rPr>
                <w:rFonts w:ascii="Arial Narrow" w:hAnsi="Arial Narrow" w:cs="Times New Roman"/>
                <w:sz w:val="20"/>
                <w:szCs w:val="20"/>
                <w:lang w:val="it-IT"/>
              </w:rPr>
              <w:t>care catalizează acilarea acidului lisofosfatidic în acidul fosfatidic, compus intermediar în sinteza triacilgliceridelor și glicerofosfolipidelor</w:t>
            </w:r>
            <w:r w:rsidRPr="0049126A">
              <w:rPr>
                <w:rFonts w:ascii="Arial Narrow" w:hAnsi="Arial Narrow" w:cs="Times New Roman"/>
                <w:b/>
                <w:bCs/>
                <w:sz w:val="20"/>
                <w:szCs w:val="20"/>
                <w:lang w:val="it-IT"/>
              </w:rPr>
              <w:t xml:space="preserve"> </w:t>
            </w:r>
          </w:p>
        </w:tc>
        <w:tc>
          <w:tcPr>
            <w:tcW w:w="810" w:type="pct"/>
          </w:tcPr>
          <w:p w14:paraId="5049E4AD"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 xml:space="preserve">BSCL2 </w:t>
            </w:r>
            <w:r w:rsidRPr="0049126A">
              <w:rPr>
                <w:rFonts w:ascii="Arial Narrow" w:hAnsi="Arial Narrow" w:cs="Times New Roman"/>
                <w:sz w:val="20"/>
                <w:szCs w:val="20"/>
                <w:lang w:val="it-IT"/>
              </w:rPr>
              <w:t xml:space="preserve">codifică </w:t>
            </w:r>
            <w:r w:rsidRPr="0049126A">
              <w:rPr>
                <w:rFonts w:ascii="Arial Narrow" w:hAnsi="Arial Narrow" w:cs="Times New Roman"/>
                <w:b/>
                <w:bCs/>
                <w:sz w:val="20"/>
                <w:szCs w:val="20"/>
                <w:lang w:val="it-IT"/>
              </w:rPr>
              <w:t xml:space="preserve">seipina, </w:t>
            </w:r>
            <w:r w:rsidRPr="0049126A">
              <w:rPr>
                <w:rFonts w:ascii="Arial Narrow" w:hAnsi="Arial Narrow" w:cs="Times New Roman"/>
                <w:sz w:val="20"/>
                <w:szCs w:val="20"/>
                <w:lang w:val="it-IT"/>
              </w:rPr>
              <w:t>o proteină cu funcții incomplet cunoscute, dar care intervine în diferențierea adipocitelor și este concomitent exprimată în mai multe țesuturi, inclusiv testicule și creier</w:t>
            </w:r>
          </w:p>
        </w:tc>
        <w:tc>
          <w:tcPr>
            <w:tcW w:w="853" w:type="pct"/>
          </w:tcPr>
          <w:p w14:paraId="3DD6B09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b/>
                <w:bCs/>
                <w:sz w:val="20"/>
                <w:szCs w:val="20"/>
                <w:lang w:val="it-IT"/>
              </w:rPr>
              <w:t>CAV 1</w:t>
            </w:r>
            <w:r w:rsidRPr="0049126A">
              <w:rPr>
                <w:rFonts w:ascii="Arial Narrow" w:hAnsi="Arial Narrow" w:cs="Times New Roman"/>
                <w:sz w:val="20"/>
                <w:szCs w:val="20"/>
                <w:lang w:val="it-IT"/>
              </w:rPr>
              <w:t xml:space="preserve"> codifică </w:t>
            </w:r>
            <w:r w:rsidRPr="0049126A">
              <w:rPr>
                <w:rFonts w:ascii="Arial Narrow" w:hAnsi="Arial Narrow" w:cs="Times New Roman"/>
                <w:b/>
                <w:bCs/>
                <w:sz w:val="20"/>
                <w:szCs w:val="20"/>
                <w:lang w:val="it-IT"/>
              </w:rPr>
              <w:t>caveolina 1</w:t>
            </w:r>
            <w:r w:rsidRPr="0049126A">
              <w:rPr>
                <w:rFonts w:ascii="Arial Narrow" w:hAnsi="Arial Narrow" w:cs="Times New Roman"/>
                <w:sz w:val="20"/>
                <w:szCs w:val="20"/>
                <w:lang w:val="it-IT"/>
              </w:rPr>
              <w:t xml:space="preserve"> - exprimată în caveole, structuri aflate la suprafața celulelor, cu rol în transportul lipidelor și fosfolipidelor intracellular, cu formarea picăturilor lipidice, structuri cu funcții specifice-depozitarea lipidelor.</w:t>
            </w:r>
          </w:p>
        </w:tc>
        <w:tc>
          <w:tcPr>
            <w:tcW w:w="717" w:type="pct"/>
          </w:tcPr>
          <w:p w14:paraId="70407DD8"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 xml:space="preserve">CAVIN1 </w:t>
            </w:r>
            <w:r w:rsidRPr="0049126A">
              <w:rPr>
                <w:rFonts w:ascii="Arial Narrow" w:hAnsi="Arial Narrow" w:cs="Times New Roman"/>
                <w:sz w:val="20"/>
                <w:szCs w:val="20"/>
                <w:lang w:val="it-IT"/>
              </w:rPr>
              <w:t xml:space="preserve">codifică </w:t>
            </w:r>
            <w:r w:rsidRPr="0049126A">
              <w:rPr>
                <w:rFonts w:ascii="Arial Narrow" w:hAnsi="Arial Narrow" w:cs="Times New Roman"/>
                <w:b/>
                <w:bCs/>
                <w:sz w:val="20"/>
                <w:szCs w:val="20"/>
                <w:lang w:val="it-IT"/>
              </w:rPr>
              <w:t xml:space="preserve">cavina 1, </w:t>
            </w:r>
            <w:r w:rsidRPr="0049126A">
              <w:rPr>
                <w:rFonts w:ascii="Arial Narrow" w:hAnsi="Arial Narrow" w:cs="Times New Roman"/>
                <w:sz w:val="20"/>
                <w:szCs w:val="20"/>
                <w:lang w:val="it-IT"/>
              </w:rPr>
              <w:t xml:space="preserve">un factor proteic esențial în biogeneza caveolelor </w:t>
            </w:r>
          </w:p>
        </w:tc>
        <w:tc>
          <w:tcPr>
            <w:tcW w:w="709" w:type="pct"/>
          </w:tcPr>
          <w:p w14:paraId="7528B922" w14:textId="77777777" w:rsidR="003913BC" w:rsidRPr="0049126A" w:rsidRDefault="003913BC" w:rsidP="00FF4B29">
            <w:pPr>
              <w:jc w:val="both"/>
              <w:rPr>
                <w:rFonts w:ascii="Arial Narrow" w:hAnsi="Arial Narrow" w:cs="Times New Roman"/>
                <w:b/>
                <w:bCs/>
                <w:sz w:val="20"/>
                <w:szCs w:val="20"/>
                <w:lang w:val="it-IT"/>
              </w:rPr>
            </w:pPr>
            <w:r w:rsidRPr="0049126A">
              <w:rPr>
                <w:rFonts w:ascii="Arial Narrow" w:hAnsi="Arial Narrow" w:cs="Times New Roman"/>
                <w:b/>
                <w:bCs/>
                <w:sz w:val="20"/>
                <w:szCs w:val="20"/>
                <w:lang w:val="it-IT"/>
              </w:rPr>
              <w:t>(PPARγ) – receptor γ nuclear activat de proliferator peroxisom</w:t>
            </w:r>
          </w:p>
          <w:p w14:paraId="36533C5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Principalul reglator al diferențierii și funcției adipocitare, reglator al metabolismului lipidic sistemic și al sensibilității la insulină</w:t>
            </w:r>
            <w:r w:rsidRPr="0049126A">
              <w:rPr>
                <w:rFonts w:ascii="Arial Narrow" w:hAnsi="Arial Narrow" w:cs="Times New Roman"/>
                <w:sz w:val="20"/>
                <w:szCs w:val="20"/>
                <w:lang w:val="pt-BR"/>
              </w:rPr>
              <w:t xml:space="preserve"> </w:t>
            </w:r>
          </w:p>
        </w:tc>
      </w:tr>
      <w:tr w:rsidR="0049126A" w:rsidRPr="0049126A" w14:paraId="71D59226" w14:textId="77777777" w:rsidTr="003913BC">
        <w:tc>
          <w:tcPr>
            <w:tcW w:w="1028" w:type="pct"/>
          </w:tcPr>
          <w:p w14:paraId="0D30046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Epidemiologie</w:t>
            </w:r>
          </w:p>
        </w:tc>
        <w:tc>
          <w:tcPr>
            <w:tcW w:w="883" w:type="pct"/>
          </w:tcPr>
          <w:p w14:paraId="06250AA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Mai frecventă la pacienții de origine africană</w:t>
            </w:r>
          </w:p>
        </w:tc>
        <w:tc>
          <w:tcPr>
            <w:tcW w:w="810" w:type="pct"/>
          </w:tcPr>
          <w:p w14:paraId="561592F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Mai frecventă la pacienții de origine europeană, Orientul mijlociu, japoneză</w:t>
            </w:r>
          </w:p>
        </w:tc>
        <w:tc>
          <w:tcPr>
            <w:tcW w:w="853" w:type="pct"/>
          </w:tcPr>
          <w:p w14:paraId="14B3C45B" w14:textId="77777777" w:rsidR="003913BC" w:rsidRPr="0049126A" w:rsidRDefault="003913BC" w:rsidP="00FF4B29">
            <w:pPr>
              <w:jc w:val="both"/>
              <w:rPr>
                <w:rFonts w:ascii="Arial Narrow" w:hAnsi="Arial Narrow" w:cs="Times New Roman"/>
                <w:sz w:val="20"/>
                <w:szCs w:val="20"/>
                <w:lang w:val="it-IT"/>
              </w:rPr>
            </w:pPr>
          </w:p>
        </w:tc>
        <w:tc>
          <w:tcPr>
            <w:tcW w:w="717" w:type="pct"/>
          </w:tcPr>
          <w:p w14:paraId="4F809A7E" w14:textId="77777777" w:rsidR="003913BC" w:rsidRPr="0049126A" w:rsidRDefault="003913BC" w:rsidP="00FF4B29">
            <w:pPr>
              <w:jc w:val="both"/>
              <w:rPr>
                <w:rFonts w:ascii="Arial Narrow" w:hAnsi="Arial Narrow" w:cs="Times New Roman"/>
                <w:sz w:val="20"/>
                <w:szCs w:val="20"/>
                <w:lang w:val="it-IT"/>
              </w:rPr>
            </w:pPr>
          </w:p>
        </w:tc>
        <w:tc>
          <w:tcPr>
            <w:tcW w:w="709" w:type="pct"/>
          </w:tcPr>
          <w:p w14:paraId="13B3BFE6"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4C0DB5BD" w14:textId="77777777" w:rsidTr="003913BC">
        <w:tc>
          <w:tcPr>
            <w:tcW w:w="1028" w:type="pct"/>
          </w:tcPr>
          <w:p w14:paraId="2954B37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Vârsta de debut</w:t>
            </w:r>
          </w:p>
        </w:tc>
        <w:tc>
          <w:tcPr>
            <w:tcW w:w="883" w:type="pct"/>
          </w:tcPr>
          <w:p w14:paraId="3175B93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Imediat după naștere</w:t>
            </w:r>
          </w:p>
        </w:tc>
        <w:tc>
          <w:tcPr>
            <w:tcW w:w="810" w:type="pct"/>
          </w:tcPr>
          <w:p w14:paraId="0C4F5CC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Imediat după naștere</w:t>
            </w:r>
          </w:p>
        </w:tc>
        <w:tc>
          <w:tcPr>
            <w:tcW w:w="853" w:type="pct"/>
          </w:tcPr>
          <w:p w14:paraId="5BA72A6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La cca 3 luni postpartum</w:t>
            </w:r>
          </w:p>
        </w:tc>
        <w:tc>
          <w:tcPr>
            <w:tcW w:w="717" w:type="pct"/>
          </w:tcPr>
          <w:p w14:paraId="3713027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În perioada de sugar</w:t>
            </w:r>
          </w:p>
        </w:tc>
        <w:tc>
          <w:tcPr>
            <w:tcW w:w="709" w:type="pct"/>
          </w:tcPr>
          <w:p w14:paraId="6F5286E3"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12819C7C" w14:textId="77777777" w:rsidTr="003913BC">
        <w:tc>
          <w:tcPr>
            <w:tcW w:w="1028" w:type="pct"/>
          </w:tcPr>
          <w:p w14:paraId="4501F67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Țesut adipos facial</w:t>
            </w:r>
          </w:p>
        </w:tc>
        <w:tc>
          <w:tcPr>
            <w:tcW w:w="883" w:type="pct"/>
          </w:tcPr>
          <w:p w14:paraId="775A09A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5431294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7D08778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48DD8859"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09" w:type="pct"/>
          </w:tcPr>
          <w:p w14:paraId="75C49B2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r>
      <w:tr w:rsidR="0049126A" w:rsidRPr="0049126A" w14:paraId="6134E77C" w14:textId="77777777" w:rsidTr="003913BC">
        <w:tc>
          <w:tcPr>
            <w:tcW w:w="1028" w:type="pct"/>
          </w:tcPr>
          <w:p w14:paraId="115D0F3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Țesut adipos de importanță mecanică (periorbital, de la nivel palmoplantar și articular)</w:t>
            </w:r>
          </w:p>
        </w:tc>
        <w:tc>
          <w:tcPr>
            <w:tcW w:w="883" w:type="pct"/>
          </w:tcPr>
          <w:p w14:paraId="3A1CDC50"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w:t>
            </w:r>
          </w:p>
        </w:tc>
        <w:tc>
          <w:tcPr>
            <w:tcW w:w="810" w:type="pct"/>
          </w:tcPr>
          <w:p w14:paraId="003CB92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34983A67"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w:t>
            </w:r>
          </w:p>
        </w:tc>
        <w:tc>
          <w:tcPr>
            <w:tcW w:w="717" w:type="pct"/>
          </w:tcPr>
          <w:p w14:paraId="4F055976"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w:t>
            </w:r>
          </w:p>
        </w:tc>
        <w:tc>
          <w:tcPr>
            <w:tcW w:w="709" w:type="pct"/>
          </w:tcPr>
          <w:p w14:paraId="1B45D624"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5898B71B" w14:textId="77777777" w:rsidTr="003913BC">
        <w:tc>
          <w:tcPr>
            <w:tcW w:w="1028" w:type="pct"/>
          </w:tcPr>
          <w:p w14:paraId="45A17A0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Țesut adipos trunchi</w:t>
            </w:r>
          </w:p>
        </w:tc>
        <w:tc>
          <w:tcPr>
            <w:tcW w:w="883" w:type="pct"/>
          </w:tcPr>
          <w:p w14:paraId="5ED353A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6C3D2A3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0188BC0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75A1EF65"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09" w:type="pct"/>
          </w:tcPr>
          <w:p w14:paraId="6069DEE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r>
      <w:tr w:rsidR="0049126A" w:rsidRPr="0049126A" w14:paraId="266BEB0A" w14:textId="77777777" w:rsidTr="003913BC">
        <w:tc>
          <w:tcPr>
            <w:tcW w:w="1028" w:type="pct"/>
          </w:tcPr>
          <w:p w14:paraId="75B55E5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Țesut adipos fesier</w:t>
            </w:r>
          </w:p>
        </w:tc>
        <w:tc>
          <w:tcPr>
            <w:tcW w:w="883" w:type="pct"/>
          </w:tcPr>
          <w:p w14:paraId="49F075FC"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28EB2AAD"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60D0F86D"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4BD755AC"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09" w:type="pct"/>
          </w:tcPr>
          <w:p w14:paraId="1EFE8CC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r>
      <w:tr w:rsidR="0049126A" w:rsidRPr="0049126A" w14:paraId="3B9878B1" w14:textId="77777777" w:rsidTr="003913BC">
        <w:tc>
          <w:tcPr>
            <w:tcW w:w="1028" w:type="pct"/>
          </w:tcPr>
          <w:p w14:paraId="1524A75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Țesut adipos măduvă osoasă</w:t>
            </w:r>
          </w:p>
        </w:tc>
        <w:tc>
          <w:tcPr>
            <w:tcW w:w="883" w:type="pct"/>
          </w:tcPr>
          <w:p w14:paraId="3A33893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6624FFE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347A9F88"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w:t>
            </w:r>
          </w:p>
        </w:tc>
        <w:tc>
          <w:tcPr>
            <w:tcW w:w="717" w:type="pct"/>
          </w:tcPr>
          <w:p w14:paraId="5F46F0FB"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w:t>
            </w:r>
          </w:p>
        </w:tc>
        <w:tc>
          <w:tcPr>
            <w:tcW w:w="709" w:type="pct"/>
          </w:tcPr>
          <w:p w14:paraId="3F97BF73"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w:t>
            </w:r>
          </w:p>
        </w:tc>
      </w:tr>
      <w:tr w:rsidR="0049126A" w:rsidRPr="0049126A" w14:paraId="4657B62C" w14:textId="77777777" w:rsidTr="003913BC">
        <w:tc>
          <w:tcPr>
            <w:tcW w:w="1028" w:type="pct"/>
          </w:tcPr>
          <w:p w14:paraId="635AF6F0"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Distribuție/anomalii de țesut adipos</w:t>
            </w:r>
          </w:p>
        </w:tc>
        <w:tc>
          <w:tcPr>
            <w:tcW w:w="883" w:type="pct"/>
          </w:tcPr>
          <w:p w14:paraId="33C050D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Este afectat doar țesutul adipos cu importanță metabolică (intraabdominal, intermuscular, subcutanat, de la nivelul măduvei osoase), nu și cel cu importanță mecanică</w:t>
            </w:r>
          </w:p>
        </w:tc>
        <w:tc>
          <w:tcPr>
            <w:tcW w:w="810" w:type="pct"/>
          </w:tcPr>
          <w:p w14:paraId="73E956E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Afectare extinsă, severă și precoce comparativ cu tipul I: este afectat țesutul adipos cu importanță metabolică, dar și cel cu importanță mecanică (periorbital, de la nivel palmoplantar și articular)</w:t>
            </w:r>
          </w:p>
        </w:tc>
        <w:tc>
          <w:tcPr>
            <w:tcW w:w="853" w:type="pct"/>
          </w:tcPr>
          <w:p w14:paraId="59B7310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Este afectat doar țesutul adipos intraabdominal, intermuscular, subcutanat, nu și cel de la nivelul măduvei osoase sau cu importanță mecanică</w:t>
            </w:r>
          </w:p>
        </w:tc>
        <w:tc>
          <w:tcPr>
            <w:tcW w:w="717" w:type="pct"/>
          </w:tcPr>
          <w:p w14:paraId="63E1EA2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Este afectat doar țesutul adipos intraabdominal, intermuscular, subcutanat, nu și cel de la nivelul măduvei osoase sau cu importanță mecanică</w:t>
            </w:r>
          </w:p>
        </w:tc>
        <w:tc>
          <w:tcPr>
            <w:tcW w:w="709" w:type="pct"/>
          </w:tcPr>
          <w:p w14:paraId="6CE1EFD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Posibilă conservarea țesutului adipos facial</w:t>
            </w:r>
          </w:p>
          <w:p w14:paraId="32BA814B" w14:textId="77777777" w:rsidR="003913BC" w:rsidRPr="0049126A" w:rsidRDefault="003913BC" w:rsidP="00FF4B29">
            <w:pPr>
              <w:jc w:val="both"/>
              <w:rPr>
                <w:rFonts w:ascii="Arial Narrow" w:hAnsi="Arial Narrow" w:cs="Times New Roman"/>
                <w:sz w:val="20"/>
                <w:szCs w:val="20"/>
                <w:lang w:val="it-IT"/>
              </w:rPr>
            </w:pPr>
          </w:p>
          <w:p w14:paraId="37FED5AA"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25A6647E" w14:textId="77777777" w:rsidTr="003913BC">
        <w:tc>
          <w:tcPr>
            <w:tcW w:w="1028" w:type="pct"/>
          </w:tcPr>
          <w:p w14:paraId="2DF4808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Diabet zaharat</w:t>
            </w:r>
          </w:p>
        </w:tc>
        <w:tc>
          <w:tcPr>
            <w:tcW w:w="883" w:type="pct"/>
          </w:tcPr>
          <w:p w14:paraId="17F3FDB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Comun</w:t>
            </w:r>
          </w:p>
        </w:tc>
        <w:tc>
          <w:tcPr>
            <w:tcW w:w="810" w:type="pct"/>
          </w:tcPr>
          <w:p w14:paraId="0658DEDA"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Comun</w:t>
            </w:r>
          </w:p>
        </w:tc>
        <w:tc>
          <w:tcPr>
            <w:tcW w:w="853" w:type="pct"/>
          </w:tcPr>
          <w:p w14:paraId="1A69F95C"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w:t>
            </w:r>
          </w:p>
        </w:tc>
        <w:tc>
          <w:tcPr>
            <w:tcW w:w="717" w:type="pct"/>
          </w:tcPr>
          <w:p w14:paraId="6E8FFFA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Comun</w:t>
            </w:r>
          </w:p>
        </w:tc>
        <w:tc>
          <w:tcPr>
            <w:tcW w:w="709" w:type="pct"/>
          </w:tcPr>
          <w:p w14:paraId="2550BE6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w:t>
            </w:r>
          </w:p>
        </w:tc>
      </w:tr>
      <w:tr w:rsidR="0049126A" w:rsidRPr="0049126A" w14:paraId="0C252AAD" w14:textId="77777777" w:rsidTr="003913BC">
        <w:tc>
          <w:tcPr>
            <w:tcW w:w="1028" w:type="pct"/>
          </w:tcPr>
          <w:p w14:paraId="7B6A0A2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Debutul DZ</w:t>
            </w:r>
          </w:p>
        </w:tc>
        <w:tc>
          <w:tcPr>
            <w:tcW w:w="883" w:type="pct"/>
          </w:tcPr>
          <w:p w14:paraId="2E13F52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Adolescență</w:t>
            </w:r>
          </w:p>
        </w:tc>
        <w:tc>
          <w:tcPr>
            <w:tcW w:w="810" w:type="pct"/>
          </w:tcPr>
          <w:p w14:paraId="4EB0863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8-10 ani</w:t>
            </w:r>
          </w:p>
        </w:tc>
        <w:tc>
          <w:tcPr>
            <w:tcW w:w="853" w:type="pct"/>
          </w:tcPr>
          <w:p w14:paraId="651932BC"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8 ani</w:t>
            </w:r>
          </w:p>
        </w:tc>
        <w:tc>
          <w:tcPr>
            <w:tcW w:w="717" w:type="pct"/>
          </w:tcPr>
          <w:p w14:paraId="12BC38D5" w14:textId="77777777" w:rsidR="003913BC" w:rsidRPr="0049126A" w:rsidRDefault="003913BC" w:rsidP="00FF4B29">
            <w:pPr>
              <w:jc w:val="both"/>
              <w:rPr>
                <w:rFonts w:ascii="Arial Narrow" w:hAnsi="Arial Narrow" w:cs="Times New Roman"/>
                <w:sz w:val="20"/>
                <w:szCs w:val="20"/>
                <w:lang w:val="it-IT"/>
              </w:rPr>
            </w:pPr>
          </w:p>
        </w:tc>
        <w:tc>
          <w:tcPr>
            <w:tcW w:w="709" w:type="pct"/>
          </w:tcPr>
          <w:p w14:paraId="59DCF16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Adolescență</w:t>
            </w:r>
          </w:p>
        </w:tc>
      </w:tr>
      <w:tr w:rsidR="0049126A" w:rsidRPr="0049126A" w14:paraId="0561415A" w14:textId="77777777" w:rsidTr="003913BC">
        <w:tc>
          <w:tcPr>
            <w:tcW w:w="1028" w:type="pct"/>
          </w:tcPr>
          <w:p w14:paraId="08E2DBC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insulinemie</w:t>
            </w:r>
          </w:p>
        </w:tc>
        <w:tc>
          <w:tcPr>
            <w:tcW w:w="883" w:type="pct"/>
          </w:tcPr>
          <w:p w14:paraId="0217471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520E8A8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12E63D9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25D55F5D"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09" w:type="pct"/>
          </w:tcPr>
          <w:p w14:paraId="05B82B49"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r>
      <w:tr w:rsidR="0049126A" w:rsidRPr="0049126A" w14:paraId="385F5863" w14:textId="77777777" w:rsidTr="003913BC">
        <w:tc>
          <w:tcPr>
            <w:tcW w:w="1028" w:type="pct"/>
          </w:tcPr>
          <w:p w14:paraId="7F14C52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trigliceride</w:t>
            </w:r>
          </w:p>
        </w:tc>
        <w:tc>
          <w:tcPr>
            <w:tcW w:w="883" w:type="pct"/>
          </w:tcPr>
          <w:p w14:paraId="5ADC507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5108DE3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5C40F7A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4368E907"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09" w:type="pct"/>
          </w:tcPr>
          <w:p w14:paraId="2AC08FF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r>
      <w:tr w:rsidR="0049126A" w:rsidRPr="0049126A" w14:paraId="67F1DEB9" w14:textId="77777777" w:rsidTr="003913BC">
        <w:tc>
          <w:tcPr>
            <w:tcW w:w="1028" w:type="pct"/>
          </w:tcPr>
          <w:p w14:paraId="3CCE922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HDL colesterol</w:t>
            </w:r>
          </w:p>
        </w:tc>
        <w:tc>
          <w:tcPr>
            <w:tcW w:w="883" w:type="pct"/>
          </w:tcPr>
          <w:p w14:paraId="5BC9A0E2" w14:textId="77777777" w:rsidR="003913BC" w:rsidRPr="0049126A" w:rsidRDefault="003913BC" w:rsidP="00FF4B29">
            <w:pPr>
              <w:jc w:val="both"/>
              <w:rPr>
                <w:rFonts w:ascii="Arial Narrow" w:hAnsi="Arial Narrow" w:cs="Times New Roman"/>
                <w:sz w:val="20"/>
                <w:szCs w:val="20"/>
                <w:lang w:val="it-IT"/>
              </w:rPr>
            </w:pPr>
            <w:r w:rsidRPr="0049126A">
              <w:rPr>
                <w:rStyle w:val="u-font-serif"/>
                <w:rFonts w:ascii="Arial Narrow" w:hAnsi="Arial Narrow" w:cs="Times New Roman"/>
                <w:sz w:val="20"/>
                <w:szCs w:val="20"/>
              </w:rPr>
              <w:t>↓↓ sau  ↔</w:t>
            </w:r>
          </w:p>
        </w:tc>
        <w:tc>
          <w:tcPr>
            <w:tcW w:w="810" w:type="pct"/>
          </w:tcPr>
          <w:p w14:paraId="612DD93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 sau  ↔</w:t>
            </w:r>
          </w:p>
        </w:tc>
        <w:tc>
          <w:tcPr>
            <w:tcW w:w="853" w:type="pct"/>
          </w:tcPr>
          <w:p w14:paraId="36F2E80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1FBC0E3D" w14:textId="77777777" w:rsidR="003913BC" w:rsidRPr="0049126A" w:rsidRDefault="003913BC" w:rsidP="00FF4B29">
            <w:pPr>
              <w:jc w:val="both"/>
              <w:rPr>
                <w:rFonts w:ascii="Arial Narrow" w:hAnsi="Arial Narrow" w:cs="Times New Roman"/>
                <w:sz w:val="20"/>
                <w:szCs w:val="20"/>
                <w:lang w:val="it-IT"/>
              </w:rPr>
            </w:pPr>
          </w:p>
        </w:tc>
        <w:tc>
          <w:tcPr>
            <w:tcW w:w="709" w:type="pct"/>
          </w:tcPr>
          <w:p w14:paraId="0C7B0EC2"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6AEB8293" w14:textId="77777777" w:rsidTr="003913BC">
        <w:tc>
          <w:tcPr>
            <w:tcW w:w="1028" w:type="pct"/>
          </w:tcPr>
          <w:p w14:paraId="44FA4C87"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Leptina</w:t>
            </w:r>
          </w:p>
        </w:tc>
        <w:tc>
          <w:tcPr>
            <w:tcW w:w="883" w:type="pct"/>
          </w:tcPr>
          <w:p w14:paraId="5156B168"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10" w:type="pct"/>
          </w:tcPr>
          <w:p w14:paraId="05E0BED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853" w:type="pct"/>
          </w:tcPr>
          <w:p w14:paraId="1A072D8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w:t>
            </w:r>
          </w:p>
        </w:tc>
        <w:tc>
          <w:tcPr>
            <w:tcW w:w="717" w:type="pct"/>
          </w:tcPr>
          <w:p w14:paraId="206B7170" w14:textId="77777777" w:rsidR="003913BC" w:rsidRPr="0049126A" w:rsidRDefault="003913BC" w:rsidP="00FF4B29">
            <w:pPr>
              <w:jc w:val="both"/>
              <w:rPr>
                <w:rFonts w:ascii="Arial Narrow" w:hAnsi="Arial Narrow" w:cs="Times New Roman"/>
                <w:sz w:val="20"/>
                <w:szCs w:val="20"/>
                <w:lang w:val="it-IT"/>
              </w:rPr>
            </w:pPr>
          </w:p>
        </w:tc>
        <w:tc>
          <w:tcPr>
            <w:tcW w:w="709" w:type="pct"/>
          </w:tcPr>
          <w:p w14:paraId="54EB88CA"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644F5AFF" w14:textId="77777777" w:rsidTr="003913BC">
        <w:tc>
          <w:tcPr>
            <w:tcW w:w="1028" w:type="pct"/>
          </w:tcPr>
          <w:p w14:paraId="67FD2F65"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Acanthosis</w:t>
            </w:r>
          </w:p>
        </w:tc>
        <w:tc>
          <w:tcPr>
            <w:tcW w:w="883" w:type="pct"/>
          </w:tcPr>
          <w:p w14:paraId="77102867"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Prezentă</w:t>
            </w:r>
          </w:p>
        </w:tc>
        <w:tc>
          <w:tcPr>
            <w:tcW w:w="810" w:type="pct"/>
          </w:tcPr>
          <w:p w14:paraId="41EAFB2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Prezentă</w:t>
            </w:r>
          </w:p>
        </w:tc>
        <w:tc>
          <w:tcPr>
            <w:tcW w:w="853" w:type="pct"/>
          </w:tcPr>
          <w:p w14:paraId="6EB17A8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Prezentă</w:t>
            </w:r>
          </w:p>
        </w:tc>
        <w:tc>
          <w:tcPr>
            <w:tcW w:w="717" w:type="pct"/>
          </w:tcPr>
          <w:p w14:paraId="29B58C5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Prezentă</w:t>
            </w:r>
          </w:p>
        </w:tc>
        <w:tc>
          <w:tcPr>
            <w:tcW w:w="709" w:type="pct"/>
          </w:tcPr>
          <w:p w14:paraId="34D4D72B"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Prezentă</w:t>
            </w:r>
          </w:p>
        </w:tc>
      </w:tr>
      <w:tr w:rsidR="0049126A" w:rsidRPr="0049126A" w14:paraId="21D6214C" w14:textId="77777777" w:rsidTr="003913BC">
        <w:tc>
          <w:tcPr>
            <w:tcW w:w="1028" w:type="pct"/>
          </w:tcPr>
          <w:p w14:paraId="5362C25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lastRenderedPageBreak/>
              <w:t>Afectare osoasă/musculară/articulară</w:t>
            </w:r>
          </w:p>
        </w:tc>
        <w:tc>
          <w:tcPr>
            <w:tcW w:w="883" w:type="pct"/>
          </w:tcPr>
          <w:p w14:paraId="0EC5D44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Dezvoltă chisturi osoase la nivelul oaselor lungi membre postpubertar</w:t>
            </w:r>
          </w:p>
        </w:tc>
        <w:tc>
          <w:tcPr>
            <w:tcW w:w="810" w:type="pct"/>
          </w:tcPr>
          <w:p w14:paraId="566C7CE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Mers spastic</w:t>
            </w:r>
          </w:p>
        </w:tc>
        <w:tc>
          <w:tcPr>
            <w:tcW w:w="853" w:type="pct"/>
          </w:tcPr>
          <w:p w14:paraId="1AFFB79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Statură mică</w:t>
            </w:r>
          </w:p>
        </w:tc>
        <w:tc>
          <w:tcPr>
            <w:tcW w:w="717" w:type="pct"/>
          </w:tcPr>
          <w:p w14:paraId="5F327B8F"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Osteopenie, deformări metafizare, rigiditate articulară</w:t>
            </w:r>
          </w:p>
          <w:p w14:paraId="2EBB122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Miopatie congenitală cu nivele serice crescute de CK</w:t>
            </w:r>
          </w:p>
          <w:p w14:paraId="59B3A5D9"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Instabilitate atlanto-axială</w:t>
            </w:r>
          </w:p>
          <w:p w14:paraId="5BEE6D91" w14:textId="77777777" w:rsidR="003913BC" w:rsidRPr="0049126A" w:rsidRDefault="003913BC" w:rsidP="00FF4B29">
            <w:pPr>
              <w:jc w:val="both"/>
              <w:rPr>
                <w:rFonts w:ascii="Arial Narrow" w:hAnsi="Arial Narrow" w:cs="Times New Roman"/>
                <w:sz w:val="20"/>
                <w:szCs w:val="20"/>
                <w:lang w:val="it-IT"/>
              </w:rPr>
            </w:pPr>
          </w:p>
        </w:tc>
        <w:tc>
          <w:tcPr>
            <w:tcW w:w="709" w:type="pct"/>
          </w:tcPr>
          <w:p w14:paraId="64EE378E" w14:textId="77777777" w:rsidR="003913BC" w:rsidRPr="0049126A" w:rsidRDefault="003913BC" w:rsidP="00FF4B29">
            <w:pPr>
              <w:jc w:val="both"/>
              <w:rPr>
                <w:rFonts w:ascii="Arial Narrow" w:hAnsi="Arial Narrow" w:cs="Times New Roman"/>
                <w:sz w:val="20"/>
                <w:szCs w:val="20"/>
                <w:lang w:val="it-IT"/>
              </w:rPr>
            </w:pPr>
          </w:p>
        </w:tc>
      </w:tr>
      <w:tr w:rsidR="0049126A" w:rsidRPr="0049126A" w14:paraId="6DC10D59" w14:textId="77777777" w:rsidTr="003913BC">
        <w:tc>
          <w:tcPr>
            <w:tcW w:w="1028" w:type="pct"/>
          </w:tcPr>
          <w:p w14:paraId="2EC82ADD"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Afectare cardiacă</w:t>
            </w:r>
          </w:p>
        </w:tc>
        <w:tc>
          <w:tcPr>
            <w:tcW w:w="883" w:type="pct"/>
          </w:tcPr>
          <w:p w14:paraId="50213A59"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NA</w:t>
            </w:r>
          </w:p>
        </w:tc>
        <w:tc>
          <w:tcPr>
            <w:tcW w:w="810" w:type="pct"/>
          </w:tcPr>
          <w:p w14:paraId="25C84EE9"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cardiomiopatie hipertrofică, risc de deces precoce</w:t>
            </w:r>
          </w:p>
        </w:tc>
        <w:tc>
          <w:tcPr>
            <w:tcW w:w="853" w:type="pct"/>
          </w:tcPr>
          <w:p w14:paraId="10880DAD"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NA</w:t>
            </w:r>
          </w:p>
        </w:tc>
        <w:tc>
          <w:tcPr>
            <w:tcW w:w="717" w:type="pct"/>
          </w:tcPr>
          <w:p w14:paraId="4E814ED5"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Alungire interval QT, risc crescut de aritmii maligne cu moarte subită</w:t>
            </w:r>
          </w:p>
        </w:tc>
        <w:tc>
          <w:tcPr>
            <w:tcW w:w="709" w:type="pct"/>
          </w:tcPr>
          <w:p w14:paraId="51BA28E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per</w:t>
            </w:r>
          </w:p>
        </w:tc>
      </w:tr>
      <w:tr w:rsidR="0049126A" w:rsidRPr="0049126A" w14:paraId="03ED67A6" w14:textId="77777777" w:rsidTr="003913BC">
        <w:tc>
          <w:tcPr>
            <w:tcW w:w="1028" w:type="pct"/>
          </w:tcPr>
          <w:p w14:paraId="2229F5D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Hipertensiune</w:t>
            </w:r>
          </w:p>
        </w:tc>
        <w:tc>
          <w:tcPr>
            <w:tcW w:w="883" w:type="pct"/>
          </w:tcPr>
          <w:p w14:paraId="3EC8D8CD"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rară</w:t>
            </w:r>
          </w:p>
        </w:tc>
        <w:tc>
          <w:tcPr>
            <w:tcW w:w="810" w:type="pct"/>
          </w:tcPr>
          <w:p w14:paraId="3A3203F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rară</w:t>
            </w:r>
          </w:p>
        </w:tc>
        <w:tc>
          <w:tcPr>
            <w:tcW w:w="853" w:type="pct"/>
          </w:tcPr>
          <w:p w14:paraId="2BCE1BBB"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Nu este prezentă</w:t>
            </w:r>
          </w:p>
        </w:tc>
        <w:tc>
          <w:tcPr>
            <w:tcW w:w="717" w:type="pct"/>
          </w:tcPr>
          <w:p w14:paraId="1D0A8CFB" w14:textId="77777777" w:rsidR="003913BC" w:rsidRPr="0049126A" w:rsidRDefault="003913BC" w:rsidP="00FF4B29">
            <w:pPr>
              <w:jc w:val="both"/>
              <w:rPr>
                <w:rFonts w:ascii="Arial Narrow" w:hAnsi="Arial Narrow" w:cs="Times New Roman"/>
                <w:sz w:val="20"/>
                <w:szCs w:val="20"/>
                <w:highlight w:val="yellow"/>
                <w:lang w:val="it-IT"/>
              </w:rPr>
            </w:pPr>
            <w:r w:rsidRPr="0049126A">
              <w:rPr>
                <w:rFonts w:ascii="Arial Narrow" w:hAnsi="Arial Narrow" w:cs="Times New Roman"/>
                <w:sz w:val="20"/>
                <w:szCs w:val="20"/>
                <w:highlight w:val="yellow"/>
                <w:lang w:val="it-IT"/>
              </w:rPr>
              <w:t>?</w:t>
            </w:r>
          </w:p>
        </w:tc>
        <w:tc>
          <w:tcPr>
            <w:tcW w:w="709" w:type="pct"/>
          </w:tcPr>
          <w:p w14:paraId="38CF4DEE" w14:textId="77777777" w:rsidR="003913BC" w:rsidRPr="0049126A" w:rsidRDefault="003913BC" w:rsidP="00FF4B29">
            <w:pPr>
              <w:jc w:val="both"/>
              <w:rPr>
                <w:rFonts w:ascii="Arial Narrow" w:hAnsi="Arial Narrow" w:cs="Times New Roman"/>
                <w:sz w:val="20"/>
                <w:szCs w:val="20"/>
                <w:highlight w:val="yellow"/>
                <w:lang w:val="it-IT"/>
              </w:rPr>
            </w:pPr>
            <w:r w:rsidRPr="0049126A">
              <w:rPr>
                <w:rFonts w:ascii="Arial Narrow" w:hAnsi="Arial Narrow" w:cs="Times New Roman"/>
                <w:sz w:val="20"/>
                <w:szCs w:val="20"/>
                <w:highlight w:val="yellow"/>
                <w:lang w:val="it-IT"/>
              </w:rPr>
              <w:t>?</w:t>
            </w:r>
          </w:p>
        </w:tc>
      </w:tr>
      <w:tr w:rsidR="0049126A" w:rsidRPr="0049126A" w14:paraId="184B882C" w14:textId="77777777" w:rsidTr="003913BC">
        <w:tc>
          <w:tcPr>
            <w:tcW w:w="1028" w:type="pct"/>
          </w:tcPr>
          <w:p w14:paraId="45AE0A05"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Afectare GI</w:t>
            </w:r>
          </w:p>
        </w:tc>
        <w:tc>
          <w:tcPr>
            <w:tcW w:w="883" w:type="pct"/>
          </w:tcPr>
          <w:p w14:paraId="40C33CE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NA</w:t>
            </w:r>
          </w:p>
        </w:tc>
        <w:tc>
          <w:tcPr>
            <w:tcW w:w="810" w:type="pct"/>
          </w:tcPr>
          <w:p w14:paraId="1D054B8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NA</w:t>
            </w:r>
          </w:p>
        </w:tc>
        <w:tc>
          <w:tcPr>
            <w:tcW w:w="853" w:type="pct"/>
          </w:tcPr>
          <w:p w14:paraId="6F2E73EB"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Megaesofag congenital</w:t>
            </w:r>
          </w:p>
          <w:p w14:paraId="6421F95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Steatoză hepatică</w:t>
            </w:r>
          </w:p>
        </w:tc>
        <w:tc>
          <w:tcPr>
            <w:tcW w:w="717" w:type="pct"/>
          </w:tcPr>
          <w:p w14:paraId="0666E835"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Stenoză pilorică</w:t>
            </w:r>
          </w:p>
        </w:tc>
        <w:tc>
          <w:tcPr>
            <w:tcW w:w="709" w:type="pct"/>
          </w:tcPr>
          <w:p w14:paraId="34E6E0D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Episoade recurente de pancreatită</w:t>
            </w:r>
          </w:p>
        </w:tc>
      </w:tr>
      <w:tr w:rsidR="0049126A" w:rsidRPr="0049126A" w14:paraId="4809F9EF" w14:textId="77777777" w:rsidTr="003913BC">
        <w:tc>
          <w:tcPr>
            <w:tcW w:w="1028" w:type="pct"/>
          </w:tcPr>
          <w:p w14:paraId="24B3B616"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Afectare intelectuală/neurologică</w:t>
            </w:r>
          </w:p>
        </w:tc>
        <w:tc>
          <w:tcPr>
            <w:tcW w:w="883" w:type="pct"/>
          </w:tcPr>
          <w:p w14:paraId="1D5D230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Inteligență normală</w:t>
            </w:r>
          </w:p>
        </w:tc>
        <w:tc>
          <w:tcPr>
            <w:tcW w:w="810" w:type="pct"/>
          </w:tcPr>
          <w:p w14:paraId="19150CB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Poate asocia dizabilitate intelectuală (de obicei ușoară/moderată)</w:t>
            </w:r>
          </w:p>
          <w:p w14:paraId="5794E400"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Sdr de neuron motor superior</w:t>
            </w:r>
          </w:p>
          <w:p w14:paraId="05FBBDF4"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Sdr neurodegenerativ progresiv, cu prognostic fatal</w:t>
            </w:r>
          </w:p>
          <w:p w14:paraId="25B2E6F9"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Neuropatie motorie distală</w:t>
            </w:r>
          </w:p>
        </w:tc>
        <w:tc>
          <w:tcPr>
            <w:tcW w:w="853" w:type="pct"/>
          </w:tcPr>
          <w:p w14:paraId="5B53B42C" w14:textId="77777777" w:rsidR="003913BC" w:rsidRPr="0049126A" w:rsidRDefault="003913BC" w:rsidP="00FF4B29">
            <w:pPr>
              <w:jc w:val="both"/>
              <w:rPr>
                <w:rFonts w:ascii="Arial Narrow" w:hAnsi="Arial Narrow" w:cs="Times New Roman"/>
                <w:sz w:val="20"/>
                <w:szCs w:val="20"/>
                <w:lang w:val="it-IT"/>
              </w:rPr>
            </w:pPr>
          </w:p>
        </w:tc>
        <w:tc>
          <w:tcPr>
            <w:tcW w:w="717" w:type="pct"/>
          </w:tcPr>
          <w:p w14:paraId="3533F465" w14:textId="77777777" w:rsidR="003913BC" w:rsidRPr="0049126A" w:rsidRDefault="003913BC" w:rsidP="00FF4B29">
            <w:pPr>
              <w:jc w:val="both"/>
              <w:rPr>
                <w:rFonts w:ascii="Arial Narrow" w:hAnsi="Arial Narrow" w:cs="Times New Roman"/>
                <w:sz w:val="20"/>
                <w:szCs w:val="20"/>
                <w:lang w:val="it-IT"/>
              </w:rPr>
            </w:pPr>
          </w:p>
        </w:tc>
        <w:tc>
          <w:tcPr>
            <w:tcW w:w="709" w:type="pct"/>
          </w:tcPr>
          <w:p w14:paraId="25339C90" w14:textId="77777777" w:rsidR="003913BC" w:rsidRPr="0049126A" w:rsidRDefault="003913BC" w:rsidP="00FF4B29">
            <w:pPr>
              <w:jc w:val="both"/>
              <w:rPr>
                <w:rFonts w:ascii="Arial Narrow" w:hAnsi="Arial Narrow" w:cs="Times New Roman"/>
                <w:sz w:val="20"/>
                <w:szCs w:val="20"/>
                <w:lang w:val="it-IT"/>
              </w:rPr>
            </w:pPr>
          </w:p>
        </w:tc>
      </w:tr>
      <w:tr w:rsidR="003913BC" w:rsidRPr="0049126A" w14:paraId="57E9CC19" w14:textId="77777777" w:rsidTr="003913BC">
        <w:tc>
          <w:tcPr>
            <w:tcW w:w="1028" w:type="pct"/>
          </w:tcPr>
          <w:p w14:paraId="41C61373"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Alte caracteristici</w:t>
            </w:r>
          </w:p>
          <w:p w14:paraId="66E50382" w14:textId="77777777" w:rsidR="003913BC" w:rsidRPr="0049126A" w:rsidRDefault="003913BC" w:rsidP="00FF4B29">
            <w:pPr>
              <w:jc w:val="both"/>
              <w:rPr>
                <w:rFonts w:ascii="Arial Narrow" w:hAnsi="Arial Narrow" w:cs="Times New Roman"/>
                <w:sz w:val="20"/>
                <w:szCs w:val="20"/>
                <w:lang w:val="it-IT"/>
              </w:rPr>
            </w:pPr>
          </w:p>
        </w:tc>
        <w:tc>
          <w:tcPr>
            <w:tcW w:w="883" w:type="pct"/>
          </w:tcPr>
          <w:p w14:paraId="7AC47F2B"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Aspect acromegaloid</w:t>
            </w:r>
          </w:p>
        </w:tc>
        <w:tc>
          <w:tcPr>
            <w:tcW w:w="810" w:type="pct"/>
          </w:tcPr>
          <w:p w14:paraId="5F4F98DE"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teratozoospernie</w:t>
            </w:r>
          </w:p>
        </w:tc>
        <w:tc>
          <w:tcPr>
            <w:tcW w:w="853" w:type="pct"/>
          </w:tcPr>
          <w:p w14:paraId="0BA86D6B"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Poate asocia falimentul creșterii cu statură mică</w:t>
            </w:r>
          </w:p>
          <w:p w14:paraId="577A6382"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Hipocalcemie prin rezistență la vitamina D</w:t>
            </w:r>
          </w:p>
        </w:tc>
        <w:tc>
          <w:tcPr>
            <w:tcW w:w="717" w:type="pct"/>
          </w:tcPr>
          <w:p w14:paraId="0D485091"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Lipodistrofie cu debut tardiv în perioada de sugar</w:t>
            </w:r>
          </w:p>
          <w:p w14:paraId="2A477217" w14:textId="77777777" w:rsidR="003913BC" w:rsidRPr="0049126A" w:rsidRDefault="003913BC" w:rsidP="00FF4B29">
            <w:pPr>
              <w:jc w:val="both"/>
              <w:rPr>
                <w:rFonts w:ascii="Arial Narrow" w:hAnsi="Arial Narrow" w:cs="Times New Roman"/>
                <w:sz w:val="20"/>
                <w:szCs w:val="20"/>
                <w:lang w:val="it-IT"/>
              </w:rPr>
            </w:pPr>
            <w:r w:rsidRPr="0049126A">
              <w:rPr>
                <w:rFonts w:ascii="Arial Narrow" w:hAnsi="Arial Narrow" w:cs="Times New Roman"/>
                <w:sz w:val="20"/>
                <w:szCs w:val="20"/>
                <w:lang w:val="it-IT"/>
              </w:rPr>
              <w:t xml:space="preserve">Afectare nefrotică cu deficit de IgA </w:t>
            </w:r>
          </w:p>
        </w:tc>
        <w:tc>
          <w:tcPr>
            <w:tcW w:w="709" w:type="pct"/>
          </w:tcPr>
          <w:p w14:paraId="11F0A4AA" w14:textId="77777777" w:rsidR="003913BC" w:rsidRPr="0049126A" w:rsidRDefault="003913BC" w:rsidP="00FF4B29">
            <w:pPr>
              <w:jc w:val="both"/>
              <w:rPr>
                <w:rFonts w:ascii="Arial Narrow" w:hAnsi="Arial Narrow" w:cs="Times New Roman"/>
                <w:sz w:val="20"/>
                <w:szCs w:val="20"/>
                <w:lang w:val="it-IT"/>
              </w:rPr>
            </w:pPr>
          </w:p>
        </w:tc>
      </w:tr>
    </w:tbl>
    <w:p w14:paraId="3F47B9B8" w14:textId="77777777" w:rsidR="003913BC" w:rsidRPr="0049126A" w:rsidRDefault="003913BC" w:rsidP="003913BC">
      <w:pPr>
        <w:rPr>
          <w:rFonts w:ascii="Times New Roman" w:hAnsi="Times New Roman" w:cs="Times New Roman"/>
          <w:sz w:val="20"/>
          <w:szCs w:val="20"/>
        </w:rPr>
      </w:pPr>
    </w:p>
    <w:p w14:paraId="2100F92B"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18DBCC2B"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43343EC6"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465911C3"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620B4BE4"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666B52CD"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3E546EAB"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48267B0D"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79B4901D" w14:textId="77777777" w:rsidR="003913BC" w:rsidRPr="0049126A" w:rsidRDefault="003913BC" w:rsidP="00380B65">
      <w:pPr>
        <w:tabs>
          <w:tab w:val="left" w:pos="426"/>
        </w:tabs>
        <w:jc w:val="both"/>
        <w:rPr>
          <w:rFonts w:ascii="Times New Roman" w:eastAsia="Arial" w:hAnsi="Times New Roman" w:cs="Times New Roman"/>
          <w:b/>
          <w:bCs/>
          <w:sz w:val="24"/>
          <w:szCs w:val="24"/>
          <w:lang w:val="en-US"/>
        </w:rPr>
      </w:pPr>
    </w:p>
    <w:p w14:paraId="074B6EE7"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3053DB13"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6190BAD8" w14:textId="77777777" w:rsidR="003913BC" w:rsidRPr="0049126A" w:rsidRDefault="003913BC" w:rsidP="003913BC">
      <w:pPr>
        <w:rPr>
          <w:rFonts w:ascii="Times New Roman" w:hAnsi="Times New Roman" w:cs="Times New Roman"/>
          <w:b/>
          <w:sz w:val="24"/>
          <w:szCs w:val="24"/>
        </w:rPr>
      </w:pPr>
      <w:bookmarkStart w:id="2" w:name="_Hlk157959539"/>
      <w:r w:rsidRPr="0049126A">
        <w:rPr>
          <w:rFonts w:ascii="Times New Roman" w:hAnsi="Times New Roman" w:cs="Times New Roman"/>
          <w:b/>
          <w:sz w:val="24"/>
          <w:szCs w:val="24"/>
        </w:rPr>
        <w:lastRenderedPageBreak/>
        <w:t xml:space="preserve">ANEXA 2 </w:t>
      </w:r>
    </w:p>
    <w:p w14:paraId="2DFF216C" w14:textId="085CC823" w:rsidR="003913BC" w:rsidRPr="0049126A" w:rsidRDefault="003913BC" w:rsidP="003913BC">
      <w:pPr>
        <w:rPr>
          <w:rFonts w:ascii="Times New Roman" w:hAnsi="Times New Roman" w:cs="Times New Roman"/>
          <w:b/>
          <w:sz w:val="24"/>
          <w:szCs w:val="24"/>
        </w:rPr>
      </w:pPr>
      <w:r w:rsidRPr="0049126A">
        <w:rPr>
          <w:rFonts w:ascii="Times New Roman" w:hAnsi="Times New Roman" w:cs="Times New Roman"/>
          <w:b/>
          <w:sz w:val="24"/>
          <w:szCs w:val="24"/>
        </w:rPr>
        <w:t>LIPODOSTROFII PARȚIALE CONGENITALE – (FPLD = ”Familial Partial Lypodystrophies”) – FPLD2 și FPLD3 acoperă minim 50% cazuri</w:t>
      </w:r>
    </w:p>
    <w:p w14:paraId="2FB1F7BA" w14:textId="77777777" w:rsidR="003913BC" w:rsidRPr="0049126A" w:rsidRDefault="003913BC" w:rsidP="003913BC">
      <w:pPr>
        <w:rPr>
          <w:rFonts w:ascii="Times New Roman" w:hAnsi="Times New Roman" w:cs="Times New Roman"/>
          <w:b/>
          <w:sz w:val="24"/>
          <w:szCs w:val="24"/>
        </w:rPr>
      </w:pPr>
      <w:r w:rsidRPr="0049126A">
        <w:rPr>
          <w:rFonts w:ascii="Times New Roman" w:hAnsi="Times New Roman" w:cs="Times New Roman"/>
          <w:b/>
          <w:sz w:val="24"/>
          <w:szCs w:val="24"/>
        </w:rPr>
        <w:t xml:space="preserve"> CARACTERIZARE CLINICO-PATOGENICĂ</w:t>
      </w:r>
    </w:p>
    <w:tbl>
      <w:tblPr>
        <w:tblStyle w:val="TableGrid"/>
        <w:tblW w:w="5000" w:type="pct"/>
        <w:tblLayout w:type="fixed"/>
        <w:tblLook w:val="04A0" w:firstRow="1" w:lastRow="0" w:firstColumn="1" w:lastColumn="0" w:noHBand="0" w:noVBand="1"/>
      </w:tblPr>
      <w:tblGrid>
        <w:gridCol w:w="1068"/>
        <w:gridCol w:w="1071"/>
        <w:gridCol w:w="1071"/>
        <w:gridCol w:w="1104"/>
        <w:gridCol w:w="1038"/>
        <w:gridCol w:w="1071"/>
        <w:gridCol w:w="1071"/>
        <w:gridCol w:w="1071"/>
        <w:gridCol w:w="1065"/>
      </w:tblGrid>
      <w:tr w:rsidR="0049126A" w:rsidRPr="0049126A" w14:paraId="4A76B2C8" w14:textId="77777777" w:rsidTr="00FF4B29">
        <w:tc>
          <w:tcPr>
            <w:tcW w:w="555" w:type="pct"/>
          </w:tcPr>
          <w:bookmarkEnd w:id="2"/>
          <w:p w14:paraId="59796157"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Tip</w:t>
            </w:r>
          </w:p>
        </w:tc>
        <w:tc>
          <w:tcPr>
            <w:tcW w:w="556" w:type="pct"/>
          </w:tcPr>
          <w:p w14:paraId="209822BB" w14:textId="77777777" w:rsidR="003913BC" w:rsidRPr="0049126A" w:rsidRDefault="003913BC" w:rsidP="00FF4B29">
            <w:pPr>
              <w:jc w:val="both"/>
              <w:rPr>
                <w:rFonts w:ascii="Arial Narrow" w:hAnsi="Arial Narrow" w:cs="Times New Roman"/>
                <w:b/>
                <w:bCs/>
                <w:sz w:val="16"/>
                <w:szCs w:val="16"/>
                <w:lang w:val="pt-BR"/>
              </w:rPr>
            </w:pPr>
            <w:bookmarkStart w:id="3" w:name="_Hlk157959642"/>
            <w:r w:rsidRPr="0049126A">
              <w:rPr>
                <w:rFonts w:ascii="Arial Narrow" w:hAnsi="Arial Narrow" w:cs="Times New Roman"/>
                <w:b/>
                <w:bCs/>
                <w:sz w:val="16"/>
                <w:szCs w:val="16"/>
                <w:lang w:val="pt-BR"/>
              </w:rPr>
              <w:t>FPLD1</w:t>
            </w:r>
          </w:p>
          <w:p w14:paraId="0779331C"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eastAsia="TimesNewRomanPSMT" w:hAnsi="Arial Narrow" w:cs="Times New Roman"/>
                <w:sz w:val="16"/>
                <w:szCs w:val="16"/>
              </w:rPr>
              <w:t xml:space="preserve">Sdr. Koebberling </w:t>
            </w:r>
          </w:p>
        </w:tc>
        <w:tc>
          <w:tcPr>
            <w:tcW w:w="556" w:type="pct"/>
          </w:tcPr>
          <w:p w14:paraId="4FAA5E1C"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FPLD2</w:t>
            </w:r>
          </w:p>
          <w:p w14:paraId="55E94711"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eastAsia="TimesNewRomanPSMT" w:hAnsi="Arial Narrow" w:cs="Times New Roman"/>
                <w:sz w:val="16"/>
                <w:szCs w:val="16"/>
              </w:rPr>
              <w:t>Sdr. Dunnigan</w:t>
            </w:r>
          </w:p>
        </w:tc>
        <w:tc>
          <w:tcPr>
            <w:tcW w:w="573" w:type="pct"/>
          </w:tcPr>
          <w:p w14:paraId="71582A6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FPLD3</w:t>
            </w:r>
          </w:p>
        </w:tc>
        <w:tc>
          <w:tcPr>
            <w:tcW w:w="539" w:type="pct"/>
          </w:tcPr>
          <w:p w14:paraId="5E604381"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FPLD4</w:t>
            </w:r>
          </w:p>
        </w:tc>
        <w:tc>
          <w:tcPr>
            <w:tcW w:w="556" w:type="pct"/>
          </w:tcPr>
          <w:p w14:paraId="2E0A96CA"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FPLD5</w:t>
            </w:r>
          </w:p>
        </w:tc>
        <w:tc>
          <w:tcPr>
            <w:tcW w:w="556" w:type="pct"/>
          </w:tcPr>
          <w:p w14:paraId="67477E93"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FPLD6</w:t>
            </w:r>
          </w:p>
        </w:tc>
        <w:tc>
          <w:tcPr>
            <w:tcW w:w="556" w:type="pct"/>
          </w:tcPr>
          <w:p w14:paraId="3CCFBA46"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 xml:space="preserve">FPLD7 </w:t>
            </w:r>
          </w:p>
        </w:tc>
        <w:tc>
          <w:tcPr>
            <w:tcW w:w="553" w:type="pct"/>
          </w:tcPr>
          <w:p w14:paraId="0829E65A"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FPLD AKT2 linkată</w:t>
            </w:r>
          </w:p>
        </w:tc>
      </w:tr>
      <w:tr w:rsidR="0049126A" w:rsidRPr="0049126A" w14:paraId="2B9D18BA" w14:textId="77777777" w:rsidTr="00FF4B29">
        <w:tc>
          <w:tcPr>
            <w:tcW w:w="555" w:type="pct"/>
          </w:tcPr>
          <w:p w14:paraId="46B58350"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Transmitere</w:t>
            </w:r>
          </w:p>
        </w:tc>
        <w:tc>
          <w:tcPr>
            <w:tcW w:w="556" w:type="pct"/>
          </w:tcPr>
          <w:p w14:paraId="3C7B7A0A"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Gena necunoscută, AD sau poligenic</w:t>
            </w:r>
          </w:p>
          <w:p w14:paraId="6805B3A3"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OMIM #608600</w:t>
            </w:r>
          </w:p>
        </w:tc>
        <w:tc>
          <w:tcPr>
            <w:tcW w:w="556" w:type="pct"/>
          </w:tcPr>
          <w:p w14:paraId="3DC96488"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LMNA, AD sau codominant</w:t>
            </w:r>
          </w:p>
          <w:p w14:paraId="722299F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 #151660</w:t>
            </w:r>
          </w:p>
        </w:tc>
        <w:tc>
          <w:tcPr>
            <w:tcW w:w="573" w:type="pct"/>
          </w:tcPr>
          <w:p w14:paraId="3479431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PPARG, AD</w:t>
            </w:r>
          </w:p>
          <w:p w14:paraId="2B0EAEC8"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w:t>
            </w:r>
          </w:p>
          <w:p w14:paraId="6D53ECB2"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#604367</w:t>
            </w:r>
          </w:p>
        </w:tc>
        <w:tc>
          <w:tcPr>
            <w:tcW w:w="539" w:type="pct"/>
          </w:tcPr>
          <w:p w14:paraId="47AC51CA"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PLIN1, AD</w:t>
            </w:r>
          </w:p>
          <w:p w14:paraId="38CA863A"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w:t>
            </w:r>
          </w:p>
          <w:p w14:paraId="4C8C42B9"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#170290</w:t>
            </w:r>
          </w:p>
        </w:tc>
        <w:tc>
          <w:tcPr>
            <w:tcW w:w="556" w:type="pct"/>
          </w:tcPr>
          <w:p w14:paraId="3BE8A360"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CIDEC, AR</w:t>
            </w:r>
          </w:p>
          <w:p w14:paraId="66D0707D"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 #615238</w:t>
            </w:r>
          </w:p>
        </w:tc>
        <w:tc>
          <w:tcPr>
            <w:tcW w:w="556" w:type="pct"/>
          </w:tcPr>
          <w:p w14:paraId="65786AB6"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LIPE, AR</w:t>
            </w:r>
          </w:p>
          <w:p w14:paraId="57A2B942"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 #615980</w:t>
            </w:r>
          </w:p>
        </w:tc>
        <w:tc>
          <w:tcPr>
            <w:tcW w:w="556" w:type="pct"/>
          </w:tcPr>
          <w:p w14:paraId="18A9FD7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CAV 1, AD</w:t>
            </w:r>
          </w:p>
          <w:p w14:paraId="4C6D3B3C"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 #606721</w:t>
            </w:r>
          </w:p>
        </w:tc>
        <w:tc>
          <w:tcPr>
            <w:tcW w:w="553" w:type="pct"/>
          </w:tcPr>
          <w:p w14:paraId="15863C7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AKT2, AD</w:t>
            </w:r>
          </w:p>
          <w:p w14:paraId="59C9BE79"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OMIM -</w:t>
            </w:r>
          </w:p>
        </w:tc>
      </w:tr>
      <w:tr w:rsidR="0049126A" w:rsidRPr="0049126A" w14:paraId="6E1ECDDA" w14:textId="77777777" w:rsidTr="00FF4B29">
        <w:tc>
          <w:tcPr>
            <w:tcW w:w="555" w:type="pct"/>
          </w:tcPr>
          <w:p w14:paraId="44CA5935"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Substrat genetic</w:t>
            </w:r>
          </w:p>
        </w:tc>
        <w:tc>
          <w:tcPr>
            <w:tcW w:w="556" w:type="pct"/>
          </w:tcPr>
          <w:p w14:paraId="21CD2497"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56" w:type="pct"/>
          </w:tcPr>
          <w:p w14:paraId="560182A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 xml:space="preserve">1q21-22, LMNA – </w:t>
            </w:r>
            <w:r w:rsidRPr="0049126A">
              <w:rPr>
                <w:rStyle w:val="html-italic"/>
                <w:rFonts w:ascii="Arial Narrow" w:hAnsi="Arial Narrow" w:cs="Times New Roman"/>
                <w:sz w:val="16"/>
                <w:szCs w:val="16"/>
              </w:rPr>
              <w:t>lamina nucleară tip A</w:t>
            </w:r>
            <w:r w:rsidRPr="0049126A">
              <w:rPr>
                <w:rFonts w:ascii="Arial Narrow" w:hAnsi="Arial Narrow" w:cs="Times New Roman"/>
                <w:sz w:val="16"/>
                <w:szCs w:val="16"/>
              </w:rPr>
              <w:t xml:space="preserve"> </w:t>
            </w:r>
          </w:p>
        </w:tc>
        <w:tc>
          <w:tcPr>
            <w:tcW w:w="573" w:type="pct"/>
          </w:tcPr>
          <w:p w14:paraId="12FD4929"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xml:space="preserve">3p25.2, </w:t>
            </w:r>
            <w:r w:rsidRPr="0049126A">
              <w:rPr>
                <w:rFonts w:ascii="Arial Narrow" w:hAnsi="Arial Narrow" w:cs="Times New Roman"/>
                <w:b/>
                <w:bCs/>
                <w:sz w:val="16"/>
                <w:szCs w:val="16"/>
              </w:rPr>
              <w:t>PPARG</w:t>
            </w:r>
            <w:r w:rsidRPr="0049126A">
              <w:rPr>
                <w:rFonts w:ascii="Arial Narrow" w:hAnsi="Arial Narrow" w:cs="Times New Roman"/>
                <w:sz w:val="16"/>
                <w:szCs w:val="16"/>
              </w:rPr>
              <w:t xml:space="preserve"> </w:t>
            </w:r>
          </w:p>
        </w:tc>
        <w:tc>
          <w:tcPr>
            <w:tcW w:w="539" w:type="pct"/>
          </w:tcPr>
          <w:p w14:paraId="19EC683D" w14:textId="77777777" w:rsidR="003913BC" w:rsidRPr="0049126A" w:rsidRDefault="003913BC" w:rsidP="00FF4B29">
            <w:pPr>
              <w:jc w:val="both"/>
              <w:rPr>
                <w:rFonts w:ascii="Arial Narrow" w:hAnsi="Arial Narrow" w:cs="Times New Roman"/>
                <w:b/>
                <w:bCs/>
                <w:sz w:val="16"/>
                <w:szCs w:val="16"/>
              </w:rPr>
            </w:pPr>
            <w:r w:rsidRPr="0049126A">
              <w:rPr>
                <w:rStyle w:val="Strong"/>
                <w:rFonts w:ascii="Arial Narrow" w:hAnsi="Arial Narrow" w:cs="Times New Roman"/>
                <w:b w:val="0"/>
                <w:bCs w:val="0"/>
                <w:sz w:val="16"/>
                <w:szCs w:val="16"/>
              </w:rPr>
              <w:t>15q26.1</w:t>
            </w:r>
            <w:r w:rsidRPr="0049126A">
              <w:rPr>
                <w:rFonts w:ascii="Arial Narrow" w:hAnsi="Arial Narrow" w:cs="Times New Roman"/>
                <w:b/>
                <w:bCs/>
                <w:sz w:val="16"/>
                <w:szCs w:val="16"/>
                <w:lang w:val="pt-BR"/>
              </w:rPr>
              <w:t xml:space="preserve"> – PLIN1, Peripilina 1</w:t>
            </w:r>
          </w:p>
        </w:tc>
        <w:tc>
          <w:tcPr>
            <w:tcW w:w="556" w:type="pct"/>
          </w:tcPr>
          <w:p w14:paraId="1D67A46F"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3p25.3, CIDEC</w:t>
            </w:r>
          </w:p>
        </w:tc>
        <w:tc>
          <w:tcPr>
            <w:tcW w:w="556" w:type="pct"/>
          </w:tcPr>
          <w:p w14:paraId="2C1BF99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19q13.2</w:t>
            </w:r>
          </w:p>
          <w:p w14:paraId="4843B3D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LIPE – Lipaza E, hormon-sensitivă</w:t>
            </w:r>
          </w:p>
        </w:tc>
        <w:tc>
          <w:tcPr>
            <w:tcW w:w="556" w:type="pct"/>
          </w:tcPr>
          <w:p w14:paraId="6857BEC2"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7q31.2</w:t>
            </w:r>
          </w:p>
          <w:p w14:paraId="093E0F64"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CAV1 – caveolina1</w:t>
            </w:r>
          </w:p>
        </w:tc>
        <w:tc>
          <w:tcPr>
            <w:tcW w:w="553" w:type="pct"/>
          </w:tcPr>
          <w:p w14:paraId="2CE12CEC" w14:textId="77777777" w:rsidR="003913BC" w:rsidRPr="0049126A" w:rsidRDefault="003913BC" w:rsidP="00FF4B29">
            <w:pPr>
              <w:jc w:val="both"/>
              <w:rPr>
                <w:rFonts w:ascii="Arial Narrow" w:hAnsi="Arial Narrow" w:cs="Times New Roman"/>
                <w:b/>
                <w:bCs/>
                <w:sz w:val="16"/>
                <w:szCs w:val="16"/>
              </w:rPr>
            </w:pPr>
            <w:r w:rsidRPr="0049126A">
              <w:rPr>
                <w:rStyle w:val="Strong"/>
                <w:rFonts w:ascii="Arial Narrow" w:hAnsi="Arial Narrow" w:cs="Times New Roman"/>
                <w:b w:val="0"/>
                <w:bCs w:val="0"/>
                <w:sz w:val="16"/>
                <w:szCs w:val="16"/>
              </w:rPr>
              <w:t>19q13.2</w:t>
            </w:r>
            <w:r w:rsidRPr="0049126A">
              <w:rPr>
                <w:rFonts w:ascii="Arial Narrow" w:hAnsi="Arial Narrow" w:cs="Times New Roman"/>
                <w:b/>
                <w:bCs/>
                <w:sz w:val="16"/>
                <w:szCs w:val="16"/>
              </w:rPr>
              <w:t xml:space="preserve"> </w:t>
            </w:r>
          </w:p>
          <w:p w14:paraId="5585190C"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AKT2  - protein kinase B</w:t>
            </w:r>
          </w:p>
        </w:tc>
      </w:tr>
      <w:tr w:rsidR="0049126A" w:rsidRPr="0049126A" w14:paraId="77740EF2" w14:textId="77777777" w:rsidTr="00FF4B29">
        <w:tc>
          <w:tcPr>
            <w:tcW w:w="555" w:type="pct"/>
          </w:tcPr>
          <w:p w14:paraId="2ECC2500"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Fiziopatologie</w:t>
            </w:r>
          </w:p>
        </w:tc>
        <w:tc>
          <w:tcPr>
            <w:tcW w:w="556" w:type="pct"/>
          </w:tcPr>
          <w:p w14:paraId="68B42DC4"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56" w:type="pct"/>
          </w:tcPr>
          <w:p w14:paraId="634C9DF4"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Incomplet cunoscută, modificări ale laminei nucleare, cu efect citotoxic</w:t>
            </w:r>
          </w:p>
        </w:tc>
        <w:tc>
          <w:tcPr>
            <w:tcW w:w="573" w:type="pct"/>
          </w:tcPr>
          <w:p w14:paraId="0D548D1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(PPARγ) – receptor γ nuclear activat de proliferator peroxisom</w:t>
            </w:r>
          </w:p>
          <w:p w14:paraId="7FB61B1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Principalul reglator al diferențierii și funcției adipocitare, reglator al metabolismului lipidic sistemic și al sensibilității la insulină </w:t>
            </w:r>
          </w:p>
          <w:p w14:paraId="083B7E0F"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Mutațiile PPARG determină inhibiția diferențierii adipocitelor în cursul diviziunii</w:t>
            </w:r>
          </w:p>
        </w:tc>
        <w:tc>
          <w:tcPr>
            <w:tcW w:w="539" w:type="pct"/>
          </w:tcPr>
          <w:p w14:paraId="6D5FBA6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Principala fosfoproteină din jurul picăturilor lipidice din adipocit, reglează metabolizarea TG din depozite adipoase</w:t>
            </w:r>
          </w:p>
        </w:tc>
        <w:tc>
          <w:tcPr>
            <w:tcW w:w="556" w:type="pct"/>
          </w:tcPr>
          <w:p w14:paraId="0C7FAB3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CIDEC este necesară pentru formarea picăturilor lipidice uniloculare și pentru depozitarea optimă a îesutului gras</w:t>
            </w:r>
          </w:p>
        </w:tc>
        <w:tc>
          <w:tcPr>
            <w:tcW w:w="556" w:type="pct"/>
          </w:tcPr>
          <w:p w14:paraId="18D6FDE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Rol principal în hidroliza esterilor de cholesterol și a acilglicerolului din țesutul adipos</w:t>
            </w:r>
          </w:p>
        </w:tc>
        <w:tc>
          <w:tcPr>
            <w:tcW w:w="556" w:type="pct"/>
          </w:tcPr>
          <w:p w14:paraId="0AD8040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Caveolina 1 - exprimată în caveole, structuri aflate la suprafața celulelor, cu rol în transportul lipidelor și fosfolipidelor intracellular, cu formarea picăturilor lipidice, structuri cu funcții specifice-depozitarea lipidelor</w:t>
            </w:r>
          </w:p>
        </w:tc>
        <w:tc>
          <w:tcPr>
            <w:tcW w:w="553" w:type="pct"/>
          </w:tcPr>
          <w:p w14:paraId="1C1F4A5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Proteinkinaza B este implicată in transmiterea semnalului insulinei, mediază diferențierea adipocitelor</w:t>
            </w:r>
          </w:p>
        </w:tc>
      </w:tr>
      <w:tr w:rsidR="0049126A" w:rsidRPr="0049126A" w14:paraId="336A6BA0" w14:textId="77777777" w:rsidTr="00FF4B29">
        <w:tc>
          <w:tcPr>
            <w:tcW w:w="555" w:type="pct"/>
          </w:tcPr>
          <w:p w14:paraId="3A6E5938"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Epidemiologie</w:t>
            </w:r>
          </w:p>
        </w:tc>
        <w:tc>
          <w:tcPr>
            <w:tcW w:w="556" w:type="pct"/>
          </w:tcPr>
          <w:p w14:paraId="3661843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Mai frecvent la sexul feminin</w:t>
            </w:r>
          </w:p>
        </w:tc>
        <w:tc>
          <w:tcPr>
            <w:tcW w:w="556" w:type="pct"/>
          </w:tcPr>
          <w:p w14:paraId="56195D9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&gt;500 pacien</w:t>
            </w:r>
            <w:r w:rsidRPr="0049126A">
              <w:rPr>
                <w:rFonts w:ascii="Arial Narrow" w:hAnsi="Arial Narrow" w:cs="Times New Roman"/>
                <w:sz w:val="16"/>
                <w:szCs w:val="16"/>
                <w:lang w:val="ro-RO"/>
              </w:rPr>
              <w:t>ți</w:t>
            </w:r>
            <w:r w:rsidRPr="0049126A">
              <w:rPr>
                <w:rFonts w:ascii="Arial Narrow" w:hAnsi="Arial Narrow" w:cs="Times New Roman"/>
                <w:sz w:val="16"/>
                <w:szCs w:val="16"/>
                <w:lang w:val="pt-BR"/>
              </w:rPr>
              <w:t xml:space="preserve"> </w:t>
            </w:r>
          </w:p>
          <w:p w14:paraId="262915A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Mai frecvent la descendenții din Europa de nord, fenotip clinic și metabolic mai evident la sex feminin</w:t>
            </w:r>
          </w:p>
          <w:p w14:paraId="11302AF8" w14:textId="77777777" w:rsidR="003913BC" w:rsidRPr="0049126A" w:rsidRDefault="003913BC" w:rsidP="00FF4B29">
            <w:pPr>
              <w:jc w:val="both"/>
              <w:rPr>
                <w:rFonts w:ascii="Arial Narrow" w:hAnsi="Arial Narrow" w:cs="Times New Roman"/>
                <w:sz w:val="16"/>
                <w:szCs w:val="16"/>
                <w:lang w:val="ro-RO"/>
              </w:rPr>
            </w:pPr>
          </w:p>
        </w:tc>
        <w:tc>
          <w:tcPr>
            <w:tcW w:w="573" w:type="pct"/>
          </w:tcPr>
          <w:p w14:paraId="7FED1F4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20 familii</w:t>
            </w:r>
          </w:p>
        </w:tc>
        <w:tc>
          <w:tcPr>
            <w:tcW w:w="539" w:type="pct"/>
          </w:tcPr>
          <w:p w14:paraId="46D5763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4 familii</w:t>
            </w:r>
          </w:p>
        </w:tc>
        <w:tc>
          <w:tcPr>
            <w:tcW w:w="556" w:type="pct"/>
          </w:tcPr>
          <w:p w14:paraId="0625791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O singură pacientă</w:t>
            </w:r>
          </w:p>
        </w:tc>
        <w:tc>
          <w:tcPr>
            <w:tcW w:w="556" w:type="pct"/>
          </w:tcPr>
          <w:p w14:paraId="66A3686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2 familii</w:t>
            </w:r>
          </w:p>
        </w:tc>
        <w:tc>
          <w:tcPr>
            <w:tcW w:w="556" w:type="pct"/>
          </w:tcPr>
          <w:p w14:paraId="25E8493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3 pacienți</w:t>
            </w:r>
          </w:p>
        </w:tc>
        <w:tc>
          <w:tcPr>
            <w:tcW w:w="553" w:type="pct"/>
          </w:tcPr>
          <w:p w14:paraId="5B4CFBF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O singură familie descrisă</w:t>
            </w:r>
          </w:p>
        </w:tc>
      </w:tr>
      <w:tr w:rsidR="0049126A" w:rsidRPr="0049126A" w14:paraId="356D62A4" w14:textId="77777777" w:rsidTr="00FF4B29">
        <w:tc>
          <w:tcPr>
            <w:tcW w:w="555" w:type="pct"/>
          </w:tcPr>
          <w:p w14:paraId="14AFA481"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Vărsta de debut</w:t>
            </w:r>
          </w:p>
        </w:tc>
        <w:tc>
          <w:tcPr>
            <w:tcW w:w="556" w:type="pct"/>
          </w:tcPr>
          <w:p w14:paraId="3146B85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Copilărie</w:t>
            </w:r>
          </w:p>
        </w:tc>
        <w:tc>
          <w:tcPr>
            <w:tcW w:w="556" w:type="pct"/>
          </w:tcPr>
          <w:p w14:paraId="011B96E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Pubertate, progresiv</w:t>
            </w:r>
          </w:p>
        </w:tc>
        <w:tc>
          <w:tcPr>
            <w:tcW w:w="573" w:type="pct"/>
          </w:tcPr>
          <w:p w14:paraId="1A793B4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Variabilă, predominent adultă</w:t>
            </w:r>
          </w:p>
        </w:tc>
        <w:tc>
          <w:tcPr>
            <w:tcW w:w="539" w:type="pct"/>
          </w:tcPr>
          <w:p w14:paraId="37E46D2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Copilărie/adolescență</w:t>
            </w:r>
          </w:p>
        </w:tc>
        <w:tc>
          <w:tcPr>
            <w:tcW w:w="556" w:type="pct"/>
          </w:tcPr>
          <w:p w14:paraId="513BA23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19 ani</w:t>
            </w:r>
          </w:p>
        </w:tc>
        <w:tc>
          <w:tcPr>
            <w:tcW w:w="556" w:type="pct"/>
          </w:tcPr>
          <w:p w14:paraId="77CB90B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Debut după 30 ani</w:t>
            </w:r>
          </w:p>
        </w:tc>
        <w:tc>
          <w:tcPr>
            <w:tcW w:w="556" w:type="pct"/>
          </w:tcPr>
          <w:p w14:paraId="577CA4A9" w14:textId="77777777" w:rsidR="003913BC" w:rsidRPr="0049126A" w:rsidRDefault="003913BC" w:rsidP="00FF4B29">
            <w:pPr>
              <w:jc w:val="both"/>
              <w:rPr>
                <w:rFonts w:ascii="Arial Narrow" w:hAnsi="Arial Narrow" w:cs="Times New Roman"/>
                <w:b/>
                <w:bCs/>
                <w:sz w:val="16"/>
                <w:szCs w:val="16"/>
                <w:lang w:val="pt-BR"/>
              </w:rPr>
            </w:pPr>
          </w:p>
        </w:tc>
        <w:tc>
          <w:tcPr>
            <w:tcW w:w="553" w:type="pct"/>
          </w:tcPr>
          <w:p w14:paraId="63C5C6E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Debut după vârsta de 30 ani</w:t>
            </w:r>
          </w:p>
        </w:tc>
      </w:tr>
      <w:tr w:rsidR="0049126A" w:rsidRPr="0049126A" w14:paraId="32A4266C" w14:textId="77777777" w:rsidTr="00FF4B29">
        <w:tc>
          <w:tcPr>
            <w:tcW w:w="555" w:type="pct"/>
          </w:tcPr>
          <w:p w14:paraId="406E00A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Țesut adipos facial/regiune cervicală</w:t>
            </w:r>
          </w:p>
        </w:tc>
        <w:tc>
          <w:tcPr>
            <w:tcW w:w="556" w:type="pct"/>
          </w:tcPr>
          <w:p w14:paraId="571CB12E"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 xml:space="preserve"> </w:t>
            </w: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56" w:type="pct"/>
          </w:tcPr>
          <w:p w14:paraId="02C624B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73" w:type="pct"/>
          </w:tcPr>
          <w:p w14:paraId="067BC672"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39" w:type="pct"/>
          </w:tcPr>
          <w:p w14:paraId="5578B2D8"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56" w:type="pct"/>
          </w:tcPr>
          <w:p w14:paraId="1271F87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 +axilar, visceral</w:t>
            </w:r>
          </w:p>
        </w:tc>
        <w:tc>
          <w:tcPr>
            <w:tcW w:w="556" w:type="pct"/>
          </w:tcPr>
          <w:p w14:paraId="39564014"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56" w:type="pct"/>
          </w:tcPr>
          <w:p w14:paraId="3CE51E5A"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rPr>
              <w:t>↓↓</w:t>
            </w:r>
          </w:p>
        </w:tc>
        <w:tc>
          <w:tcPr>
            <w:tcW w:w="553" w:type="pct"/>
          </w:tcPr>
          <w:p w14:paraId="3CCA296E" w14:textId="77777777" w:rsidR="003913BC" w:rsidRPr="0049126A" w:rsidRDefault="003913BC" w:rsidP="00FF4B29">
            <w:pPr>
              <w:jc w:val="both"/>
              <w:rPr>
                <w:rFonts w:ascii="Arial Narrow" w:hAnsi="Arial Narrow" w:cs="Times New Roman"/>
                <w:b/>
                <w:bCs/>
                <w:sz w:val="16"/>
                <w:szCs w:val="16"/>
                <w:lang w:val="pt-BR"/>
              </w:rPr>
            </w:pPr>
          </w:p>
        </w:tc>
      </w:tr>
      <w:tr w:rsidR="0049126A" w:rsidRPr="0049126A" w14:paraId="64876D30" w14:textId="77777777" w:rsidTr="00FF4B29">
        <w:trPr>
          <w:trHeight w:val="161"/>
        </w:trPr>
        <w:tc>
          <w:tcPr>
            <w:tcW w:w="555" w:type="pct"/>
          </w:tcPr>
          <w:p w14:paraId="5E62BF52"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 xml:space="preserve">Țesut adipos trunchi </w:t>
            </w:r>
          </w:p>
        </w:tc>
        <w:tc>
          <w:tcPr>
            <w:tcW w:w="556" w:type="pct"/>
          </w:tcPr>
          <w:p w14:paraId="0D528E9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556" w:type="pct"/>
          </w:tcPr>
          <w:p w14:paraId="33345274"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73" w:type="pct"/>
          </w:tcPr>
          <w:p w14:paraId="794BF6B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539" w:type="pct"/>
          </w:tcPr>
          <w:p w14:paraId="7243DA3C"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56" w:type="pct"/>
          </w:tcPr>
          <w:p w14:paraId="30182C67"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 xml:space="preserve">↔ </w:t>
            </w:r>
          </w:p>
        </w:tc>
        <w:tc>
          <w:tcPr>
            <w:tcW w:w="556" w:type="pct"/>
          </w:tcPr>
          <w:p w14:paraId="2A6C47F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6" w:type="pct"/>
          </w:tcPr>
          <w:p w14:paraId="171141FF"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3" w:type="pct"/>
          </w:tcPr>
          <w:p w14:paraId="0C1D8BC3" w14:textId="77777777" w:rsidR="003913BC" w:rsidRPr="0049126A" w:rsidRDefault="003913BC" w:rsidP="00FF4B29">
            <w:pPr>
              <w:jc w:val="both"/>
              <w:rPr>
                <w:rFonts w:ascii="Arial Narrow" w:hAnsi="Arial Narrow" w:cs="Times New Roman"/>
                <w:b/>
                <w:bCs/>
                <w:sz w:val="16"/>
                <w:szCs w:val="16"/>
              </w:rPr>
            </w:pPr>
          </w:p>
        </w:tc>
      </w:tr>
      <w:tr w:rsidR="0049126A" w:rsidRPr="0049126A" w14:paraId="20150AC9" w14:textId="77777777" w:rsidTr="00FF4B29">
        <w:tc>
          <w:tcPr>
            <w:tcW w:w="555" w:type="pct"/>
          </w:tcPr>
          <w:p w14:paraId="3A74B0DD"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Țesut adipos abdomen</w:t>
            </w:r>
          </w:p>
        </w:tc>
        <w:tc>
          <w:tcPr>
            <w:tcW w:w="556" w:type="pct"/>
          </w:tcPr>
          <w:p w14:paraId="29B1F3BD"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556" w:type="pct"/>
          </w:tcPr>
          <w:p w14:paraId="2AE0714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 xml:space="preserve">↓↓ </w:t>
            </w:r>
            <w:r w:rsidRPr="0049126A">
              <w:rPr>
                <w:rFonts w:ascii="Arial Narrow" w:hAnsi="Arial Narrow" w:cs="Times New Roman"/>
                <w:sz w:val="16"/>
                <w:szCs w:val="16"/>
              </w:rPr>
              <w:t xml:space="preserve">sau </w:t>
            </w:r>
            <w:r w:rsidRPr="0049126A">
              <w:rPr>
                <w:rFonts w:ascii="Arial Narrow" w:hAnsi="Arial Narrow" w:cs="Times New Roman"/>
                <w:b/>
                <w:bCs/>
                <w:sz w:val="16"/>
                <w:szCs w:val="16"/>
                <w:lang w:val="pt-BR"/>
              </w:rPr>
              <w:t>↑↑</w:t>
            </w:r>
          </w:p>
        </w:tc>
        <w:tc>
          <w:tcPr>
            <w:tcW w:w="573" w:type="pct"/>
          </w:tcPr>
          <w:p w14:paraId="7F658B0C"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39" w:type="pct"/>
          </w:tcPr>
          <w:p w14:paraId="759453A7"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56" w:type="pct"/>
          </w:tcPr>
          <w:p w14:paraId="565A1717"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 xml:space="preserve">↔ </w:t>
            </w:r>
          </w:p>
        </w:tc>
        <w:tc>
          <w:tcPr>
            <w:tcW w:w="556" w:type="pct"/>
          </w:tcPr>
          <w:p w14:paraId="5934BD1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556" w:type="pct"/>
          </w:tcPr>
          <w:p w14:paraId="57465512"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3" w:type="pct"/>
          </w:tcPr>
          <w:p w14:paraId="403A853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r>
      <w:tr w:rsidR="0049126A" w:rsidRPr="0049126A" w14:paraId="0C79E8AC" w14:textId="77777777" w:rsidTr="00FF4B29">
        <w:tc>
          <w:tcPr>
            <w:tcW w:w="555" w:type="pct"/>
          </w:tcPr>
          <w:p w14:paraId="624B944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Țesut adipos membre</w:t>
            </w:r>
          </w:p>
        </w:tc>
        <w:tc>
          <w:tcPr>
            <w:tcW w:w="556" w:type="pct"/>
          </w:tcPr>
          <w:p w14:paraId="0883C6FA"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6" w:type="pct"/>
          </w:tcPr>
          <w:p w14:paraId="4275293B"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73" w:type="pct"/>
          </w:tcPr>
          <w:p w14:paraId="23BB900E"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(mb inferioare)</w:t>
            </w:r>
          </w:p>
        </w:tc>
        <w:tc>
          <w:tcPr>
            <w:tcW w:w="539" w:type="pct"/>
          </w:tcPr>
          <w:p w14:paraId="6D9237D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(mb inferioare)</w:t>
            </w:r>
          </w:p>
        </w:tc>
        <w:tc>
          <w:tcPr>
            <w:tcW w:w="556" w:type="pct"/>
          </w:tcPr>
          <w:p w14:paraId="1D74E2EA"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w:t>
            </w:r>
          </w:p>
        </w:tc>
        <w:tc>
          <w:tcPr>
            <w:tcW w:w="556" w:type="pct"/>
          </w:tcPr>
          <w:p w14:paraId="2831DA4A"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(mb inferioare)</w:t>
            </w:r>
          </w:p>
        </w:tc>
        <w:tc>
          <w:tcPr>
            <w:tcW w:w="556" w:type="pct"/>
          </w:tcPr>
          <w:p w14:paraId="1B9013F7"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 (șolduri, coapse)</w:t>
            </w:r>
          </w:p>
        </w:tc>
        <w:tc>
          <w:tcPr>
            <w:tcW w:w="553" w:type="pct"/>
          </w:tcPr>
          <w:p w14:paraId="015A9E5C"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(mb inferioare)</w:t>
            </w:r>
          </w:p>
        </w:tc>
      </w:tr>
      <w:tr w:rsidR="0049126A" w:rsidRPr="0049126A" w14:paraId="502F6626" w14:textId="77777777" w:rsidTr="00FF4B29">
        <w:tc>
          <w:tcPr>
            <w:tcW w:w="555" w:type="pct"/>
          </w:tcPr>
          <w:p w14:paraId="3BDFB94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Țesut adipos regiune fesieră</w:t>
            </w:r>
          </w:p>
        </w:tc>
        <w:tc>
          <w:tcPr>
            <w:tcW w:w="556" w:type="pct"/>
          </w:tcPr>
          <w:p w14:paraId="10D3668C"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6" w:type="pct"/>
          </w:tcPr>
          <w:p w14:paraId="1911B5D2"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73" w:type="pct"/>
          </w:tcPr>
          <w:p w14:paraId="5778EC2A"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39" w:type="pct"/>
          </w:tcPr>
          <w:p w14:paraId="5508EDE9"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6" w:type="pct"/>
          </w:tcPr>
          <w:p w14:paraId="529BD7A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c>
          <w:tcPr>
            <w:tcW w:w="556" w:type="pct"/>
          </w:tcPr>
          <w:p w14:paraId="3FAC79CE"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w:t>
            </w:r>
          </w:p>
        </w:tc>
        <w:tc>
          <w:tcPr>
            <w:tcW w:w="556" w:type="pct"/>
          </w:tcPr>
          <w:p w14:paraId="56C9BBC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553" w:type="pct"/>
          </w:tcPr>
          <w:p w14:paraId="1434FF36"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w:t>
            </w:r>
          </w:p>
        </w:tc>
      </w:tr>
      <w:tr w:rsidR="0049126A" w:rsidRPr="0049126A" w14:paraId="5F9C7A4E" w14:textId="77777777" w:rsidTr="00FF4B29">
        <w:tc>
          <w:tcPr>
            <w:tcW w:w="555" w:type="pct"/>
          </w:tcPr>
          <w:p w14:paraId="456EAE19"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Țesut adipos în regiunea pubiană (semn Dunningan)</w:t>
            </w:r>
          </w:p>
        </w:tc>
        <w:tc>
          <w:tcPr>
            <w:tcW w:w="556" w:type="pct"/>
          </w:tcPr>
          <w:p w14:paraId="4219DD4F" w14:textId="77777777" w:rsidR="003913BC" w:rsidRPr="0049126A" w:rsidRDefault="003913BC" w:rsidP="00FF4B29">
            <w:pPr>
              <w:jc w:val="both"/>
              <w:rPr>
                <w:rFonts w:ascii="Arial Narrow" w:hAnsi="Arial Narrow" w:cs="Times New Roman"/>
                <w:b/>
                <w:bCs/>
                <w:sz w:val="16"/>
                <w:szCs w:val="16"/>
                <w:lang w:val="pt-BR"/>
              </w:rPr>
            </w:pPr>
          </w:p>
        </w:tc>
        <w:tc>
          <w:tcPr>
            <w:tcW w:w="556" w:type="pct"/>
          </w:tcPr>
          <w:p w14:paraId="754BEC93"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73" w:type="pct"/>
          </w:tcPr>
          <w:p w14:paraId="7CBFAB2D" w14:textId="77777777" w:rsidR="003913BC" w:rsidRPr="0049126A" w:rsidRDefault="003913BC" w:rsidP="00FF4B29">
            <w:pPr>
              <w:jc w:val="both"/>
              <w:rPr>
                <w:rFonts w:ascii="Arial Narrow" w:hAnsi="Arial Narrow" w:cs="Times New Roman"/>
                <w:b/>
                <w:bCs/>
                <w:sz w:val="16"/>
                <w:szCs w:val="16"/>
                <w:lang w:val="pt-BR"/>
              </w:rPr>
            </w:pPr>
          </w:p>
        </w:tc>
        <w:tc>
          <w:tcPr>
            <w:tcW w:w="539" w:type="pct"/>
          </w:tcPr>
          <w:p w14:paraId="6016CD37" w14:textId="77777777" w:rsidR="003913BC" w:rsidRPr="0049126A" w:rsidRDefault="003913BC" w:rsidP="00FF4B29">
            <w:pPr>
              <w:jc w:val="both"/>
              <w:rPr>
                <w:rFonts w:ascii="Arial Narrow" w:hAnsi="Arial Narrow" w:cs="Times New Roman"/>
                <w:b/>
                <w:bCs/>
                <w:sz w:val="16"/>
                <w:szCs w:val="16"/>
                <w:lang w:val="pt-BR"/>
              </w:rPr>
            </w:pPr>
          </w:p>
        </w:tc>
        <w:tc>
          <w:tcPr>
            <w:tcW w:w="556" w:type="pct"/>
          </w:tcPr>
          <w:p w14:paraId="65CB9829" w14:textId="77777777" w:rsidR="003913BC" w:rsidRPr="0049126A" w:rsidRDefault="003913BC" w:rsidP="00FF4B29">
            <w:pPr>
              <w:jc w:val="both"/>
              <w:rPr>
                <w:rFonts w:ascii="Arial Narrow" w:hAnsi="Arial Narrow" w:cs="Times New Roman"/>
                <w:b/>
                <w:bCs/>
                <w:sz w:val="16"/>
                <w:szCs w:val="16"/>
                <w:lang w:val="pt-BR"/>
              </w:rPr>
            </w:pPr>
          </w:p>
        </w:tc>
        <w:tc>
          <w:tcPr>
            <w:tcW w:w="556" w:type="pct"/>
          </w:tcPr>
          <w:p w14:paraId="4E994D49"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56" w:type="pct"/>
          </w:tcPr>
          <w:p w14:paraId="6A36D50A" w14:textId="77777777" w:rsidR="003913BC" w:rsidRPr="0049126A" w:rsidRDefault="003913BC" w:rsidP="00FF4B29">
            <w:pPr>
              <w:jc w:val="both"/>
              <w:rPr>
                <w:rFonts w:ascii="Arial Narrow" w:hAnsi="Arial Narrow" w:cs="Times New Roman"/>
                <w:b/>
                <w:bCs/>
                <w:sz w:val="16"/>
                <w:szCs w:val="16"/>
                <w:lang w:val="pt-BR"/>
              </w:rPr>
            </w:pPr>
          </w:p>
        </w:tc>
        <w:tc>
          <w:tcPr>
            <w:tcW w:w="553" w:type="pct"/>
          </w:tcPr>
          <w:p w14:paraId="5497D392" w14:textId="77777777" w:rsidR="003913BC" w:rsidRPr="0049126A" w:rsidRDefault="003913BC" w:rsidP="00FF4B29">
            <w:pPr>
              <w:jc w:val="both"/>
              <w:rPr>
                <w:rFonts w:ascii="Arial Narrow" w:hAnsi="Arial Narrow" w:cs="Times New Roman"/>
                <w:b/>
                <w:bCs/>
                <w:sz w:val="16"/>
                <w:szCs w:val="16"/>
                <w:lang w:val="pt-BR"/>
              </w:rPr>
            </w:pPr>
          </w:p>
        </w:tc>
      </w:tr>
      <w:tr w:rsidR="0049126A" w:rsidRPr="0049126A" w14:paraId="41382EE8" w14:textId="77777777" w:rsidTr="00FF4B29">
        <w:tc>
          <w:tcPr>
            <w:tcW w:w="555" w:type="pct"/>
          </w:tcPr>
          <w:p w14:paraId="110CDC41"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Țesut adipos în alte regiuni</w:t>
            </w:r>
          </w:p>
        </w:tc>
        <w:tc>
          <w:tcPr>
            <w:tcW w:w="556" w:type="pct"/>
          </w:tcPr>
          <w:p w14:paraId="356A5BE4"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 visceral</w:t>
            </w:r>
          </w:p>
        </w:tc>
        <w:tc>
          <w:tcPr>
            <w:tcW w:w="556" w:type="pct"/>
          </w:tcPr>
          <w:p w14:paraId="4C540F1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submentonier, supraclavicular</w:t>
            </w:r>
          </w:p>
        </w:tc>
        <w:tc>
          <w:tcPr>
            <w:tcW w:w="573" w:type="pct"/>
          </w:tcPr>
          <w:p w14:paraId="4FD400AE" w14:textId="77777777" w:rsidR="003913BC" w:rsidRPr="0049126A" w:rsidRDefault="003913BC" w:rsidP="00FF4B29">
            <w:pPr>
              <w:jc w:val="both"/>
              <w:rPr>
                <w:rFonts w:ascii="Arial Narrow" w:hAnsi="Arial Narrow" w:cs="Times New Roman"/>
                <w:b/>
                <w:bCs/>
                <w:sz w:val="16"/>
                <w:szCs w:val="16"/>
                <w:lang w:val="pt-BR"/>
              </w:rPr>
            </w:pPr>
          </w:p>
        </w:tc>
        <w:tc>
          <w:tcPr>
            <w:tcW w:w="539" w:type="pct"/>
          </w:tcPr>
          <w:p w14:paraId="132B01CF" w14:textId="77777777" w:rsidR="003913BC" w:rsidRPr="0049126A" w:rsidRDefault="003913BC" w:rsidP="00FF4B29">
            <w:pPr>
              <w:jc w:val="both"/>
              <w:rPr>
                <w:rFonts w:ascii="Arial Narrow" w:hAnsi="Arial Narrow" w:cs="Times New Roman"/>
                <w:b/>
                <w:bCs/>
                <w:sz w:val="16"/>
                <w:szCs w:val="16"/>
                <w:lang w:val="pt-BR"/>
              </w:rPr>
            </w:pPr>
          </w:p>
        </w:tc>
        <w:tc>
          <w:tcPr>
            <w:tcW w:w="556" w:type="pct"/>
          </w:tcPr>
          <w:p w14:paraId="73F1199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axilar, visceral</w:t>
            </w:r>
          </w:p>
        </w:tc>
        <w:tc>
          <w:tcPr>
            <w:tcW w:w="556" w:type="pct"/>
          </w:tcPr>
          <w:p w14:paraId="036ED8C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axilar, torace dorsal, visceral</w:t>
            </w:r>
          </w:p>
        </w:tc>
        <w:tc>
          <w:tcPr>
            <w:tcW w:w="556" w:type="pct"/>
          </w:tcPr>
          <w:p w14:paraId="4E7FCD2B" w14:textId="77777777" w:rsidR="003913BC" w:rsidRPr="0049126A" w:rsidRDefault="003913BC" w:rsidP="00FF4B29">
            <w:pPr>
              <w:jc w:val="both"/>
              <w:rPr>
                <w:rFonts w:ascii="Arial Narrow" w:hAnsi="Arial Narrow" w:cs="Times New Roman"/>
                <w:sz w:val="16"/>
                <w:szCs w:val="16"/>
                <w:lang w:val="pt-BR"/>
              </w:rPr>
            </w:pPr>
          </w:p>
        </w:tc>
        <w:tc>
          <w:tcPr>
            <w:tcW w:w="553" w:type="pct"/>
          </w:tcPr>
          <w:p w14:paraId="17EEDA44" w14:textId="77777777" w:rsidR="003913BC" w:rsidRPr="0049126A" w:rsidRDefault="003913BC" w:rsidP="00FF4B29">
            <w:pPr>
              <w:jc w:val="both"/>
              <w:rPr>
                <w:rFonts w:ascii="Arial Narrow" w:hAnsi="Arial Narrow" w:cs="Times New Roman"/>
                <w:b/>
                <w:bCs/>
                <w:sz w:val="16"/>
                <w:szCs w:val="16"/>
                <w:lang w:val="pt-BR"/>
              </w:rPr>
            </w:pPr>
          </w:p>
        </w:tc>
      </w:tr>
      <w:tr w:rsidR="0049126A" w:rsidRPr="0049126A" w14:paraId="4BBF9DA9" w14:textId="77777777" w:rsidTr="00FF4B29">
        <w:tc>
          <w:tcPr>
            <w:tcW w:w="555" w:type="pct"/>
          </w:tcPr>
          <w:p w14:paraId="236C49B5"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lastRenderedPageBreak/>
              <w:t>Particularități</w:t>
            </w:r>
          </w:p>
        </w:tc>
        <w:tc>
          <w:tcPr>
            <w:tcW w:w="556" w:type="pct"/>
          </w:tcPr>
          <w:p w14:paraId="0C546CE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Caracteristica clinică patognomică = existența unei delimitări clare  între țesuturile normale și cele lipoatrofice, concomitent cu raportul crescut pliu cutanat triceps/antebraț și respectiv abdomen/coapsă </w:t>
            </w:r>
          </w:p>
        </w:tc>
        <w:tc>
          <w:tcPr>
            <w:tcW w:w="556" w:type="pct"/>
          </w:tcPr>
          <w:p w14:paraId="1DE2FD6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Aspect Cushingoid</w:t>
            </w:r>
          </w:p>
        </w:tc>
        <w:tc>
          <w:tcPr>
            <w:tcW w:w="573" w:type="pct"/>
          </w:tcPr>
          <w:p w14:paraId="28208C0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Similar FPLD2, fără afectarea facială</w:t>
            </w:r>
          </w:p>
        </w:tc>
        <w:tc>
          <w:tcPr>
            <w:tcW w:w="539" w:type="pct"/>
          </w:tcPr>
          <w:p w14:paraId="03A884B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Lipodistrofie parțială limitată la extremități</w:t>
            </w:r>
          </w:p>
        </w:tc>
        <w:tc>
          <w:tcPr>
            <w:tcW w:w="556" w:type="pct"/>
          </w:tcPr>
          <w:p w14:paraId="72F845B5"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Lipodistrofie parțială limitată la extremități, hipertrofie adipoasă viscerală</w:t>
            </w:r>
          </w:p>
        </w:tc>
        <w:tc>
          <w:tcPr>
            <w:tcW w:w="556" w:type="pct"/>
          </w:tcPr>
          <w:p w14:paraId="399719C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Lipodostrofie membre inferioare cu hipertrofie adipoasă 1/2 superioară corp</w:t>
            </w:r>
          </w:p>
        </w:tc>
        <w:tc>
          <w:tcPr>
            <w:tcW w:w="556" w:type="pct"/>
          </w:tcPr>
          <w:p w14:paraId="74C5C0C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Lipodistrofie parțială limitată la ½ superioară corp, cu acumulare țesut adipos fesier, șolduri, coapse</w:t>
            </w:r>
          </w:p>
        </w:tc>
        <w:tc>
          <w:tcPr>
            <w:tcW w:w="553" w:type="pct"/>
          </w:tcPr>
          <w:p w14:paraId="6181CDC3"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513D30AD" w14:textId="77777777" w:rsidTr="00FF4B29">
        <w:tc>
          <w:tcPr>
            <w:tcW w:w="555" w:type="pct"/>
          </w:tcPr>
          <w:p w14:paraId="111044D9"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Țesut muscular/osteoarticular</w:t>
            </w:r>
          </w:p>
        </w:tc>
        <w:tc>
          <w:tcPr>
            <w:tcW w:w="556" w:type="pct"/>
          </w:tcPr>
          <w:p w14:paraId="382DF440" w14:textId="77777777" w:rsidR="003913BC" w:rsidRPr="0049126A" w:rsidRDefault="003913BC" w:rsidP="00FF4B29">
            <w:pPr>
              <w:jc w:val="both"/>
              <w:rPr>
                <w:rFonts w:ascii="Arial Narrow" w:hAnsi="Arial Narrow" w:cs="Times New Roman"/>
                <w:sz w:val="16"/>
                <w:szCs w:val="16"/>
              </w:rPr>
            </w:pPr>
          </w:p>
        </w:tc>
        <w:tc>
          <w:tcPr>
            <w:tcW w:w="556" w:type="pct"/>
          </w:tcPr>
          <w:p w14:paraId="560016A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Creșterea masei musculare</w:t>
            </w:r>
          </w:p>
        </w:tc>
        <w:tc>
          <w:tcPr>
            <w:tcW w:w="573" w:type="pct"/>
          </w:tcPr>
          <w:p w14:paraId="5C72424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Creșterea masei musculare</w:t>
            </w:r>
          </w:p>
        </w:tc>
        <w:tc>
          <w:tcPr>
            <w:tcW w:w="539" w:type="pct"/>
          </w:tcPr>
          <w:p w14:paraId="2666C6A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Aspect ”musculos”</w:t>
            </w:r>
          </w:p>
        </w:tc>
        <w:tc>
          <w:tcPr>
            <w:tcW w:w="556" w:type="pct"/>
          </w:tcPr>
          <w:p w14:paraId="4FDF314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Creșterea masei musculare</w:t>
            </w:r>
          </w:p>
        </w:tc>
        <w:tc>
          <w:tcPr>
            <w:tcW w:w="556" w:type="pct"/>
          </w:tcPr>
          <w:p w14:paraId="4073723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Distrofie musculară cu creșterea creatinkinazei</w:t>
            </w:r>
          </w:p>
        </w:tc>
        <w:tc>
          <w:tcPr>
            <w:tcW w:w="556" w:type="pct"/>
          </w:tcPr>
          <w:p w14:paraId="27F1DC5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Micrognație, hipoplazie de mandibulă</w:t>
            </w:r>
          </w:p>
        </w:tc>
        <w:tc>
          <w:tcPr>
            <w:tcW w:w="553" w:type="pct"/>
          </w:tcPr>
          <w:p w14:paraId="049E8ABD"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5D19D92B" w14:textId="77777777" w:rsidTr="00FF4B29">
        <w:tc>
          <w:tcPr>
            <w:tcW w:w="555" w:type="pct"/>
          </w:tcPr>
          <w:p w14:paraId="338149A5"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Diabet Zaharat</w:t>
            </w:r>
          </w:p>
        </w:tc>
        <w:tc>
          <w:tcPr>
            <w:tcW w:w="556" w:type="pct"/>
          </w:tcPr>
          <w:p w14:paraId="01F30EE5"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w:t>
            </w:r>
          </w:p>
        </w:tc>
        <w:tc>
          <w:tcPr>
            <w:tcW w:w="556" w:type="pct"/>
          </w:tcPr>
          <w:p w14:paraId="648F136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73" w:type="pct"/>
          </w:tcPr>
          <w:p w14:paraId="5FE8105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39" w:type="pct"/>
          </w:tcPr>
          <w:p w14:paraId="64C7B3B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56" w:type="pct"/>
          </w:tcPr>
          <w:p w14:paraId="5C476D9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56" w:type="pct"/>
          </w:tcPr>
          <w:p w14:paraId="3B4342F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56" w:type="pct"/>
          </w:tcPr>
          <w:p w14:paraId="1E6C0DA4"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w:t>
            </w:r>
          </w:p>
        </w:tc>
        <w:tc>
          <w:tcPr>
            <w:tcW w:w="553" w:type="pct"/>
          </w:tcPr>
          <w:p w14:paraId="32540A3F"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35103286" w14:textId="77777777" w:rsidTr="00FF4B29">
        <w:tc>
          <w:tcPr>
            <w:tcW w:w="555" w:type="pct"/>
          </w:tcPr>
          <w:p w14:paraId="43AD2EFF"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Debutul DZ</w:t>
            </w:r>
          </w:p>
        </w:tc>
        <w:tc>
          <w:tcPr>
            <w:tcW w:w="556" w:type="pct"/>
          </w:tcPr>
          <w:p w14:paraId="65F0C773"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adult</w:t>
            </w:r>
          </w:p>
        </w:tc>
        <w:tc>
          <w:tcPr>
            <w:tcW w:w="556" w:type="pct"/>
          </w:tcPr>
          <w:p w14:paraId="6120664F"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3301D53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Variabil, de la copilărie până la maturitate</w:t>
            </w:r>
          </w:p>
        </w:tc>
        <w:tc>
          <w:tcPr>
            <w:tcW w:w="539" w:type="pct"/>
          </w:tcPr>
          <w:p w14:paraId="685E7E9E"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0C2C5E1A"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1D22B1B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Peste 40 ani</w:t>
            </w:r>
          </w:p>
        </w:tc>
        <w:tc>
          <w:tcPr>
            <w:tcW w:w="556" w:type="pct"/>
          </w:tcPr>
          <w:p w14:paraId="57094C2B" w14:textId="77777777" w:rsidR="003913BC" w:rsidRPr="0049126A" w:rsidRDefault="003913BC" w:rsidP="00FF4B29">
            <w:pPr>
              <w:jc w:val="both"/>
              <w:rPr>
                <w:rFonts w:ascii="Arial Narrow" w:hAnsi="Arial Narrow" w:cs="Times New Roman"/>
                <w:sz w:val="16"/>
                <w:szCs w:val="16"/>
                <w:lang w:val="pt-BR"/>
              </w:rPr>
            </w:pPr>
          </w:p>
        </w:tc>
        <w:tc>
          <w:tcPr>
            <w:tcW w:w="553" w:type="pct"/>
          </w:tcPr>
          <w:p w14:paraId="1ABBE36B"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6DA90245" w14:textId="77777777" w:rsidTr="00FF4B29">
        <w:tc>
          <w:tcPr>
            <w:tcW w:w="555" w:type="pct"/>
          </w:tcPr>
          <w:p w14:paraId="496F106D"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Insulinemie</w:t>
            </w:r>
          </w:p>
        </w:tc>
        <w:tc>
          <w:tcPr>
            <w:tcW w:w="556" w:type="pct"/>
          </w:tcPr>
          <w:p w14:paraId="44D605F5"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w:t>
            </w:r>
          </w:p>
        </w:tc>
        <w:tc>
          <w:tcPr>
            <w:tcW w:w="556" w:type="pct"/>
          </w:tcPr>
          <w:p w14:paraId="61AF521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73" w:type="pct"/>
          </w:tcPr>
          <w:p w14:paraId="1DEDC84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39" w:type="pct"/>
          </w:tcPr>
          <w:p w14:paraId="4629FA6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56" w:type="pct"/>
          </w:tcPr>
          <w:p w14:paraId="53791A3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56" w:type="pct"/>
          </w:tcPr>
          <w:p w14:paraId="67F06C8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56" w:type="pct"/>
          </w:tcPr>
          <w:p w14:paraId="0D8147A0"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53" w:type="pct"/>
          </w:tcPr>
          <w:p w14:paraId="33A575E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r>
      <w:tr w:rsidR="0049126A" w:rsidRPr="0049126A" w14:paraId="271A65DC" w14:textId="77777777" w:rsidTr="00FF4B29">
        <w:trPr>
          <w:trHeight w:val="98"/>
        </w:trPr>
        <w:tc>
          <w:tcPr>
            <w:tcW w:w="555" w:type="pct"/>
          </w:tcPr>
          <w:p w14:paraId="07C90BB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Trigliceride</w:t>
            </w:r>
          </w:p>
        </w:tc>
        <w:tc>
          <w:tcPr>
            <w:tcW w:w="556" w:type="pct"/>
          </w:tcPr>
          <w:p w14:paraId="46D39F62"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b/>
                <w:bCs/>
                <w:sz w:val="16"/>
                <w:szCs w:val="16"/>
                <w:lang w:val="pt-BR"/>
              </w:rPr>
              <w:t>↑↑↑</w:t>
            </w:r>
          </w:p>
        </w:tc>
        <w:tc>
          <w:tcPr>
            <w:tcW w:w="556" w:type="pct"/>
          </w:tcPr>
          <w:p w14:paraId="3F96510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73" w:type="pct"/>
          </w:tcPr>
          <w:p w14:paraId="04AEB4D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39" w:type="pct"/>
          </w:tcPr>
          <w:p w14:paraId="3D5C39E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56" w:type="pct"/>
          </w:tcPr>
          <w:p w14:paraId="16271E2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56" w:type="pct"/>
          </w:tcPr>
          <w:p w14:paraId="75BD7F7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w:t>
            </w:r>
          </w:p>
        </w:tc>
        <w:tc>
          <w:tcPr>
            <w:tcW w:w="556" w:type="pct"/>
          </w:tcPr>
          <w:p w14:paraId="01CFA6EA"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xml:space="preserve">↔  sau </w:t>
            </w:r>
            <w:r w:rsidRPr="0049126A">
              <w:rPr>
                <w:rFonts w:ascii="Arial Narrow" w:hAnsi="Arial Narrow" w:cs="Times New Roman"/>
                <w:b/>
                <w:bCs/>
                <w:sz w:val="16"/>
                <w:szCs w:val="16"/>
                <w:lang w:val="pt-BR"/>
              </w:rPr>
              <w:t>↑↑</w:t>
            </w:r>
          </w:p>
        </w:tc>
        <w:tc>
          <w:tcPr>
            <w:tcW w:w="553" w:type="pct"/>
          </w:tcPr>
          <w:p w14:paraId="164318C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r>
      <w:tr w:rsidR="0049126A" w:rsidRPr="0049126A" w14:paraId="1872ABCF" w14:textId="77777777" w:rsidTr="00FF4B29">
        <w:tc>
          <w:tcPr>
            <w:tcW w:w="555" w:type="pct"/>
          </w:tcPr>
          <w:p w14:paraId="3AC2720D"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Leptină</w:t>
            </w:r>
          </w:p>
        </w:tc>
        <w:tc>
          <w:tcPr>
            <w:tcW w:w="556" w:type="pct"/>
          </w:tcPr>
          <w:p w14:paraId="509E415A" w14:textId="77777777" w:rsidR="003913BC" w:rsidRPr="0049126A" w:rsidRDefault="003913BC" w:rsidP="00FF4B29">
            <w:pPr>
              <w:jc w:val="both"/>
              <w:rPr>
                <w:rFonts w:ascii="Arial Narrow" w:hAnsi="Arial Narrow" w:cs="Times New Roman"/>
                <w:sz w:val="16"/>
                <w:szCs w:val="16"/>
              </w:rPr>
            </w:pPr>
          </w:p>
        </w:tc>
        <w:tc>
          <w:tcPr>
            <w:tcW w:w="556" w:type="pct"/>
          </w:tcPr>
          <w:p w14:paraId="623DF15C"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7D614430" w14:textId="77777777" w:rsidR="003913BC" w:rsidRPr="0049126A" w:rsidRDefault="003913BC" w:rsidP="00FF4B29">
            <w:pPr>
              <w:jc w:val="both"/>
              <w:rPr>
                <w:rFonts w:ascii="Arial Narrow" w:hAnsi="Arial Narrow" w:cs="Times New Roman"/>
                <w:sz w:val="16"/>
                <w:szCs w:val="16"/>
                <w:lang w:val="pt-BR"/>
              </w:rPr>
            </w:pPr>
          </w:p>
        </w:tc>
        <w:tc>
          <w:tcPr>
            <w:tcW w:w="539" w:type="pct"/>
          </w:tcPr>
          <w:p w14:paraId="1781E99D"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6DEBEF6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w:t>
            </w:r>
          </w:p>
        </w:tc>
        <w:tc>
          <w:tcPr>
            <w:tcW w:w="556" w:type="pct"/>
          </w:tcPr>
          <w:p w14:paraId="0F4BDAD9"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6C1772B3" w14:textId="77777777" w:rsidR="003913BC" w:rsidRPr="0049126A" w:rsidRDefault="003913BC" w:rsidP="00FF4B29">
            <w:pPr>
              <w:jc w:val="both"/>
              <w:rPr>
                <w:rFonts w:ascii="Arial Narrow" w:hAnsi="Arial Narrow" w:cs="Times New Roman"/>
                <w:sz w:val="16"/>
                <w:szCs w:val="16"/>
                <w:lang w:val="pt-BR"/>
              </w:rPr>
            </w:pPr>
          </w:p>
        </w:tc>
        <w:tc>
          <w:tcPr>
            <w:tcW w:w="553" w:type="pct"/>
          </w:tcPr>
          <w:p w14:paraId="5A981BE3"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11F998FD" w14:textId="77777777" w:rsidTr="00FF4B29">
        <w:tc>
          <w:tcPr>
            <w:tcW w:w="555" w:type="pct"/>
          </w:tcPr>
          <w:p w14:paraId="0235DD99"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Afectare cardio-vasculară</w:t>
            </w:r>
          </w:p>
        </w:tc>
        <w:tc>
          <w:tcPr>
            <w:tcW w:w="556" w:type="pct"/>
          </w:tcPr>
          <w:p w14:paraId="6782EF4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Risc de boli cardiovasculare (BCI)</w:t>
            </w:r>
          </w:p>
          <w:p w14:paraId="25234A1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HTA</w:t>
            </w:r>
          </w:p>
        </w:tc>
        <w:tc>
          <w:tcPr>
            <w:tcW w:w="556" w:type="pct"/>
          </w:tcPr>
          <w:p w14:paraId="55DD710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Cardiomiopatie cu debut brusc și progresie rapidă</w:t>
            </w:r>
          </w:p>
          <w:p w14:paraId="2B44EC6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Risc de moarte subită la vârste tinere</w:t>
            </w:r>
          </w:p>
          <w:p w14:paraId="0E2D4E3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Cardiomiopatie diltatativă</w:t>
            </w:r>
          </w:p>
        </w:tc>
        <w:tc>
          <w:tcPr>
            <w:tcW w:w="573" w:type="pct"/>
          </w:tcPr>
          <w:p w14:paraId="7B1E229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HTA cu debut precoce, instalarea sa ajută la dg diferențial cu FPLD2</w:t>
            </w:r>
          </w:p>
        </w:tc>
        <w:tc>
          <w:tcPr>
            <w:tcW w:w="539" w:type="pct"/>
          </w:tcPr>
          <w:p w14:paraId="4E21E4C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Cardiomiopatie hipertrofică, BCI</w:t>
            </w:r>
          </w:p>
          <w:p w14:paraId="055386A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HTA</w:t>
            </w:r>
          </w:p>
        </w:tc>
        <w:tc>
          <w:tcPr>
            <w:tcW w:w="556" w:type="pct"/>
          </w:tcPr>
          <w:p w14:paraId="7062A4DD"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135BA27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NA</w:t>
            </w:r>
          </w:p>
        </w:tc>
        <w:tc>
          <w:tcPr>
            <w:tcW w:w="556" w:type="pct"/>
          </w:tcPr>
          <w:p w14:paraId="3D7412D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Hipotensiune ortostatică simptomatică</w:t>
            </w:r>
          </w:p>
          <w:p w14:paraId="2903554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Hipertensiune pulmonară</w:t>
            </w:r>
          </w:p>
        </w:tc>
        <w:tc>
          <w:tcPr>
            <w:tcW w:w="553" w:type="pct"/>
          </w:tcPr>
          <w:p w14:paraId="7FEBBE89"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32CD95D2" w14:textId="77777777" w:rsidTr="00FF4B29">
        <w:trPr>
          <w:trHeight w:val="170"/>
        </w:trPr>
        <w:tc>
          <w:tcPr>
            <w:tcW w:w="555" w:type="pct"/>
          </w:tcPr>
          <w:p w14:paraId="2F6EE845"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Steatoză</w:t>
            </w:r>
          </w:p>
        </w:tc>
        <w:tc>
          <w:tcPr>
            <w:tcW w:w="556" w:type="pct"/>
          </w:tcPr>
          <w:p w14:paraId="4CD1680C"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w:t>
            </w:r>
          </w:p>
        </w:tc>
        <w:tc>
          <w:tcPr>
            <w:tcW w:w="556" w:type="pct"/>
          </w:tcPr>
          <w:p w14:paraId="18916B0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73" w:type="pct"/>
          </w:tcPr>
          <w:p w14:paraId="1DC4B1A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39" w:type="pct"/>
          </w:tcPr>
          <w:p w14:paraId="1DDF5A8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56" w:type="pct"/>
          </w:tcPr>
          <w:p w14:paraId="1CA0121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c>
          <w:tcPr>
            <w:tcW w:w="556" w:type="pct"/>
          </w:tcPr>
          <w:p w14:paraId="43E275D6"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61CF7426" w14:textId="77777777" w:rsidR="003913BC" w:rsidRPr="0049126A" w:rsidRDefault="003913BC" w:rsidP="00FF4B29">
            <w:pPr>
              <w:jc w:val="both"/>
              <w:rPr>
                <w:rFonts w:ascii="Arial Narrow" w:hAnsi="Arial Narrow" w:cs="Times New Roman"/>
                <w:sz w:val="16"/>
                <w:szCs w:val="16"/>
                <w:lang w:val="pt-BR"/>
              </w:rPr>
            </w:pPr>
          </w:p>
        </w:tc>
        <w:tc>
          <w:tcPr>
            <w:tcW w:w="553" w:type="pct"/>
          </w:tcPr>
          <w:p w14:paraId="6EA7B4B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w:t>
            </w:r>
          </w:p>
        </w:tc>
      </w:tr>
      <w:tr w:rsidR="0049126A" w:rsidRPr="0049126A" w14:paraId="02FBC675" w14:textId="77777777" w:rsidTr="00FF4B29">
        <w:tc>
          <w:tcPr>
            <w:tcW w:w="555" w:type="pct"/>
          </w:tcPr>
          <w:p w14:paraId="13F96724"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Afectare tract digestiv</w:t>
            </w:r>
          </w:p>
        </w:tc>
        <w:tc>
          <w:tcPr>
            <w:tcW w:w="556" w:type="pct"/>
          </w:tcPr>
          <w:p w14:paraId="61F69F5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Risc de pancreatită</w:t>
            </w:r>
          </w:p>
        </w:tc>
        <w:tc>
          <w:tcPr>
            <w:tcW w:w="556" w:type="pct"/>
          </w:tcPr>
          <w:p w14:paraId="4D4C204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73" w:type="pct"/>
          </w:tcPr>
          <w:p w14:paraId="7C7F22C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39" w:type="pct"/>
          </w:tcPr>
          <w:p w14:paraId="3466F89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56" w:type="pct"/>
          </w:tcPr>
          <w:p w14:paraId="6D5BF59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56" w:type="pct"/>
          </w:tcPr>
          <w:p w14:paraId="7BE9DD9F"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55E8247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Pancreatită</w:t>
            </w:r>
          </w:p>
          <w:p w14:paraId="45CB748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Creșterea motilității tractului digestiv</w:t>
            </w:r>
          </w:p>
          <w:p w14:paraId="2942E2B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Vărsături ciclice</w:t>
            </w:r>
          </w:p>
        </w:tc>
        <w:tc>
          <w:tcPr>
            <w:tcW w:w="553" w:type="pct"/>
          </w:tcPr>
          <w:p w14:paraId="06018298"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214AE2F2" w14:textId="77777777" w:rsidTr="00FF4B29">
        <w:tc>
          <w:tcPr>
            <w:tcW w:w="555" w:type="pct"/>
          </w:tcPr>
          <w:p w14:paraId="0FF923B0"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Afectare intelectuală/neurologică</w:t>
            </w:r>
          </w:p>
        </w:tc>
        <w:tc>
          <w:tcPr>
            <w:tcW w:w="556" w:type="pct"/>
          </w:tcPr>
          <w:p w14:paraId="63DADEB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556" w:type="pct"/>
          </w:tcPr>
          <w:p w14:paraId="5E9F2A2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73" w:type="pct"/>
          </w:tcPr>
          <w:p w14:paraId="1B204CC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39" w:type="pct"/>
          </w:tcPr>
          <w:p w14:paraId="412DE30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56" w:type="pct"/>
          </w:tcPr>
          <w:p w14:paraId="186C607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NU</w:t>
            </w:r>
          </w:p>
        </w:tc>
        <w:tc>
          <w:tcPr>
            <w:tcW w:w="556" w:type="pct"/>
          </w:tcPr>
          <w:p w14:paraId="10BE4B1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556" w:type="pct"/>
          </w:tcPr>
          <w:p w14:paraId="6F5292B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Sindrom neurodegenerativ</w:t>
            </w:r>
          </w:p>
          <w:p w14:paraId="4DD3FBA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Spasticitate membre inferioare cu debut tardiv, ataxie</w:t>
            </w:r>
          </w:p>
        </w:tc>
        <w:tc>
          <w:tcPr>
            <w:tcW w:w="553" w:type="pct"/>
          </w:tcPr>
          <w:p w14:paraId="586B23D7"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229FEEFF" w14:textId="77777777" w:rsidTr="00FF4B29">
        <w:tc>
          <w:tcPr>
            <w:tcW w:w="555" w:type="pct"/>
          </w:tcPr>
          <w:p w14:paraId="50F130B6"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Funcție reproductivă</w:t>
            </w:r>
          </w:p>
        </w:tc>
        <w:tc>
          <w:tcPr>
            <w:tcW w:w="556" w:type="pct"/>
          </w:tcPr>
          <w:p w14:paraId="4FE684F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 s-a descries fenotip de SOPC</w:t>
            </w:r>
          </w:p>
        </w:tc>
        <w:tc>
          <w:tcPr>
            <w:tcW w:w="556" w:type="pct"/>
          </w:tcPr>
          <w:p w14:paraId="5986EEA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Risc de SOPC si infertilitate</w:t>
            </w:r>
          </w:p>
          <w:p w14:paraId="287FA75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Risc de avorturi spontane, diabet gestațional</w:t>
            </w:r>
          </w:p>
        </w:tc>
        <w:tc>
          <w:tcPr>
            <w:tcW w:w="573" w:type="pct"/>
          </w:tcPr>
          <w:p w14:paraId="4442659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Infertilitate</w:t>
            </w:r>
          </w:p>
          <w:p w14:paraId="423FBD7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Amenoree primară/secundară</w:t>
            </w:r>
          </w:p>
          <w:p w14:paraId="2254BB9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SOPC</w:t>
            </w:r>
          </w:p>
        </w:tc>
        <w:tc>
          <w:tcPr>
            <w:tcW w:w="539" w:type="pct"/>
          </w:tcPr>
          <w:p w14:paraId="27ACD07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SOPC</w:t>
            </w:r>
          </w:p>
        </w:tc>
        <w:tc>
          <w:tcPr>
            <w:tcW w:w="556" w:type="pct"/>
          </w:tcPr>
          <w:p w14:paraId="2BC64BC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Tulburări menstruale</w:t>
            </w:r>
          </w:p>
        </w:tc>
        <w:tc>
          <w:tcPr>
            <w:tcW w:w="556" w:type="pct"/>
          </w:tcPr>
          <w:p w14:paraId="7157113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Tulburări menstruale</w:t>
            </w:r>
          </w:p>
        </w:tc>
        <w:tc>
          <w:tcPr>
            <w:tcW w:w="556" w:type="pct"/>
          </w:tcPr>
          <w:p w14:paraId="343CAD6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Absența telarhăi</w:t>
            </w:r>
          </w:p>
        </w:tc>
        <w:tc>
          <w:tcPr>
            <w:tcW w:w="553" w:type="pct"/>
          </w:tcPr>
          <w:p w14:paraId="16D5C98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SOPC</w:t>
            </w:r>
          </w:p>
        </w:tc>
      </w:tr>
      <w:tr w:rsidR="003913BC" w:rsidRPr="0049126A" w14:paraId="5CD20025" w14:textId="77777777" w:rsidTr="00FF4B29">
        <w:tc>
          <w:tcPr>
            <w:tcW w:w="555" w:type="pct"/>
          </w:tcPr>
          <w:p w14:paraId="6CA068A7"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Altele</w:t>
            </w:r>
          </w:p>
        </w:tc>
        <w:tc>
          <w:tcPr>
            <w:tcW w:w="556" w:type="pct"/>
          </w:tcPr>
          <w:p w14:paraId="60DBBB7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Rată metabolică bazală crescută</w:t>
            </w:r>
          </w:p>
        </w:tc>
        <w:tc>
          <w:tcPr>
            <w:tcW w:w="556" w:type="pct"/>
          </w:tcPr>
          <w:p w14:paraId="68B3942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Sdr nefrotic</w:t>
            </w:r>
          </w:p>
          <w:p w14:paraId="4C487B4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Acanthosis, xantoame</w:t>
            </w:r>
          </w:p>
        </w:tc>
        <w:tc>
          <w:tcPr>
            <w:tcW w:w="573" w:type="pct"/>
          </w:tcPr>
          <w:p w14:paraId="13AE5971" w14:textId="77777777" w:rsidR="003913BC" w:rsidRPr="0049126A" w:rsidRDefault="003913BC" w:rsidP="00FF4B29">
            <w:pPr>
              <w:jc w:val="both"/>
              <w:rPr>
                <w:rFonts w:ascii="Arial Narrow" w:hAnsi="Arial Narrow" w:cs="Times New Roman"/>
                <w:b/>
                <w:bCs/>
                <w:sz w:val="16"/>
                <w:szCs w:val="16"/>
                <w:lang w:val="pt-BR"/>
              </w:rPr>
            </w:pPr>
          </w:p>
        </w:tc>
        <w:tc>
          <w:tcPr>
            <w:tcW w:w="539" w:type="pct"/>
          </w:tcPr>
          <w:p w14:paraId="22AA073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Microalbuminurie</w:t>
            </w:r>
          </w:p>
          <w:p w14:paraId="6FE28CA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Glomeruloscleroză focală segmentară</w:t>
            </w:r>
          </w:p>
        </w:tc>
        <w:tc>
          <w:tcPr>
            <w:tcW w:w="556" w:type="pct"/>
          </w:tcPr>
          <w:p w14:paraId="613C0404" w14:textId="77777777" w:rsidR="003913BC" w:rsidRPr="0049126A" w:rsidRDefault="003913BC" w:rsidP="00FF4B29">
            <w:pPr>
              <w:jc w:val="both"/>
              <w:rPr>
                <w:rFonts w:ascii="Arial Narrow" w:hAnsi="Arial Narrow" w:cs="Times New Roman"/>
                <w:b/>
                <w:bCs/>
                <w:sz w:val="16"/>
                <w:szCs w:val="16"/>
                <w:lang w:val="pt-BR"/>
              </w:rPr>
            </w:pPr>
          </w:p>
        </w:tc>
        <w:tc>
          <w:tcPr>
            <w:tcW w:w="556" w:type="pct"/>
          </w:tcPr>
          <w:p w14:paraId="567303C4" w14:textId="77777777" w:rsidR="003913BC" w:rsidRPr="0049126A" w:rsidRDefault="003913BC" w:rsidP="00FF4B29">
            <w:pPr>
              <w:jc w:val="both"/>
              <w:rPr>
                <w:rFonts w:ascii="Arial Narrow" w:hAnsi="Arial Narrow" w:cs="Times New Roman"/>
                <w:sz w:val="16"/>
                <w:szCs w:val="16"/>
                <w:lang w:val="pt-BR"/>
              </w:rPr>
            </w:pPr>
          </w:p>
        </w:tc>
        <w:tc>
          <w:tcPr>
            <w:tcW w:w="556" w:type="pct"/>
          </w:tcPr>
          <w:p w14:paraId="156448C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Cataractă congenitală</w:t>
            </w:r>
          </w:p>
          <w:p w14:paraId="4348B43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Retinopatie pigmentară</w:t>
            </w:r>
          </w:p>
        </w:tc>
        <w:tc>
          <w:tcPr>
            <w:tcW w:w="553" w:type="pct"/>
          </w:tcPr>
          <w:p w14:paraId="5736651D" w14:textId="77777777" w:rsidR="003913BC" w:rsidRPr="0049126A" w:rsidRDefault="003913BC" w:rsidP="00FF4B29">
            <w:pPr>
              <w:jc w:val="both"/>
              <w:rPr>
                <w:rFonts w:ascii="Arial Narrow" w:hAnsi="Arial Narrow" w:cs="Times New Roman"/>
                <w:b/>
                <w:bCs/>
                <w:sz w:val="16"/>
                <w:szCs w:val="16"/>
                <w:lang w:val="pt-BR"/>
              </w:rPr>
            </w:pPr>
          </w:p>
        </w:tc>
      </w:tr>
      <w:bookmarkEnd w:id="3"/>
    </w:tbl>
    <w:p w14:paraId="4411B048" w14:textId="77777777" w:rsidR="003913BC" w:rsidRPr="0049126A" w:rsidRDefault="003913BC" w:rsidP="003913BC">
      <w:pPr>
        <w:rPr>
          <w:rFonts w:ascii="Times New Roman" w:hAnsi="Times New Roman" w:cs="Times New Roman"/>
          <w:b/>
          <w:sz w:val="20"/>
          <w:szCs w:val="20"/>
        </w:rPr>
      </w:pPr>
    </w:p>
    <w:p w14:paraId="75A4987D" w14:textId="77777777" w:rsidR="003913BC" w:rsidRPr="0049126A" w:rsidRDefault="003913BC" w:rsidP="003913BC">
      <w:pPr>
        <w:rPr>
          <w:rFonts w:ascii="Times New Roman" w:hAnsi="Times New Roman" w:cs="Times New Roman"/>
          <w:b/>
          <w:sz w:val="20"/>
          <w:szCs w:val="20"/>
        </w:rPr>
      </w:pPr>
    </w:p>
    <w:p w14:paraId="467AE78D" w14:textId="77777777" w:rsidR="003913BC" w:rsidRPr="0049126A" w:rsidRDefault="003913BC" w:rsidP="003913BC">
      <w:pPr>
        <w:rPr>
          <w:rFonts w:ascii="Times New Roman" w:hAnsi="Times New Roman" w:cs="Times New Roman"/>
          <w:b/>
          <w:sz w:val="20"/>
          <w:szCs w:val="20"/>
        </w:rPr>
      </w:pPr>
    </w:p>
    <w:p w14:paraId="7411D4AD" w14:textId="77777777" w:rsidR="003913BC" w:rsidRPr="0049126A" w:rsidRDefault="003913BC" w:rsidP="003913BC">
      <w:pPr>
        <w:rPr>
          <w:rFonts w:ascii="Times New Roman" w:hAnsi="Times New Roman" w:cs="Times New Roman"/>
          <w:b/>
          <w:sz w:val="20"/>
          <w:szCs w:val="20"/>
        </w:rPr>
      </w:pPr>
    </w:p>
    <w:p w14:paraId="3DF419F8" w14:textId="77777777" w:rsidR="003913BC" w:rsidRPr="0049126A" w:rsidRDefault="003913BC" w:rsidP="003913BC">
      <w:pPr>
        <w:rPr>
          <w:rFonts w:ascii="Times New Roman" w:hAnsi="Times New Roman" w:cs="Times New Roman"/>
          <w:b/>
          <w:sz w:val="20"/>
          <w:szCs w:val="20"/>
        </w:rPr>
      </w:pPr>
    </w:p>
    <w:p w14:paraId="1C0828DE" w14:textId="77777777" w:rsidR="001729A3" w:rsidRPr="0049126A" w:rsidRDefault="001729A3" w:rsidP="003913BC">
      <w:pPr>
        <w:rPr>
          <w:rFonts w:ascii="Times New Roman" w:hAnsi="Times New Roman" w:cs="Times New Roman"/>
          <w:b/>
          <w:sz w:val="20"/>
          <w:szCs w:val="20"/>
        </w:rPr>
      </w:pPr>
    </w:p>
    <w:p w14:paraId="27E4BF5F" w14:textId="77777777" w:rsidR="003913BC" w:rsidRPr="0049126A" w:rsidRDefault="003913BC" w:rsidP="003913BC">
      <w:pPr>
        <w:rPr>
          <w:rFonts w:ascii="Times New Roman" w:hAnsi="Times New Roman" w:cs="Times New Roman"/>
          <w:b/>
          <w:sz w:val="24"/>
          <w:szCs w:val="24"/>
        </w:rPr>
      </w:pPr>
      <w:r w:rsidRPr="0049126A">
        <w:rPr>
          <w:rFonts w:ascii="Times New Roman" w:hAnsi="Times New Roman" w:cs="Times New Roman"/>
          <w:b/>
          <w:sz w:val="24"/>
          <w:szCs w:val="24"/>
        </w:rPr>
        <w:lastRenderedPageBreak/>
        <w:t xml:space="preserve">ANEXA 3 </w:t>
      </w:r>
    </w:p>
    <w:p w14:paraId="65F475CA" w14:textId="0D8E6AF8" w:rsidR="003913BC" w:rsidRPr="0049126A" w:rsidRDefault="003913BC" w:rsidP="003913BC">
      <w:pPr>
        <w:rPr>
          <w:rFonts w:ascii="Times New Roman" w:hAnsi="Times New Roman" w:cs="Times New Roman"/>
          <w:b/>
          <w:sz w:val="24"/>
          <w:szCs w:val="24"/>
        </w:rPr>
      </w:pPr>
      <w:r w:rsidRPr="0049126A">
        <w:rPr>
          <w:rFonts w:ascii="Times New Roman" w:hAnsi="Times New Roman" w:cs="Times New Roman"/>
          <w:b/>
          <w:sz w:val="24"/>
          <w:szCs w:val="24"/>
        </w:rPr>
        <w:t xml:space="preserve">LIPODOSTROFII ASOCIATE SDR. PROGEROIDE </w:t>
      </w:r>
    </w:p>
    <w:p w14:paraId="6E57B69F" w14:textId="77777777" w:rsidR="003913BC" w:rsidRPr="0049126A" w:rsidRDefault="003913BC" w:rsidP="003913BC">
      <w:pPr>
        <w:rPr>
          <w:rFonts w:ascii="Times New Roman" w:hAnsi="Times New Roman" w:cs="Times New Roman"/>
          <w:b/>
          <w:sz w:val="24"/>
          <w:szCs w:val="24"/>
        </w:rPr>
      </w:pPr>
      <w:r w:rsidRPr="0049126A">
        <w:rPr>
          <w:rFonts w:ascii="Times New Roman" w:hAnsi="Times New Roman" w:cs="Times New Roman"/>
          <w:b/>
          <w:sz w:val="24"/>
          <w:szCs w:val="24"/>
        </w:rPr>
        <w:t>TABEL1 – SDR PROGEROIDE CU LIPODISTROFII GENERALIZATE</w:t>
      </w:r>
    </w:p>
    <w:tbl>
      <w:tblPr>
        <w:tblStyle w:val="TableGrid"/>
        <w:tblW w:w="5000" w:type="pct"/>
        <w:tblLayout w:type="fixed"/>
        <w:tblLook w:val="04A0" w:firstRow="1" w:lastRow="0" w:firstColumn="1" w:lastColumn="0" w:noHBand="0" w:noVBand="1"/>
      </w:tblPr>
      <w:tblGrid>
        <w:gridCol w:w="706"/>
        <w:gridCol w:w="902"/>
        <w:gridCol w:w="802"/>
        <w:gridCol w:w="804"/>
        <w:gridCol w:w="801"/>
        <w:gridCol w:w="803"/>
        <w:gridCol w:w="801"/>
        <w:gridCol w:w="803"/>
        <w:gridCol w:w="801"/>
        <w:gridCol w:w="803"/>
        <w:gridCol w:w="801"/>
        <w:gridCol w:w="803"/>
      </w:tblGrid>
      <w:tr w:rsidR="0049126A" w:rsidRPr="0049126A" w14:paraId="0B02554B" w14:textId="77777777" w:rsidTr="003913BC">
        <w:tc>
          <w:tcPr>
            <w:tcW w:w="366" w:type="pct"/>
          </w:tcPr>
          <w:p w14:paraId="3605F5B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Tip</w:t>
            </w:r>
          </w:p>
        </w:tc>
        <w:tc>
          <w:tcPr>
            <w:tcW w:w="468" w:type="pct"/>
          </w:tcPr>
          <w:p w14:paraId="1DB01C0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FPLD asociata cu displazie mandibulo-acrală</w:t>
            </w:r>
          </w:p>
        </w:tc>
        <w:tc>
          <w:tcPr>
            <w:tcW w:w="416" w:type="pct"/>
          </w:tcPr>
          <w:p w14:paraId="082F7137"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xml:space="preserve">Sdr. Hutchinson-Gilford </w:t>
            </w:r>
          </w:p>
        </w:tc>
        <w:tc>
          <w:tcPr>
            <w:tcW w:w="417" w:type="pct"/>
          </w:tcPr>
          <w:p w14:paraId="1F170175"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Sdr Werner atipic și sdr progeroid atipic</w:t>
            </w:r>
          </w:p>
        </w:tc>
        <w:tc>
          <w:tcPr>
            <w:tcW w:w="416" w:type="pct"/>
          </w:tcPr>
          <w:p w14:paraId="509F9B01" w14:textId="77777777" w:rsidR="003913BC" w:rsidRPr="0049126A" w:rsidRDefault="003913BC" w:rsidP="00FF4B29">
            <w:pPr>
              <w:autoSpaceDE w:val="0"/>
              <w:autoSpaceDN w:val="0"/>
              <w:adjustRightInd w:val="0"/>
              <w:rPr>
                <w:rFonts w:ascii="Arial Narrow" w:hAnsi="Arial Narrow" w:cs="Times New Roman"/>
                <w:sz w:val="16"/>
                <w:szCs w:val="16"/>
              </w:rPr>
            </w:pPr>
            <w:r w:rsidRPr="0049126A">
              <w:rPr>
                <w:rFonts w:ascii="Arial Narrow" w:hAnsi="Arial Narrow" w:cs="Times New Roman"/>
                <w:sz w:val="16"/>
                <w:szCs w:val="16"/>
              </w:rPr>
              <w:t xml:space="preserve">Sdr. MDPL </w:t>
            </w:r>
          </w:p>
          <w:p w14:paraId="160A435E" w14:textId="77777777" w:rsidR="003913BC" w:rsidRPr="0049126A" w:rsidRDefault="003913BC" w:rsidP="00FF4B29">
            <w:pPr>
              <w:jc w:val="both"/>
              <w:rPr>
                <w:rFonts w:ascii="Arial Narrow" w:hAnsi="Arial Narrow" w:cs="Times New Roman"/>
                <w:b/>
                <w:bCs/>
                <w:sz w:val="16"/>
                <w:szCs w:val="16"/>
              </w:rPr>
            </w:pPr>
          </w:p>
        </w:tc>
        <w:tc>
          <w:tcPr>
            <w:tcW w:w="417" w:type="pct"/>
          </w:tcPr>
          <w:p w14:paraId="22C72400"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xml:space="preserve">Sdr. Keppen-Lubinsky </w:t>
            </w:r>
          </w:p>
        </w:tc>
        <w:tc>
          <w:tcPr>
            <w:tcW w:w="416" w:type="pct"/>
          </w:tcPr>
          <w:p w14:paraId="4CBCC5FA" w14:textId="77777777" w:rsidR="003913BC" w:rsidRPr="0049126A" w:rsidRDefault="003913BC" w:rsidP="00FF4B29">
            <w:pPr>
              <w:autoSpaceDE w:val="0"/>
              <w:autoSpaceDN w:val="0"/>
              <w:adjustRightInd w:val="0"/>
              <w:rPr>
                <w:rFonts w:ascii="Arial Narrow" w:hAnsi="Arial Narrow" w:cs="Times New Roman"/>
                <w:b/>
                <w:bCs/>
                <w:sz w:val="16"/>
                <w:szCs w:val="16"/>
              </w:rPr>
            </w:pPr>
            <w:r w:rsidRPr="0049126A">
              <w:rPr>
                <w:rFonts w:ascii="Arial Narrow" w:hAnsi="Arial Narrow" w:cs="Times New Roman"/>
                <w:sz w:val="16"/>
                <w:szCs w:val="16"/>
                <w:lang w:val="pt-BR"/>
              </w:rPr>
              <w:t xml:space="preserve">Sdr. Progeroid Néstor-Guillermo </w:t>
            </w:r>
          </w:p>
        </w:tc>
        <w:tc>
          <w:tcPr>
            <w:tcW w:w="417" w:type="pct"/>
          </w:tcPr>
          <w:p w14:paraId="0103E795" w14:textId="77777777" w:rsidR="003913BC" w:rsidRPr="0049126A" w:rsidRDefault="003913BC" w:rsidP="00FF4B29">
            <w:pPr>
              <w:autoSpaceDE w:val="0"/>
              <w:autoSpaceDN w:val="0"/>
              <w:adjustRightInd w:val="0"/>
              <w:rPr>
                <w:rFonts w:ascii="Arial Narrow" w:hAnsi="Arial Narrow" w:cs="Times New Roman"/>
                <w:sz w:val="16"/>
                <w:szCs w:val="16"/>
                <w:lang w:val="pt-BR"/>
              </w:rPr>
            </w:pPr>
            <w:r w:rsidRPr="0049126A">
              <w:rPr>
                <w:rFonts w:ascii="Arial Narrow" w:hAnsi="Arial Narrow" w:cs="Times New Roman"/>
                <w:sz w:val="16"/>
                <w:szCs w:val="16"/>
                <w:lang w:val="pt-BR"/>
              </w:rPr>
              <w:t>Sdr Progeroid Fontaine</w:t>
            </w:r>
          </w:p>
        </w:tc>
        <w:tc>
          <w:tcPr>
            <w:tcW w:w="416" w:type="pct"/>
          </w:tcPr>
          <w:p w14:paraId="0DD7F7DA" w14:textId="77777777" w:rsidR="003913BC" w:rsidRPr="0049126A" w:rsidRDefault="003913BC" w:rsidP="00FF4B29">
            <w:pPr>
              <w:autoSpaceDE w:val="0"/>
              <w:autoSpaceDN w:val="0"/>
              <w:adjustRightInd w:val="0"/>
              <w:rPr>
                <w:rFonts w:ascii="Arial Narrow" w:hAnsi="Arial Narrow" w:cs="Times New Roman"/>
                <w:b/>
                <w:bCs/>
                <w:sz w:val="16"/>
                <w:szCs w:val="16"/>
              </w:rPr>
            </w:pPr>
            <w:r w:rsidRPr="0049126A">
              <w:rPr>
                <w:rFonts w:ascii="Arial Narrow" w:hAnsi="Arial Narrow" w:cs="Times New Roman"/>
                <w:sz w:val="16"/>
                <w:szCs w:val="16"/>
                <w:lang w:val="pt-BR"/>
              </w:rPr>
              <w:t xml:space="preserve">Sdr. Ruijs-Aalfs </w:t>
            </w:r>
          </w:p>
        </w:tc>
        <w:tc>
          <w:tcPr>
            <w:tcW w:w="417" w:type="pct"/>
          </w:tcPr>
          <w:p w14:paraId="314C2CEE" w14:textId="77777777" w:rsidR="003913BC" w:rsidRPr="0049126A" w:rsidRDefault="003913BC" w:rsidP="00FF4B29">
            <w:pPr>
              <w:autoSpaceDE w:val="0"/>
              <w:autoSpaceDN w:val="0"/>
              <w:adjustRightInd w:val="0"/>
              <w:rPr>
                <w:rFonts w:ascii="Arial Narrow" w:hAnsi="Arial Narrow" w:cs="Times New Roman"/>
                <w:sz w:val="16"/>
                <w:szCs w:val="16"/>
                <w:lang w:val="pt-BR"/>
              </w:rPr>
            </w:pPr>
            <w:r w:rsidRPr="0049126A">
              <w:rPr>
                <w:rFonts w:ascii="Arial Narrow" w:hAnsi="Arial Narrow" w:cs="Times New Roman"/>
                <w:sz w:val="16"/>
                <w:szCs w:val="16"/>
                <w:lang w:val="pt-BR"/>
              </w:rPr>
              <w:t xml:space="preserve">Sdr. Cockayne </w:t>
            </w:r>
          </w:p>
          <w:p w14:paraId="5264776C" w14:textId="77777777" w:rsidR="003913BC" w:rsidRPr="0049126A" w:rsidRDefault="003913BC" w:rsidP="00FF4B29">
            <w:pPr>
              <w:autoSpaceDE w:val="0"/>
              <w:autoSpaceDN w:val="0"/>
              <w:adjustRightInd w:val="0"/>
              <w:rPr>
                <w:rFonts w:ascii="Arial Narrow" w:hAnsi="Arial Narrow" w:cs="Times New Roman"/>
                <w:sz w:val="16"/>
                <w:szCs w:val="16"/>
                <w:lang w:val="pt-BR"/>
              </w:rPr>
            </w:pPr>
          </w:p>
        </w:tc>
        <w:tc>
          <w:tcPr>
            <w:tcW w:w="416" w:type="pct"/>
          </w:tcPr>
          <w:p w14:paraId="73463AF8" w14:textId="77777777" w:rsidR="003913BC" w:rsidRPr="0049126A" w:rsidRDefault="003913BC" w:rsidP="00FF4B29">
            <w:pPr>
              <w:autoSpaceDE w:val="0"/>
              <w:autoSpaceDN w:val="0"/>
              <w:adjustRightInd w:val="0"/>
              <w:rPr>
                <w:rFonts w:ascii="Arial Narrow" w:hAnsi="Arial Narrow" w:cs="Times New Roman"/>
                <w:sz w:val="16"/>
                <w:szCs w:val="16"/>
                <w:lang w:val="pt-BR"/>
              </w:rPr>
            </w:pPr>
            <w:r w:rsidRPr="0049126A">
              <w:rPr>
                <w:rFonts w:ascii="Arial Narrow" w:hAnsi="Arial Narrow" w:cs="Times New Roman"/>
                <w:sz w:val="16"/>
                <w:szCs w:val="16"/>
                <w:lang w:val="pt-BR"/>
              </w:rPr>
              <w:t>Sdr. Wiedemann</w:t>
            </w:r>
            <w:r w:rsidRPr="0049126A">
              <w:rPr>
                <w:rFonts w:ascii="Cambria Math" w:hAnsi="Cambria Math" w:cs="Cambria Math"/>
                <w:sz w:val="16"/>
                <w:szCs w:val="16"/>
                <w:lang w:val="pt-BR"/>
              </w:rPr>
              <w:t>‑</w:t>
            </w:r>
            <w:r w:rsidRPr="0049126A">
              <w:rPr>
                <w:rFonts w:ascii="Arial Narrow" w:hAnsi="Arial Narrow" w:cs="Times New Roman"/>
                <w:sz w:val="16"/>
                <w:szCs w:val="16"/>
                <w:lang w:val="pt-BR"/>
              </w:rPr>
              <w:t xml:space="preserve">Rautenstrauch </w:t>
            </w:r>
          </w:p>
        </w:tc>
        <w:tc>
          <w:tcPr>
            <w:tcW w:w="417" w:type="pct"/>
          </w:tcPr>
          <w:p w14:paraId="68511E3F" w14:textId="77777777" w:rsidR="003913BC" w:rsidRPr="0049126A" w:rsidRDefault="003913BC" w:rsidP="00FF4B29">
            <w:pPr>
              <w:autoSpaceDE w:val="0"/>
              <w:autoSpaceDN w:val="0"/>
              <w:adjustRightInd w:val="0"/>
              <w:rPr>
                <w:rFonts w:ascii="Arial Narrow" w:hAnsi="Arial Narrow" w:cs="Times New Roman"/>
                <w:sz w:val="16"/>
                <w:szCs w:val="16"/>
                <w:lang w:val="pt-BR"/>
              </w:rPr>
            </w:pPr>
            <w:r w:rsidRPr="0049126A">
              <w:rPr>
                <w:rFonts w:ascii="Arial Narrow" w:hAnsi="Arial Narrow" w:cs="Times New Roman"/>
                <w:sz w:val="16"/>
                <w:szCs w:val="16"/>
                <w:lang w:val="pt-BR"/>
              </w:rPr>
              <w:t>Sdr. Penttinen</w:t>
            </w:r>
          </w:p>
        </w:tc>
      </w:tr>
      <w:tr w:rsidR="0049126A" w:rsidRPr="0049126A" w14:paraId="2982D6D5" w14:textId="77777777" w:rsidTr="003913BC">
        <w:tc>
          <w:tcPr>
            <w:tcW w:w="366" w:type="pct"/>
          </w:tcPr>
          <w:p w14:paraId="738EE22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Susbtrat genetic</w:t>
            </w:r>
          </w:p>
        </w:tc>
        <w:tc>
          <w:tcPr>
            <w:tcW w:w="468" w:type="pct"/>
          </w:tcPr>
          <w:p w14:paraId="4B85FB8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LMNA, AR</w:t>
            </w:r>
          </w:p>
          <w:p w14:paraId="6E10624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LMNA+ ZMPSTE24 Heterozigot compus </w:t>
            </w:r>
          </w:p>
          <w:p w14:paraId="0596587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MTX2</w:t>
            </w:r>
          </w:p>
        </w:tc>
        <w:tc>
          <w:tcPr>
            <w:tcW w:w="416" w:type="pct"/>
          </w:tcPr>
          <w:p w14:paraId="73CD9D6E"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i/>
                <w:iCs/>
                <w:sz w:val="16"/>
                <w:szCs w:val="16"/>
              </w:rPr>
              <w:t>LMNA</w:t>
            </w:r>
            <w:r w:rsidRPr="0049126A">
              <w:rPr>
                <w:rFonts w:ascii="Arial Narrow" w:hAnsi="Arial Narrow" w:cs="Times New Roman"/>
                <w:sz w:val="16"/>
                <w:szCs w:val="16"/>
              </w:rPr>
              <w:t>, AD, OMIM #176670</w:t>
            </w:r>
          </w:p>
        </w:tc>
        <w:tc>
          <w:tcPr>
            <w:tcW w:w="417" w:type="pct"/>
          </w:tcPr>
          <w:p w14:paraId="321D85F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i/>
                <w:iCs/>
                <w:sz w:val="16"/>
                <w:szCs w:val="16"/>
              </w:rPr>
              <w:t>LMNA</w:t>
            </w:r>
            <w:r w:rsidRPr="0049126A">
              <w:rPr>
                <w:rFonts w:ascii="Arial Narrow" w:hAnsi="Arial Narrow" w:cs="Times New Roman"/>
                <w:sz w:val="16"/>
                <w:szCs w:val="16"/>
              </w:rPr>
              <w:t>, AD</w:t>
            </w:r>
          </w:p>
        </w:tc>
        <w:tc>
          <w:tcPr>
            <w:tcW w:w="416" w:type="pct"/>
          </w:tcPr>
          <w:p w14:paraId="31AA0CA8"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 xml:space="preserve">Generalizată sau parțială </w:t>
            </w:r>
            <w:r w:rsidRPr="0049126A">
              <w:rPr>
                <w:rFonts w:ascii="Arial Narrow" w:hAnsi="Arial Narrow" w:cs="Times New Roman"/>
                <w:i/>
                <w:iCs/>
                <w:sz w:val="16"/>
                <w:szCs w:val="16"/>
              </w:rPr>
              <w:t>POLD1</w:t>
            </w:r>
            <w:r w:rsidRPr="0049126A">
              <w:rPr>
                <w:rFonts w:ascii="Arial Narrow" w:hAnsi="Arial Narrow" w:cs="Times New Roman"/>
                <w:sz w:val="16"/>
                <w:szCs w:val="16"/>
              </w:rPr>
              <w:t>, AD,  OMIM #615381</w:t>
            </w:r>
          </w:p>
        </w:tc>
        <w:tc>
          <w:tcPr>
            <w:tcW w:w="417" w:type="pct"/>
          </w:tcPr>
          <w:p w14:paraId="63B46963"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i/>
                <w:iCs/>
                <w:sz w:val="16"/>
                <w:szCs w:val="16"/>
              </w:rPr>
              <w:t>KCNJ6</w:t>
            </w:r>
            <w:r w:rsidRPr="0049126A">
              <w:rPr>
                <w:rFonts w:ascii="Arial Narrow" w:hAnsi="Arial Narrow" w:cs="Times New Roman"/>
                <w:sz w:val="16"/>
                <w:szCs w:val="16"/>
              </w:rPr>
              <w:t>, AD, OMIM #614098</w:t>
            </w:r>
          </w:p>
        </w:tc>
        <w:tc>
          <w:tcPr>
            <w:tcW w:w="416" w:type="pct"/>
          </w:tcPr>
          <w:p w14:paraId="1B3BEB6F" w14:textId="77777777" w:rsidR="003913BC" w:rsidRPr="0049126A" w:rsidRDefault="003913BC" w:rsidP="00FF4B29">
            <w:pPr>
              <w:autoSpaceDE w:val="0"/>
              <w:autoSpaceDN w:val="0"/>
              <w:adjustRightInd w:val="0"/>
              <w:rPr>
                <w:rFonts w:ascii="Arial Narrow" w:hAnsi="Arial Narrow" w:cs="Times New Roman"/>
                <w:sz w:val="16"/>
                <w:szCs w:val="16"/>
                <w:lang w:val="pt-BR"/>
              </w:rPr>
            </w:pPr>
            <w:r w:rsidRPr="0049126A">
              <w:rPr>
                <w:rFonts w:ascii="Arial Narrow" w:hAnsi="Arial Narrow" w:cs="Times New Roman"/>
                <w:i/>
                <w:iCs/>
                <w:sz w:val="16"/>
                <w:szCs w:val="16"/>
                <w:lang w:val="pt-BR"/>
              </w:rPr>
              <w:t>BANF1</w:t>
            </w:r>
            <w:r w:rsidRPr="0049126A">
              <w:rPr>
                <w:rFonts w:ascii="Arial Narrow" w:hAnsi="Arial Narrow" w:cs="Times New Roman"/>
                <w:sz w:val="16"/>
                <w:szCs w:val="16"/>
                <w:lang w:val="pt-BR"/>
              </w:rPr>
              <w:t xml:space="preserve">, AR,  OMIM </w:t>
            </w:r>
            <w:r w:rsidRPr="0049126A">
              <w:rPr>
                <w:rFonts w:ascii="Arial Narrow" w:hAnsi="Arial Narrow" w:cs="Times New Roman"/>
                <w:b/>
                <w:bCs/>
                <w:sz w:val="16"/>
                <w:szCs w:val="16"/>
                <w:lang w:val="pt-BR"/>
              </w:rPr>
              <w:t>#</w:t>
            </w:r>
            <w:r w:rsidRPr="0049126A">
              <w:rPr>
                <w:rFonts w:ascii="Arial Narrow" w:hAnsi="Arial Narrow" w:cs="Times New Roman"/>
                <w:sz w:val="16"/>
                <w:szCs w:val="16"/>
                <w:lang w:val="pt-BR"/>
              </w:rPr>
              <w:t>614008</w:t>
            </w:r>
          </w:p>
          <w:p w14:paraId="64C3CD73" w14:textId="77777777" w:rsidR="003913BC" w:rsidRPr="0049126A" w:rsidRDefault="003913BC" w:rsidP="00FF4B29">
            <w:pPr>
              <w:jc w:val="both"/>
              <w:rPr>
                <w:rFonts w:ascii="Arial Narrow" w:hAnsi="Arial Narrow" w:cs="Times New Roman"/>
                <w:b/>
                <w:bCs/>
                <w:sz w:val="16"/>
                <w:szCs w:val="16"/>
              </w:rPr>
            </w:pPr>
          </w:p>
        </w:tc>
        <w:tc>
          <w:tcPr>
            <w:tcW w:w="417" w:type="pct"/>
          </w:tcPr>
          <w:p w14:paraId="46ADA399"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SLC25A24</w:t>
            </w:r>
          </w:p>
          <w:p w14:paraId="0E69F0DD"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OMIM</w:t>
            </w:r>
            <w:r w:rsidRPr="0049126A">
              <w:rPr>
                <w:rFonts w:ascii="Arial Narrow" w:hAnsi="Arial Narrow" w:cs="Times New Roman"/>
                <w:i/>
                <w:iCs/>
                <w:sz w:val="16"/>
                <w:szCs w:val="16"/>
              </w:rPr>
              <w:t xml:space="preserve"> #612289</w:t>
            </w:r>
          </w:p>
        </w:tc>
        <w:tc>
          <w:tcPr>
            <w:tcW w:w="416" w:type="pct"/>
          </w:tcPr>
          <w:p w14:paraId="1149FE5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i/>
                <w:iCs/>
                <w:sz w:val="16"/>
                <w:szCs w:val="16"/>
                <w:lang w:val="pt-BR"/>
              </w:rPr>
              <w:t>SPRTN</w:t>
            </w:r>
            <w:r w:rsidRPr="0049126A">
              <w:rPr>
                <w:rFonts w:ascii="Arial Narrow" w:hAnsi="Arial Narrow" w:cs="Times New Roman"/>
                <w:sz w:val="16"/>
                <w:szCs w:val="16"/>
                <w:lang w:val="pt-BR"/>
              </w:rPr>
              <w:t>, AR, OMIM #616200</w:t>
            </w:r>
          </w:p>
        </w:tc>
        <w:tc>
          <w:tcPr>
            <w:tcW w:w="417" w:type="pct"/>
          </w:tcPr>
          <w:p w14:paraId="5EAE2D76"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ERCC6</w:t>
            </w:r>
            <w:r w:rsidRPr="0049126A">
              <w:rPr>
                <w:rFonts w:ascii="Arial Narrow" w:hAnsi="Arial Narrow" w:cs="Times New Roman"/>
                <w:sz w:val="16"/>
                <w:szCs w:val="16"/>
                <w:lang w:val="pt-BR"/>
              </w:rPr>
              <w:t xml:space="preserve">, </w:t>
            </w:r>
            <w:r w:rsidRPr="0049126A">
              <w:rPr>
                <w:rFonts w:ascii="Arial Narrow" w:hAnsi="Arial Narrow" w:cs="Times New Roman"/>
                <w:i/>
                <w:iCs/>
                <w:sz w:val="16"/>
                <w:szCs w:val="16"/>
                <w:lang w:val="pt-BR"/>
              </w:rPr>
              <w:t>ERCC8</w:t>
            </w:r>
            <w:r w:rsidRPr="0049126A">
              <w:rPr>
                <w:rFonts w:ascii="Arial Narrow" w:hAnsi="Arial Narrow" w:cs="Times New Roman"/>
                <w:sz w:val="16"/>
                <w:szCs w:val="16"/>
                <w:lang w:val="pt-BR"/>
              </w:rPr>
              <w:t>, AR, OMIM #133540, #216400</w:t>
            </w:r>
          </w:p>
        </w:tc>
        <w:tc>
          <w:tcPr>
            <w:tcW w:w="416" w:type="pct"/>
          </w:tcPr>
          <w:p w14:paraId="5B12DF02"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POLR3A, AR</w:t>
            </w:r>
          </w:p>
          <w:p w14:paraId="7E02331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OMIM</w:t>
            </w:r>
          </w:p>
          <w:p w14:paraId="356E80ED"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sz w:val="16"/>
                <w:szCs w:val="16"/>
                <w:lang w:val="pt-BR"/>
              </w:rPr>
              <w:t>#264090</w:t>
            </w:r>
          </w:p>
        </w:tc>
        <w:tc>
          <w:tcPr>
            <w:tcW w:w="417" w:type="pct"/>
          </w:tcPr>
          <w:p w14:paraId="6B54C4E9"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PDGFRB, AR</w:t>
            </w:r>
          </w:p>
          <w:p w14:paraId="2E12FD0E"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rPr>
              <w:t>OMIM #601812</w:t>
            </w:r>
          </w:p>
        </w:tc>
      </w:tr>
      <w:tr w:rsidR="0049126A" w:rsidRPr="0049126A" w14:paraId="211BE0F6" w14:textId="77777777" w:rsidTr="003913BC">
        <w:tc>
          <w:tcPr>
            <w:tcW w:w="366" w:type="pct"/>
          </w:tcPr>
          <w:p w14:paraId="1B786D9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Vârsta de debut</w:t>
            </w:r>
          </w:p>
        </w:tc>
        <w:tc>
          <w:tcPr>
            <w:tcW w:w="468" w:type="pct"/>
          </w:tcPr>
          <w:p w14:paraId="7610126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 la naștere, caracter evolutiv- tabloul complet până la vârsta școlară</w:t>
            </w:r>
          </w:p>
        </w:tc>
        <w:tc>
          <w:tcPr>
            <w:tcW w:w="416" w:type="pct"/>
          </w:tcPr>
          <w:p w14:paraId="619E6170"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sz w:val="16"/>
                <w:szCs w:val="16"/>
                <w:lang w:val="pt-BR"/>
              </w:rPr>
              <w:t>Falimentul sever al creșterii postnatale din primul an de viață,</w:t>
            </w:r>
          </w:p>
        </w:tc>
        <w:tc>
          <w:tcPr>
            <w:tcW w:w="417" w:type="pct"/>
          </w:tcPr>
          <w:p w14:paraId="140D0119"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51EFD5C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debut în copilăria tardivă</w:t>
            </w:r>
          </w:p>
          <w:p w14:paraId="78E907E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concomitent cu acumularea țesutului adipos visceral</w:t>
            </w:r>
          </w:p>
        </w:tc>
        <w:tc>
          <w:tcPr>
            <w:tcW w:w="417" w:type="pct"/>
          </w:tcPr>
          <w:p w14:paraId="1EE06C14"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229F023A" w14:textId="77777777" w:rsidR="003913BC" w:rsidRPr="0049126A" w:rsidRDefault="003913BC" w:rsidP="00FF4B29">
            <w:pPr>
              <w:autoSpaceDE w:val="0"/>
              <w:autoSpaceDN w:val="0"/>
              <w:adjustRightInd w:val="0"/>
              <w:rPr>
                <w:rFonts w:ascii="Arial Narrow" w:hAnsi="Arial Narrow" w:cs="Times New Roman"/>
                <w:sz w:val="16"/>
                <w:szCs w:val="16"/>
                <w:lang w:val="pt-BR"/>
              </w:rPr>
            </w:pPr>
          </w:p>
        </w:tc>
        <w:tc>
          <w:tcPr>
            <w:tcW w:w="417" w:type="pct"/>
          </w:tcPr>
          <w:p w14:paraId="49251F1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Prenatal</w:t>
            </w:r>
          </w:p>
        </w:tc>
        <w:tc>
          <w:tcPr>
            <w:tcW w:w="416" w:type="pct"/>
          </w:tcPr>
          <w:p w14:paraId="3025D1A1"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35E7CA08"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183E65C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Prenatal</w:t>
            </w:r>
          </w:p>
        </w:tc>
        <w:tc>
          <w:tcPr>
            <w:tcW w:w="417" w:type="pct"/>
          </w:tcPr>
          <w:p w14:paraId="2CD2769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Perioada de sugar</w:t>
            </w:r>
          </w:p>
        </w:tc>
      </w:tr>
      <w:tr w:rsidR="0049126A" w:rsidRPr="0049126A" w14:paraId="6F067C5E" w14:textId="77777777" w:rsidTr="003913BC">
        <w:tc>
          <w:tcPr>
            <w:tcW w:w="366" w:type="pct"/>
          </w:tcPr>
          <w:p w14:paraId="4592050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Caracteristici generale</w:t>
            </w:r>
          </w:p>
        </w:tc>
        <w:tc>
          <w:tcPr>
            <w:tcW w:w="468" w:type="pct"/>
          </w:tcPr>
          <w:p w14:paraId="0DD69D5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Falimentul creșterii postnatale </w:t>
            </w:r>
          </w:p>
          <w:p w14:paraId="7D5F630D"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4F67F65D"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62632560"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109DBAAE"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0E0F60C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Întârziere severă de dezvoltare</w:t>
            </w:r>
          </w:p>
        </w:tc>
        <w:tc>
          <w:tcPr>
            <w:tcW w:w="416" w:type="pct"/>
          </w:tcPr>
          <w:p w14:paraId="7F009BA3" w14:textId="77777777" w:rsidR="003913BC" w:rsidRPr="0049126A" w:rsidRDefault="003913BC" w:rsidP="00FF4B29">
            <w:pPr>
              <w:autoSpaceDE w:val="0"/>
              <w:autoSpaceDN w:val="0"/>
              <w:adjustRightInd w:val="0"/>
              <w:rPr>
                <w:rFonts w:ascii="Arial Narrow" w:hAnsi="Arial Narrow" w:cs="Times New Roman"/>
                <w:sz w:val="16"/>
                <w:szCs w:val="16"/>
                <w:lang w:val="pt-BR"/>
              </w:rPr>
            </w:pPr>
            <w:r w:rsidRPr="0049126A">
              <w:rPr>
                <w:rFonts w:ascii="Arial Narrow" w:hAnsi="Arial Narrow" w:cs="Times New Roman"/>
                <w:sz w:val="16"/>
                <w:szCs w:val="16"/>
                <w:lang w:val="pt-BR"/>
              </w:rPr>
              <w:t>Retard de creștere</w:t>
            </w:r>
          </w:p>
        </w:tc>
        <w:tc>
          <w:tcPr>
            <w:tcW w:w="417" w:type="pct"/>
          </w:tcPr>
          <w:p w14:paraId="555FCB4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Tulb de dezvoltare globală pre și postnatală, statură mică</w:t>
            </w:r>
          </w:p>
        </w:tc>
        <w:tc>
          <w:tcPr>
            <w:tcW w:w="416" w:type="pct"/>
          </w:tcPr>
          <w:p w14:paraId="57054D0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Întârziere globală de dezvoltare</w:t>
            </w:r>
          </w:p>
        </w:tc>
        <w:tc>
          <w:tcPr>
            <w:tcW w:w="417" w:type="pct"/>
          </w:tcPr>
          <w:p w14:paraId="0168421D"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17BCF3B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Deficit sever de creștere pre și postnatal</w:t>
            </w:r>
          </w:p>
        </w:tc>
        <w:tc>
          <w:tcPr>
            <w:tcW w:w="417" w:type="pct"/>
          </w:tcPr>
          <w:p w14:paraId="46DF125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Creștere normală sau accelerată</w:t>
            </w:r>
          </w:p>
          <w:p w14:paraId="76CE9A6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Semne de senescență din perioada de sugar</w:t>
            </w:r>
          </w:p>
        </w:tc>
      </w:tr>
      <w:tr w:rsidR="0049126A" w:rsidRPr="0049126A" w14:paraId="53F6357B" w14:textId="77777777" w:rsidTr="003913BC">
        <w:tc>
          <w:tcPr>
            <w:tcW w:w="366" w:type="pct"/>
          </w:tcPr>
          <w:p w14:paraId="66DE1443"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Facies</w:t>
            </w:r>
          </w:p>
        </w:tc>
        <w:tc>
          <w:tcPr>
            <w:tcW w:w="468" w:type="pct"/>
          </w:tcPr>
          <w:p w14:paraId="70BC40C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Hipoplazie de mandibulă ( aspect de ”facies de pasăre”)</w:t>
            </w:r>
          </w:p>
          <w:p w14:paraId="010D13F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clavicularăînchiderea tardivă a suturilor</w:t>
            </w:r>
          </w:p>
          <w:p w14:paraId="6DC3BB4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anomalii dentare</w:t>
            </w:r>
          </w:p>
          <w:p w14:paraId="08F476C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alopecie</w:t>
            </w:r>
          </w:p>
        </w:tc>
        <w:tc>
          <w:tcPr>
            <w:tcW w:w="416" w:type="pct"/>
          </w:tcPr>
          <w:p w14:paraId="257C6E9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Macrocefalie relativă la dimensiunile feței, baza și vârful nasului înguste, micrognație, retrognați,buze subțiri</w:t>
            </w:r>
          </w:p>
          <w:p w14:paraId="31ABF565"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2CF1E94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Facies efilat, hipoplazie mandibulă</w:t>
            </w:r>
          </w:p>
          <w:p w14:paraId="578FFEF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Par subțire, friabil</w:t>
            </w:r>
          </w:p>
        </w:tc>
        <w:tc>
          <w:tcPr>
            <w:tcW w:w="416" w:type="pct"/>
          </w:tcPr>
          <w:p w14:paraId="4A36562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Facies subțire, efilat</w:t>
            </w:r>
          </w:p>
          <w:p w14:paraId="2194D88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hipoplazie de mandibula</w:t>
            </w:r>
          </w:p>
        </w:tc>
        <w:tc>
          <w:tcPr>
            <w:tcW w:w="417" w:type="pct"/>
          </w:tcPr>
          <w:p w14:paraId="6642DD1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Microcefalie cu ochi proeminenți, baza nasului îngustă, tendința de a sta cu gura deschisă. Hipertrofie gingivală</w:t>
            </w:r>
          </w:p>
        </w:tc>
        <w:tc>
          <w:tcPr>
            <w:tcW w:w="416" w:type="pct"/>
          </w:tcPr>
          <w:p w14:paraId="2E28FB2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suturi craniene largi, păr rar, ochi proeminenți,   baza nasului convexă, retrognațuie cu micrognație</w:t>
            </w:r>
          </w:p>
          <w:p w14:paraId="7538A0D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(prin osteoliză mandibulară) dinți înghesuiți</w:t>
            </w:r>
          </w:p>
        </w:tc>
        <w:tc>
          <w:tcPr>
            <w:tcW w:w="417" w:type="pct"/>
          </w:tcPr>
          <w:p w14:paraId="187E905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păr scalp rar, tegumente ridate, vene proeminente hipertricoză, fontanelă anterioară largă</w:t>
            </w:r>
          </w:p>
          <w:p w14:paraId="4A7399B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Craniosinostoză, frunte lată, triunghiulară, hipoplaei de etaj facial mijlociu, baza nasului convexă,micrognatie, microoftalmoe, urechi displazice jos inserate, microdonție cu oligodonție </w:t>
            </w:r>
          </w:p>
          <w:p w14:paraId="4FDBF776"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44B153B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bose frontale, față tringhiulară, ochi jos amplasați, cataractă, nas bulbos, micrognație, calviție prematură</w:t>
            </w:r>
          </w:p>
          <w:p w14:paraId="61E66CC0"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5FE6DB9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Microcefalie cu deficit cognitiv, retinopatie pirgmentară, cataractă,</w:t>
            </w:r>
          </w:p>
        </w:tc>
        <w:tc>
          <w:tcPr>
            <w:tcW w:w="416" w:type="pct"/>
          </w:tcPr>
          <w:p w14:paraId="3683018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păr rar, proeminențavenelor frunții,  </w:t>
            </w:r>
          </w:p>
          <w:p w14:paraId="5ADE716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Macrocefalie relativă, fontanela largă, bose frontale , facies triunghiular cu hipoplazie mandibulară, hipertelorism</w:t>
            </w:r>
          </w:p>
          <w:p w14:paraId="22B27D8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Fante palpebrale mici, baza nasului lățită, </w:t>
            </w:r>
          </w:p>
          <w:p w14:paraId="348755F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Cu nări anteversate, urechi jos inserate, gură mica, bărbia rotundă. </w:t>
            </w:r>
          </w:p>
        </w:tc>
        <w:tc>
          <w:tcPr>
            <w:tcW w:w="417" w:type="pct"/>
          </w:tcPr>
          <w:p w14:paraId="46FA23C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anomalii craniene variate (craniosinostoză/ fontanele largi). Păr subțire piele foarte subțire, uscată, translucidă, cu leziuni nodulare cheloide</w:t>
            </w:r>
          </w:p>
          <w:p w14:paraId="053C29F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Retracție tegumentară premaxilară și maxilară, cu aspect de pseudoprognatism</w:t>
            </w:r>
          </w:p>
          <w:p w14:paraId="7023C9C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Opacități corneene prin neovascularizație</w:t>
            </w:r>
          </w:p>
          <w:p w14:paraId="28014664"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42358D89" w14:textId="77777777" w:rsidTr="003913BC">
        <w:tc>
          <w:tcPr>
            <w:tcW w:w="366" w:type="pct"/>
          </w:tcPr>
          <w:p w14:paraId="276E90A5"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Lipodistrofie</w:t>
            </w:r>
          </w:p>
        </w:tc>
        <w:tc>
          <w:tcPr>
            <w:tcW w:w="468" w:type="pct"/>
          </w:tcPr>
          <w:p w14:paraId="57AFBF10"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generalizată</w:t>
            </w:r>
          </w:p>
        </w:tc>
        <w:tc>
          <w:tcPr>
            <w:tcW w:w="416" w:type="pct"/>
          </w:tcPr>
          <w:p w14:paraId="0C41C0B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generalizată</w:t>
            </w:r>
          </w:p>
          <w:p w14:paraId="518A5E7B" w14:textId="77777777" w:rsidR="003913BC" w:rsidRPr="0049126A" w:rsidRDefault="003913BC" w:rsidP="00FF4B29">
            <w:pPr>
              <w:jc w:val="both"/>
              <w:rPr>
                <w:rFonts w:ascii="Arial Narrow" w:hAnsi="Arial Narrow" w:cs="Times New Roman"/>
                <w:b/>
                <w:bCs/>
                <w:sz w:val="16"/>
                <w:szCs w:val="16"/>
              </w:rPr>
            </w:pPr>
          </w:p>
        </w:tc>
        <w:tc>
          <w:tcPr>
            <w:tcW w:w="417" w:type="pct"/>
          </w:tcPr>
          <w:p w14:paraId="44576B2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lastRenderedPageBreak/>
              <w:t>generalizată</w:t>
            </w:r>
          </w:p>
          <w:p w14:paraId="68B6822B" w14:textId="77777777" w:rsidR="003913BC" w:rsidRPr="0049126A" w:rsidRDefault="003913BC" w:rsidP="00FF4B29">
            <w:pPr>
              <w:jc w:val="both"/>
              <w:rPr>
                <w:rFonts w:ascii="Arial Narrow" w:hAnsi="Arial Narrow" w:cs="Times New Roman"/>
                <w:b/>
                <w:bCs/>
                <w:sz w:val="16"/>
                <w:szCs w:val="16"/>
              </w:rPr>
            </w:pPr>
          </w:p>
        </w:tc>
        <w:tc>
          <w:tcPr>
            <w:tcW w:w="416" w:type="pct"/>
          </w:tcPr>
          <w:p w14:paraId="3CACA501"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lastRenderedPageBreak/>
              <w:t xml:space="preserve">generalizată și </w:t>
            </w:r>
            <w:r w:rsidRPr="0049126A">
              <w:rPr>
                <w:rFonts w:ascii="Arial Narrow" w:hAnsi="Arial Narrow" w:cs="Times New Roman"/>
                <w:sz w:val="16"/>
                <w:szCs w:val="16"/>
                <w:lang w:val="pt-BR"/>
              </w:rPr>
              <w:lastRenderedPageBreak/>
              <w:t xml:space="preserve">progresivă </w:t>
            </w:r>
          </w:p>
          <w:p w14:paraId="4642FB18"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12A7987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lastRenderedPageBreak/>
              <w:t xml:space="preserve">generalizată/ </w:t>
            </w:r>
            <w:r w:rsidRPr="0049126A">
              <w:rPr>
                <w:rFonts w:ascii="Arial Narrow" w:hAnsi="Arial Narrow" w:cs="Times New Roman"/>
                <w:sz w:val="16"/>
                <w:szCs w:val="16"/>
                <w:lang w:val="pt-BR"/>
              </w:rPr>
              <w:lastRenderedPageBreak/>
              <w:t xml:space="preserve">dispariția îndeosebi a țesutului adipos la nivelul feței </w:t>
            </w:r>
          </w:p>
        </w:tc>
        <w:tc>
          <w:tcPr>
            <w:tcW w:w="416" w:type="pct"/>
          </w:tcPr>
          <w:p w14:paraId="4291EC45"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lastRenderedPageBreak/>
              <w:t>generalizată</w:t>
            </w:r>
          </w:p>
        </w:tc>
        <w:tc>
          <w:tcPr>
            <w:tcW w:w="417" w:type="pct"/>
          </w:tcPr>
          <w:p w14:paraId="7321EC6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generalizată</w:t>
            </w:r>
          </w:p>
        </w:tc>
        <w:tc>
          <w:tcPr>
            <w:tcW w:w="416" w:type="pct"/>
          </w:tcPr>
          <w:p w14:paraId="777632D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generalizată </w:t>
            </w:r>
            <w:r w:rsidRPr="0049126A">
              <w:rPr>
                <w:rFonts w:ascii="Arial Narrow" w:hAnsi="Arial Narrow" w:cs="Times New Roman"/>
                <w:sz w:val="16"/>
                <w:szCs w:val="16"/>
                <w:lang w:val="pt-BR"/>
              </w:rPr>
              <w:lastRenderedPageBreak/>
              <w:t>usoară, atrofie musculară</w:t>
            </w:r>
          </w:p>
        </w:tc>
        <w:tc>
          <w:tcPr>
            <w:tcW w:w="417" w:type="pct"/>
          </w:tcPr>
          <w:p w14:paraId="0C89F1E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lastRenderedPageBreak/>
              <w:t>generalizată</w:t>
            </w:r>
          </w:p>
        </w:tc>
        <w:tc>
          <w:tcPr>
            <w:tcW w:w="416" w:type="pct"/>
          </w:tcPr>
          <w:p w14:paraId="2310CAA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generalizată</w:t>
            </w:r>
          </w:p>
        </w:tc>
        <w:tc>
          <w:tcPr>
            <w:tcW w:w="417" w:type="pct"/>
          </w:tcPr>
          <w:p w14:paraId="563B764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generalizată</w:t>
            </w:r>
          </w:p>
        </w:tc>
      </w:tr>
      <w:tr w:rsidR="0049126A" w:rsidRPr="0049126A" w14:paraId="2813B5E8" w14:textId="77777777" w:rsidTr="003913BC">
        <w:tc>
          <w:tcPr>
            <w:tcW w:w="366" w:type="pct"/>
          </w:tcPr>
          <w:p w14:paraId="1B83916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DZ</w:t>
            </w:r>
          </w:p>
        </w:tc>
        <w:tc>
          <w:tcPr>
            <w:tcW w:w="468" w:type="pct"/>
          </w:tcPr>
          <w:p w14:paraId="216D9441"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 ↑↑</w:t>
            </w:r>
          </w:p>
        </w:tc>
        <w:tc>
          <w:tcPr>
            <w:tcW w:w="416" w:type="pct"/>
          </w:tcPr>
          <w:p w14:paraId="03DD3CD0"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597297B5"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w:t>
            </w:r>
          </w:p>
        </w:tc>
        <w:tc>
          <w:tcPr>
            <w:tcW w:w="416" w:type="pct"/>
          </w:tcPr>
          <w:p w14:paraId="1C32D1AC"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w:t>
            </w:r>
          </w:p>
        </w:tc>
        <w:tc>
          <w:tcPr>
            <w:tcW w:w="417" w:type="pct"/>
          </w:tcPr>
          <w:p w14:paraId="64A281EF"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495F8E7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71E9EAA9"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NU</w:t>
            </w:r>
          </w:p>
        </w:tc>
        <w:tc>
          <w:tcPr>
            <w:tcW w:w="416" w:type="pct"/>
          </w:tcPr>
          <w:p w14:paraId="35DC3767"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5C46345F"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0C54051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0E532DE0"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NU</w:t>
            </w:r>
          </w:p>
        </w:tc>
      </w:tr>
      <w:tr w:rsidR="0049126A" w:rsidRPr="0049126A" w14:paraId="36126DC2" w14:textId="77777777" w:rsidTr="003913BC">
        <w:tc>
          <w:tcPr>
            <w:tcW w:w="366" w:type="pct"/>
          </w:tcPr>
          <w:p w14:paraId="17363C5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Insulină</w:t>
            </w:r>
          </w:p>
        </w:tc>
        <w:tc>
          <w:tcPr>
            <w:tcW w:w="468" w:type="pct"/>
          </w:tcPr>
          <w:p w14:paraId="16B635F2"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 ↑↑</w:t>
            </w:r>
          </w:p>
        </w:tc>
        <w:tc>
          <w:tcPr>
            <w:tcW w:w="416" w:type="pct"/>
          </w:tcPr>
          <w:p w14:paraId="674031F2"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24C8F120"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w:t>
            </w:r>
          </w:p>
        </w:tc>
        <w:tc>
          <w:tcPr>
            <w:tcW w:w="416" w:type="pct"/>
          </w:tcPr>
          <w:p w14:paraId="4BD714CB"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w:t>
            </w:r>
          </w:p>
        </w:tc>
        <w:tc>
          <w:tcPr>
            <w:tcW w:w="417" w:type="pct"/>
          </w:tcPr>
          <w:p w14:paraId="1545841E"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26EA3A9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02D71FA2"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NU</w:t>
            </w:r>
          </w:p>
        </w:tc>
        <w:tc>
          <w:tcPr>
            <w:tcW w:w="416" w:type="pct"/>
          </w:tcPr>
          <w:p w14:paraId="11E53CBB"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2257923A"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14917FB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2CDD04EB"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NU</w:t>
            </w:r>
          </w:p>
        </w:tc>
      </w:tr>
      <w:tr w:rsidR="0049126A" w:rsidRPr="0049126A" w14:paraId="5BF3C589" w14:textId="77777777" w:rsidTr="003913BC">
        <w:tc>
          <w:tcPr>
            <w:tcW w:w="366" w:type="pct"/>
          </w:tcPr>
          <w:p w14:paraId="7C0982C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Rezistență la insulină</w:t>
            </w:r>
          </w:p>
        </w:tc>
        <w:tc>
          <w:tcPr>
            <w:tcW w:w="468" w:type="pct"/>
          </w:tcPr>
          <w:p w14:paraId="13EA8A7F"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 ↑↑</w:t>
            </w:r>
          </w:p>
        </w:tc>
        <w:tc>
          <w:tcPr>
            <w:tcW w:w="416" w:type="pct"/>
          </w:tcPr>
          <w:p w14:paraId="27CFF631"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70247749"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w:t>
            </w:r>
          </w:p>
        </w:tc>
        <w:tc>
          <w:tcPr>
            <w:tcW w:w="416" w:type="pct"/>
          </w:tcPr>
          <w:p w14:paraId="42012248"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 (copilărie)</w:t>
            </w:r>
          </w:p>
        </w:tc>
        <w:tc>
          <w:tcPr>
            <w:tcW w:w="417" w:type="pct"/>
          </w:tcPr>
          <w:p w14:paraId="408CFA40"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7B6937C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0E8D8E8F"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NU</w:t>
            </w:r>
          </w:p>
        </w:tc>
        <w:tc>
          <w:tcPr>
            <w:tcW w:w="416" w:type="pct"/>
          </w:tcPr>
          <w:p w14:paraId="67A2BF84"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699A144D"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5709B6A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2AB0CEA1"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NU</w:t>
            </w:r>
          </w:p>
        </w:tc>
      </w:tr>
      <w:tr w:rsidR="0049126A" w:rsidRPr="0049126A" w14:paraId="64506C09" w14:textId="77777777" w:rsidTr="003913BC">
        <w:tc>
          <w:tcPr>
            <w:tcW w:w="366" w:type="pct"/>
          </w:tcPr>
          <w:p w14:paraId="31EE0AD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hipertrigliceridemie</w:t>
            </w:r>
          </w:p>
        </w:tc>
        <w:tc>
          <w:tcPr>
            <w:tcW w:w="468" w:type="pct"/>
          </w:tcPr>
          <w:p w14:paraId="14219293"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w:t>
            </w:r>
          </w:p>
        </w:tc>
        <w:tc>
          <w:tcPr>
            <w:tcW w:w="416" w:type="pct"/>
          </w:tcPr>
          <w:p w14:paraId="6700D00A"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253A0A24" w14:textId="77777777" w:rsidR="003913BC" w:rsidRPr="0049126A" w:rsidRDefault="003913BC" w:rsidP="00FF4B29">
            <w:pPr>
              <w:jc w:val="both"/>
              <w:rPr>
                <w:rFonts w:ascii="Arial Narrow" w:hAnsi="Arial Narrow" w:cs="Times New Roman"/>
                <w:b/>
                <w:bCs/>
                <w:sz w:val="16"/>
                <w:szCs w:val="16"/>
                <w:lang w:val="pt-BR"/>
              </w:rPr>
            </w:pPr>
            <w:r w:rsidRPr="0049126A">
              <w:rPr>
                <w:rStyle w:val="u-font-serif"/>
                <w:rFonts w:ascii="Arial Narrow" w:hAnsi="Arial Narrow" w:cs="Times New Roman"/>
                <w:sz w:val="16"/>
                <w:szCs w:val="16"/>
              </w:rPr>
              <w:t>↑↑</w:t>
            </w:r>
          </w:p>
        </w:tc>
        <w:tc>
          <w:tcPr>
            <w:tcW w:w="416" w:type="pct"/>
          </w:tcPr>
          <w:p w14:paraId="3EA3E03E" w14:textId="77777777" w:rsidR="003913BC" w:rsidRPr="0049126A" w:rsidRDefault="003913BC" w:rsidP="00FF4B29">
            <w:pPr>
              <w:jc w:val="both"/>
              <w:rPr>
                <w:rFonts w:ascii="Arial Narrow" w:hAnsi="Arial Narrow" w:cs="Times New Roman"/>
                <w:b/>
                <w:bCs/>
                <w:sz w:val="16"/>
                <w:szCs w:val="16"/>
              </w:rPr>
            </w:pPr>
            <w:r w:rsidRPr="0049126A">
              <w:rPr>
                <w:rStyle w:val="u-font-serif"/>
                <w:rFonts w:ascii="Arial Narrow" w:hAnsi="Arial Narrow" w:cs="Times New Roman"/>
                <w:sz w:val="16"/>
                <w:szCs w:val="16"/>
              </w:rPr>
              <w:t>↑↑</w:t>
            </w:r>
          </w:p>
        </w:tc>
        <w:tc>
          <w:tcPr>
            <w:tcW w:w="417" w:type="pct"/>
          </w:tcPr>
          <w:p w14:paraId="2FDE8A35"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0768EB6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5F1A665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NU</w:t>
            </w:r>
          </w:p>
        </w:tc>
        <w:tc>
          <w:tcPr>
            <w:tcW w:w="416" w:type="pct"/>
          </w:tcPr>
          <w:p w14:paraId="12D5E93C"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33616868"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3AEF2DC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w:t>
            </w:r>
          </w:p>
        </w:tc>
        <w:tc>
          <w:tcPr>
            <w:tcW w:w="417" w:type="pct"/>
          </w:tcPr>
          <w:p w14:paraId="04BD1161"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NU</w:t>
            </w:r>
          </w:p>
        </w:tc>
      </w:tr>
      <w:tr w:rsidR="0049126A" w:rsidRPr="0049126A" w14:paraId="4FE64A24" w14:textId="77777777" w:rsidTr="003913BC">
        <w:tc>
          <w:tcPr>
            <w:tcW w:w="366" w:type="pct"/>
          </w:tcPr>
          <w:p w14:paraId="7C4D7F2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Steatoză</w:t>
            </w:r>
          </w:p>
        </w:tc>
        <w:tc>
          <w:tcPr>
            <w:tcW w:w="468" w:type="pct"/>
          </w:tcPr>
          <w:p w14:paraId="44137B2B"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3A68FA76"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685D528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Hepatomegalie, abdomen protruzionat</w:t>
            </w:r>
          </w:p>
        </w:tc>
        <w:tc>
          <w:tcPr>
            <w:tcW w:w="416" w:type="pct"/>
          </w:tcPr>
          <w:p w14:paraId="5F34518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Hepatomegalie, citoliză hepatică, steatoză hepatică</w:t>
            </w:r>
          </w:p>
        </w:tc>
        <w:tc>
          <w:tcPr>
            <w:tcW w:w="417" w:type="pct"/>
          </w:tcPr>
          <w:p w14:paraId="75284FE7"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268E4309"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3AAE7C53"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52E43DA4"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191D8CFB"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1DB628D7"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704987A9"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23CDFF66" w14:textId="77777777" w:rsidTr="003913BC">
        <w:tc>
          <w:tcPr>
            <w:tcW w:w="366" w:type="pct"/>
          </w:tcPr>
          <w:p w14:paraId="50B728B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Leptină</w:t>
            </w:r>
          </w:p>
        </w:tc>
        <w:tc>
          <w:tcPr>
            <w:tcW w:w="468" w:type="pct"/>
          </w:tcPr>
          <w:p w14:paraId="1DA19B98" w14:textId="77777777" w:rsidR="003913BC" w:rsidRPr="0049126A" w:rsidRDefault="003913BC" w:rsidP="00FF4B29">
            <w:pPr>
              <w:jc w:val="both"/>
              <w:rPr>
                <w:rFonts w:ascii="Arial Narrow" w:hAnsi="Arial Narrow" w:cs="Times New Roman"/>
                <w:sz w:val="16"/>
                <w:szCs w:val="16"/>
                <w:lang w:val="pt-BR"/>
              </w:rPr>
            </w:pPr>
            <w:r w:rsidRPr="0049126A">
              <w:rPr>
                <w:rStyle w:val="u-font-serif"/>
                <w:rFonts w:ascii="Arial Narrow" w:hAnsi="Arial Narrow" w:cs="Times New Roman"/>
                <w:sz w:val="16"/>
                <w:szCs w:val="16"/>
              </w:rPr>
              <w:t xml:space="preserve">↔ sau ușor </w:t>
            </w:r>
            <w:r w:rsidRPr="0049126A">
              <w:rPr>
                <w:rFonts w:ascii="Arial Narrow" w:hAnsi="Arial Narrow" w:cs="Times New Roman"/>
                <w:b/>
                <w:bCs/>
                <w:sz w:val="16"/>
                <w:szCs w:val="16"/>
              </w:rPr>
              <w:t>↓</w:t>
            </w:r>
          </w:p>
        </w:tc>
        <w:tc>
          <w:tcPr>
            <w:tcW w:w="416" w:type="pct"/>
          </w:tcPr>
          <w:p w14:paraId="5BDAE903"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782A0D46"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004C39EF" w14:textId="77777777" w:rsidR="003913BC" w:rsidRPr="0049126A" w:rsidRDefault="003913BC" w:rsidP="00FF4B29">
            <w:pPr>
              <w:jc w:val="both"/>
              <w:rPr>
                <w:rFonts w:ascii="Arial Narrow" w:hAnsi="Arial Narrow" w:cs="Times New Roman"/>
                <w:b/>
                <w:bCs/>
                <w:sz w:val="16"/>
                <w:szCs w:val="16"/>
              </w:rPr>
            </w:pPr>
          </w:p>
        </w:tc>
        <w:tc>
          <w:tcPr>
            <w:tcW w:w="417" w:type="pct"/>
          </w:tcPr>
          <w:p w14:paraId="075730E9"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36FC1F22"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01431DF5"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06E0F68E"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7F5F620D"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09418878"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321D2981" w14:textId="77777777" w:rsidR="003913BC" w:rsidRPr="0049126A" w:rsidRDefault="003913BC" w:rsidP="00FF4B29">
            <w:pPr>
              <w:jc w:val="both"/>
              <w:rPr>
                <w:rFonts w:ascii="Arial Narrow" w:hAnsi="Arial Narrow" w:cs="Times New Roman"/>
                <w:sz w:val="16"/>
                <w:szCs w:val="16"/>
              </w:rPr>
            </w:pPr>
          </w:p>
        </w:tc>
      </w:tr>
      <w:tr w:rsidR="0049126A" w:rsidRPr="0049126A" w14:paraId="00A0A3B5" w14:textId="77777777" w:rsidTr="003913BC">
        <w:tc>
          <w:tcPr>
            <w:tcW w:w="366" w:type="pct"/>
          </w:tcPr>
          <w:p w14:paraId="30CBB51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 cardiovasculară</w:t>
            </w:r>
          </w:p>
        </w:tc>
        <w:tc>
          <w:tcPr>
            <w:tcW w:w="468" w:type="pct"/>
          </w:tcPr>
          <w:p w14:paraId="11EFD0D6"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382B572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Ateroscleroză severă. Afectare ischemică cardiacă sau AVC precoce, la vârste de 6-20 ani (medie 14,5 ani)</w:t>
            </w:r>
          </w:p>
        </w:tc>
        <w:tc>
          <w:tcPr>
            <w:tcW w:w="417" w:type="pct"/>
          </w:tcPr>
          <w:p w14:paraId="71BBD3A7"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4DB38F00"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7C81CB0A"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1A5728E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Insuficiență tricuspidiană moderat-severă, hipertensiune pulmonară, fără semne de ischemie cardiacă</w:t>
            </w:r>
          </w:p>
        </w:tc>
        <w:tc>
          <w:tcPr>
            <w:tcW w:w="417" w:type="pct"/>
          </w:tcPr>
          <w:p w14:paraId="1CC82F75"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46D16EAD"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6B8FAE26"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0218D6B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 cardiacă rară</w:t>
            </w:r>
          </w:p>
        </w:tc>
        <w:tc>
          <w:tcPr>
            <w:tcW w:w="417" w:type="pct"/>
          </w:tcPr>
          <w:p w14:paraId="0DF1644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Fără ateroscleroză</w:t>
            </w:r>
          </w:p>
        </w:tc>
      </w:tr>
      <w:tr w:rsidR="0049126A" w:rsidRPr="0049126A" w14:paraId="52B36332" w14:textId="77777777" w:rsidTr="003913BC">
        <w:tc>
          <w:tcPr>
            <w:tcW w:w="366" w:type="pct"/>
          </w:tcPr>
          <w:p w14:paraId="2DB50BC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Afectarea osteoarticulară, musculară, dermatologică</w:t>
            </w:r>
          </w:p>
        </w:tc>
        <w:tc>
          <w:tcPr>
            <w:tcW w:w="468" w:type="pct"/>
          </w:tcPr>
          <w:p w14:paraId="1592A86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Hipoplazie de calviculă acroosteoliză,contractură a articulațiilor, , dermatopatie restrictivă cu atrofie cutanată pigmentări cutanate</w:t>
            </w:r>
          </w:p>
        </w:tc>
        <w:tc>
          <w:tcPr>
            <w:tcW w:w="416" w:type="pct"/>
          </w:tcPr>
          <w:p w14:paraId="3652DF6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Alopecie</w:t>
            </w:r>
          </w:p>
          <w:p w14:paraId="24515729"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Întârzierea erupției dentare, l pliuri tegumentare, distrofie unghială, coxa valga, contracture articulare progresivedinți înghesuiți, cu erupție întârziată</w:t>
            </w:r>
          </w:p>
        </w:tc>
        <w:tc>
          <w:tcPr>
            <w:tcW w:w="417" w:type="pct"/>
          </w:tcPr>
          <w:p w14:paraId="5F898EDE"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Degete efilate, tendință la flexie interfalangiană și la flexie a coatelor</w:t>
            </w:r>
          </w:p>
        </w:tc>
        <w:tc>
          <w:tcPr>
            <w:tcW w:w="416" w:type="pct"/>
          </w:tcPr>
          <w:p w14:paraId="3B3AC5B9"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58C01356"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5BB2AED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acroosteoliză absența claviculelor, osteoporoză severă, scolioză severă, contracturi articulare, distrogfie unghială, tegumente subțiri, uscate, cu pete maculare brune</w:t>
            </w:r>
          </w:p>
          <w:p w14:paraId="70EB78AD"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1481729F"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hipoplazie unghială și de falange distale</w:t>
            </w:r>
          </w:p>
        </w:tc>
        <w:tc>
          <w:tcPr>
            <w:tcW w:w="416" w:type="pct"/>
          </w:tcPr>
          <w:p w14:paraId="4516F54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vârstă osoasă întârziată,  cifoscolioză toracică, contracturi articulare  </w:t>
            </w:r>
          </w:p>
          <w:p w14:paraId="1CCCBBDA"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754F54DC"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7F7784BD"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272C3A9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acroosteoliză, contractură progresivă a articulațiilor cifoscolioză</w:t>
            </w:r>
          </w:p>
          <w:p w14:paraId="66CFF33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Atrofie musculară,dar fără deficit muscular</w:t>
            </w:r>
          </w:p>
        </w:tc>
      </w:tr>
      <w:tr w:rsidR="0049126A" w:rsidRPr="0049126A" w14:paraId="4A60984F" w14:textId="77777777" w:rsidTr="003913BC">
        <w:tc>
          <w:tcPr>
            <w:tcW w:w="366" w:type="pct"/>
          </w:tcPr>
          <w:p w14:paraId="46F14E8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 neurologică/intelectuală</w:t>
            </w:r>
          </w:p>
        </w:tc>
        <w:tc>
          <w:tcPr>
            <w:tcW w:w="468" w:type="pct"/>
          </w:tcPr>
          <w:p w14:paraId="325F6BD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Inteligență normală</w:t>
            </w:r>
          </w:p>
        </w:tc>
        <w:tc>
          <w:tcPr>
            <w:tcW w:w="416" w:type="pct"/>
          </w:tcPr>
          <w:p w14:paraId="11B7D65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Dezvoltare mentală și motorie normale</w:t>
            </w:r>
          </w:p>
          <w:p w14:paraId="54A5AD6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Afectarea auzului de tip neurosenzorial</w:t>
            </w:r>
          </w:p>
        </w:tc>
        <w:tc>
          <w:tcPr>
            <w:tcW w:w="417" w:type="pct"/>
          </w:tcPr>
          <w:p w14:paraId="72FA294C"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020F437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Dezvoltare intelectuală normală</w:t>
            </w:r>
          </w:p>
          <w:p w14:paraId="1E9D0E6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Surditate neurosenzorială</w:t>
            </w:r>
          </w:p>
        </w:tc>
        <w:tc>
          <w:tcPr>
            <w:tcW w:w="417" w:type="pct"/>
          </w:tcPr>
          <w:p w14:paraId="0A3EE9F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dizabilitate intelectuală, hipertonie cu hiperreactivitate</w:t>
            </w:r>
          </w:p>
        </w:tc>
        <w:tc>
          <w:tcPr>
            <w:tcW w:w="416" w:type="pct"/>
          </w:tcPr>
          <w:p w14:paraId="2AA2004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Dezvoltare cognitivă normală</w:t>
            </w:r>
          </w:p>
        </w:tc>
        <w:tc>
          <w:tcPr>
            <w:tcW w:w="417" w:type="pct"/>
          </w:tcPr>
          <w:p w14:paraId="23F12D9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Întârziere de achiziție limbaj, întârziere de achiziții motorii prin hipotonie musculară</w:t>
            </w:r>
          </w:p>
          <w:p w14:paraId="766F8BA4"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tulburări de conducere auz</w:t>
            </w:r>
          </w:p>
        </w:tc>
        <w:tc>
          <w:tcPr>
            <w:tcW w:w="416" w:type="pct"/>
          </w:tcPr>
          <w:p w14:paraId="304D07D8"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1632A74A"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surditate neurosenzorială, tulburări de alimentație și de dezvoltare NPI severe,</w:t>
            </w:r>
          </w:p>
        </w:tc>
        <w:tc>
          <w:tcPr>
            <w:tcW w:w="416" w:type="pct"/>
          </w:tcPr>
          <w:p w14:paraId="30486FB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b/>
                <w:bCs/>
                <w:sz w:val="16"/>
                <w:szCs w:val="16"/>
                <w:lang w:val="pt-BR"/>
              </w:rPr>
              <w:t>Dezvoltare cognitivă normală</w:t>
            </w:r>
          </w:p>
        </w:tc>
        <w:tc>
          <w:tcPr>
            <w:tcW w:w="417" w:type="pct"/>
          </w:tcPr>
          <w:p w14:paraId="65F385CB"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5959E269" w14:textId="77777777" w:rsidTr="003913BC">
        <w:tc>
          <w:tcPr>
            <w:tcW w:w="366" w:type="pct"/>
          </w:tcPr>
          <w:p w14:paraId="76BFE73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Alte manifestări</w:t>
            </w:r>
          </w:p>
        </w:tc>
        <w:tc>
          <w:tcPr>
            <w:tcW w:w="468" w:type="pct"/>
          </w:tcPr>
          <w:p w14:paraId="3B150A2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Tipul B asociată cu glomeruloscleroză focală segmentară.</w:t>
            </w:r>
          </w:p>
        </w:tc>
        <w:tc>
          <w:tcPr>
            <w:tcW w:w="416" w:type="pct"/>
          </w:tcPr>
          <w:p w14:paraId="31329132"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7BF8F2A4"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188188B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NU par să asocieze predispoziție crescută pentru neoplazii</w:t>
            </w:r>
          </w:p>
          <w:p w14:paraId="3C66E08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lastRenderedPageBreak/>
              <w:t>Insuficiennță testiculară primară</w:t>
            </w:r>
          </w:p>
        </w:tc>
        <w:tc>
          <w:tcPr>
            <w:tcW w:w="417" w:type="pct"/>
          </w:tcPr>
          <w:p w14:paraId="51C03AD0"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569D1800"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63AE9B0E" w14:textId="77777777" w:rsidR="003913BC" w:rsidRPr="0049126A" w:rsidRDefault="003913BC" w:rsidP="00FF4B29">
            <w:pPr>
              <w:jc w:val="both"/>
              <w:rPr>
                <w:rFonts w:ascii="Arial Narrow" w:hAnsi="Arial Narrow" w:cs="Times New Roman"/>
                <w:b/>
                <w:bCs/>
                <w:sz w:val="16"/>
                <w:szCs w:val="16"/>
                <w:lang w:val="pt-BR"/>
              </w:rPr>
            </w:pPr>
          </w:p>
        </w:tc>
        <w:tc>
          <w:tcPr>
            <w:tcW w:w="416" w:type="pct"/>
          </w:tcPr>
          <w:p w14:paraId="3C7F46D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Carcinom hepatocelular până la finalizarea pubertății</w:t>
            </w:r>
          </w:p>
        </w:tc>
        <w:tc>
          <w:tcPr>
            <w:tcW w:w="417" w:type="pct"/>
          </w:tcPr>
          <w:p w14:paraId="79CEAA3B"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086595BE"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3C2E5AB0"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1831B2EC" w14:textId="77777777" w:rsidTr="003913BC">
        <w:tc>
          <w:tcPr>
            <w:tcW w:w="366" w:type="pct"/>
          </w:tcPr>
          <w:p w14:paraId="684FB32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Prognostic</w:t>
            </w:r>
          </w:p>
        </w:tc>
        <w:tc>
          <w:tcPr>
            <w:tcW w:w="468" w:type="pct"/>
          </w:tcPr>
          <w:p w14:paraId="5497E2C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Supraviețuire necunoscută, cazuri cu deces la vârstă tânără</w:t>
            </w:r>
          </w:p>
        </w:tc>
        <w:tc>
          <w:tcPr>
            <w:tcW w:w="416" w:type="pct"/>
          </w:tcPr>
          <w:p w14:paraId="61E42524"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0871B40B"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0D14B4E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Speranța de viață peste medie</w:t>
            </w:r>
          </w:p>
        </w:tc>
        <w:tc>
          <w:tcPr>
            <w:tcW w:w="417" w:type="pct"/>
          </w:tcPr>
          <w:p w14:paraId="6E6DEB5F"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09EB7E59" w14:textId="77777777" w:rsidR="003913BC" w:rsidRPr="0049126A" w:rsidRDefault="003913BC" w:rsidP="00FF4B29">
            <w:pPr>
              <w:jc w:val="both"/>
              <w:rPr>
                <w:rFonts w:ascii="Arial Narrow" w:hAnsi="Arial Narrow" w:cs="Times New Roman"/>
                <w:sz w:val="16"/>
                <w:szCs w:val="16"/>
                <w:lang w:val="pt-BR"/>
              </w:rPr>
            </w:pPr>
          </w:p>
        </w:tc>
        <w:tc>
          <w:tcPr>
            <w:tcW w:w="417" w:type="pct"/>
          </w:tcPr>
          <w:p w14:paraId="2A5ABFED"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Deces sub VC 8 luni,  supraviețuire maximă = 15 ani</w:t>
            </w:r>
          </w:p>
        </w:tc>
        <w:tc>
          <w:tcPr>
            <w:tcW w:w="416" w:type="pct"/>
          </w:tcPr>
          <w:p w14:paraId="7681A549" w14:textId="77777777" w:rsidR="003913BC" w:rsidRPr="0049126A" w:rsidRDefault="003913BC" w:rsidP="00FF4B29">
            <w:pPr>
              <w:jc w:val="both"/>
              <w:rPr>
                <w:rFonts w:ascii="Arial Narrow" w:hAnsi="Arial Narrow" w:cs="Times New Roman"/>
                <w:b/>
                <w:bCs/>
                <w:sz w:val="16"/>
                <w:szCs w:val="16"/>
                <w:lang w:val="pt-BR"/>
              </w:rPr>
            </w:pPr>
          </w:p>
        </w:tc>
        <w:tc>
          <w:tcPr>
            <w:tcW w:w="417" w:type="pct"/>
          </w:tcPr>
          <w:p w14:paraId="66AED89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deces până la VC 12 ani</w:t>
            </w:r>
          </w:p>
          <w:p w14:paraId="5CB797BB" w14:textId="77777777" w:rsidR="003913BC" w:rsidRPr="0049126A" w:rsidRDefault="003913BC" w:rsidP="00FF4B29">
            <w:pPr>
              <w:jc w:val="both"/>
              <w:rPr>
                <w:rFonts w:ascii="Arial Narrow" w:hAnsi="Arial Narrow" w:cs="Times New Roman"/>
                <w:sz w:val="16"/>
                <w:szCs w:val="16"/>
                <w:lang w:val="pt-BR"/>
              </w:rPr>
            </w:pPr>
          </w:p>
        </w:tc>
        <w:tc>
          <w:tcPr>
            <w:tcW w:w="416" w:type="pct"/>
          </w:tcPr>
          <w:p w14:paraId="0A44C55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Prognostic vital variabil, de la câteva luni la viața adultă, medie 6 ani</w:t>
            </w:r>
          </w:p>
        </w:tc>
        <w:tc>
          <w:tcPr>
            <w:tcW w:w="417" w:type="pct"/>
          </w:tcPr>
          <w:p w14:paraId="0B535D5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Supraviețuire incomplet cunoscută, posibil deces în decada 2 de viață</w:t>
            </w:r>
          </w:p>
        </w:tc>
      </w:tr>
    </w:tbl>
    <w:p w14:paraId="45A9BE0F" w14:textId="77777777" w:rsidR="003913BC" w:rsidRPr="0049126A" w:rsidRDefault="003913BC" w:rsidP="003913BC">
      <w:pPr>
        <w:jc w:val="both"/>
        <w:rPr>
          <w:rFonts w:ascii="Times New Roman" w:hAnsi="Times New Roman" w:cs="Times New Roman"/>
          <w:i/>
          <w:iCs/>
          <w:sz w:val="20"/>
          <w:szCs w:val="20"/>
        </w:rPr>
      </w:pPr>
      <w:r w:rsidRPr="0049126A">
        <w:rPr>
          <w:rFonts w:ascii="Times New Roman" w:hAnsi="Times New Roman" w:cs="Times New Roman"/>
          <w:i/>
          <w:iCs/>
          <w:sz w:val="20"/>
          <w:szCs w:val="20"/>
        </w:rPr>
        <w:t>VC = vârsta cronologică</w:t>
      </w:r>
    </w:p>
    <w:p w14:paraId="710D201D" w14:textId="77777777" w:rsidR="003913BC" w:rsidRPr="0049126A" w:rsidRDefault="003913BC" w:rsidP="003913BC">
      <w:pPr>
        <w:jc w:val="both"/>
        <w:rPr>
          <w:rFonts w:ascii="Times New Roman" w:hAnsi="Times New Roman" w:cs="Times New Roman"/>
          <w:sz w:val="20"/>
          <w:szCs w:val="20"/>
          <w:lang w:val="pt-BR"/>
        </w:rPr>
      </w:pPr>
    </w:p>
    <w:p w14:paraId="1F95FB5D" w14:textId="654DA824" w:rsidR="003913BC" w:rsidRPr="0049126A" w:rsidRDefault="003913BC" w:rsidP="003913BC">
      <w:pPr>
        <w:jc w:val="both"/>
        <w:rPr>
          <w:rFonts w:ascii="Times New Roman" w:hAnsi="Times New Roman" w:cs="Times New Roman"/>
          <w:b/>
          <w:sz w:val="24"/>
          <w:szCs w:val="24"/>
          <w:lang w:val="pt-BR"/>
        </w:rPr>
      </w:pPr>
      <w:r w:rsidRPr="0049126A">
        <w:rPr>
          <w:rFonts w:ascii="Times New Roman" w:hAnsi="Times New Roman" w:cs="Times New Roman"/>
          <w:b/>
          <w:sz w:val="24"/>
          <w:szCs w:val="24"/>
          <w:lang w:val="pt-BR"/>
        </w:rPr>
        <w:t xml:space="preserve">TABEL 2 - </w:t>
      </w:r>
      <w:r w:rsidRPr="0049126A">
        <w:rPr>
          <w:rFonts w:ascii="Times New Roman" w:hAnsi="Times New Roman" w:cs="Times New Roman"/>
          <w:b/>
          <w:sz w:val="24"/>
          <w:szCs w:val="24"/>
        </w:rPr>
        <w:t>SDR PROGEROIDE CU LIPODISTROFII PARȚIALE</w:t>
      </w:r>
    </w:p>
    <w:tbl>
      <w:tblPr>
        <w:tblStyle w:val="TableGrid"/>
        <w:tblW w:w="5000" w:type="pct"/>
        <w:tblLook w:val="04A0" w:firstRow="1" w:lastRow="0" w:firstColumn="1" w:lastColumn="0" w:noHBand="0" w:noVBand="1"/>
      </w:tblPr>
      <w:tblGrid>
        <w:gridCol w:w="1328"/>
        <w:gridCol w:w="1140"/>
        <w:gridCol w:w="1123"/>
        <w:gridCol w:w="857"/>
        <w:gridCol w:w="952"/>
        <w:gridCol w:w="916"/>
        <w:gridCol w:w="916"/>
        <w:gridCol w:w="1311"/>
        <w:gridCol w:w="1087"/>
      </w:tblGrid>
      <w:tr w:rsidR="0049126A" w:rsidRPr="0049126A" w14:paraId="1B367B86" w14:textId="77777777" w:rsidTr="00FF4B29">
        <w:trPr>
          <w:trHeight w:val="622"/>
        </w:trPr>
        <w:tc>
          <w:tcPr>
            <w:tcW w:w="645" w:type="pct"/>
          </w:tcPr>
          <w:p w14:paraId="57D8D7F4"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Tip</w:t>
            </w:r>
          </w:p>
        </w:tc>
        <w:tc>
          <w:tcPr>
            <w:tcW w:w="573" w:type="pct"/>
          </w:tcPr>
          <w:p w14:paraId="34E19C2F"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SHORT syndrome</w:t>
            </w:r>
          </w:p>
        </w:tc>
        <w:tc>
          <w:tcPr>
            <w:tcW w:w="573" w:type="pct"/>
          </w:tcPr>
          <w:p w14:paraId="4E318A2B"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Marfan syndrome with neonatal progeroid syndrome–like lipodystrophy</w:t>
            </w:r>
          </w:p>
        </w:tc>
        <w:tc>
          <w:tcPr>
            <w:tcW w:w="423" w:type="pct"/>
          </w:tcPr>
          <w:p w14:paraId="5D8E7E51"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Lipodistroife neonatală asociată cu mutație CAV1</w:t>
            </w:r>
          </w:p>
        </w:tc>
        <w:tc>
          <w:tcPr>
            <w:tcW w:w="563" w:type="pct"/>
          </w:tcPr>
          <w:p w14:paraId="3E90DC7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 xml:space="preserve">Werner syndrome </w:t>
            </w:r>
          </w:p>
        </w:tc>
        <w:tc>
          <w:tcPr>
            <w:tcW w:w="420" w:type="pct"/>
          </w:tcPr>
          <w:p w14:paraId="5665ADEC"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rPr>
              <w:t xml:space="preserve">Sdr Progeroide cu Cutix laxa </w:t>
            </w:r>
          </w:p>
        </w:tc>
        <w:tc>
          <w:tcPr>
            <w:tcW w:w="573" w:type="pct"/>
          </w:tcPr>
          <w:p w14:paraId="15CE0C88"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i/>
                <w:iCs/>
                <w:sz w:val="16"/>
                <w:szCs w:val="16"/>
              </w:rPr>
              <w:t xml:space="preserve">PCYT1A </w:t>
            </w:r>
            <w:r w:rsidRPr="0049126A">
              <w:rPr>
                <w:rFonts w:ascii="Arial Narrow" w:hAnsi="Arial Narrow" w:cs="Times New Roman"/>
                <w:b/>
                <w:bCs/>
                <w:sz w:val="16"/>
                <w:szCs w:val="16"/>
              </w:rPr>
              <w:t>lipodystrophy (CGL tip 5)</w:t>
            </w:r>
          </w:p>
        </w:tc>
        <w:tc>
          <w:tcPr>
            <w:tcW w:w="678" w:type="pct"/>
          </w:tcPr>
          <w:p w14:paraId="1CC3700F" w14:textId="77777777" w:rsidR="003913BC" w:rsidRPr="0049126A" w:rsidRDefault="003913BC" w:rsidP="00FF4B29">
            <w:pPr>
              <w:autoSpaceDE w:val="0"/>
              <w:autoSpaceDN w:val="0"/>
              <w:adjustRightInd w:val="0"/>
              <w:rPr>
                <w:rFonts w:ascii="Arial Narrow" w:hAnsi="Arial Narrow" w:cs="Times New Roman"/>
                <w:b/>
                <w:bCs/>
                <w:sz w:val="16"/>
                <w:szCs w:val="16"/>
                <w:lang w:val="pt-BR"/>
              </w:rPr>
            </w:pPr>
            <w:r w:rsidRPr="0049126A">
              <w:rPr>
                <w:rFonts w:ascii="Arial Narrow" w:hAnsi="Arial Narrow" w:cs="Times New Roman"/>
                <w:b/>
                <w:bCs/>
                <w:sz w:val="16"/>
                <w:szCs w:val="16"/>
                <w:lang w:val="pt-BR"/>
              </w:rPr>
              <w:t>Bloom syndrome</w:t>
            </w:r>
          </w:p>
        </w:tc>
        <w:tc>
          <w:tcPr>
            <w:tcW w:w="552" w:type="pct"/>
          </w:tcPr>
          <w:p w14:paraId="10AEC133" w14:textId="77777777" w:rsidR="003913BC" w:rsidRPr="0049126A" w:rsidRDefault="003913BC" w:rsidP="00FF4B29">
            <w:pPr>
              <w:autoSpaceDE w:val="0"/>
              <w:autoSpaceDN w:val="0"/>
              <w:adjustRightInd w:val="0"/>
              <w:rPr>
                <w:rFonts w:ascii="Arial Narrow" w:hAnsi="Arial Narrow" w:cs="Times New Roman"/>
                <w:b/>
                <w:bCs/>
                <w:sz w:val="16"/>
                <w:szCs w:val="16"/>
              </w:rPr>
            </w:pPr>
            <w:r w:rsidRPr="0049126A">
              <w:rPr>
                <w:rFonts w:ascii="Arial Narrow" w:hAnsi="Arial Narrow" w:cs="Times New Roman"/>
                <w:b/>
                <w:bCs/>
                <w:sz w:val="16"/>
                <w:szCs w:val="16"/>
              </w:rPr>
              <w:t>Warburg</w:t>
            </w:r>
            <w:r w:rsidRPr="0049126A">
              <w:rPr>
                <w:rFonts w:ascii="Cambria Math" w:hAnsi="Cambria Math" w:cs="Cambria Math"/>
                <w:b/>
                <w:bCs/>
                <w:sz w:val="16"/>
                <w:szCs w:val="16"/>
              </w:rPr>
              <w:t>‑</w:t>
            </w:r>
            <w:r w:rsidRPr="0049126A">
              <w:rPr>
                <w:rFonts w:ascii="Arial Narrow" w:hAnsi="Arial Narrow" w:cs="Times New Roman"/>
                <w:b/>
                <w:bCs/>
                <w:sz w:val="16"/>
                <w:szCs w:val="16"/>
              </w:rPr>
              <w:t>Cinotti syndrome</w:t>
            </w:r>
          </w:p>
        </w:tc>
      </w:tr>
      <w:tr w:rsidR="0049126A" w:rsidRPr="0049126A" w14:paraId="70C833F2" w14:textId="77777777" w:rsidTr="00FF4B29">
        <w:tc>
          <w:tcPr>
            <w:tcW w:w="645" w:type="pct"/>
          </w:tcPr>
          <w:p w14:paraId="142D8DC9"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sz w:val="16"/>
                <w:szCs w:val="16"/>
                <w:lang w:val="pt-BR"/>
              </w:rPr>
              <w:t>Susbtrat genetic</w:t>
            </w:r>
          </w:p>
        </w:tc>
        <w:tc>
          <w:tcPr>
            <w:tcW w:w="573" w:type="pct"/>
          </w:tcPr>
          <w:p w14:paraId="32A52426"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rPr>
              <w:t>PIK3R1</w:t>
            </w:r>
            <w:r w:rsidRPr="0049126A">
              <w:rPr>
                <w:rFonts w:ascii="Arial Narrow" w:hAnsi="Arial Narrow" w:cs="Times New Roman"/>
                <w:sz w:val="16"/>
                <w:szCs w:val="16"/>
              </w:rPr>
              <w:t>, AD, OMIM #269880</w:t>
            </w:r>
          </w:p>
        </w:tc>
        <w:tc>
          <w:tcPr>
            <w:tcW w:w="573" w:type="pct"/>
          </w:tcPr>
          <w:p w14:paraId="04688E4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i/>
                <w:iCs/>
                <w:sz w:val="16"/>
                <w:szCs w:val="16"/>
                <w:lang w:val="pt-BR"/>
              </w:rPr>
              <w:t>FBN1</w:t>
            </w:r>
            <w:r w:rsidRPr="0049126A">
              <w:rPr>
                <w:rFonts w:ascii="Arial Narrow" w:hAnsi="Arial Narrow" w:cs="Times New Roman"/>
                <w:sz w:val="16"/>
                <w:szCs w:val="16"/>
                <w:lang w:val="pt-BR"/>
              </w:rPr>
              <w:t>, AD, OMIM #616914</w:t>
            </w:r>
          </w:p>
          <w:p w14:paraId="3A266C9E"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fibrilina</w:t>
            </w:r>
          </w:p>
        </w:tc>
        <w:tc>
          <w:tcPr>
            <w:tcW w:w="423" w:type="pct"/>
          </w:tcPr>
          <w:p w14:paraId="6F21BFC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CAV1, AD, OMIM #601047</w:t>
            </w:r>
          </w:p>
        </w:tc>
        <w:tc>
          <w:tcPr>
            <w:tcW w:w="563" w:type="pct"/>
          </w:tcPr>
          <w:p w14:paraId="7CC792C7"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i/>
                <w:iCs/>
                <w:sz w:val="16"/>
                <w:szCs w:val="16"/>
              </w:rPr>
              <w:t>WRN</w:t>
            </w:r>
            <w:r w:rsidRPr="0049126A">
              <w:rPr>
                <w:rFonts w:ascii="Arial Narrow" w:hAnsi="Arial Narrow" w:cs="Times New Roman"/>
                <w:sz w:val="16"/>
                <w:szCs w:val="16"/>
              </w:rPr>
              <w:t>/</w:t>
            </w:r>
            <w:r w:rsidRPr="0049126A">
              <w:rPr>
                <w:rFonts w:ascii="Arial Narrow" w:hAnsi="Arial Narrow" w:cs="Times New Roman"/>
                <w:i/>
                <w:iCs/>
                <w:sz w:val="16"/>
                <w:szCs w:val="16"/>
              </w:rPr>
              <w:t>RECQL2</w:t>
            </w:r>
            <w:r w:rsidRPr="0049126A">
              <w:rPr>
                <w:rFonts w:ascii="Arial Narrow" w:hAnsi="Arial Narrow" w:cs="Times New Roman"/>
                <w:sz w:val="16"/>
                <w:szCs w:val="16"/>
              </w:rPr>
              <w:t>, AR, OMIM #277700</w:t>
            </w:r>
          </w:p>
        </w:tc>
        <w:tc>
          <w:tcPr>
            <w:tcW w:w="420" w:type="pct"/>
          </w:tcPr>
          <w:p w14:paraId="0F56D9CD"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AD, ADCL3 OMIM#616603</w:t>
            </w:r>
          </w:p>
          <w:p w14:paraId="11EE4A8B" w14:textId="77777777" w:rsidR="003913BC" w:rsidRPr="0049126A" w:rsidRDefault="003913BC" w:rsidP="00FF4B29">
            <w:pPr>
              <w:jc w:val="both"/>
              <w:rPr>
                <w:rFonts w:ascii="Arial Narrow" w:hAnsi="Arial Narrow" w:cs="Times New Roman"/>
                <w:i/>
                <w:iCs/>
                <w:sz w:val="16"/>
                <w:szCs w:val="16"/>
                <w:lang w:val="pt-BR"/>
              </w:rPr>
            </w:pPr>
            <w:r w:rsidRPr="0049126A">
              <w:rPr>
                <w:rFonts w:ascii="Arial Narrow" w:hAnsi="Arial Narrow" w:cs="Times New Roman"/>
                <w:i/>
                <w:iCs/>
                <w:sz w:val="16"/>
                <w:szCs w:val="16"/>
                <w:lang w:val="pt-BR"/>
              </w:rPr>
              <w:t>AR tip IIB (ARCL2B)</w:t>
            </w:r>
          </w:p>
          <w:p w14:paraId="7DAE6B64"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i/>
                <w:iCs/>
                <w:sz w:val="16"/>
                <w:szCs w:val="16"/>
                <w:lang w:val="pt-BR"/>
              </w:rPr>
              <w:t>OMIM#612940</w:t>
            </w:r>
          </w:p>
        </w:tc>
        <w:tc>
          <w:tcPr>
            <w:tcW w:w="573" w:type="pct"/>
          </w:tcPr>
          <w:p w14:paraId="275AE4AC"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AR</w:t>
            </w:r>
          </w:p>
          <w:p w14:paraId="65037260"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sz w:val="16"/>
                <w:szCs w:val="16"/>
              </w:rPr>
              <w:t>OMIM #123695</w:t>
            </w:r>
          </w:p>
        </w:tc>
        <w:tc>
          <w:tcPr>
            <w:tcW w:w="678" w:type="pct"/>
          </w:tcPr>
          <w:p w14:paraId="5047A930"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i/>
                <w:iCs/>
                <w:sz w:val="16"/>
                <w:szCs w:val="16"/>
                <w:lang w:val="pt-BR"/>
              </w:rPr>
              <w:t>RECQL3</w:t>
            </w:r>
            <w:r w:rsidRPr="0049126A">
              <w:rPr>
                <w:rFonts w:ascii="Arial Narrow" w:hAnsi="Arial Narrow" w:cs="Times New Roman"/>
                <w:sz w:val="16"/>
                <w:szCs w:val="16"/>
                <w:lang w:val="pt-BR"/>
              </w:rPr>
              <w:t>, AR, OMIM #210900)</w:t>
            </w:r>
          </w:p>
        </w:tc>
        <w:tc>
          <w:tcPr>
            <w:tcW w:w="552" w:type="pct"/>
          </w:tcPr>
          <w:p w14:paraId="683267E2"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DDR2, AD, OMIM#618175</w:t>
            </w:r>
          </w:p>
        </w:tc>
      </w:tr>
      <w:tr w:rsidR="0049126A" w:rsidRPr="0049126A" w14:paraId="43EFCDB6" w14:textId="77777777" w:rsidTr="00FF4B29">
        <w:tc>
          <w:tcPr>
            <w:tcW w:w="645" w:type="pct"/>
          </w:tcPr>
          <w:p w14:paraId="4B7DCBD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Vârsta de debut</w:t>
            </w:r>
          </w:p>
        </w:tc>
        <w:tc>
          <w:tcPr>
            <w:tcW w:w="573" w:type="pct"/>
          </w:tcPr>
          <w:p w14:paraId="3402CE5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Retard de creștere intrauterină</w:t>
            </w:r>
          </w:p>
          <w:p w14:paraId="6AB33034" w14:textId="77777777" w:rsidR="003913BC" w:rsidRPr="0049126A" w:rsidRDefault="003913BC" w:rsidP="00FF4B29">
            <w:pPr>
              <w:jc w:val="both"/>
              <w:rPr>
                <w:rFonts w:ascii="Arial Narrow" w:hAnsi="Arial Narrow" w:cs="Times New Roman"/>
                <w:sz w:val="16"/>
                <w:szCs w:val="16"/>
              </w:rPr>
            </w:pPr>
          </w:p>
        </w:tc>
        <w:tc>
          <w:tcPr>
            <w:tcW w:w="573" w:type="pct"/>
          </w:tcPr>
          <w:p w14:paraId="774D2F1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Debut la naștere</w:t>
            </w:r>
          </w:p>
          <w:p w14:paraId="6714EE15" w14:textId="77777777" w:rsidR="003913BC" w:rsidRPr="0049126A" w:rsidRDefault="003913BC" w:rsidP="00FF4B29">
            <w:pPr>
              <w:jc w:val="both"/>
              <w:rPr>
                <w:rFonts w:ascii="Arial Narrow" w:hAnsi="Arial Narrow" w:cs="Times New Roman"/>
                <w:i/>
                <w:iCs/>
                <w:sz w:val="16"/>
                <w:szCs w:val="16"/>
                <w:lang w:val="pt-BR"/>
              </w:rPr>
            </w:pPr>
          </w:p>
        </w:tc>
        <w:tc>
          <w:tcPr>
            <w:tcW w:w="423" w:type="pct"/>
          </w:tcPr>
          <w:p w14:paraId="28FE7C5D"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Debut de la naștere</w:t>
            </w:r>
          </w:p>
        </w:tc>
        <w:tc>
          <w:tcPr>
            <w:tcW w:w="563" w:type="pct"/>
          </w:tcPr>
          <w:p w14:paraId="45F5C25E" w14:textId="77777777" w:rsidR="003913BC" w:rsidRPr="0049126A" w:rsidRDefault="003913BC" w:rsidP="00FF4B29">
            <w:pPr>
              <w:jc w:val="both"/>
              <w:rPr>
                <w:rFonts w:ascii="Arial Narrow" w:hAnsi="Arial Narrow" w:cs="Times New Roman"/>
                <w:sz w:val="16"/>
                <w:szCs w:val="16"/>
                <w:lang w:val="ro-RO"/>
              </w:rPr>
            </w:pPr>
            <w:r w:rsidRPr="0049126A">
              <w:rPr>
                <w:rFonts w:ascii="Arial Narrow" w:hAnsi="Arial Narrow" w:cs="Times New Roman"/>
                <w:sz w:val="16"/>
                <w:szCs w:val="16"/>
                <w:lang w:val="pt-BR"/>
              </w:rPr>
              <w:t xml:space="preserve">Debut </w:t>
            </w:r>
            <w:r w:rsidRPr="0049126A">
              <w:rPr>
                <w:rFonts w:ascii="Arial Narrow" w:hAnsi="Arial Narrow" w:cs="Times New Roman"/>
                <w:sz w:val="16"/>
                <w:szCs w:val="16"/>
                <w:lang w:val="ro-RO"/>
              </w:rPr>
              <w:t>în decada 2</w:t>
            </w:r>
          </w:p>
          <w:p w14:paraId="002E6E0A" w14:textId="77777777" w:rsidR="003913BC" w:rsidRPr="0049126A" w:rsidRDefault="003913BC" w:rsidP="00FF4B29">
            <w:pPr>
              <w:jc w:val="both"/>
              <w:rPr>
                <w:rFonts w:ascii="Arial Narrow" w:hAnsi="Arial Narrow" w:cs="Times New Roman"/>
                <w:i/>
                <w:iCs/>
                <w:sz w:val="16"/>
                <w:szCs w:val="16"/>
              </w:rPr>
            </w:pPr>
          </w:p>
        </w:tc>
        <w:tc>
          <w:tcPr>
            <w:tcW w:w="420" w:type="pct"/>
          </w:tcPr>
          <w:p w14:paraId="1040199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Prenatal</w:t>
            </w:r>
          </w:p>
        </w:tc>
        <w:tc>
          <w:tcPr>
            <w:tcW w:w="573" w:type="pct"/>
          </w:tcPr>
          <w:p w14:paraId="0622E39F" w14:textId="77777777" w:rsidR="003913BC" w:rsidRPr="0049126A" w:rsidRDefault="003913BC" w:rsidP="00FF4B29">
            <w:pPr>
              <w:jc w:val="both"/>
              <w:rPr>
                <w:rFonts w:ascii="Arial Narrow" w:hAnsi="Arial Narrow" w:cs="Times New Roman"/>
                <w:i/>
                <w:iCs/>
                <w:sz w:val="16"/>
                <w:szCs w:val="16"/>
              </w:rPr>
            </w:pPr>
          </w:p>
        </w:tc>
        <w:tc>
          <w:tcPr>
            <w:tcW w:w="678" w:type="pct"/>
          </w:tcPr>
          <w:p w14:paraId="0382EEDD" w14:textId="77777777" w:rsidR="003913BC" w:rsidRPr="0049126A" w:rsidRDefault="003913BC" w:rsidP="00FF4B29">
            <w:pPr>
              <w:jc w:val="both"/>
              <w:rPr>
                <w:rFonts w:ascii="Arial Narrow" w:hAnsi="Arial Narrow" w:cs="Times New Roman"/>
                <w:i/>
                <w:iCs/>
                <w:sz w:val="16"/>
                <w:szCs w:val="16"/>
                <w:lang w:val="pt-BR"/>
              </w:rPr>
            </w:pPr>
          </w:p>
        </w:tc>
        <w:tc>
          <w:tcPr>
            <w:tcW w:w="552" w:type="pct"/>
          </w:tcPr>
          <w:p w14:paraId="51123E60" w14:textId="77777777" w:rsidR="003913BC" w:rsidRPr="0049126A" w:rsidRDefault="003913BC" w:rsidP="00FF4B29">
            <w:pPr>
              <w:jc w:val="both"/>
              <w:rPr>
                <w:rFonts w:ascii="Arial Narrow" w:hAnsi="Arial Narrow" w:cs="Times New Roman"/>
                <w:i/>
                <w:iCs/>
                <w:sz w:val="16"/>
                <w:szCs w:val="16"/>
              </w:rPr>
            </w:pPr>
          </w:p>
        </w:tc>
      </w:tr>
      <w:tr w:rsidR="0049126A" w:rsidRPr="0049126A" w14:paraId="61BD295A" w14:textId="77777777" w:rsidTr="00FF4B29">
        <w:tc>
          <w:tcPr>
            <w:tcW w:w="645" w:type="pct"/>
          </w:tcPr>
          <w:p w14:paraId="61B38D31"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Caracteristici generale</w:t>
            </w:r>
          </w:p>
        </w:tc>
        <w:tc>
          <w:tcPr>
            <w:tcW w:w="573" w:type="pct"/>
          </w:tcPr>
          <w:p w14:paraId="403C74FB"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Statură mică, Hiperextensibilitate,</w:t>
            </w:r>
          </w:p>
          <w:p w14:paraId="6A609567"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Depresie oculară, anomalie Rieger (disgenezie cameră anterioară ochi), erupție dentară întârziată </w:t>
            </w:r>
          </w:p>
        </w:tc>
        <w:tc>
          <w:tcPr>
            <w:tcW w:w="573" w:type="pct"/>
          </w:tcPr>
          <w:p w14:paraId="1650708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 xml:space="preserve">Creștere accelerată, </w:t>
            </w:r>
          </w:p>
          <w:p w14:paraId="26FAACC9"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 </w:t>
            </w:r>
          </w:p>
        </w:tc>
        <w:tc>
          <w:tcPr>
            <w:tcW w:w="423" w:type="pct"/>
          </w:tcPr>
          <w:p w14:paraId="79C3738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refuzul alimentației falimentul creșterii</w:t>
            </w:r>
          </w:p>
        </w:tc>
        <w:tc>
          <w:tcPr>
            <w:tcW w:w="563" w:type="pct"/>
          </w:tcPr>
          <w:p w14:paraId="5A332FE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Hipostatură relativă la TTG </w:t>
            </w:r>
          </w:p>
          <w:p w14:paraId="78C24793" w14:textId="77777777" w:rsidR="003913BC" w:rsidRPr="0049126A" w:rsidRDefault="003913BC" w:rsidP="00FF4B29">
            <w:pPr>
              <w:jc w:val="both"/>
              <w:rPr>
                <w:rFonts w:ascii="Arial Narrow" w:hAnsi="Arial Narrow" w:cs="Times New Roman"/>
                <w:b/>
                <w:bCs/>
                <w:sz w:val="16"/>
                <w:szCs w:val="16"/>
                <w:lang w:val="pt-BR"/>
              </w:rPr>
            </w:pPr>
          </w:p>
        </w:tc>
        <w:tc>
          <w:tcPr>
            <w:tcW w:w="420" w:type="pct"/>
          </w:tcPr>
          <w:p w14:paraId="5040C03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Restricție de creștere pre și postnatală</w:t>
            </w:r>
          </w:p>
          <w:p w14:paraId="5F1C15D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Hipotonie</w:t>
            </w:r>
          </w:p>
        </w:tc>
        <w:tc>
          <w:tcPr>
            <w:tcW w:w="573" w:type="pct"/>
          </w:tcPr>
          <w:p w14:paraId="537DC01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Statură mică</w:t>
            </w:r>
          </w:p>
        </w:tc>
        <w:tc>
          <w:tcPr>
            <w:tcW w:w="678" w:type="pct"/>
          </w:tcPr>
          <w:p w14:paraId="1A3F82B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Retard de crestere intrauterină si postnatal</w:t>
            </w:r>
          </w:p>
          <w:p w14:paraId="11871F3F" w14:textId="77777777" w:rsidR="003913BC" w:rsidRPr="0049126A" w:rsidRDefault="003913BC" w:rsidP="00FF4B29">
            <w:pPr>
              <w:jc w:val="both"/>
              <w:rPr>
                <w:rFonts w:ascii="Arial Narrow" w:hAnsi="Arial Narrow" w:cs="Times New Roman"/>
                <w:sz w:val="16"/>
                <w:szCs w:val="16"/>
                <w:lang w:val="pt-BR"/>
              </w:rPr>
            </w:pPr>
          </w:p>
        </w:tc>
        <w:tc>
          <w:tcPr>
            <w:tcW w:w="552" w:type="pct"/>
          </w:tcPr>
          <w:p w14:paraId="07C6692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Statură normală</w:t>
            </w:r>
          </w:p>
        </w:tc>
      </w:tr>
      <w:tr w:rsidR="0049126A" w:rsidRPr="0049126A" w14:paraId="3A0C5057" w14:textId="77777777" w:rsidTr="00FF4B29">
        <w:tc>
          <w:tcPr>
            <w:tcW w:w="645" w:type="pct"/>
          </w:tcPr>
          <w:p w14:paraId="30E84B4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Facies</w:t>
            </w:r>
          </w:p>
        </w:tc>
        <w:tc>
          <w:tcPr>
            <w:tcW w:w="573" w:type="pct"/>
          </w:tcPr>
          <w:p w14:paraId="5A9C6D4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Facies triunghiular, cu frunte proeminentă, ochi înfundați,aripi nazale subțiri, comisuri buzale deprimate, bărbie deprimată, urechi proeminente</w:t>
            </w:r>
          </w:p>
          <w:p w14:paraId="3E194D7B" w14:textId="77777777" w:rsidR="003913BC" w:rsidRPr="0049126A" w:rsidRDefault="003913BC" w:rsidP="00FF4B29">
            <w:pPr>
              <w:jc w:val="both"/>
              <w:rPr>
                <w:rFonts w:ascii="Arial Narrow" w:hAnsi="Arial Narrow" w:cs="Times New Roman"/>
                <w:sz w:val="16"/>
                <w:szCs w:val="16"/>
                <w:lang w:val="pt-BR"/>
              </w:rPr>
            </w:pPr>
          </w:p>
          <w:p w14:paraId="6BBE37DB"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7B71B40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facies progeroid, nas cârn proptosis, ochi înfundați, fante palpebrale antimongoloide</w:t>
            </w:r>
          </w:p>
          <w:p w14:paraId="5414914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Arahnodactilie, hiperextensibilitate, miopie, ectopie cristalin, ectazie durală</w:t>
            </w:r>
          </w:p>
          <w:p w14:paraId="3415A90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boltă palatină ogivală,</w:t>
            </w:r>
          </w:p>
        </w:tc>
        <w:tc>
          <w:tcPr>
            <w:tcW w:w="423" w:type="pct"/>
          </w:tcPr>
          <w:p w14:paraId="3E017A42" w14:textId="77777777" w:rsidR="003913BC" w:rsidRPr="0049126A" w:rsidRDefault="003913BC" w:rsidP="00FF4B29">
            <w:pPr>
              <w:jc w:val="both"/>
              <w:rPr>
                <w:rFonts w:ascii="Arial Narrow" w:hAnsi="Arial Narrow" w:cs="Times New Roman"/>
                <w:sz w:val="16"/>
                <w:szCs w:val="16"/>
                <w:lang w:val="pt-BR"/>
              </w:rPr>
            </w:pPr>
          </w:p>
        </w:tc>
        <w:tc>
          <w:tcPr>
            <w:tcW w:w="563" w:type="pct"/>
          </w:tcPr>
          <w:p w14:paraId="59BC093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Cataractă,</w:t>
            </w:r>
          </w:p>
          <w:p w14:paraId="1DBAA1F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Voce subțire, pițigăiată</w:t>
            </w:r>
          </w:p>
          <w:p w14:paraId="1BE4DE9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Între 20 și 30 ani: atrofie tegumentară, calviție</w:t>
            </w:r>
          </w:p>
        </w:tc>
        <w:tc>
          <w:tcPr>
            <w:tcW w:w="420" w:type="pct"/>
          </w:tcPr>
          <w:p w14:paraId="363C40D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Facies triunghiular cu bose frontale, urechi proeminent jos inserate, piele laxă și subțire, desen venos superficial</w:t>
            </w:r>
            <w:r w:rsidRPr="0049126A">
              <w:rPr>
                <w:rFonts w:ascii="Arial Narrow" w:hAnsi="Arial Narrow" w:cs="Times New Roman"/>
                <w:i/>
                <w:iCs/>
                <w:sz w:val="16"/>
                <w:szCs w:val="16"/>
                <w:lang w:val="pt-BR"/>
              </w:rPr>
              <w:t xml:space="preserve">, </w:t>
            </w:r>
            <w:r w:rsidRPr="0049126A">
              <w:rPr>
                <w:rFonts w:ascii="Arial Narrow" w:hAnsi="Arial Narrow" w:cs="Times New Roman"/>
                <w:sz w:val="16"/>
                <w:szCs w:val="16"/>
                <w:lang w:val="pt-BR"/>
              </w:rPr>
              <w:t>cataractă sau matitate corneană, hiperlaxitate articulară</w:t>
            </w:r>
          </w:p>
        </w:tc>
        <w:tc>
          <w:tcPr>
            <w:tcW w:w="573" w:type="pct"/>
          </w:tcPr>
          <w:p w14:paraId="409046DB" w14:textId="77777777" w:rsidR="003913BC" w:rsidRPr="0049126A" w:rsidRDefault="003913BC" w:rsidP="00FF4B29">
            <w:pPr>
              <w:jc w:val="both"/>
              <w:rPr>
                <w:rFonts w:ascii="Arial Narrow" w:hAnsi="Arial Narrow" w:cs="Times New Roman"/>
                <w:sz w:val="16"/>
                <w:szCs w:val="16"/>
                <w:lang w:val="pt-BR"/>
              </w:rPr>
            </w:pPr>
          </w:p>
        </w:tc>
        <w:tc>
          <w:tcPr>
            <w:tcW w:w="678" w:type="pct"/>
          </w:tcPr>
          <w:p w14:paraId="79FB15B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Facies prelung și îngust</w:t>
            </w:r>
          </w:p>
          <w:p w14:paraId="307D561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Urechi proeminente, retro și micrognație,aplatizarea oaselor malare</w:t>
            </w:r>
          </w:p>
          <w:p w14:paraId="535B876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Pot dezolta eritem facial, mâini, antebrațe, exacerbat de expunerea la soare</w:t>
            </w:r>
          </w:p>
          <w:p w14:paraId="7965F086" w14:textId="77777777" w:rsidR="003913BC" w:rsidRPr="0049126A" w:rsidRDefault="003913BC" w:rsidP="00FF4B29">
            <w:pPr>
              <w:jc w:val="both"/>
              <w:rPr>
                <w:rFonts w:ascii="Arial Narrow" w:hAnsi="Arial Narrow" w:cs="Times New Roman"/>
                <w:sz w:val="16"/>
                <w:szCs w:val="16"/>
                <w:lang w:val="pt-BR"/>
              </w:rPr>
            </w:pPr>
          </w:p>
        </w:tc>
        <w:tc>
          <w:tcPr>
            <w:tcW w:w="552" w:type="pct"/>
          </w:tcPr>
          <w:p w14:paraId="56C945C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Fante palpebrale înguste, scăderea acuității vizuale, facies prelung, urechi rotate posterior</w:t>
            </w:r>
          </w:p>
          <w:p w14:paraId="0286E24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Vascularizație corneană crescută cu apariția panus, nas subțier cu hipoplazie de aripi nazale</w:t>
            </w:r>
          </w:p>
          <w:p w14:paraId="0BA452E2"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557EAE05" w14:textId="77777777" w:rsidTr="00FF4B29">
        <w:tc>
          <w:tcPr>
            <w:tcW w:w="645" w:type="pct"/>
          </w:tcPr>
          <w:p w14:paraId="0572F8D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Lipodistrofie</w:t>
            </w:r>
          </w:p>
        </w:tc>
        <w:tc>
          <w:tcPr>
            <w:tcW w:w="573" w:type="pct"/>
          </w:tcPr>
          <w:p w14:paraId="26C0C8C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progresivă (față, torace, membre superioare) cu conservarea feselor și a membrelor inferioare.</w:t>
            </w:r>
          </w:p>
        </w:tc>
        <w:tc>
          <w:tcPr>
            <w:tcW w:w="573" w:type="pct"/>
          </w:tcPr>
          <w:p w14:paraId="4CE2C25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Lipodistrofie generalizată, de la naștere</w:t>
            </w:r>
          </w:p>
        </w:tc>
        <w:tc>
          <w:tcPr>
            <w:tcW w:w="423" w:type="pct"/>
          </w:tcPr>
          <w:p w14:paraId="3245A9B1" w14:textId="77777777" w:rsidR="003913BC" w:rsidRPr="0049126A" w:rsidRDefault="003913BC" w:rsidP="00FF4B29">
            <w:pPr>
              <w:jc w:val="both"/>
              <w:rPr>
                <w:rFonts w:ascii="Arial Narrow" w:hAnsi="Arial Narrow" w:cs="Times New Roman"/>
                <w:b/>
                <w:bCs/>
                <w:sz w:val="16"/>
                <w:szCs w:val="16"/>
                <w:lang w:val="pt-BR"/>
              </w:rPr>
            </w:pPr>
          </w:p>
        </w:tc>
        <w:tc>
          <w:tcPr>
            <w:tcW w:w="563" w:type="pct"/>
          </w:tcPr>
          <w:p w14:paraId="358BC65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Lipodistrofie parțială, predominent membre</w:t>
            </w:r>
          </w:p>
        </w:tc>
        <w:tc>
          <w:tcPr>
            <w:tcW w:w="420" w:type="pct"/>
          </w:tcPr>
          <w:p w14:paraId="4E44C5AE" w14:textId="77777777" w:rsidR="003913BC" w:rsidRPr="0049126A" w:rsidRDefault="003913BC" w:rsidP="00FF4B29">
            <w:pPr>
              <w:jc w:val="both"/>
              <w:rPr>
                <w:rFonts w:ascii="Arial Narrow" w:hAnsi="Arial Narrow" w:cs="Times New Roman"/>
                <w:b/>
                <w:bCs/>
                <w:sz w:val="16"/>
                <w:szCs w:val="16"/>
                <w:lang w:val="pt-BR"/>
              </w:rPr>
            </w:pPr>
          </w:p>
        </w:tc>
        <w:tc>
          <w:tcPr>
            <w:tcW w:w="573" w:type="pct"/>
          </w:tcPr>
          <w:p w14:paraId="3F608864" w14:textId="77777777" w:rsidR="003913BC" w:rsidRPr="0049126A" w:rsidRDefault="003913BC" w:rsidP="00FF4B29">
            <w:pPr>
              <w:jc w:val="both"/>
              <w:rPr>
                <w:rFonts w:ascii="Arial Narrow" w:hAnsi="Arial Narrow" w:cs="Times New Roman"/>
                <w:b/>
                <w:bCs/>
                <w:sz w:val="16"/>
                <w:szCs w:val="16"/>
                <w:lang w:val="pt-BR"/>
              </w:rPr>
            </w:pPr>
          </w:p>
        </w:tc>
        <w:tc>
          <w:tcPr>
            <w:tcW w:w="678" w:type="pct"/>
          </w:tcPr>
          <w:p w14:paraId="755D388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Absența țesutului adipos la nivelul feței</w:t>
            </w:r>
          </w:p>
          <w:p w14:paraId="144F32FF"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Aspect ”emaciat” în copilărie</w:t>
            </w:r>
          </w:p>
          <w:p w14:paraId="3D6415E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Obezitate centrală în viața adultă</w:t>
            </w:r>
          </w:p>
        </w:tc>
        <w:tc>
          <w:tcPr>
            <w:tcW w:w="552" w:type="pct"/>
          </w:tcPr>
          <w:p w14:paraId="43A96B1A"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sz w:val="16"/>
                <w:szCs w:val="16"/>
                <w:lang w:val="pt-BR"/>
              </w:rPr>
              <w:t xml:space="preserve">Lipoatrofie față, mâini și picioare, </w:t>
            </w:r>
          </w:p>
        </w:tc>
      </w:tr>
      <w:tr w:rsidR="0049126A" w:rsidRPr="0049126A" w14:paraId="13332DC5" w14:textId="77777777" w:rsidTr="00FF4B29">
        <w:tc>
          <w:tcPr>
            <w:tcW w:w="645" w:type="pct"/>
          </w:tcPr>
          <w:p w14:paraId="77E6CD08"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DZ</w:t>
            </w:r>
          </w:p>
        </w:tc>
        <w:tc>
          <w:tcPr>
            <w:tcW w:w="573" w:type="pct"/>
          </w:tcPr>
          <w:p w14:paraId="6C54963A" w14:textId="77777777" w:rsidR="003913BC" w:rsidRPr="0049126A" w:rsidRDefault="003913BC" w:rsidP="00FF4B29">
            <w:pPr>
              <w:jc w:val="both"/>
              <w:rPr>
                <w:rFonts w:ascii="Arial Narrow" w:hAnsi="Arial Narrow" w:cs="Times New Roman"/>
                <w:sz w:val="16"/>
                <w:szCs w:val="16"/>
              </w:rPr>
            </w:pPr>
            <w:r w:rsidRPr="0049126A">
              <w:rPr>
                <w:rStyle w:val="u-font-serif"/>
                <w:rFonts w:ascii="Arial Narrow" w:hAnsi="Arial Narrow" w:cs="Times New Roman"/>
                <w:sz w:val="16"/>
                <w:szCs w:val="16"/>
              </w:rPr>
              <w:t>↑↑ (adult tânăr)</w:t>
            </w:r>
          </w:p>
        </w:tc>
        <w:tc>
          <w:tcPr>
            <w:tcW w:w="573" w:type="pct"/>
          </w:tcPr>
          <w:p w14:paraId="041425B0"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Fără afectare metabolică </w:t>
            </w:r>
          </w:p>
          <w:p w14:paraId="13F672BC" w14:textId="77777777" w:rsidR="003913BC" w:rsidRPr="0049126A" w:rsidRDefault="003913BC" w:rsidP="00FF4B29">
            <w:pPr>
              <w:jc w:val="both"/>
              <w:rPr>
                <w:rFonts w:ascii="Arial Narrow" w:hAnsi="Arial Narrow" w:cs="Times New Roman"/>
                <w:sz w:val="16"/>
                <w:szCs w:val="16"/>
              </w:rPr>
            </w:pPr>
          </w:p>
        </w:tc>
        <w:tc>
          <w:tcPr>
            <w:tcW w:w="423" w:type="pct"/>
          </w:tcPr>
          <w:p w14:paraId="709C46B3" w14:textId="77777777" w:rsidR="003913BC" w:rsidRPr="0049126A" w:rsidRDefault="003913BC" w:rsidP="00FF4B29">
            <w:pPr>
              <w:jc w:val="both"/>
              <w:rPr>
                <w:rFonts w:ascii="Arial Narrow" w:hAnsi="Arial Narrow" w:cs="Times New Roman"/>
                <w:b/>
                <w:bCs/>
                <w:sz w:val="16"/>
                <w:szCs w:val="16"/>
              </w:rPr>
            </w:pPr>
          </w:p>
        </w:tc>
        <w:tc>
          <w:tcPr>
            <w:tcW w:w="563" w:type="pct"/>
          </w:tcPr>
          <w:p w14:paraId="365127E8"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b/>
                <w:bCs/>
                <w:sz w:val="16"/>
                <w:szCs w:val="16"/>
                <w:lang w:val="pt-BR"/>
              </w:rPr>
              <w:t>↑↑</w:t>
            </w:r>
          </w:p>
        </w:tc>
        <w:tc>
          <w:tcPr>
            <w:tcW w:w="420" w:type="pct"/>
          </w:tcPr>
          <w:p w14:paraId="6274B1E4" w14:textId="77777777" w:rsidR="003913BC" w:rsidRPr="0049126A" w:rsidRDefault="003913BC" w:rsidP="00FF4B29">
            <w:pPr>
              <w:jc w:val="both"/>
              <w:rPr>
                <w:rFonts w:ascii="Arial Narrow" w:hAnsi="Arial Narrow" w:cs="Times New Roman"/>
                <w:b/>
                <w:bCs/>
                <w:sz w:val="16"/>
                <w:szCs w:val="16"/>
              </w:rPr>
            </w:pPr>
          </w:p>
        </w:tc>
        <w:tc>
          <w:tcPr>
            <w:tcW w:w="573" w:type="pct"/>
          </w:tcPr>
          <w:p w14:paraId="31D96407"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678" w:type="pct"/>
          </w:tcPr>
          <w:p w14:paraId="7BDF1F1B"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52" w:type="pct"/>
          </w:tcPr>
          <w:p w14:paraId="39B94259" w14:textId="77777777" w:rsidR="003913BC" w:rsidRPr="0049126A" w:rsidRDefault="003913BC" w:rsidP="00FF4B29">
            <w:pPr>
              <w:jc w:val="both"/>
              <w:rPr>
                <w:rFonts w:ascii="Arial Narrow" w:hAnsi="Arial Narrow" w:cs="Times New Roman"/>
                <w:b/>
                <w:bCs/>
                <w:sz w:val="16"/>
                <w:szCs w:val="16"/>
                <w:lang w:val="pt-BR"/>
              </w:rPr>
            </w:pPr>
          </w:p>
        </w:tc>
      </w:tr>
      <w:tr w:rsidR="0049126A" w:rsidRPr="0049126A" w14:paraId="11C818D5" w14:textId="77777777" w:rsidTr="00FF4B29">
        <w:tc>
          <w:tcPr>
            <w:tcW w:w="645" w:type="pct"/>
          </w:tcPr>
          <w:p w14:paraId="2D6FA573"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lastRenderedPageBreak/>
              <w:t>Insulină</w:t>
            </w:r>
          </w:p>
        </w:tc>
        <w:tc>
          <w:tcPr>
            <w:tcW w:w="573" w:type="pct"/>
          </w:tcPr>
          <w:p w14:paraId="2F2B002D" w14:textId="77777777" w:rsidR="003913BC" w:rsidRPr="0049126A" w:rsidRDefault="003913BC" w:rsidP="00FF4B29">
            <w:pPr>
              <w:jc w:val="both"/>
              <w:rPr>
                <w:rFonts w:ascii="Arial Narrow" w:hAnsi="Arial Narrow" w:cs="Times New Roman"/>
                <w:sz w:val="16"/>
                <w:szCs w:val="16"/>
              </w:rPr>
            </w:pPr>
            <w:r w:rsidRPr="0049126A">
              <w:rPr>
                <w:rStyle w:val="u-font-serif"/>
                <w:rFonts w:ascii="Arial Narrow" w:hAnsi="Arial Narrow" w:cs="Times New Roman"/>
                <w:sz w:val="16"/>
                <w:szCs w:val="16"/>
              </w:rPr>
              <w:t>↑↑</w:t>
            </w:r>
          </w:p>
        </w:tc>
        <w:tc>
          <w:tcPr>
            <w:tcW w:w="573" w:type="pct"/>
          </w:tcPr>
          <w:p w14:paraId="1FB27832"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Fără afectare metabolică </w:t>
            </w:r>
          </w:p>
          <w:p w14:paraId="1CB9D255" w14:textId="77777777" w:rsidR="003913BC" w:rsidRPr="0049126A" w:rsidRDefault="003913BC" w:rsidP="00FF4B29">
            <w:pPr>
              <w:jc w:val="both"/>
              <w:rPr>
                <w:rFonts w:ascii="Arial Narrow" w:hAnsi="Arial Narrow" w:cs="Times New Roman"/>
                <w:sz w:val="16"/>
                <w:szCs w:val="16"/>
              </w:rPr>
            </w:pPr>
          </w:p>
        </w:tc>
        <w:tc>
          <w:tcPr>
            <w:tcW w:w="423" w:type="pct"/>
          </w:tcPr>
          <w:p w14:paraId="1FC6DB40" w14:textId="77777777" w:rsidR="003913BC" w:rsidRPr="0049126A" w:rsidRDefault="003913BC" w:rsidP="00FF4B29">
            <w:pPr>
              <w:jc w:val="both"/>
              <w:rPr>
                <w:rFonts w:ascii="Arial Narrow" w:hAnsi="Arial Narrow" w:cs="Times New Roman"/>
                <w:b/>
                <w:bCs/>
                <w:sz w:val="16"/>
                <w:szCs w:val="16"/>
              </w:rPr>
            </w:pPr>
          </w:p>
        </w:tc>
        <w:tc>
          <w:tcPr>
            <w:tcW w:w="563" w:type="pct"/>
          </w:tcPr>
          <w:p w14:paraId="2AD5EDF5" w14:textId="77777777" w:rsidR="003913BC" w:rsidRPr="0049126A" w:rsidRDefault="003913BC" w:rsidP="00FF4B29">
            <w:pPr>
              <w:jc w:val="both"/>
              <w:rPr>
                <w:rFonts w:ascii="Arial Narrow" w:hAnsi="Arial Narrow" w:cs="Times New Roman"/>
                <w:sz w:val="16"/>
                <w:szCs w:val="16"/>
              </w:rPr>
            </w:pPr>
          </w:p>
        </w:tc>
        <w:tc>
          <w:tcPr>
            <w:tcW w:w="420" w:type="pct"/>
          </w:tcPr>
          <w:p w14:paraId="6C16A352" w14:textId="77777777" w:rsidR="003913BC" w:rsidRPr="0049126A" w:rsidRDefault="003913BC" w:rsidP="00FF4B29">
            <w:pPr>
              <w:jc w:val="both"/>
              <w:rPr>
                <w:rFonts w:ascii="Arial Narrow" w:hAnsi="Arial Narrow" w:cs="Times New Roman"/>
                <w:b/>
                <w:bCs/>
                <w:sz w:val="16"/>
                <w:szCs w:val="16"/>
              </w:rPr>
            </w:pPr>
          </w:p>
        </w:tc>
        <w:tc>
          <w:tcPr>
            <w:tcW w:w="573" w:type="pct"/>
          </w:tcPr>
          <w:p w14:paraId="3B848064"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678" w:type="pct"/>
          </w:tcPr>
          <w:p w14:paraId="653E630E" w14:textId="77777777" w:rsidR="003913BC" w:rsidRPr="0049126A" w:rsidRDefault="003913BC" w:rsidP="00FF4B29">
            <w:pPr>
              <w:jc w:val="both"/>
              <w:rPr>
                <w:rFonts w:ascii="Arial Narrow" w:hAnsi="Arial Narrow" w:cs="Times New Roman"/>
                <w:b/>
                <w:bCs/>
                <w:sz w:val="16"/>
                <w:szCs w:val="16"/>
                <w:lang w:val="pt-BR"/>
              </w:rPr>
            </w:pPr>
            <w:r w:rsidRPr="0049126A">
              <w:rPr>
                <w:rFonts w:ascii="Arial Narrow" w:hAnsi="Arial Narrow" w:cs="Times New Roman"/>
                <w:b/>
                <w:bCs/>
                <w:sz w:val="16"/>
                <w:szCs w:val="16"/>
                <w:lang w:val="pt-BR"/>
              </w:rPr>
              <w:t>↑↑</w:t>
            </w:r>
          </w:p>
        </w:tc>
        <w:tc>
          <w:tcPr>
            <w:tcW w:w="552" w:type="pct"/>
          </w:tcPr>
          <w:p w14:paraId="256AEB0D" w14:textId="77777777" w:rsidR="003913BC" w:rsidRPr="0049126A" w:rsidRDefault="003913BC" w:rsidP="00FF4B29">
            <w:pPr>
              <w:jc w:val="both"/>
              <w:rPr>
                <w:rFonts w:ascii="Arial Narrow" w:hAnsi="Arial Narrow" w:cs="Times New Roman"/>
                <w:b/>
                <w:bCs/>
                <w:sz w:val="16"/>
                <w:szCs w:val="16"/>
                <w:lang w:val="pt-BR"/>
              </w:rPr>
            </w:pPr>
          </w:p>
        </w:tc>
      </w:tr>
      <w:tr w:rsidR="0049126A" w:rsidRPr="0049126A" w14:paraId="305E1F59" w14:textId="77777777" w:rsidTr="00FF4B29">
        <w:tc>
          <w:tcPr>
            <w:tcW w:w="645" w:type="pct"/>
          </w:tcPr>
          <w:p w14:paraId="446D6551"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Rezistență la insulină</w:t>
            </w:r>
          </w:p>
        </w:tc>
        <w:tc>
          <w:tcPr>
            <w:tcW w:w="573" w:type="pct"/>
          </w:tcPr>
          <w:p w14:paraId="33D4A846" w14:textId="77777777" w:rsidR="003913BC" w:rsidRPr="0049126A" w:rsidRDefault="003913BC" w:rsidP="00FF4B29">
            <w:pPr>
              <w:jc w:val="both"/>
              <w:rPr>
                <w:rFonts w:ascii="Arial Narrow" w:hAnsi="Arial Narrow" w:cs="Times New Roman"/>
                <w:sz w:val="16"/>
                <w:szCs w:val="16"/>
              </w:rPr>
            </w:pPr>
            <w:r w:rsidRPr="0049126A">
              <w:rPr>
                <w:rStyle w:val="u-font-serif"/>
                <w:rFonts w:ascii="Arial Narrow" w:hAnsi="Arial Narrow" w:cs="Times New Roman"/>
                <w:sz w:val="16"/>
                <w:szCs w:val="16"/>
              </w:rPr>
              <w:t>↑↑ (copilărie și adolescență)</w:t>
            </w:r>
          </w:p>
        </w:tc>
        <w:tc>
          <w:tcPr>
            <w:tcW w:w="573" w:type="pct"/>
          </w:tcPr>
          <w:p w14:paraId="004842BA"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Fără afectare metabolică </w:t>
            </w:r>
          </w:p>
          <w:p w14:paraId="6F347D02" w14:textId="77777777" w:rsidR="003913BC" w:rsidRPr="0049126A" w:rsidRDefault="003913BC" w:rsidP="00FF4B29">
            <w:pPr>
              <w:jc w:val="both"/>
              <w:rPr>
                <w:rFonts w:ascii="Arial Narrow" w:hAnsi="Arial Narrow" w:cs="Times New Roman"/>
                <w:sz w:val="16"/>
                <w:szCs w:val="16"/>
              </w:rPr>
            </w:pPr>
          </w:p>
        </w:tc>
        <w:tc>
          <w:tcPr>
            <w:tcW w:w="423" w:type="pct"/>
          </w:tcPr>
          <w:p w14:paraId="4BACB2B5" w14:textId="77777777" w:rsidR="003913BC" w:rsidRPr="0049126A" w:rsidRDefault="003913BC" w:rsidP="00FF4B29">
            <w:pPr>
              <w:jc w:val="both"/>
              <w:rPr>
                <w:rFonts w:ascii="Arial Narrow" w:hAnsi="Arial Narrow" w:cs="Times New Roman"/>
                <w:b/>
                <w:bCs/>
                <w:sz w:val="16"/>
                <w:szCs w:val="16"/>
              </w:rPr>
            </w:pPr>
          </w:p>
        </w:tc>
        <w:tc>
          <w:tcPr>
            <w:tcW w:w="563" w:type="pct"/>
          </w:tcPr>
          <w:p w14:paraId="3B50B115" w14:textId="77777777" w:rsidR="003913BC" w:rsidRPr="0049126A" w:rsidRDefault="003913BC" w:rsidP="00FF4B29">
            <w:pPr>
              <w:jc w:val="both"/>
              <w:rPr>
                <w:rFonts w:ascii="Arial Narrow" w:hAnsi="Arial Narrow" w:cs="Times New Roman"/>
                <w:sz w:val="16"/>
                <w:szCs w:val="16"/>
              </w:rPr>
            </w:pPr>
          </w:p>
        </w:tc>
        <w:tc>
          <w:tcPr>
            <w:tcW w:w="420" w:type="pct"/>
          </w:tcPr>
          <w:p w14:paraId="21A6389D" w14:textId="77777777" w:rsidR="003913BC" w:rsidRPr="0049126A" w:rsidRDefault="003913BC" w:rsidP="00FF4B29">
            <w:pPr>
              <w:jc w:val="both"/>
              <w:rPr>
                <w:rFonts w:ascii="Arial Narrow" w:hAnsi="Arial Narrow" w:cs="Times New Roman"/>
                <w:b/>
                <w:bCs/>
                <w:sz w:val="16"/>
                <w:szCs w:val="16"/>
              </w:rPr>
            </w:pPr>
          </w:p>
        </w:tc>
        <w:tc>
          <w:tcPr>
            <w:tcW w:w="573" w:type="pct"/>
          </w:tcPr>
          <w:p w14:paraId="00D6AB8B" w14:textId="77777777" w:rsidR="003913BC" w:rsidRPr="0049126A" w:rsidRDefault="003913BC" w:rsidP="00FF4B29">
            <w:pPr>
              <w:jc w:val="both"/>
              <w:rPr>
                <w:rFonts w:ascii="Arial Narrow" w:hAnsi="Arial Narrow" w:cs="Times New Roman"/>
                <w:b/>
                <w:bCs/>
                <w:sz w:val="16"/>
                <w:szCs w:val="16"/>
              </w:rPr>
            </w:pPr>
          </w:p>
        </w:tc>
        <w:tc>
          <w:tcPr>
            <w:tcW w:w="678" w:type="pct"/>
          </w:tcPr>
          <w:p w14:paraId="467F9211" w14:textId="77777777" w:rsidR="003913BC" w:rsidRPr="0049126A" w:rsidRDefault="003913BC" w:rsidP="00FF4B29">
            <w:pPr>
              <w:jc w:val="both"/>
              <w:rPr>
                <w:rFonts w:ascii="Arial Narrow" w:hAnsi="Arial Narrow" w:cs="Times New Roman"/>
                <w:b/>
                <w:bCs/>
                <w:sz w:val="16"/>
                <w:szCs w:val="16"/>
                <w:lang w:val="pt-BR"/>
              </w:rPr>
            </w:pPr>
          </w:p>
        </w:tc>
        <w:tc>
          <w:tcPr>
            <w:tcW w:w="552" w:type="pct"/>
          </w:tcPr>
          <w:p w14:paraId="27137437" w14:textId="77777777" w:rsidR="003913BC" w:rsidRPr="0049126A" w:rsidRDefault="003913BC" w:rsidP="00FF4B29">
            <w:pPr>
              <w:jc w:val="both"/>
              <w:rPr>
                <w:rFonts w:ascii="Arial Narrow" w:hAnsi="Arial Narrow" w:cs="Times New Roman"/>
                <w:b/>
                <w:bCs/>
                <w:sz w:val="16"/>
                <w:szCs w:val="16"/>
              </w:rPr>
            </w:pPr>
          </w:p>
        </w:tc>
      </w:tr>
      <w:tr w:rsidR="0049126A" w:rsidRPr="0049126A" w14:paraId="02F2F9E3" w14:textId="77777777" w:rsidTr="00FF4B29">
        <w:tc>
          <w:tcPr>
            <w:tcW w:w="645" w:type="pct"/>
          </w:tcPr>
          <w:p w14:paraId="25E56A1B"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lang w:val="pt-BR"/>
              </w:rPr>
              <w:t>hipertrigliceridemie</w:t>
            </w:r>
          </w:p>
        </w:tc>
        <w:tc>
          <w:tcPr>
            <w:tcW w:w="573" w:type="pct"/>
          </w:tcPr>
          <w:p w14:paraId="6D24604D" w14:textId="77777777" w:rsidR="003913BC" w:rsidRPr="0049126A" w:rsidRDefault="003913BC" w:rsidP="00FF4B29">
            <w:pPr>
              <w:jc w:val="both"/>
              <w:rPr>
                <w:rFonts w:ascii="Arial Narrow" w:hAnsi="Arial Narrow" w:cs="Times New Roman"/>
                <w:sz w:val="16"/>
                <w:szCs w:val="16"/>
              </w:rPr>
            </w:pPr>
          </w:p>
        </w:tc>
        <w:tc>
          <w:tcPr>
            <w:tcW w:w="573" w:type="pct"/>
          </w:tcPr>
          <w:p w14:paraId="278F69A7"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Fără afectare metabolică </w:t>
            </w:r>
          </w:p>
          <w:p w14:paraId="43D4F2ED" w14:textId="77777777" w:rsidR="003913BC" w:rsidRPr="0049126A" w:rsidRDefault="003913BC" w:rsidP="00FF4B29">
            <w:pPr>
              <w:jc w:val="both"/>
              <w:rPr>
                <w:rFonts w:ascii="Arial Narrow" w:hAnsi="Arial Narrow" w:cs="Times New Roman"/>
                <w:sz w:val="16"/>
                <w:szCs w:val="16"/>
              </w:rPr>
            </w:pPr>
          </w:p>
        </w:tc>
        <w:tc>
          <w:tcPr>
            <w:tcW w:w="423" w:type="pct"/>
          </w:tcPr>
          <w:p w14:paraId="5B783DF8" w14:textId="77777777" w:rsidR="003913BC" w:rsidRPr="0049126A" w:rsidRDefault="003913BC" w:rsidP="00FF4B29">
            <w:pPr>
              <w:jc w:val="both"/>
              <w:rPr>
                <w:rFonts w:ascii="Arial Narrow" w:hAnsi="Arial Narrow" w:cs="Times New Roman"/>
                <w:b/>
                <w:bCs/>
                <w:sz w:val="16"/>
                <w:szCs w:val="16"/>
              </w:rPr>
            </w:pPr>
          </w:p>
        </w:tc>
        <w:tc>
          <w:tcPr>
            <w:tcW w:w="563" w:type="pct"/>
          </w:tcPr>
          <w:p w14:paraId="2EEE4510"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b/>
                <w:bCs/>
                <w:sz w:val="16"/>
                <w:szCs w:val="16"/>
                <w:lang w:val="pt-BR"/>
              </w:rPr>
              <w:t>↑↑</w:t>
            </w:r>
          </w:p>
        </w:tc>
        <w:tc>
          <w:tcPr>
            <w:tcW w:w="420" w:type="pct"/>
          </w:tcPr>
          <w:p w14:paraId="05DC34DB" w14:textId="77777777" w:rsidR="003913BC" w:rsidRPr="0049126A" w:rsidRDefault="003913BC" w:rsidP="00FF4B29">
            <w:pPr>
              <w:jc w:val="both"/>
              <w:rPr>
                <w:rFonts w:ascii="Arial Narrow" w:hAnsi="Arial Narrow" w:cs="Times New Roman"/>
                <w:b/>
                <w:bCs/>
                <w:sz w:val="16"/>
                <w:szCs w:val="16"/>
              </w:rPr>
            </w:pPr>
          </w:p>
        </w:tc>
        <w:tc>
          <w:tcPr>
            <w:tcW w:w="573" w:type="pct"/>
          </w:tcPr>
          <w:p w14:paraId="6BE47851"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678" w:type="pct"/>
          </w:tcPr>
          <w:p w14:paraId="36E8B58F" w14:textId="77777777" w:rsidR="003913BC" w:rsidRPr="0049126A" w:rsidRDefault="003913BC" w:rsidP="00FF4B29">
            <w:pPr>
              <w:jc w:val="both"/>
              <w:rPr>
                <w:rFonts w:ascii="Arial Narrow" w:hAnsi="Arial Narrow" w:cs="Times New Roman"/>
                <w:b/>
                <w:bCs/>
                <w:sz w:val="16"/>
                <w:szCs w:val="16"/>
              </w:rPr>
            </w:pPr>
            <w:r w:rsidRPr="0049126A">
              <w:rPr>
                <w:rFonts w:ascii="Arial Narrow" w:hAnsi="Arial Narrow" w:cs="Times New Roman"/>
                <w:b/>
                <w:bCs/>
                <w:sz w:val="16"/>
                <w:szCs w:val="16"/>
                <w:lang w:val="pt-BR"/>
              </w:rPr>
              <w:t>↑↑</w:t>
            </w:r>
          </w:p>
        </w:tc>
        <w:tc>
          <w:tcPr>
            <w:tcW w:w="552" w:type="pct"/>
          </w:tcPr>
          <w:p w14:paraId="188A0BCA" w14:textId="77777777" w:rsidR="003913BC" w:rsidRPr="0049126A" w:rsidRDefault="003913BC" w:rsidP="00FF4B29">
            <w:pPr>
              <w:jc w:val="both"/>
              <w:rPr>
                <w:rFonts w:ascii="Arial Narrow" w:hAnsi="Arial Narrow" w:cs="Times New Roman"/>
                <w:b/>
                <w:bCs/>
                <w:sz w:val="16"/>
                <w:szCs w:val="16"/>
              </w:rPr>
            </w:pPr>
          </w:p>
        </w:tc>
      </w:tr>
      <w:tr w:rsidR="0049126A" w:rsidRPr="0049126A" w14:paraId="473E21A6" w14:textId="77777777" w:rsidTr="00FF4B29">
        <w:tc>
          <w:tcPr>
            <w:tcW w:w="645" w:type="pct"/>
          </w:tcPr>
          <w:p w14:paraId="3E69211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Steatoză</w:t>
            </w:r>
          </w:p>
        </w:tc>
        <w:tc>
          <w:tcPr>
            <w:tcW w:w="573" w:type="pct"/>
          </w:tcPr>
          <w:p w14:paraId="6227BFA8" w14:textId="77777777" w:rsidR="003913BC" w:rsidRPr="0049126A" w:rsidRDefault="003913BC" w:rsidP="00FF4B29">
            <w:pPr>
              <w:jc w:val="both"/>
              <w:rPr>
                <w:rFonts w:ascii="Arial Narrow" w:hAnsi="Arial Narrow" w:cs="Times New Roman"/>
                <w:sz w:val="16"/>
                <w:szCs w:val="16"/>
              </w:rPr>
            </w:pPr>
          </w:p>
        </w:tc>
        <w:tc>
          <w:tcPr>
            <w:tcW w:w="573" w:type="pct"/>
          </w:tcPr>
          <w:p w14:paraId="29F07F60" w14:textId="77777777" w:rsidR="003913BC" w:rsidRPr="0049126A" w:rsidRDefault="003913BC" w:rsidP="00FF4B29">
            <w:pPr>
              <w:jc w:val="both"/>
              <w:rPr>
                <w:rFonts w:ascii="Arial Narrow" w:hAnsi="Arial Narrow" w:cs="Times New Roman"/>
                <w:sz w:val="16"/>
                <w:szCs w:val="16"/>
              </w:rPr>
            </w:pPr>
            <w:r w:rsidRPr="0049126A">
              <w:rPr>
                <w:rFonts w:ascii="Arial Narrow" w:hAnsi="Arial Narrow" w:cs="Times New Roman"/>
                <w:sz w:val="16"/>
                <w:szCs w:val="16"/>
              </w:rPr>
              <w:t xml:space="preserve">Fără afectare metabolică </w:t>
            </w:r>
          </w:p>
          <w:p w14:paraId="0A535C92" w14:textId="77777777" w:rsidR="003913BC" w:rsidRPr="0049126A" w:rsidRDefault="003913BC" w:rsidP="00FF4B29">
            <w:pPr>
              <w:jc w:val="both"/>
              <w:rPr>
                <w:rFonts w:ascii="Arial Narrow" w:hAnsi="Arial Narrow" w:cs="Times New Roman"/>
                <w:sz w:val="16"/>
                <w:szCs w:val="16"/>
                <w:lang w:val="pt-BR"/>
              </w:rPr>
            </w:pPr>
          </w:p>
        </w:tc>
        <w:tc>
          <w:tcPr>
            <w:tcW w:w="423" w:type="pct"/>
          </w:tcPr>
          <w:p w14:paraId="3B130696" w14:textId="77777777" w:rsidR="003913BC" w:rsidRPr="0049126A" w:rsidRDefault="003913BC" w:rsidP="00FF4B29">
            <w:pPr>
              <w:jc w:val="both"/>
              <w:rPr>
                <w:rFonts w:ascii="Arial Narrow" w:hAnsi="Arial Narrow" w:cs="Times New Roman"/>
                <w:sz w:val="16"/>
                <w:szCs w:val="16"/>
                <w:lang w:val="pt-BR"/>
              </w:rPr>
            </w:pPr>
          </w:p>
        </w:tc>
        <w:tc>
          <w:tcPr>
            <w:tcW w:w="563" w:type="pct"/>
          </w:tcPr>
          <w:p w14:paraId="63F06F26" w14:textId="77777777" w:rsidR="003913BC" w:rsidRPr="0049126A" w:rsidRDefault="003913BC" w:rsidP="00FF4B29">
            <w:pPr>
              <w:jc w:val="both"/>
              <w:rPr>
                <w:rFonts w:ascii="Arial Narrow" w:hAnsi="Arial Narrow" w:cs="Times New Roman"/>
                <w:sz w:val="16"/>
                <w:szCs w:val="16"/>
                <w:lang w:val="pt-BR"/>
              </w:rPr>
            </w:pPr>
          </w:p>
        </w:tc>
        <w:tc>
          <w:tcPr>
            <w:tcW w:w="420" w:type="pct"/>
          </w:tcPr>
          <w:p w14:paraId="19E4E9A9"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7DE4BE9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Steatoză hepatica precoce și severă</w:t>
            </w:r>
          </w:p>
        </w:tc>
        <w:tc>
          <w:tcPr>
            <w:tcW w:w="678" w:type="pct"/>
          </w:tcPr>
          <w:p w14:paraId="4B70FB5A" w14:textId="77777777" w:rsidR="003913BC" w:rsidRPr="0049126A" w:rsidRDefault="003913BC" w:rsidP="00FF4B29">
            <w:pPr>
              <w:jc w:val="both"/>
              <w:rPr>
                <w:rFonts w:ascii="Arial Narrow" w:hAnsi="Arial Narrow" w:cs="Times New Roman"/>
                <w:sz w:val="16"/>
                <w:szCs w:val="16"/>
                <w:lang w:val="pt-BR"/>
              </w:rPr>
            </w:pPr>
          </w:p>
        </w:tc>
        <w:tc>
          <w:tcPr>
            <w:tcW w:w="552" w:type="pct"/>
          </w:tcPr>
          <w:p w14:paraId="48678AA1"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37CC81F7" w14:textId="77777777" w:rsidTr="00FF4B29">
        <w:tc>
          <w:tcPr>
            <w:tcW w:w="645" w:type="pct"/>
          </w:tcPr>
          <w:p w14:paraId="359DAB0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 cardiovasculară</w:t>
            </w:r>
          </w:p>
        </w:tc>
        <w:tc>
          <w:tcPr>
            <w:tcW w:w="573" w:type="pct"/>
          </w:tcPr>
          <w:p w14:paraId="7CB62D10"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73EBA7A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Dilatare rădăcină aorta</w:t>
            </w:r>
            <w:r w:rsidRPr="0049126A">
              <w:rPr>
                <w:rFonts w:ascii="Arial Narrow" w:hAnsi="Arial Narrow" w:cs="Times New Roman"/>
                <w:sz w:val="16"/>
                <w:szCs w:val="16"/>
                <w:lang w:val="pt-BR"/>
              </w:rPr>
              <w:br/>
              <w:t xml:space="preserve">PVM </w:t>
            </w:r>
          </w:p>
          <w:p w14:paraId="328AF68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Fără aterocleroză, fără complicații cardiace ischemice</w:t>
            </w:r>
          </w:p>
        </w:tc>
        <w:tc>
          <w:tcPr>
            <w:tcW w:w="423" w:type="pct"/>
          </w:tcPr>
          <w:p w14:paraId="18214D13"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hipertensiune pulmonară, </w:t>
            </w:r>
          </w:p>
        </w:tc>
        <w:tc>
          <w:tcPr>
            <w:tcW w:w="563" w:type="pct"/>
          </w:tcPr>
          <w:p w14:paraId="5096A12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Ateroscleroză, BCI</w:t>
            </w:r>
          </w:p>
        </w:tc>
        <w:tc>
          <w:tcPr>
            <w:tcW w:w="420" w:type="pct"/>
          </w:tcPr>
          <w:p w14:paraId="3DB21BEE"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74E65878" w14:textId="77777777" w:rsidR="003913BC" w:rsidRPr="0049126A" w:rsidRDefault="003913BC" w:rsidP="00FF4B29">
            <w:pPr>
              <w:jc w:val="both"/>
              <w:rPr>
                <w:rFonts w:ascii="Arial Narrow" w:hAnsi="Arial Narrow" w:cs="Times New Roman"/>
                <w:sz w:val="16"/>
                <w:szCs w:val="16"/>
                <w:lang w:val="pt-BR"/>
              </w:rPr>
            </w:pPr>
          </w:p>
        </w:tc>
        <w:tc>
          <w:tcPr>
            <w:tcW w:w="678" w:type="pct"/>
          </w:tcPr>
          <w:p w14:paraId="43DCD9B9" w14:textId="77777777" w:rsidR="003913BC" w:rsidRPr="0049126A" w:rsidRDefault="003913BC" w:rsidP="00FF4B29">
            <w:pPr>
              <w:jc w:val="both"/>
              <w:rPr>
                <w:rFonts w:ascii="Arial Narrow" w:hAnsi="Arial Narrow" w:cs="Times New Roman"/>
                <w:sz w:val="16"/>
                <w:szCs w:val="16"/>
                <w:lang w:val="pt-BR"/>
              </w:rPr>
            </w:pPr>
          </w:p>
        </w:tc>
        <w:tc>
          <w:tcPr>
            <w:tcW w:w="552" w:type="pct"/>
          </w:tcPr>
          <w:p w14:paraId="0A9957DD"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28915248" w14:textId="77777777" w:rsidTr="00FF4B29">
        <w:tc>
          <w:tcPr>
            <w:tcW w:w="645" w:type="pct"/>
          </w:tcPr>
          <w:p w14:paraId="3BA2C1EA"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Afectarea osteoarticulară, musculară, dermatologică</w:t>
            </w:r>
          </w:p>
        </w:tc>
        <w:tc>
          <w:tcPr>
            <w:tcW w:w="573" w:type="pct"/>
          </w:tcPr>
          <w:p w14:paraId="6DF5F809"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10395CC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Scolioză/cifoză,</w:t>
            </w:r>
          </w:p>
          <w:p w14:paraId="03A9A467"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pectus excavatum, tendință la cicatrici,</w:t>
            </w:r>
          </w:p>
          <w:p w14:paraId="1E14AFEE"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hipotonie musculară, pete lentiginoase </w:t>
            </w:r>
            <w:r w:rsidRPr="0049126A">
              <w:rPr>
                <w:rFonts w:ascii="Arial Narrow" w:hAnsi="Arial Narrow" w:cs="Times New Roman"/>
                <w:sz w:val="16"/>
                <w:szCs w:val="16"/>
              </w:rPr>
              <w:t xml:space="preserve"> </w:t>
            </w:r>
          </w:p>
        </w:tc>
        <w:tc>
          <w:tcPr>
            <w:tcW w:w="423" w:type="pct"/>
          </w:tcPr>
          <w:p w14:paraId="1AADECE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cutis marmorată</w:t>
            </w:r>
          </w:p>
        </w:tc>
        <w:tc>
          <w:tcPr>
            <w:tcW w:w="563" w:type="pct"/>
          </w:tcPr>
          <w:p w14:paraId="1D65BFD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Pierdere masa musculară, osteroporoză</w:t>
            </w:r>
          </w:p>
        </w:tc>
        <w:tc>
          <w:tcPr>
            <w:tcW w:w="420" w:type="pct"/>
          </w:tcPr>
          <w:p w14:paraId="637D9337"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63858556" w14:textId="77777777" w:rsidR="003913BC" w:rsidRPr="0049126A" w:rsidRDefault="003913BC" w:rsidP="00FF4B29">
            <w:pPr>
              <w:jc w:val="both"/>
              <w:rPr>
                <w:rFonts w:ascii="Arial Narrow" w:hAnsi="Arial Narrow" w:cs="Times New Roman"/>
                <w:sz w:val="16"/>
                <w:szCs w:val="16"/>
                <w:lang w:val="pt-BR"/>
              </w:rPr>
            </w:pPr>
          </w:p>
        </w:tc>
        <w:tc>
          <w:tcPr>
            <w:tcW w:w="678" w:type="pct"/>
          </w:tcPr>
          <w:p w14:paraId="145924B6" w14:textId="77777777" w:rsidR="003913BC" w:rsidRPr="0049126A" w:rsidRDefault="003913BC" w:rsidP="00FF4B29">
            <w:pPr>
              <w:jc w:val="both"/>
              <w:rPr>
                <w:rFonts w:ascii="Arial Narrow" w:hAnsi="Arial Narrow" w:cs="Times New Roman"/>
                <w:sz w:val="16"/>
                <w:szCs w:val="16"/>
                <w:lang w:val="pt-BR"/>
              </w:rPr>
            </w:pPr>
          </w:p>
        </w:tc>
        <w:tc>
          <w:tcPr>
            <w:tcW w:w="552" w:type="pct"/>
          </w:tcPr>
          <w:p w14:paraId="3AE2263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Hipetrpfia generalizată a articulațiilor mâinilor, contracturi și hipertrofii articulare</w:t>
            </w:r>
          </w:p>
          <w:p w14:paraId="10E2075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Anomalii dentare, hiperkeratoză foliculară</w:t>
            </w:r>
          </w:p>
          <w:p w14:paraId="4A40873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fibroze palmare, acroosoteoliză cu pierederea unghiilor/degetelor picioare</w:t>
            </w:r>
          </w:p>
        </w:tc>
      </w:tr>
      <w:tr w:rsidR="0049126A" w:rsidRPr="0049126A" w14:paraId="4F5C33CE" w14:textId="77777777" w:rsidTr="00FF4B29">
        <w:tc>
          <w:tcPr>
            <w:tcW w:w="645" w:type="pct"/>
          </w:tcPr>
          <w:p w14:paraId="6A0E583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 neurologică/intelectuală</w:t>
            </w:r>
          </w:p>
        </w:tc>
        <w:tc>
          <w:tcPr>
            <w:tcW w:w="573" w:type="pct"/>
          </w:tcPr>
          <w:p w14:paraId="435A26F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Afectarea auzului de tip neurosenzorial</w:t>
            </w:r>
          </w:p>
        </w:tc>
        <w:tc>
          <w:tcPr>
            <w:tcW w:w="573" w:type="pct"/>
          </w:tcPr>
          <w:p w14:paraId="7494CEE7" w14:textId="77777777" w:rsidR="003913BC" w:rsidRPr="0049126A" w:rsidRDefault="003913BC" w:rsidP="00FF4B29">
            <w:pPr>
              <w:jc w:val="both"/>
              <w:rPr>
                <w:rFonts w:ascii="Arial Narrow" w:hAnsi="Arial Narrow" w:cs="Times New Roman"/>
                <w:sz w:val="16"/>
                <w:szCs w:val="16"/>
                <w:lang w:val="pt-BR"/>
              </w:rPr>
            </w:pPr>
          </w:p>
        </w:tc>
        <w:tc>
          <w:tcPr>
            <w:tcW w:w="423" w:type="pct"/>
          </w:tcPr>
          <w:p w14:paraId="0BD26E94" w14:textId="77777777" w:rsidR="003913BC" w:rsidRPr="0049126A" w:rsidRDefault="003913BC" w:rsidP="00FF4B29">
            <w:pPr>
              <w:jc w:val="both"/>
              <w:rPr>
                <w:rFonts w:ascii="Arial Narrow" w:hAnsi="Arial Narrow" w:cs="Times New Roman"/>
                <w:sz w:val="16"/>
                <w:szCs w:val="16"/>
                <w:lang w:val="pt-BR"/>
              </w:rPr>
            </w:pPr>
          </w:p>
        </w:tc>
        <w:tc>
          <w:tcPr>
            <w:tcW w:w="563" w:type="pct"/>
          </w:tcPr>
          <w:p w14:paraId="22E8E495"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Dezvoltare cognitivă normală</w:t>
            </w:r>
          </w:p>
          <w:p w14:paraId="5B95E02D" w14:textId="77777777" w:rsidR="003913BC" w:rsidRPr="0049126A" w:rsidRDefault="003913BC" w:rsidP="00FF4B29">
            <w:pPr>
              <w:jc w:val="both"/>
              <w:rPr>
                <w:rFonts w:ascii="Arial Narrow" w:hAnsi="Arial Narrow" w:cs="Times New Roman"/>
                <w:sz w:val="16"/>
                <w:szCs w:val="16"/>
                <w:lang w:val="pt-BR"/>
              </w:rPr>
            </w:pPr>
          </w:p>
        </w:tc>
        <w:tc>
          <w:tcPr>
            <w:tcW w:w="420" w:type="pct"/>
          </w:tcPr>
          <w:p w14:paraId="1FC5F31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Deficit intelectual moderat</w:t>
            </w:r>
          </w:p>
          <w:p w14:paraId="080BA3E8"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Hipotonie generalizată</w:t>
            </w:r>
          </w:p>
        </w:tc>
        <w:tc>
          <w:tcPr>
            <w:tcW w:w="573" w:type="pct"/>
          </w:tcPr>
          <w:p w14:paraId="419BB9FF" w14:textId="77777777" w:rsidR="003913BC" w:rsidRPr="0049126A" w:rsidRDefault="003913BC" w:rsidP="00FF4B29">
            <w:pPr>
              <w:jc w:val="both"/>
              <w:rPr>
                <w:rFonts w:ascii="Arial Narrow" w:hAnsi="Arial Narrow" w:cs="Times New Roman"/>
                <w:sz w:val="16"/>
                <w:szCs w:val="16"/>
                <w:lang w:val="pt-BR"/>
              </w:rPr>
            </w:pPr>
          </w:p>
        </w:tc>
        <w:tc>
          <w:tcPr>
            <w:tcW w:w="678" w:type="pct"/>
          </w:tcPr>
          <w:p w14:paraId="0E3B46C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Dezvoltare cognitivă normală</w:t>
            </w:r>
          </w:p>
        </w:tc>
        <w:tc>
          <w:tcPr>
            <w:tcW w:w="552" w:type="pct"/>
          </w:tcPr>
          <w:p w14:paraId="131608CC"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6E9A55FE" w14:textId="77777777" w:rsidTr="00FF4B29">
        <w:tc>
          <w:tcPr>
            <w:tcW w:w="645" w:type="pct"/>
          </w:tcPr>
          <w:p w14:paraId="1F3C3A6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Alte manifestări</w:t>
            </w:r>
          </w:p>
        </w:tc>
        <w:tc>
          <w:tcPr>
            <w:tcW w:w="573" w:type="pct"/>
          </w:tcPr>
          <w:p w14:paraId="649A6A92" w14:textId="77777777" w:rsidR="003913BC" w:rsidRPr="0049126A" w:rsidRDefault="003913BC" w:rsidP="00FF4B29">
            <w:pPr>
              <w:jc w:val="both"/>
              <w:rPr>
                <w:rFonts w:ascii="Arial Narrow" w:hAnsi="Arial Narrow" w:cs="Times New Roman"/>
                <w:sz w:val="16"/>
                <w:szCs w:val="16"/>
              </w:rPr>
            </w:pPr>
          </w:p>
        </w:tc>
        <w:tc>
          <w:tcPr>
            <w:tcW w:w="573" w:type="pct"/>
          </w:tcPr>
          <w:p w14:paraId="12F7505D"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Devoltare pubertară normală</w:t>
            </w:r>
          </w:p>
        </w:tc>
        <w:tc>
          <w:tcPr>
            <w:tcW w:w="423" w:type="pct"/>
          </w:tcPr>
          <w:p w14:paraId="34D2B3C9" w14:textId="77777777" w:rsidR="003913BC" w:rsidRPr="0049126A" w:rsidRDefault="003913BC" w:rsidP="00FF4B29">
            <w:pPr>
              <w:jc w:val="both"/>
              <w:rPr>
                <w:rFonts w:ascii="Arial Narrow" w:hAnsi="Arial Narrow" w:cs="Times New Roman"/>
                <w:sz w:val="16"/>
                <w:szCs w:val="16"/>
                <w:lang w:val="pt-BR"/>
              </w:rPr>
            </w:pPr>
          </w:p>
        </w:tc>
        <w:tc>
          <w:tcPr>
            <w:tcW w:w="563" w:type="pct"/>
          </w:tcPr>
          <w:p w14:paraId="1248021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rPr>
              <w:t>Hipogonadism</w:t>
            </w:r>
          </w:p>
        </w:tc>
        <w:tc>
          <w:tcPr>
            <w:tcW w:w="420" w:type="pct"/>
          </w:tcPr>
          <w:p w14:paraId="6F85A8B6"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75A64553" w14:textId="77777777" w:rsidR="003913BC" w:rsidRPr="0049126A" w:rsidRDefault="003913BC" w:rsidP="00FF4B29">
            <w:pPr>
              <w:jc w:val="both"/>
              <w:rPr>
                <w:rFonts w:ascii="Arial Narrow" w:hAnsi="Arial Narrow" w:cs="Times New Roman"/>
                <w:sz w:val="16"/>
                <w:szCs w:val="16"/>
                <w:lang w:val="pt-BR"/>
              </w:rPr>
            </w:pPr>
          </w:p>
        </w:tc>
        <w:tc>
          <w:tcPr>
            <w:tcW w:w="678" w:type="pct"/>
          </w:tcPr>
          <w:p w14:paraId="06BE810F"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Hipotiroidism</w:t>
            </w:r>
          </w:p>
          <w:p w14:paraId="5569D25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La sexul feminin pubertate întârziată și menopauză precoce</w:t>
            </w:r>
          </w:p>
          <w:p w14:paraId="57B684A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La sexul masculine progresie pubertară normal, dar uneori evoluție spre atrofie; criptorhidism</w:t>
            </w:r>
          </w:p>
          <w:p w14:paraId="100B037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infertilitate masculină în toate cazurile</w:t>
            </w:r>
          </w:p>
        </w:tc>
        <w:tc>
          <w:tcPr>
            <w:tcW w:w="552" w:type="pct"/>
          </w:tcPr>
          <w:p w14:paraId="119079B9" w14:textId="77777777" w:rsidR="003913BC" w:rsidRPr="0049126A" w:rsidRDefault="003913BC" w:rsidP="00FF4B29">
            <w:pPr>
              <w:jc w:val="both"/>
              <w:rPr>
                <w:rFonts w:ascii="Arial Narrow" w:hAnsi="Arial Narrow" w:cs="Times New Roman"/>
                <w:sz w:val="16"/>
                <w:szCs w:val="16"/>
                <w:lang w:val="pt-BR"/>
              </w:rPr>
            </w:pPr>
          </w:p>
        </w:tc>
      </w:tr>
      <w:tr w:rsidR="0049126A" w:rsidRPr="0049126A" w14:paraId="3C35B455" w14:textId="77777777" w:rsidTr="00FF4B29">
        <w:tc>
          <w:tcPr>
            <w:tcW w:w="645" w:type="pct"/>
          </w:tcPr>
          <w:p w14:paraId="31E1DC6C"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Prognostic</w:t>
            </w:r>
          </w:p>
        </w:tc>
        <w:tc>
          <w:tcPr>
            <w:tcW w:w="573" w:type="pct"/>
          </w:tcPr>
          <w:p w14:paraId="40D1EB7C"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5043BC2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Durata de supraviețuire necunoscută, unii pot atinge viața adultă</w:t>
            </w:r>
          </w:p>
        </w:tc>
        <w:tc>
          <w:tcPr>
            <w:tcW w:w="423" w:type="pct"/>
          </w:tcPr>
          <w:p w14:paraId="51950DC9" w14:textId="77777777" w:rsidR="003913BC" w:rsidRPr="0049126A" w:rsidRDefault="003913BC" w:rsidP="00FF4B29">
            <w:pPr>
              <w:jc w:val="both"/>
              <w:rPr>
                <w:rFonts w:ascii="Arial Narrow" w:hAnsi="Arial Narrow" w:cs="Times New Roman"/>
                <w:sz w:val="16"/>
                <w:szCs w:val="16"/>
                <w:lang w:val="pt-BR"/>
              </w:rPr>
            </w:pPr>
          </w:p>
        </w:tc>
        <w:tc>
          <w:tcPr>
            <w:tcW w:w="563" w:type="pct"/>
          </w:tcPr>
          <w:p w14:paraId="5E3EC304"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Risc de mailgnități</w:t>
            </w:r>
          </w:p>
          <w:p w14:paraId="28CC58F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Neoplazii tiroidiene,</w:t>
            </w:r>
          </w:p>
          <w:p w14:paraId="427E5792"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melanom meningiom</w:t>
            </w:r>
          </w:p>
          <w:p w14:paraId="03F2535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sarcoame de țesuturi moi</w:t>
            </w:r>
          </w:p>
          <w:p w14:paraId="0273AED0"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leucemii</w:t>
            </w:r>
          </w:p>
          <w:p w14:paraId="2B060741"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neoplazii osoase</w:t>
            </w:r>
          </w:p>
          <w:p w14:paraId="21510A1B"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deces </w:t>
            </w:r>
            <w:r w:rsidRPr="0049126A">
              <w:rPr>
                <w:rFonts w:ascii="Arial" w:hAnsi="Arial" w:cs="Arial"/>
                <w:sz w:val="16"/>
                <w:szCs w:val="16"/>
                <w:lang w:val="pt-BR"/>
              </w:rPr>
              <w:t>̴</w:t>
            </w:r>
            <w:r w:rsidRPr="0049126A">
              <w:rPr>
                <w:rFonts w:ascii="Arial Narrow" w:hAnsi="Arial Narrow" w:cs="Times New Roman"/>
                <w:sz w:val="16"/>
                <w:szCs w:val="16"/>
                <w:lang w:val="pt-BR"/>
              </w:rPr>
              <w:t xml:space="preserve"> 50 ani</w:t>
            </w:r>
          </w:p>
        </w:tc>
        <w:tc>
          <w:tcPr>
            <w:tcW w:w="420" w:type="pct"/>
          </w:tcPr>
          <w:p w14:paraId="3CFD6ED9" w14:textId="77777777" w:rsidR="003913BC" w:rsidRPr="0049126A" w:rsidRDefault="003913BC" w:rsidP="00FF4B29">
            <w:pPr>
              <w:jc w:val="both"/>
              <w:rPr>
                <w:rFonts w:ascii="Arial Narrow" w:hAnsi="Arial Narrow" w:cs="Times New Roman"/>
                <w:sz w:val="16"/>
                <w:szCs w:val="16"/>
                <w:lang w:val="pt-BR"/>
              </w:rPr>
            </w:pPr>
          </w:p>
        </w:tc>
        <w:tc>
          <w:tcPr>
            <w:tcW w:w="573" w:type="pct"/>
          </w:tcPr>
          <w:p w14:paraId="619247C8" w14:textId="77777777" w:rsidR="003913BC" w:rsidRPr="0049126A" w:rsidRDefault="003913BC" w:rsidP="00FF4B29">
            <w:pPr>
              <w:jc w:val="both"/>
              <w:rPr>
                <w:rFonts w:ascii="Arial Narrow" w:hAnsi="Arial Narrow" w:cs="Times New Roman"/>
                <w:sz w:val="16"/>
                <w:szCs w:val="16"/>
                <w:lang w:val="pt-BR"/>
              </w:rPr>
            </w:pPr>
          </w:p>
        </w:tc>
        <w:tc>
          <w:tcPr>
            <w:tcW w:w="678" w:type="pct"/>
          </w:tcPr>
          <w:p w14:paraId="43D8B26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Risc crescut de neoplazii, tipuri ca în populația generală</w:t>
            </w:r>
            <w:r w:rsidRPr="0049126A">
              <w:rPr>
                <w:rFonts w:ascii="Arial Narrow" w:hAnsi="Arial Narrow" w:cs="Times New Roman"/>
                <w:sz w:val="16"/>
                <w:szCs w:val="16"/>
                <w:lang w:val="pt-BR"/>
              </w:rPr>
              <w:br/>
              <w:t>cele mai frecvente – leucemii, limfoame</w:t>
            </w:r>
          </w:p>
          <w:p w14:paraId="6B40DEB9"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Supraviețuire maxim 30 ani</w:t>
            </w:r>
          </w:p>
        </w:tc>
        <w:tc>
          <w:tcPr>
            <w:tcW w:w="552" w:type="pct"/>
          </w:tcPr>
          <w:p w14:paraId="32AD6016" w14:textId="77777777" w:rsidR="003913BC" w:rsidRPr="0049126A" w:rsidRDefault="003913BC" w:rsidP="00FF4B29">
            <w:pPr>
              <w:jc w:val="both"/>
              <w:rPr>
                <w:rFonts w:ascii="Arial Narrow" w:hAnsi="Arial Narrow" w:cs="Times New Roman"/>
                <w:sz w:val="16"/>
                <w:szCs w:val="16"/>
                <w:lang w:val="pt-BR"/>
              </w:rPr>
            </w:pPr>
            <w:r w:rsidRPr="0049126A">
              <w:rPr>
                <w:rFonts w:ascii="Arial Narrow" w:hAnsi="Arial Narrow" w:cs="Times New Roman"/>
                <w:sz w:val="16"/>
                <w:szCs w:val="16"/>
                <w:lang w:val="pt-BR"/>
              </w:rPr>
              <w:t xml:space="preserve">Durată de viață medie, câtiva dintre pacienți au depășit 50 ani </w:t>
            </w:r>
          </w:p>
          <w:p w14:paraId="404BEFA7" w14:textId="77777777" w:rsidR="003913BC" w:rsidRPr="0049126A" w:rsidRDefault="003913BC" w:rsidP="00FF4B29">
            <w:pPr>
              <w:jc w:val="both"/>
              <w:rPr>
                <w:rFonts w:ascii="Arial Narrow" w:hAnsi="Arial Narrow" w:cs="Times New Roman"/>
                <w:sz w:val="16"/>
                <w:szCs w:val="16"/>
                <w:lang w:val="pt-BR"/>
              </w:rPr>
            </w:pPr>
          </w:p>
        </w:tc>
      </w:tr>
    </w:tbl>
    <w:p w14:paraId="7353F279" w14:textId="77777777" w:rsidR="003913BC" w:rsidRPr="0049126A" w:rsidRDefault="003913BC" w:rsidP="003913BC">
      <w:pPr>
        <w:jc w:val="both"/>
        <w:rPr>
          <w:rFonts w:ascii="Times New Roman" w:hAnsi="Times New Roman" w:cs="Times New Roman"/>
          <w:i/>
          <w:iCs/>
          <w:sz w:val="20"/>
          <w:szCs w:val="20"/>
        </w:rPr>
      </w:pPr>
      <w:r w:rsidRPr="0049126A">
        <w:rPr>
          <w:rFonts w:ascii="Times New Roman" w:hAnsi="Times New Roman" w:cs="Times New Roman"/>
          <w:i/>
          <w:iCs/>
          <w:sz w:val="20"/>
          <w:szCs w:val="20"/>
        </w:rPr>
        <w:t>PVM – prolaps de valvă mitrală</w:t>
      </w:r>
    </w:p>
    <w:p w14:paraId="7F5C79E2" w14:textId="77777777" w:rsidR="003913BC" w:rsidRPr="0049126A" w:rsidRDefault="003913BC" w:rsidP="003913BC">
      <w:pPr>
        <w:rPr>
          <w:rFonts w:ascii="Times New Roman" w:hAnsi="Times New Roman" w:cs="Times New Roman"/>
          <w:sz w:val="20"/>
          <w:szCs w:val="20"/>
        </w:rPr>
      </w:pPr>
    </w:p>
    <w:p w14:paraId="4D5BCE00"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55FAA918" w14:textId="6BF65CA9" w:rsidR="00543C11" w:rsidRPr="0049126A" w:rsidRDefault="003913BC" w:rsidP="00380B65">
      <w:pPr>
        <w:tabs>
          <w:tab w:val="left" w:pos="426"/>
        </w:tabs>
        <w:jc w:val="both"/>
        <w:rPr>
          <w:rFonts w:ascii="Times New Roman" w:eastAsia="Arial" w:hAnsi="Times New Roman" w:cs="Times New Roman"/>
          <w:b/>
          <w:bCs/>
          <w:sz w:val="24"/>
          <w:szCs w:val="24"/>
          <w:lang w:val="en-US"/>
        </w:rPr>
      </w:pPr>
      <w:r w:rsidRPr="0049126A">
        <w:rPr>
          <w:rFonts w:ascii="Times New Roman" w:hAnsi="Times New Roman" w:cs="Times New Roman"/>
          <w:b/>
          <w:sz w:val="24"/>
          <w:szCs w:val="24"/>
        </w:rPr>
        <w:lastRenderedPageBreak/>
        <w:t>ANEXA 4</w:t>
      </w:r>
    </w:p>
    <w:p w14:paraId="0C35E86C"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0B221D87"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36D3708D"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6891A703" w14:textId="492A7B55" w:rsidR="00543C11" w:rsidRPr="0049126A" w:rsidRDefault="003913BC" w:rsidP="00380B65">
      <w:pPr>
        <w:tabs>
          <w:tab w:val="left" w:pos="426"/>
        </w:tabs>
        <w:jc w:val="both"/>
        <w:rPr>
          <w:rFonts w:ascii="Times New Roman" w:eastAsia="Arial" w:hAnsi="Times New Roman" w:cs="Times New Roman"/>
          <w:b/>
          <w:bCs/>
          <w:sz w:val="24"/>
          <w:szCs w:val="24"/>
          <w:lang w:val="en-US"/>
        </w:rPr>
      </w:pPr>
      <w:r w:rsidRPr="0049126A">
        <w:rPr>
          <w:rFonts w:ascii="Arial Narrow" w:hAnsi="Arial Narrow" w:cstheme="minorHAnsi"/>
          <w:noProof/>
          <w:lang w:val="en-US"/>
        </w:rPr>
        <w:drawing>
          <wp:inline distT="0" distB="0" distL="0" distR="0" wp14:anchorId="7DCA3CF3" wp14:editId="529124A5">
            <wp:extent cx="5943600" cy="4495800"/>
            <wp:effectExtent l="0" t="0" r="0" b="0"/>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95800"/>
                    </a:xfrm>
                    <a:prstGeom prst="rect">
                      <a:avLst/>
                    </a:prstGeom>
                    <a:noFill/>
                    <a:ln>
                      <a:noFill/>
                    </a:ln>
                  </pic:spPr>
                </pic:pic>
              </a:graphicData>
            </a:graphic>
          </wp:inline>
        </w:drawing>
      </w:r>
    </w:p>
    <w:p w14:paraId="36C11D78"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29945658"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7364900B" w14:textId="24F6360F" w:rsidR="003913BC" w:rsidRPr="0049126A" w:rsidRDefault="003913BC" w:rsidP="003913BC">
      <w:pPr>
        <w:jc w:val="both"/>
        <w:rPr>
          <w:rFonts w:ascii="Times New Roman" w:hAnsi="Times New Roman" w:cs="Times New Roman"/>
          <w:sz w:val="20"/>
          <w:szCs w:val="20"/>
        </w:rPr>
      </w:pPr>
      <w:r w:rsidRPr="0049126A">
        <w:rPr>
          <w:rFonts w:ascii="Times New Roman" w:hAnsi="Times New Roman" w:cs="Times New Roman"/>
          <w:sz w:val="20"/>
          <w:szCs w:val="20"/>
        </w:rPr>
        <w:t>Adaptat dupa” Practice guideline for lipodystrophy syndromes-clinically important diseases of the Japan Endocrine Society (JES)”(12)</w:t>
      </w:r>
    </w:p>
    <w:p w14:paraId="73F6DB85" w14:textId="77777777" w:rsidR="003913BC" w:rsidRPr="0049126A" w:rsidRDefault="003913BC" w:rsidP="003913BC">
      <w:pPr>
        <w:jc w:val="both"/>
        <w:rPr>
          <w:rFonts w:ascii="Times New Roman" w:hAnsi="Times New Roman" w:cs="Times New Roman"/>
          <w:sz w:val="20"/>
          <w:szCs w:val="20"/>
        </w:rPr>
      </w:pPr>
      <w:r w:rsidRPr="0049126A">
        <w:rPr>
          <w:rFonts w:ascii="Times New Roman" w:hAnsi="Times New Roman" w:cs="Times New Roman"/>
          <w:sz w:val="20"/>
          <w:szCs w:val="20"/>
        </w:rPr>
        <w:t xml:space="preserve">1) se suspectează  sindroame lipodistrofice la pacienți cu rezistență severă la insulină, diabet zaharat, hipertrigliceridemie și tulburări metabolice, cum ar fi ficatul gras nonalcoolic (NAFLD), </w:t>
      </w:r>
    </w:p>
    <w:p w14:paraId="60508250" w14:textId="148494C0" w:rsidR="003913BC" w:rsidRPr="0049126A" w:rsidRDefault="003913BC" w:rsidP="003913BC">
      <w:pPr>
        <w:jc w:val="both"/>
        <w:rPr>
          <w:rFonts w:ascii="Times New Roman" w:hAnsi="Times New Roman" w:cs="Times New Roman"/>
          <w:sz w:val="20"/>
          <w:szCs w:val="20"/>
        </w:rPr>
      </w:pPr>
      <w:r w:rsidRPr="0049126A">
        <w:rPr>
          <w:rFonts w:ascii="Times New Roman" w:hAnsi="Times New Roman" w:cs="Times New Roman"/>
          <w:sz w:val="20"/>
          <w:szCs w:val="20"/>
        </w:rPr>
        <w:t>2) Este util RMN ponderat T1 whole-body pentru a evalua lipodistrofia. Când lipodistrofia prezintă o simetrie bilaterală, trebuie suspectat sindromul de lipodistrofie parțială. Când lipodistrofia este asimetrică, trebuie suspectat sindromul de lipodistrofie regională. (LD=lipodistrofie; Sdr.=sindrom)”</w:t>
      </w:r>
    </w:p>
    <w:p w14:paraId="3AC127F7"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1F26F8D6"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3524F5DF"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65F93477"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245EABDF" w14:textId="77777777" w:rsidR="00543C11" w:rsidRPr="0049126A" w:rsidRDefault="00543C11" w:rsidP="00380B65">
      <w:pPr>
        <w:tabs>
          <w:tab w:val="left" w:pos="426"/>
        </w:tabs>
        <w:jc w:val="both"/>
        <w:rPr>
          <w:rFonts w:ascii="Times New Roman" w:eastAsia="Arial" w:hAnsi="Times New Roman" w:cs="Times New Roman"/>
          <w:b/>
          <w:bCs/>
          <w:sz w:val="24"/>
          <w:szCs w:val="24"/>
          <w:lang w:val="en-US"/>
        </w:rPr>
      </w:pPr>
    </w:p>
    <w:p w14:paraId="449EB262"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1E94A4A8" w14:textId="3AC5FEE5" w:rsidR="00F73895" w:rsidRPr="00300738" w:rsidRDefault="00F73895" w:rsidP="00C26280">
      <w:pPr>
        <w:pStyle w:val="ListParagraph"/>
        <w:numPr>
          <w:ilvl w:val="0"/>
          <w:numId w:val="9"/>
        </w:numPr>
        <w:tabs>
          <w:tab w:val="left" w:pos="426"/>
        </w:tabs>
        <w:jc w:val="both"/>
        <w:rPr>
          <w:rFonts w:eastAsia="Arial"/>
          <w:b/>
          <w:bCs/>
          <w:color w:val="FF0000"/>
          <w:lang w:val="en-US"/>
        </w:rPr>
      </w:pPr>
      <w:r w:rsidRPr="00300738">
        <w:rPr>
          <w:rFonts w:eastAsia="Arial"/>
          <w:b/>
          <w:bCs/>
          <w:color w:val="FF0000"/>
          <w:lang w:val="en-US"/>
        </w:rPr>
        <w:lastRenderedPageBreak/>
        <w:t xml:space="preserve">La anexa nr. 1, după protocolul terapeutic corespunzător poziției cu nr. 356 se introduce protocolul terapeutic corespunzător poziției nr. </w:t>
      </w:r>
      <w:r w:rsidR="00896095" w:rsidRPr="00300738">
        <w:rPr>
          <w:rFonts w:eastAsia="Arial"/>
          <w:b/>
          <w:bCs/>
          <w:color w:val="FF0000"/>
          <w:lang w:val="en-US"/>
        </w:rPr>
        <w:t xml:space="preserve">357 cod (L01FX25): DCI MOSUNETUZUMABUM </w:t>
      </w:r>
      <w:r w:rsidRPr="00300738">
        <w:rPr>
          <w:rFonts w:eastAsia="Arial"/>
          <w:b/>
          <w:bCs/>
          <w:color w:val="FF0000"/>
          <w:lang w:val="en-US"/>
        </w:rPr>
        <w:t xml:space="preserve">cu următorul cuprins: </w:t>
      </w:r>
    </w:p>
    <w:p w14:paraId="3527772A"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649195CA" w14:textId="402C6264" w:rsidR="002A1321"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”Protocol terapeutic corespunzător poziţiei nr. 35</w:t>
      </w:r>
      <w:r w:rsidR="00896095" w:rsidRPr="0049126A">
        <w:rPr>
          <w:rFonts w:ascii="Times New Roman" w:eastAsia="Arial" w:hAnsi="Times New Roman" w:cs="Times New Roman"/>
          <w:b/>
          <w:bCs/>
          <w:sz w:val="24"/>
          <w:szCs w:val="24"/>
          <w:lang w:val="en-US"/>
        </w:rPr>
        <w:t>7</w:t>
      </w:r>
      <w:r w:rsidRPr="0049126A">
        <w:rPr>
          <w:rFonts w:ascii="Times New Roman" w:eastAsia="Arial" w:hAnsi="Times New Roman" w:cs="Times New Roman"/>
          <w:b/>
          <w:bCs/>
          <w:sz w:val="24"/>
          <w:szCs w:val="24"/>
          <w:lang w:val="en-US"/>
        </w:rPr>
        <w:t xml:space="preserve"> cod (</w:t>
      </w:r>
      <w:r w:rsidR="00896095" w:rsidRPr="0049126A">
        <w:rPr>
          <w:rFonts w:ascii="Times New Roman" w:eastAsia="Arial" w:hAnsi="Times New Roman" w:cs="Times New Roman"/>
          <w:b/>
          <w:bCs/>
          <w:sz w:val="24"/>
          <w:szCs w:val="24"/>
          <w:lang w:val="en-US"/>
        </w:rPr>
        <w:t>L01FX25</w:t>
      </w:r>
      <w:r w:rsidRPr="0049126A">
        <w:rPr>
          <w:rFonts w:ascii="Times New Roman" w:eastAsia="Arial" w:hAnsi="Times New Roman" w:cs="Times New Roman"/>
          <w:b/>
          <w:bCs/>
          <w:sz w:val="24"/>
          <w:szCs w:val="24"/>
          <w:lang w:val="en-US"/>
        </w:rPr>
        <w:t xml:space="preserve">): DCI </w:t>
      </w:r>
      <w:r w:rsidR="00896095" w:rsidRPr="0049126A">
        <w:rPr>
          <w:rFonts w:ascii="Times New Roman" w:eastAsia="Arial" w:hAnsi="Times New Roman" w:cs="Times New Roman"/>
          <w:b/>
          <w:bCs/>
          <w:sz w:val="24"/>
          <w:szCs w:val="24"/>
          <w:lang w:val="en-US"/>
        </w:rPr>
        <w:t>MOSUNETUZUMABUM</w:t>
      </w:r>
    </w:p>
    <w:p w14:paraId="01C76169" w14:textId="77777777" w:rsidR="002A1321" w:rsidRPr="0049126A" w:rsidRDefault="002A1321" w:rsidP="002A1321">
      <w:pPr>
        <w:tabs>
          <w:tab w:val="left" w:pos="426"/>
        </w:tabs>
        <w:spacing w:after="0"/>
        <w:jc w:val="both"/>
        <w:rPr>
          <w:rFonts w:ascii="Times New Roman" w:eastAsia="Arial" w:hAnsi="Times New Roman" w:cs="Times New Roman"/>
          <w:b/>
          <w:bCs/>
          <w:sz w:val="24"/>
          <w:szCs w:val="24"/>
          <w:lang w:val="en-US"/>
        </w:rPr>
      </w:pPr>
    </w:p>
    <w:p w14:paraId="1C08016A" w14:textId="4330429F" w:rsidR="00FF4B29" w:rsidRPr="0049126A" w:rsidRDefault="00FF4B29" w:rsidP="00FF4B29">
      <w:pPr>
        <w:spacing w:after="0"/>
        <w:jc w:val="both"/>
        <w:rPr>
          <w:rFonts w:ascii="Times New Roman" w:hAnsi="Times New Roman" w:cs="Times New Roman"/>
          <w:b/>
          <w:sz w:val="24"/>
          <w:szCs w:val="24"/>
          <w:lang w:val="pt-BR"/>
        </w:rPr>
      </w:pPr>
      <w:r w:rsidRPr="0049126A">
        <w:rPr>
          <w:rFonts w:ascii="Times New Roman" w:hAnsi="Times New Roman" w:cs="Times New Roman"/>
          <w:b/>
          <w:sz w:val="24"/>
          <w:szCs w:val="24"/>
          <w:lang w:val="pt-BR"/>
        </w:rPr>
        <w:t>I. Indicații terapeutice</w:t>
      </w:r>
    </w:p>
    <w:p w14:paraId="5C5F633A" w14:textId="31C74DBD" w:rsidR="00FF4B29" w:rsidRPr="0049126A" w:rsidRDefault="00FF4B29" w:rsidP="00FF4B29">
      <w:pPr>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Mosunetuzumab în monoterapie este indicat pentru tratamentul pacienţilor adulţi cu limfom folicular (LF) recidivat sau refractar, cărora li s-au administrat cel puţin două t</w:t>
      </w:r>
      <w:r w:rsidR="002A1321" w:rsidRPr="0049126A">
        <w:rPr>
          <w:rFonts w:ascii="Times New Roman" w:hAnsi="Times New Roman" w:cs="Times New Roman"/>
          <w:sz w:val="24"/>
          <w:szCs w:val="24"/>
          <w:lang w:val="pt-BR"/>
        </w:rPr>
        <w:t>ratamente sistemice anterioare.</w:t>
      </w:r>
    </w:p>
    <w:p w14:paraId="7652041B" w14:textId="2D78AB46" w:rsidR="00FF4B29" w:rsidRPr="0049126A" w:rsidRDefault="00FF4B29" w:rsidP="00FF4B29">
      <w:pPr>
        <w:spacing w:after="0"/>
        <w:jc w:val="both"/>
        <w:rPr>
          <w:rFonts w:ascii="Times New Roman" w:hAnsi="Times New Roman" w:cs="Times New Roman"/>
          <w:b/>
          <w:sz w:val="24"/>
          <w:szCs w:val="24"/>
          <w:lang w:val="pt-BR"/>
        </w:rPr>
      </w:pPr>
      <w:r w:rsidRPr="0049126A">
        <w:rPr>
          <w:rFonts w:ascii="Times New Roman" w:hAnsi="Times New Roman" w:cs="Times New Roman"/>
          <w:b/>
          <w:sz w:val="24"/>
          <w:szCs w:val="24"/>
          <w:lang w:val="pt-BR"/>
        </w:rPr>
        <w:t xml:space="preserve">II. Criterii de includere </w:t>
      </w:r>
    </w:p>
    <w:p w14:paraId="63C22E7A" w14:textId="42FCC525" w:rsidR="00FF4B29" w:rsidRPr="0049126A" w:rsidRDefault="00FF4B29" w:rsidP="00FF4B29">
      <w:pPr>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Pacienții adulți cu limfom folicular (LF) cu boală recidivată sau refractară, după administrarea a cel puțin două regimuri a</w:t>
      </w:r>
      <w:r w:rsidR="002A1321" w:rsidRPr="0049126A">
        <w:rPr>
          <w:rFonts w:ascii="Times New Roman" w:hAnsi="Times New Roman" w:cs="Times New Roman"/>
          <w:sz w:val="24"/>
          <w:szCs w:val="24"/>
          <w:lang w:val="pt-BR"/>
        </w:rPr>
        <w:t>nterioare de terapie sistemică.</w:t>
      </w:r>
    </w:p>
    <w:p w14:paraId="1A389C43" w14:textId="094F6A49" w:rsidR="00FF4B29" w:rsidRPr="0049126A" w:rsidRDefault="00FF4B29" w:rsidP="00FF4B29">
      <w:pPr>
        <w:spacing w:after="0"/>
        <w:jc w:val="both"/>
        <w:rPr>
          <w:rFonts w:ascii="Times New Roman" w:hAnsi="Times New Roman" w:cs="Times New Roman"/>
          <w:b/>
          <w:sz w:val="24"/>
          <w:szCs w:val="24"/>
        </w:rPr>
      </w:pPr>
      <w:r w:rsidRPr="0049126A">
        <w:rPr>
          <w:rFonts w:ascii="Times New Roman" w:hAnsi="Times New Roman" w:cs="Times New Roman"/>
          <w:b/>
          <w:sz w:val="24"/>
          <w:szCs w:val="24"/>
        </w:rPr>
        <w:t>III. Criterii de excludere</w:t>
      </w:r>
    </w:p>
    <w:p w14:paraId="08CF7189" w14:textId="77777777" w:rsidR="00FF4B29" w:rsidRPr="0049126A" w:rsidRDefault="00FF4B29" w:rsidP="00367864">
      <w:pPr>
        <w:widowControl w:val="0"/>
        <w:numPr>
          <w:ilvl w:val="0"/>
          <w:numId w:val="94"/>
        </w:numPr>
        <w:pBdr>
          <w:top w:val="nil"/>
          <w:left w:val="nil"/>
          <w:bottom w:val="nil"/>
          <w:right w:val="nil"/>
          <w:between w:val="nil"/>
        </w:pBdr>
        <w:spacing w:after="0" w:line="240" w:lineRule="auto"/>
        <w:ind w:left="284" w:hanging="284"/>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Hipersensibilitate la substanța activă sau la excipienții din compoziția produsului; </w:t>
      </w:r>
    </w:p>
    <w:p w14:paraId="19435B48" w14:textId="77777777" w:rsidR="00FF4B29" w:rsidRPr="0049126A" w:rsidRDefault="00FF4B29" w:rsidP="00367864">
      <w:pPr>
        <w:widowControl w:val="0"/>
        <w:numPr>
          <w:ilvl w:val="0"/>
          <w:numId w:val="94"/>
        </w:numPr>
        <w:pBdr>
          <w:top w:val="nil"/>
          <w:left w:val="nil"/>
          <w:bottom w:val="nil"/>
          <w:right w:val="nil"/>
          <w:between w:val="nil"/>
        </w:pBdr>
        <w:spacing w:after="0" w:line="240" w:lineRule="auto"/>
        <w:ind w:left="284" w:hanging="284"/>
        <w:jc w:val="both"/>
        <w:rPr>
          <w:rFonts w:ascii="Times New Roman" w:hAnsi="Times New Roman" w:cs="Times New Roman"/>
          <w:sz w:val="24"/>
          <w:szCs w:val="24"/>
        </w:rPr>
      </w:pPr>
      <w:r w:rsidRPr="0049126A">
        <w:rPr>
          <w:rFonts w:ascii="Times New Roman" w:hAnsi="Times New Roman" w:cs="Times New Roman"/>
          <w:sz w:val="24"/>
          <w:szCs w:val="24"/>
        </w:rPr>
        <w:t>Infecţii active;</w:t>
      </w:r>
    </w:p>
    <w:p w14:paraId="481189B6" w14:textId="77777777" w:rsidR="00FF4B29" w:rsidRPr="0049126A" w:rsidRDefault="00FF4B29" w:rsidP="00367864">
      <w:pPr>
        <w:widowControl w:val="0"/>
        <w:numPr>
          <w:ilvl w:val="0"/>
          <w:numId w:val="94"/>
        </w:numPr>
        <w:pBdr>
          <w:top w:val="nil"/>
          <w:left w:val="nil"/>
          <w:bottom w:val="nil"/>
          <w:right w:val="nil"/>
          <w:between w:val="nil"/>
        </w:pBdr>
        <w:spacing w:after="0" w:line="240" w:lineRule="auto"/>
        <w:ind w:left="284" w:hanging="284"/>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Perioadele de imunizare în care se administrează vaccinuri cu virus viu și/sau viu-atenuat;</w:t>
      </w:r>
    </w:p>
    <w:p w14:paraId="63DCD991" w14:textId="77777777" w:rsidR="00FF4B29" w:rsidRPr="0049126A" w:rsidRDefault="00FF4B29" w:rsidP="00367864">
      <w:pPr>
        <w:widowControl w:val="0"/>
        <w:numPr>
          <w:ilvl w:val="0"/>
          <w:numId w:val="94"/>
        </w:numPr>
        <w:pBdr>
          <w:top w:val="nil"/>
          <w:left w:val="nil"/>
          <w:bottom w:val="nil"/>
          <w:right w:val="nil"/>
          <w:between w:val="nil"/>
        </w:pBdr>
        <w:spacing w:after="0" w:line="240" w:lineRule="auto"/>
        <w:ind w:left="284" w:hanging="284"/>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Mosunetuzumab nu este recomandat în timpul sarcinii şi la femei aflate la vârsta fertilă care nu utilizează măsuri contraceptive. Administrarea Mosunetuzumab trebuie întreruptă pe perioada alăptării şi timp de încă 3 luni după administrarea ultimei doze de tratament.</w:t>
      </w:r>
    </w:p>
    <w:p w14:paraId="2A937056" w14:textId="77777777" w:rsidR="00FF4B29" w:rsidRPr="0049126A" w:rsidRDefault="00FF4B29" w:rsidP="00FF4B29">
      <w:pPr>
        <w:jc w:val="both"/>
        <w:rPr>
          <w:rFonts w:ascii="Times New Roman" w:hAnsi="Times New Roman" w:cs="Times New Roman"/>
          <w:sz w:val="24"/>
          <w:szCs w:val="24"/>
          <w:lang w:val="pt-BR"/>
        </w:rPr>
      </w:pPr>
    </w:p>
    <w:p w14:paraId="18FC7D91" w14:textId="50F62190" w:rsidR="00FF4B29" w:rsidRPr="0049126A" w:rsidRDefault="00FF4B29" w:rsidP="00FF4B29">
      <w:pPr>
        <w:jc w:val="both"/>
        <w:rPr>
          <w:rFonts w:ascii="Times New Roman" w:hAnsi="Times New Roman" w:cs="Times New Roman"/>
          <w:b/>
          <w:sz w:val="24"/>
          <w:szCs w:val="24"/>
          <w:lang w:val="pt-BR"/>
        </w:rPr>
      </w:pPr>
      <w:r w:rsidRPr="0049126A">
        <w:rPr>
          <w:rFonts w:ascii="Times New Roman" w:hAnsi="Times New Roman" w:cs="Times New Roman"/>
          <w:b/>
          <w:sz w:val="24"/>
          <w:szCs w:val="24"/>
          <w:lang w:val="pt-BR"/>
        </w:rPr>
        <w:t xml:space="preserve">IV. Tratament </w:t>
      </w:r>
    </w:p>
    <w:p w14:paraId="5FCE1E0A" w14:textId="06005F8F" w:rsidR="00FF4B29" w:rsidRPr="0049126A" w:rsidRDefault="00FF4B29" w:rsidP="002A1321">
      <w:pPr>
        <w:spacing w:after="0"/>
        <w:jc w:val="both"/>
        <w:rPr>
          <w:rFonts w:ascii="Times New Roman" w:hAnsi="Times New Roman" w:cs="Times New Roman"/>
          <w:b/>
          <w:sz w:val="24"/>
          <w:szCs w:val="24"/>
          <w:lang w:val="pt-BR"/>
        </w:rPr>
      </w:pPr>
      <w:r w:rsidRPr="0049126A">
        <w:rPr>
          <w:rFonts w:ascii="Times New Roman" w:hAnsi="Times New Roman" w:cs="Times New Roman"/>
          <w:b/>
          <w:sz w:val="24"/>
          <w:szCs w:val="24"/>
          <w:lang w:val="pt-BR"/>
        </w:rPr>
        <w:t xml:space="preserve">LF recidivat sau </w:t>
      </w:r>
      <w:r w:rsidR="00211C63" w:rsidRPr="00242A2F">
        <w:rPr>
          <w:rFonts w:ascii="Times New Roman" w:hAnsi="Times New Roman" w:cs="Times New Roman"/>
          <w:b/>
          <w:color w:val="FF0000"/>
          <w:sz w:val="24"/>
          <w:szCs w:val="24"/>
          <w:lang w:val="pt-BR"/>
        </w:rPr>
        <w:t>refractar</w:t>
      </w:r>
    </w:p>
    <w:p w14:paraId="5BE7E431" w14:textId="7AB91B00" w:rsidR="00FF4B29" w:rsidRPr="0049126A" w:rsidRDefault="00FF4B29" w:rsidP="00FF4B29">
      <w:pPr>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Mosunetuzumab trebuie administrat numai sub supravegherea unui medic cu experienţă în utilizarea tratamentelor antineoplazice, într-un spaţiu cu dotări medicale corespunzătoare pentru gestionarea reacţiilor severe, precum sindromul eliberării de citokine (SEC). </w:t>
      </w:r>
    </w:p>
    <w:p w14:paraId="69B13B81" w14:textId="2A4DBBCC" w:rsidR="00FF4B29" w:rsidRPr="0049126A" w:rsidRDefault="00FF4B29" w:rsidP="00FF4B29">
      <w:pPr>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Mosunetuzumab este destinat exclusiv administrării în perfuzie intravenoasă. Mosunetuzumab trebuie diluat utilizând o tehnică aseptică, sub supravegherea unui profesionist din domeniul sănătății. Trebuie administrat sub formă de perfuzie intravenoasă, printr-o linie de perfuzie destinată  doar acestui medicament. Pentru administrarea Mosunetuzumab nu trebuie utilizate filtre de tipul celor  încorporate în linia de perfuzie. Filtrele din camerele de picurare pot fi utilizate pentru a administra  Mosunetuzumab.  </w:t>
      </w:r>
    </w:p>
    <w:p w14:paraId="19F7CACF" w14:textId="032A5110" w:rsidR="00FF4B29" w:rsidRPr="0049126A" w:rsidRDefault="00FF4B29" w:rsidP="002A1321">
      <w:pPr>
        <w:spacing w:after="0"/>
        <w:jc w:val="both"/>
        <w:rPr>
          <w:rFonts w:ascii="Times New Roman" w:hAnsi="Times New Roman" w:cs="Times New Roman"/>
          <w:sz w:val="24"/>
          <w:szCs w:val="24"/>
          <w:lang w:val="pt-BR"/>
        </w:rPr>
      </w:pPr>
      <w:bookmarkStart w:id="4" w:name="_heading=h.gjdgxs" w:colFirst="0" w:colLast="0"/>
      <w:bookmarkEnd w:id="4"/>
      <w:r w:rsidRPr="0049126A">
        <w:rPr>
          <w:rFonts w:ascii="Times New Roman" w:hAnsi="Times New Roman" w:cs="Times New Roman"/>
          <w:sz w:val="24"/>
          <w:szCs w:val="24"/>
          <w:lang w:val="pt-BR"/>
        </w:rPr>
        <w:t>Pentru prevenirea evenimentelor adverse severe, cum ar fi SEC sau reacţiile legate  de administrarea în perfuzie, înaintea tratamentului cu Mosunetuzumab se va efectua o premedicaţie (tabelul 1) care include: corticoterapie (dexametazonă sau metilprednisolon), un antipiretic (paracetamol)  şi un antihistaminic (clorhidrat de difenhidramină).</w:t>
      </w:r>
    </w:p>
    <w:p w14:paraId="522C3653" w14:textId="77777777" w:rsidR="00FF4B29" w:rsidRPr="0049126A" w:rsidRDefault="00FF4B29" w:rsidP="00367864">
      <w:pPr>
        <w:widowControl w:val="0"/>
        <w:numPr>
          <w:ilvl w:val="0"/>
          <w:numId w:val="95"/>
        </w:numPr>
        <w:pBdr>
          <w:top w:val="nil"/>
          <w:left w:val="nil"/>
          <w:bottom w:val="nil"/>
          <w:right w:val="nil"/>
          <w:between w:val="nil"/>
        </w:pBdr>
        <w:spacing w:after="0" w:line="240" w:lineRule="auto"/>
        <w:ind w:left="284" w:hanging="284"/>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În primul ciclu de tratament se realizează o escaladare a dozei astfel: Ziua 1: 1 mg; Ziua 8: 2 mg; Ziua 15: 60 mg (tabelul 2);</w:t>
      </w:r>
    </w:p>
    <w:p w14:paraId="052CE0CD" w14:textId="77777777" w:rsidR="00FF4B29" w:rsidRPr="0049126A" w:rsidRDefault="00FF4B29" w:rsidP="00367864">
      <w:pPr>
        <w:widowControl w:val="0"/>
        <w:numPr>
          <w:ilvl w:val="0"/>
          <w:numId w:val="95"/>
        </w:numPr>
        <w:pBdr>
          <w:top w:val="nil"/>
          <w:left w:val="nil"/>
          <w:bottom w:val="nil"/>
          <w:right w:val="nil"/>
          <w:between w:val="nil"/>
        </w:pBdr>
        <w:spacing w:after="0" w:line="240" w:lineRule="auto"/>
        <w:ind w:left="284" w:hanging="284"/>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În ciclul 2, se va administra o singură doză de Mosunetuzumab, respectiv: Ziua 1: 60 mg;</w:t>
      </w:r>
    </w:p>
    <w:p w14:paraId="25B8D95D" w14:textId="77777777" w:rsidR="00FF4B29" w:rsidRPr="0049126A" w:rsidRDefault="00FF4B29" w:rsidP="00367864">
      <w:pPr>
        <w:widowControl w:val="0"/>
        <w:numPr>
          <w:ilvl w:val="0"/>
          <w:numId w:val="95"/>
        </w:numPr>
        <w:pBdr>
          <w:top w:val="nil"/>
          <w:left w:val="nil"/>
          <w:bottom w:val="nil"/>
          <w:right w:val="nil"/>
          <w:between w:val="nil"/>
        </w:pBdr>
        <w:spacing w:after="0" w:line="240" w:lineRule="auto"/>
        <w:ind w:left="284" w:hanging="284"/>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Începând cu ciclul 3 se administrează o singură doză: Ziua 1: 30 mg.</w:t>
      </w:r>
    </w:p>
    <w:p w14:paraId="3F7783CD" w14:textId="77777777" w:rsidR="00FF4B29" w:rsidRPr="0049126A" w:rsidRDefault="00FF4B29" w:rsidP="00367864">
      <w:pPr>
        <w:widowControl w:val="0"/>
        <w:numPr>
          <w:ilvl w:val="0"/>
          <w:numId w:val="95"/>
        </w:numPr>
        <w:pBdr>
          <w:top w:val="nil"/>
          <w:left w:val="nil"/>
          <w:bottom w:val="nil"/>
          <w:right w:val="nil"/>
          <w:between w:val="nil"/>
        </w:pBdr>
        <w:spacing w:after="0" w:line="240" w:lineRule="auto"/>
        <w:ind w:left="284" w:hanging="284"/>
        <w:jc w:val="both"/>
        <w:rPr>
          <w:rFonts w:ascii="Times New Roman" w:hAnsi="Times New Roman" w:cs="Times New Roman"/>
          <w:sz w:val="24"/>
          <w:szCs w:val="24"/>
        </w:rPr>
      </w:pPr>
      <w:r w:rsidRPr="0049126A">
        <w:rPr>
          <w:rFonts w:ascii="Times New Roman" w:hAnsi="Times New Roman" w:cs="Times New Roman"/>
          <w:sz w:val="24"/>
          <w:szCs w:val="24"/>
          <w:lang w:val="pt-BR"/>
        </w:rPr>
        <w:t xml:space="preserve">Mosunetuzumab se administrează în cicluri de 21 de zile, pe parcursul a 4 ore în prima cură de tratament. </w:t>
      </w:r>
      <w:r w:rsidRPr="0049126A">
        <w:rPr>
          <w:rFonts w:ascii="Times New Roman" w:hAnsi="Times New Roman" w:cs="Times New Roman"/>
          <w:sz w:val="24"/>
          <w:szCs w:val="24"/>
        </w:rPr>
        <w:t xml:space="preserve">Dacă perfuziile din ciclul 1 sunt bine tolerate, în ciclurile ulterioare acestea se pot administra pe  parcursul a 2 ore.  </w:t>
      </w:r>
    </w:p>
    <w:p w14:paraId="4F0A09EA" w14:textId="77777777" w:rsidR="008014AF" w:rsidRPr="0049126A" w:rsidRDefault="008014AF" w:rsidP="008014AF">
      <w:pPr>
        <w:spacing w:after="0" w:line="244" w:lineRule="auto"/>
        <w:rPr>
          <w:rFonts w:ascii="Times New Roman" w:hAnsi="Times New Roman" w:cs="Times New Roman"/>
          <w:b/>
          <w:i/>
          <w:sz w:val="24"/>
          <w:szCs w:val="24"/>
          <w:u w:val="single"/>
        </w:rPr>
      </w:pPr>
    </w:p>
    <w:p w14:paraId="67082018" w14:textId="77777777" w:rsidR="00FF4B29" w:rsidRPr="0049126A" w:rsidRDefault="00FF4B29" w:rsidP="008014AF">
      <w:pPr>
        <w:spacing w:after="0" w:line="244" w:lineRule="auto"/>
        <w:rPr>
          <w:rFonts w:ascii="Times New Roman" w:hAnsi="Times New Roman" w:cs="Times New Roman"/>
          <w:b/>
          <w:i/>
          <w:sz w:val="24"/>
          <w:szCs w:val="24"/>
        </w:rPr>
      </w:pPr>
      <w:r w:rsidRPr="0049126A">
        <w:rPr>
          <w:rFonts w:ascii="Times New Roman" w:hAnsi="Times New Roman" w:cs="Times New Roman"/>
          <w:b/>
          <w:i/>
          <w:sz w:val="24"/>
          <w:szCs w:val="24"/>
          <w:u w:val="single"/>
        </w:rPr>
        <w:t>Doze</w:t>
      </w:r>
      <w:r w:rsidRPr="0049126A">
        <w:rPr>
          <w:rFonts w:ascii="Times New Roman" w:hAnsi="Times New Roman" w:cs="Times New Roman"/>
          <w:b/>
          <w:i/>
          <w:sz w:val="24"/>
          <w:szCs w:val="24"/>
        </w:rPr>
        <w:t xml:space="preserve"> </w:t>
      </w:r>
    </w:p>
    <w:p w14:paraId="11EB0CFB" w14:textId="77777777" w:rsidR="008014AF" w:rsidRPr="0049126A" w:rsidRDefault="00FF4B29" w:rsidP="008014AF">
      <w:pPr>
        <w:spacing w:after="0" w:line="240" w:lineRule="auto"/>
        <w:rPr>
          <w:rFonts w:ascii="Times New Roman" w:hAnsi="Times New Roman" w:cs="Times New Roman"/>
          <w:sz w:val="24"/>
          <w:szCs w:val="24"/>
        </w:rPr>
      </w:pPr>
      <w:r w:rsidRPr="0049126A">
        <w:rPr>
          <w:rFonts w:ascii="Times New Roman" w:hAnsi="Times New Roman" w:cs="Times New Roman"/>
          <w:i/>
          <w:sz w:val="24"/>
          <w:szCs w:val="24"/>
        </w:rPr>
        <w:t>Profilaxie şi premedicaţie</w:t>
      </w:r>
      <w:r w:rsidRPr="0049126A">
        <w:rPr>
          <w:rFonts w:ascii="Times New Roman" w:hAnsi="Times New Roman" w:cs="Times New Roman"/>
          <w:sz w:val="24"/>
          <w:szCs w:val="24"/>
        </w:rPr>
        <w:t xml:space="preserve"> </w:t>
      </w:r>
    </w:p>
    <w:p w14:paraId="39717CF8" w14:textId="4F2B32D8" w:rsidR="008014AF" w:rsidRPr="0049126A" w:rsidRDefault="00FF4B29" w:rsidP="008014AF">
      <w:pPr>
        <w:spacing w:after="0" w:line="240" w:lineRule="auto"/>
        <w:rPr>
          <w:rFonts w:ascii="Times New Roman" w:hAnsi="Times New Roman" w:cs="Times New Roman"/>
          <w:sz w:val="24"/>
          <w:szCs w:val="24"/>
        </w:rPr>
      </w:pPr>
      <w:r w:rsidRPr="0049126A">
        <w:rPr>
          <w:rFonts w:ascii="Times New Roman" w:hAnsi="Times New Roman" w:cs="Times New Roman"/>
          <w:sz w:val="24"/>
          <w:szCs w:val="24"/>
          <w:lang w:val="pt-BR"/>
        </w:rPr>
        <w:t xml:space="preserve">Mosunetuzumab trebuie administrat pacienţilor după o hidratare corespunzătoare. </w:t>
      </w:r>
    </w:p>
    <w:p w14:paraId="602EA521" w14:textId="438CDDDA" w:rsidR="00F73895" w:rsidRPr="0049126A" w:rsidRDefault="00FF4B29" w:rsidP="008014AF">
      <w:pPr>
        <w:spacing w:line="254" w:lineRule="auto"/>
        <w:ind w:right="1"/>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lastRenderedPageBreak/>
        <w:t xml:space="preserve">În Tabelul 1 sunt furnizate detalii cu privire la premedicaţia recomandată pentru SEC şi reacţiile legate de administrarea în perfuzie.   </w:t>
      </w:r>
    </w:p>
    <w:p w14:paraId="1C8ADB47" w14:textId="77777777" w:rsidR="00FF4B29" w:rsidRPr="0049126A" w:rsidRDefault="00FF4B29" w:rsidP="00FF4B29">
      <w:pPr>
        <w:tabs>
          <w:tab w:val="left" w:pos="2193"/>
        </w:tabs>
        <w:spacing w:after="0" w:line="251" w:lineRule="auto"/>
        <w:ind w:right="1779"/>
        <w:rPr>
          <w:rFonts w:ascii="Times New Roman" w:hAnsi="Times New Roman" w:cs="Times New Roman"/>
          <w:b/>
          <w:sz w:val="24"/>
          <w:szCs w:val="24"/>
          <w:lang w:val="pt-BR"/>
        </w:rPr>
      </w:pPr>
      <w:r w:rsidRPr="0049126A">
        <w:rPr>
          <w:rFonts w:ascii="Times New Roman" w:hAnsi="Times New Roman" w:cs="Times New Roman"/>
          <w:b/>
          <w:sz w:val="24"/>
          <w:szCs w:val="24"/>
          <w:lang w:val="pt-BR"/>
        </w:rPr>
        <w:t xml:space="preserve">Tabelul 1 </w:t>
      </w:r>
      <w:r w:rsidRPr="0049126A">
        <w:rPr>
          <w:rFonts w:ascii="Times New Roman" w:hAnsi="Times New Roman" w:cs="Times New Roman"/>
          <w:b/>
          <w:sz w:val="24"/>
          <w:szCs w:val="24"/>
          <w:lang w:val="pt-BR"/>
        </w:rPr>
        <w:tab/>
      </w:r>
    </w:p>
    <w:p w14:paraId="7B12D539" w14:textId="160AF81B" w:rsidR="00FF4B29" w:rsidRPr="0049126A" w:rsidRDefault="00FF4B29" w:rsidP="00FF4B29">
      <w:pPr>
        <w:tabs>
          <w:tab w:val="left" w:pos="2193"/>
        </w:tabs>
        <w:spacing w:line="251" w:lineRule="auto"/>
        <w:ind w:right="1"/>
        <w:rPr>
          <w:rFonts w:ascii="Times New Roman" w:hAnsi="Times New Roman" w:cs="Times New Roman"/>
          <w:sz w:val="24"/>
          <w:szCs w:val="24"/>
          <w:lang w:val="pt-BR"/>
        </w:rPr>
      </w:pPr>
      <w:r w:rsidRPr="0049126A">
        <w:rPr>
          <w:rFonts w:ascii="Times New Roman" w:hAnsi="Times New Roman" w:cs="Times New Roman"/>
          <w:b/>
          <w:sz w:val="24"/>
          <w:szCs w:val="24"/>
          <w:lang w:val="pt-BR"/>
        </w:rPr>
        <w:t>Premedicaţie care trebuie administrată pacienţilor înainte de perfuzia cu</w:t>
      </w:r>
      <w:r w:rsidRPr="0049126A">
        <w:rPr>
          <w:rFonts w:ascii="Times New Roman" w:hAnsi="Times New Roman" w:cs="Times New Roman"/>
          <w:sz w:val="24"/>
          <w:szCs w:val="24"/>
          <w:lang w:val="pt-BR"/>
        </w:rPr>
        <w:t xml:space="preserve"> </w:t>
      </w:r>
      <w:r w:rsidRPr="0049126A">
        <w:rPr>
          <w:rFonts w:ascii="Times New Roman" w:hAnsi="Times New Roman" w:cs="Times New Roman"/>
          <w:b/>
          <w:sz w:val="24"/>
          <w:szCs w:val="24"/>
          <w:lang w:val="pt-BR"/>
        </w:rPr>
        <w:t xml:space="preserve">Mosunetuzumab  </w:t>
      </w:r>
    </w:p>
    <w:tbl>
      <w:tblPr>
        <w:tblpPr w:vertAnchor="text" w:horzAnchor="margin" w:tblpY="-2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256"/>
        <w:gridCol w:w="3402"/>
        <w:gridCol w:w="2976"/>
      </w:tblGrid>
      <w:tr w:rsidR="0049126A" w:rsidRPr="0049126A" w14:paraId="47262659" w14:textId="77777777" w:rsidTr="00FF4B29">
        <w:trPr>
          <w:trHeight w:val="486"/>
        </w:trPr>
        <w:tc>
          <w:tcPr>
            <w:tcW w:w="3256" w:type="dxa"/>
          </w:tcPr>
          <w:p w14:paraId="0CFDBD05" w14:textId="5EDDA2F1" w:rsidR="00FF4B29" w:rsidRPr="0049126A" w:rsidRDefault="00FF4B29" w:rsidP="00D8762B">
            <w:pPr>
              <w:tabs>
                <w:tab w:val="left" w:pos="2722"/>
              </w:tabs>
              <w:spacing w:after="0" w:line="254" w:lineRule="auto"/>
              <w:ind w:left="83" w:right="739"/>
              <w:rPr>
                <w:rFonts w:ascii="Times New Roman" w:hAnsi="Times New Roman" w:cs="Times New Roman"/>
                <w:sz w:val="20"/>
                <w:szCs w:val="20"/>
              </w:rPr>
            </w:pPr>
            <w:r w:rsidRPr="0049126A">
              <w:rPr>
                <w:rFonts w:ascii="Times New Roman" w:hAnsi="Times New Roman" w:cs="Times New Roman"/>
                <w:b/>
                <w:sz w:val="20"/>
                <w:szCs w:val="20"/>
              </w:rPr>
              <w:t>Pacienţi care necesită</w:t>
            </w:r>
            <w:r w:rsidRPr="0049126A">
              <w:rPr>
                <w:rFonts w:ascii="Times New Roman" w:hAnsi="Times New Roman" w:cs="Times New Roman"/>
                <w:sz w:val="20"/>
                <w:szCs w:val="20"/>
              </w:rPr>
              <w:t xml:space="preserve"> </w:t>
            </w:r>
            <w:r w:rsidRPr="0049126A">
              <w:rPr>
                <w:rFonts w:ascii="Times New Roman" w:hAnsi="Times New Roman" w:cs="Times New Roman"/>
                <w:b/>
                <w:sz w:val="20"/>
                <w:szCs w:val="20"/>
              </w:rPr>
              <w:t xml:space="preserve">premedicaţie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59264" behindDoc="0" locked="0" layoutInCell="1" hidden="0" allowOverlap="1" wp14:anchorId="672CDE1F" wp14:editId="3F52392F">
                      <wp:simplePos x="0" y="0"/>
                      <wp:positionH relativeFrom="column">
                        <wp:posOffset>-317499</wp:posOffset>
                      </wp:positionH>
                      <wp:positionV relativeFrom="paragraph">
                        <wp:posOffset>0</wp:posOffset>
                      </wp:positionV>
                      <wp:extent cx="12700" cy="6096"/>
                      <wp:effectExtent l="0" t="0" r="0" b="0"/>
                      <wp:wrapNone/>
                      <wp:docPr id="5" name="Freeform 5"/>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8B0E1CC" id="Freeform 5" o:spid="_x0000_s1026" style="position:absolute;margin-left:-25pt;margin-top:0;width:1pt;height:.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" path="m,6096r6096,l6096,,,,,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0288" behindDoc="0" locked="0" layoutInCell="1" hidden="0" allowOverlap="1" wp14:anchorId="50688575" wp14:editId="54D4BAFC">
                      <wp:simplePos x="0" y="0"/>
                      <wp:positionH relativeFrom="column">
                        <wp:posOffset>-317499</wp:posOffset>
                      </wp:positionH>
                      <wp:positionV relativeFrom="paragraph">
                        <wp:posOffset>0</wp:posOffset>
                      </wp:positionV>
                      <wp:extent cx="12700" cy="6096"/>
                      <wp:effectExtent l="0" t="0" r="0" b="0"/>
                      <wp:wrapNone/>
                      <wp:docPr id="2" name="Freeform 2"/>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B1BAD23" id="Freeform 2" o:spid="_x0000_s1026" style="position:absolute;margin-left:-25pt;margin-top:0;width:1pt;height:.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" path="m,6096r6096,l6096,,,,,6096xe" fillcolor="black" stroked="f">
                      <v:path arrowok="t" o:extrusionok="f"/>
                    </v:shape>
                  </w:pict>
                </mc:Fallback>
              </mc:AlternateContent>
            </w:r>
          </w:p>
        </w:tc>
        <w:tc>
          <w:tcPr>
            <w:tcW w:w="3402" w:type="dxa"/>
          </w:tcPr>
          <w:p w14:paraId="7D4915C5" w14:textId="77777777" w:rsidR="00FF4B29" w:rsidRPr="0049126A" w:rsidRDefault="00FF4B29" w:rsidP="00D8762B">
            <w:pPr>
              <w:spacing w:before="7" w:after="0"/>
              <w:ind w:left="93"/>
              <w:rPr>
                <w:rFonts w:ascii="Times New Roman" w:hAnsi="Times New Roman" w:cs="Times New Roman"/>
                <w:sz w:val="20"/>
                <w:szCs w:val="20"/>
              </w:rPr>
            </w:pPr>
            <w:r w:rsidRPr="0049126A">
              <w:rPr>
                <w:rFonts w:ascii="Times New Roman" w:hAnsi="Times New Roman" w:cs="Times New Roman"/>
                <w:b/>
                <w:sz w:val="20"/>
                <w:szCs w:val="20"/>
              </w:rPr>
              <w:t xml:space="preserve">Premedicație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1312" behindDoc="0" locked="0" layoutInCell="1" hidden="0" allowOverlap="1" wp14:anchorId="00163B74" wp14:editId="6FF385D0">
                      <wp:simplePos x="0" y="0"/>
                      <wp:positionH relativeFrom="column">
                        <wp:posOffset>-317499</wp:posOffset>
                      </wp:positionH>
                      <wp:positionV relativeFrom="paragraph">
                        <wp:posOffset>0</wp:posOffset>
                      </wp:positionV>
                      <wp:extent cx="12700" cy="6096"/>
                      <wp:effectExtent l="0" t="0" r="0" b="0"/>
                      <wp:wrapNone/>
                      <wp:docPr id="11" name="Freeform 11"/>
                      <wp:cNvGraphicFramePr/>
                      <a:graphic xmlns:a="http://schemas.openxmlformats.org/drawingml/2006/main">
                        <a:graphicData uri="http://schemas.microsoft.com/office/word/2010/wordprocessingShape">
                          <wps:wsp>
                            <wps:cNvSpPr/>
                            <wps:spPr>
                              <a:xfrm>
                                <a:off x="5342952" y="3776952"/>
                                <a:ext cx="6097" cy="6096"/>
                              </a:xfrm>
                              <a:custGeom>
                                <a:avLst/>
                                <a:gdLst/>
                                <a:ahLst/>
                                <a:cxnLst/>
                                <a:rect l="l" t="t" r="r" b="b"/>
                                <a:pathLst>
                                  <a:path w="6097" h="6096" extrusionOk="0">
                                    <a:moveTo>
                                      <a:pt x="0" y="6096"/>
                                    </a:moveTo>
                                    <a:lnTo>
                                      <a:pt x="6097" y="6096"/>
                                    </a:lnTo>
                                    <a:lnTo>
                                      <a:pt x="6097"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645AF40D" id="Freeform 11" o:spid="_x0000_s1026" style="position:absolute;margin-left:-25pt;margin-top:0;width:1pt;height:.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" path="m,6096r6097,l6097,,,,,6096xe" fillcolor="black" stroked="f">
                      <v:path arrowok="t" o:extrusionok="f"/>
                    </v:shape>
                  </w:pict>
                </mc:Fallback>
              </mc:AlternateContent>
            </w:r>
          </w:p>
        </w:tc>
        <w:tc>
          <w:tcPr>
            <w:tcW w:w="2976" w:type="dxa"/>
          </w:tcPr>
          <w:p w14:paraId="77D5262B" w14:textId="77777777" w:rsidR="00FF4B29" w:rsidRPr="0049126A" w:rsidRDefault="00FF4B29" w:rsidP="00D8762B">
            <w:pPr>
              <w:spacing w:before="7" w:after="0"/>
              <w:ind w:left="110" w:right="-18"/>
              <w:rPr>
                <w:rFonts w:ascii="Times New Roman" w:hAnsi="Times New Roman" w:cs="Times New Roman"/>
                <w:sz w:val="20"/>
                <w:szCs w:val="20"/>
              </w:rPr>
            </w:pPr>
            <w:r w:rsidRPr="0049126A">
              <w:rPr>
                <w:rFonts w:ascii="Times New Roman" w:hAnsi="Times New Roman" w:cs="Times New Roman"/>
                <w:b/>
                <w:sz w:val="20"/>
                <w:szCs w:val="20"/>
              </w:rPr>
              <w:t>Administrare</w:t>
            </w:r>
            <w:r w:rsidRPr="0049126A">
              <w:rPr>
                <w:rFonts w:ascii="Times New Roman" w:hAnsi="Times New Roman" w:cs="Times New Roman"/>
                <w:sz w:val="20"/>
                <w:szCs w:val="20"/>
              </w:rPr>
              <w:t xml:space="preserv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2336" behindDoc="0" locked="0" layoutInCell="1" hidden="0" allowOverlap="1" wp14:anchorId="6C617100" wp14:editId="7138FEF7">
                      <wp:simplePos x="0" y="0"/>
                      <wp:positionH relativeFrom="column">
                        <wp:posOffset>-317499</wp:posOffset>
                      </wp:positionH>
                      <wp:positionV relativeFrom="paragraph">
                        <wp:posOffset>0</wp:posOffset>
                      </wp:positionV>
                      <wp:extent cx="12700" cy="6096"/>
                      <wp:effectExtent l="0" t="0" r="0" b="0"/>
                      <wp:wrapNone/>
                      <wp:docPr id="23" name="Freeform 23"/>
                      <wp:cNvGraphicFramePr/>
                      <a:graphic xmlns:a="http://schemas.openxmlformats.org/drawingml/2006/main">
                        <a:graphicData uri="http://schemas.microsoft.com/office/word/2010/wordprocessingShape">
                          <wps:wsp>
                            <wps:cNvSpPr/>
                            <wps:spPr>
                              <a:xfrm>
                                <a:off x="5342953" y="3776952"/>
                                <a:ext cx="6095" cy="6096"/>
                              </a:xfrm>
                              <a:custGeom>
                                <a:avLst/>
                                <a:gdLst/>
                                <a:ahLst/>
                                <a:cxnLst/>
                                <a:rect l="l" t="t" r="r" b="b"/>
                                <a:pathLst>
                                  <a:path w="6095" h="6096" extrusionOk="0">
                                    <a:moveTo>
                                      <a:pt x="0" y="6096"/>
                                    </a:moveTo>
                                    <a:lnTo>
                                      <a:pt x="6095" y="6096"/>
                                    </a:lnTo>
                                    <a:lnTo>
                                      <a:pt x="6095"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05EE1CD" id="Freeform 23" o:spid="_x0000_s1026" style="position:absolute;margin-left:-25pt;margin-top:0;width:1pt;height:.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" path="m,6096r6095,l6095,,,,,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3360" behindDoc="0" locked="0" layoutInCell="1" hidden="0" allowOverlap="1" wp14:anchorId="329A2E36" wp14:editId="5FEB976C">
                      <wp:simplePos x="0" y="0"/>
                      <wp:positionH relativeFrom="column">
                        <wp:posOffset>1206500</wp:posOffset>
                      </wp:positionH>
                      <wp:positionV relativeFrom="paragraph">
                        <wp:posOffset>0</wp:posOffset>
                      </wp:positionV>
                      <wp:extent cx="12700" cy="6096"/>
                      <wp:effectExtent l="0" t="0" r="0" b="0"/>
                      <wp:wrapNone/>
                      <wp:docPr id="41" name="Freeform 41"/>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9CDC212" id="Freeform 41" o:spid="_x0000_s1026" style="position:absolute;margin-left:95pt;margin-top:0;width:1pt;height:.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" path="m,6096r6096,l6096,,,,,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4384" behindDoc="0" locked="0" layoutInCell="1" hidden="0" allowOverlap="1" wp14:anchorId="6C1CE0D9" wp14:editId="2AEAE423">
                      <wp:simplePos x="0" y="0"/>
                      <wp:positionH relativeFrom="column">
                        <wp:posOffset>1206500</wp:posOffset>
                      </wp:positionH>
                      <wp:positionV relativeFrom="paragraph">
                        <wp:posOffset>0</wp:posOffset>
                      </wp:positionV>
                      <wp:extent cx="12700" cy="6096"/>
                      <wp:effectExtent l="0" t="0" r="0" b="0"/>
                      <wp:wrapNone/>
                      <wp:docPr id="60" name="Freeform 60"/>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1C55588" id="Freeform 60" o:spid="_x0000_s1026" style="position:absolute;margin-left:95pt;margin-top:0;width:1pt;height:.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" path="m,6096r6096,l6096,,,,,6096xe" fillcolor="black" stroked="f">
                      <v:path arrowok="t" o:extrusionok="f"/>
                    </v:shape>
                  </w:pict>
                </mc:Fallback>
              </mc:AlternateContent>
            </w:r>
          </w:p>
        </w:tc>
      </w:tr>
      <w:tr w:rsidR="0049126A" w:rsidRPr="0049126A" w14:paraId="25DDFA87" w14:textId="77777777" w:rsidTr="00FF4B29">
        <w:trPr>
          <w:trHeight w:val="760"/>
        </w:trPr>
        <w:tc>
          <w:tcPr>
            <w:tcW w:w="3256" w:type="dxa"/>
            <w:vMerge w:val="restart"/>
          </w:tcPr>
          <w:p w14:paraId="1D99FF5F" w14:textId="77777777" w:rsidR="00FF4B29" w:rsidRPr="0049126A" w:rsidRDefault="00FF4B29" w:rsidP="00D8762B">
            <w:pPr>
              <w:spacing w:before="403" w:after="0" w:line="244" w:lineRule="auto"/>
              <w:ind w:left="83" w:right="-18"/>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Ciclurile 1 şi 2: toţi pacienţii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5408" behindDoc="0" locked="0" layoutInCell="1" hidden="0" allowOverlap="1" wp14:anchorId="103EDD92" wp14:editId="56C6EF1F">
                      <wp:simplePos x="0" y="0"/>
                      <wp:positionH relativeFrom="column">
                        <wp:posOffset>-317499</wp:posOffset>
                      </wp:positionH>
                      <wp:positionV relativeFrom="paragraph">
                        <wp:posOffset>0</wp:posOffset>
                      </wp:positionV>
                      <wp:extent cx="12700" cy="6096"/>
                      <wp:effectExtent l="0" t="0" r="0" b="0"/>
                      <wp:wrapNone/>
                      <wp:docPr id="26" name="Freeform 26"/>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98EEC21" id="Freeform 26" o:spid="_x0000_s1026" style="position:absolute;margin-left:-25pt;margin-top:0;width:1pt;height:.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" path="m,6096r6096,l6096,,,,,6096xe" fillcolor="black" stroked="f">
                      <v:path arrowok="t" o:extrusionok="f"/>
                    </v:shape>
                  </w:pict>
                </mc:Fallback>
              </mc:AlternateContent>
            </w:r>
          </w:p>
          <w:p w14:paraId="37E6AD96" w14:textId="77777777" w:rsidR="00FF4B29" w:rsidRPr="0049126A" w:rsidRDefault="00FF4B29" w:rsidP="00D8762B">
            <w:pPr>
              <w:spacing w:before="256" w:after="0" w:line="252" w:lineRule="auto"/>
              <w:ind w:left="83" w:right="106"/>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Începând cu ciclul 3: pacienţii care au manifestat SEC de  orice grad după administrarea primei doze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6432" behindDoc="0" locked="0" layoutInCell="1" hidden="0" allowOverlap="1" wp14:anchorId="28D0643C" wp14:editId="5DA221D2">
                      <wp:simplePos x="0" y="0"/>
                      <wp:positionH relativeFrom="column">
                        <wp:posOffset>-317499</wp:posOffset>
                      </wp:positionH>
                      <wp:positionV relativeFrom="paragraph">
                        <wp:posOffset>76200</wp:posOffset>
                      </wp:positionV>
                      <wp:extent cx="12700" cy="6096"/>
                      <wp:effectExtent l="0" t="0" r="0" b="0"/>
                      <wp:wrapNone/>
                      <wp:docPr id="38" name="Freeform 38"/>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65738E3" id="Freeform 38" o:spid="_x0000_s1026" style="position:absolute;margin-left:-25pt;margin-top:6pt;width:1pt;height:.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" path="m,6096r6096,l6096,,,,,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7456" behindDoc="0" locked="0" layoutInCell="1" hidden="0" allowOverlap="1" wp14:anchorId="2FF84ED4" wp14:editId="63F4F72D">
                      <wp:simplePos x="0" y="0"/>
                      <wp:positionH relativeFrom="column">
                        <wp:posOffset>-317499</wp:posOffset>
                      </wp:positionH>
                      <wp:positionV relativeFrom="paragraph">
                        <wp:posOffset>76200</wp:posOffset>
                      </wp:positionV>
                      <wp:extent cx="12700" cy="6096"/>
                      <wp:effectExtent l="0" t="0" r="0" b="0"/>
                      <wp:wrapNone/>
                      <wp:docPr id="16" name="Freeform 16"/>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3084C14" id="Freeform 16" o:spid="_x0000_s1026" style="position:absolute;margin-left:-25pt;margin-top:6pt;width:1pt;height:.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" path="m,6096r6096,l6096,,,,,6096xe" fillcolor="black" stroked="f">
                      <v:path arrowok="t" o:extrusionok="f"/>
                    </v:shape>
                  </w:pict>
                </mc:Fallback>
              </mc:AlternateContent>
            </w:r>
          </w:p>
        </w:tc>
        <w:tc>
          <w:tcPr>
            <w:tcW w:w="3402" w:type="dxa"/>
          </w:tcPr>
          <w:p w14:paraId="279E37AC" w14:textId="77777777" w:rsidR="00FF4B29" w:rsidRPr="0049126A" w:rsidRDefault="00FF4B29" w:rsidP="00D8762B">
            <w:pPr>
              <w:spacing w:before="6" w:after="0" w:line="253" w:lineRule="auto"/>
              <w:ind w:left="93"/>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Corticoterapie intravenoasă:  dexametazonă în doză de 20 mg sau metilprednisolon în doză de 80 mg.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8480" behindDoc="0" locked="0" layoutInCell="1" hidden="0" allowOverlap="1" wp14:anchorId="47BB6339" wp14:editId="7ADA4E6E">
                      <wp:simplePos x="0" y="0"/>
                      <wp:positionH relativeFrom="column">
                        <wp:posOffset>-317499</wp:posOffset>
                      </wp:positionH>
                      <wp:positionV relativeFrom="paragraph">
                        <wp:posOffset>0</wp:posOffset>
                      </wp:positionV>
                      <wp:extent cx="12700" cy="6096"/>
                      <wp:effectExtent l="0" t="0" r="0" b="0"/>
                      <wp:wrapNone/>
                      <wp:docPr id="7" name="Freeform 7"/>
                      <wp:cNvGraphicFramePr/>
                      <a:graphic xmlns:a="http://schemas.openxmlformats.org/drawingml/2006/main">
                        <a:graphicData uri="http://schemas.microsoft.com/office/word/2010/wordprocessingShape">
                          <wps:wsp>
                            <wps:cNvSpPr/>
                            <wps:spPr>
                              <a:xfrm>
                                <a:off x="5342952" y="3776952"/>
                                <a:ext cx="6097" cy="6096"/>
                              </a:xfrm>
                              <a:custGeom>
                                <a:avLst/>
                                <a:gdLst/>
                                <a:ahLst/>
                                <a:cxnLst/>
                                <a:rect l="l" t="t" r="r" b="b"/>
                                <a:pathLst>
                                  <a:path w="6097" h="6096" extrusionOk="0">
                                    <a:moveTo>
                                      <a:pt x="0" y="6096"/>
                                    </a:moveTo>
                                    <a:lnTo>
                                      <a:pt x="6097" y="6096"/>
                                    </a:lnTo>
                                    <a:lnTo>
                                      <a:pt x="6097"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789D607A" id="Freeform 7" o:spid="_x0000_s1026" style="position:absolute;margin-left:-25pt;margin-top:0;width:1pt;height:.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" path="m,6096r6097,l6097,,,,,6096xe" fillcolor="black" stroked="f">
                      <v:path arrowok="t" o:extrusionok="f"/>
                    </v:shape>
                  </w:pict>
                </mc:Fallback>
              </mc:AlternateContent>
            </w:r>
          </w:p>
        </w:tc>
        <w:tc>
          <w:tcPr>
            <w:tcW w:w="2976" w:type="dxa"/>
          </w:tcPr>
          <w:p w14:paraId="7BCA95B3" w14:textId="77777777" w:rsidR="00FF4B29" w:rsidRPr="0049126A" w:rsidRDefault="00FF4B29" w:rsidP="00D8762B">
            <w:pPr>
              <w:spacing w:before="6" w:after="0" w:line="253" w:lineRule="auto"/>
              <w:ind w:left="90" w:right="126"/>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Finalizați cu cel puţin 1 oră înainte de perfuzia  cu Mosunetuzumab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69504" behindDoc="0" locked="0" layoutInCell="1" hidden="0" allowOverlap="1" wp14:anchorId="23FFD22A" wp14:editId="282E6702">
                      <wp:simplePos x="0" y="0"/>
                      <wp:positionH relativeFrom="column">
                        <wp:posOffset>-317499</wp:posOffset>
                      </wp:positionH>
                      <wp:positionV relativeFrom="paragraph">
                        <wp:posOffset>0</wp:posOffset>
                      </wp:positionV>
                      <wp:extent cx="12700" cy="6096"/>
                      <wp:effectExtent l="0" t="0" r="0" b="0"/>
                      <wp:wrapNone/>
                      <wp:docPr id="32" name="Freeform 32"/>
                      <wp:cNvGraphicFramePr/>
                      <a:graphic xmlns:a="http://schemas.openxmlformats.org/drawingml/2006/main">
                        <a:graphicData uri="http://schemas.microsoft.com/office/word/2010/wordprocessingShape">
                          <wps:wsp>
                            <wps:cNvSpPr/>
                            <wps:spPr>
                              <a:xfrm>
                                <a:off x="5342953" y="3776952"/>
                                <a:ext cx="6095" cy="6096"/>
                              </a:xfrm>
                              <a:custGeom>
                                <a:avLst/>
                                <a:gdLst/>
                                <a:ahLst/>
                                <a:cxnLst/>
                                <a:rect l="l" t="t" r="r" b="b"/>
                                <a:pathLst>
                                  <a:path w="6095" h="6096" extrusionOk="0">
                                    <a:moveTo>
                                      <a:pt x="0" y="6096"/>
                                    </a:moveTo>
                                    <a:lnTo>
                                      <a:pt x="6095" y="6096"/>
                                    </a:lnTo>
                                    <a:lnTo>
                                      <a:pt x="6095"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F78CF50" id="Freeform 32" o:spid="_x0000_s1026" style="position:absolute;margin-left:-25pt;margin-top:0;width:1pt;height:.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" path="m,6096r6095,l6095,,,,,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0528" behindDoc="0" locked="0" layoutInCell="1" hidden="0" allowOverlap="1" wp14:anchorId="173271B9" wp14:editId="05419051">
                      <wp:simplePos x="0" y="0"/>
                      <wp:positionH relativeFrom="column">
                        <wp:posOffset>1206500</wp:posOffset>
                      </wp:positionH>
                      <wp:positionV relativeFrom="paragraph">
                        <wp:posOffset>0</wp:posOffset>
                      </wp:positionV>
                      <wp:extent cx="12700" cy="6096"/>
                      <wp:effectExtent l="0" t="0" r="0" b="0"/>
                      <wp:wrapNone/>
                      <wp:docPr id="57" name="Freeform 57"/>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254B226" id="Freeform 57" o:spid="_x0000_s1026" style="position:absolute;margin-left:95pt;margin-top:0;width:1pt;height:.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" path="m,6096r6096,l6096,,,,,6096xe" fillcolor="black" stroked="f">
                      <v:path arrowok="t" o:extrusionok="f"/>
                    </v:shape>
                  </w:pict>
                </mc:Fallback>
              </mc:AlternateContent>
            </w:r>
          </w:p>
        </w:tc>
      </w:tr>
      <w:tr w:rsidR="0049126A" w:rsidRPr="0049126A" w14:paraId="34BF6B24" w14:textId="77777777" w:rsidTr="00FF4B29">
        <w:trPr>
          <w:trHeight w:val="1020"/>
        </w:trPr>
        <w:tc>
          <w:tcPr>
            <w:tcW w:w="3256" w:type="dxa"/>
            <w:vMerge/>
          </w:tcPr>
          <w:p w14:paraId="4FE0C251" w14:textId="77777777" w:rsidR="00FF4B29" w:rsidRPr="0049126A" w:rsidRDefault="00FF4B29" w:rsidP="00D8762B">
            <w:pPr>
              <w:pBdr>
                <w:top w:val="nil"/>
                <w:left w:val="nil"/>
                <w:bottom w:val="nil"/>
                <w:right w:val="nil"/>
                <w:between w:val="nil"/>
              </w:pBdr>
              <w:spacing w:after="0" w:line="276" w:lineRule="auto"/>
              <w:rPr>
                <w:rFonts w:ascii="Times New Roman" w:hAnsi="Times New Roman" w:cs="Times New Roman"/>
                <w:sz w:val="20"/>
                <w:szCs w:val="20"/>
                <w:lang w:val="pt-BR"/>
              </w:rPr>
            </w:pPr>
          </w:p>
        </w:tc>
        <w:tc>
          <w:tcPr>
            <w:tcW w:w="3402" w:type="dxa"/>
          </w:tcPr>
          <w:p w14:paraId="7C8B7CE2" w14:textId="77777777" w:rsidR="00FF4B29" w:rsidRPr="0049126A" w:rsidRDefault="00FF4B29" w:rsidP="00D8762B">
            <w:pPr>
              <w:spacing w:before="4" w:after="0" w:line="252" w:lineRule="auto"/>
              <w:ind w:left="93" w:right="34"/>
              <w:jc w:val="both"/>
              <w:rPr>
                <w:rFonts w:ascii="Times New Roman" w:hAnsi="Times New Roman" w:cs="Times New Roman"/>
                <w:sz w:val="20"/>
                <w:szCs w:val="20"/>
              </w:rPr>
            </w:pPr>
            <w:r w:rsidRPr="0049126A">
              <w:rPr>
                <w:rFonts w:ascii="Times New Roman" w:hAnsi="Times New Roman" w:cs="Times New Roman"/>
                <w:sz w:val="20"/>
                <w:szCs w:val="20"/>
              </w:rPr>
              <w:t xml:space="preserve">Antihistaminic: clorhidrat de  difenhidramină în doză de 50-100 mg, un echivalent oral sau un  antihistaminic pe cale intravenoasă </w:t>
            </w:r>
            <w:r w:rsidRPr="0049126A">
              <w:rPr>
                <w:rFonts w:ascii="Times New Roman" w:hAnsi="Times New Roman" w:cs="Times New Roman"/>
                <w:sz w:val="20"/>
                <w:szCs w:val="20"/>
                <w:vertAlign w:val="superscript"/>
              </w:rPr>
              <w:t xml:space="preserv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1552" behindDoc="0" locked="0" layoutInCell="1" hidden="0" allowOverlap="1" wp14:anchorId="3F4A1931" wp14:editId="18B53542">
                      <wp:simplePos x="0" y="0"/>
                      <wp:positionH relativeFrom="column">
                        <wp:posOffset>-317499</wp:posOffset>
                      </wp:positionH>
                      <wp:positionV relativeFrom="paragraph">
                        <wp:posOffset>0</wp:posOffset>
                      </wp:positionV>
                      <wp:extent cx="12700" cy="6096"/>
                      <wp:effectExtent l="0" t="0" r="0" b="0"/>
                      <wp:wrapNone/>
                      <wp:docPr id="44" name="Freeform 44"/>
                      <wp:cNvGraphicFramePr/>
                      <a:graphic xmlns:a="http://schemas.openxmlformats.org/drawingml/2006/main">
                        <a:graphicData uri="http://schemas.microsoft.com/office/word/2010/wordprocessingShape">
                          <wps:wsp>
                            <wps:cNvSpPr/>
                            <wps:spPr>
                              <a:xfrm>
                                <a:off x="5342952" y="3776952"/>
                                <a:ext cx="6097" cy="6096"/>
                              </a:xfrm>
                              <a:custGeom>
                                <a:avLst/>
                                <a:gdLst/>
                                <a:ahLst/>
                                <a:cxnLst/>
                                <a:rect l="l" t="t" r="r" b="b"/>
                                <a:pathLst>
                                  <a:path w="6097" h="6096" extrusionOk="0">
                                    <a:moveTo>
                                      <a:pt x="0" y="6096"/>
                                    </a:moveTo>
                                    <a:lnTo>
                                      <a:pt x="6097" y="6096"/>
                                    </a:lnTo>
                                    <a:lnTo>
                                      <a:pt x="6097"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43C5127" id="Freeform 44" o:spid="_x0000_s1026" style="position:absolute;margin-left:-25pt;margin-top:0;width:1pt;height:.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" path="m,6096r6097,l6097,,,,,6096xe" fillcolor="black" stroked="f">
                      <v:path arrowok="t" o:extrusionok="f"/>
                    </v:shape>
                  </w:pict>
                </mc:Fallback>
              </mc:AlternateContent>
            </w:r>
          </w:p>
        </w:tc>
        <w:tc>
          <w:tcPr>
            <w:tcW w:w="2976" w:type="dxa"/>
            <w:vMerge w:val="restart"/>
          </w:tcPr>
          <w:p w14:paraId="0E42D3AE" w14:textId="77777777" w:rsidR="00FF4B29" w:rsidRPr="0049126A" w:rsidRDefault="00FF4B29" w:rsidP="00D8762B">
            <w:pPr>
              <w:spacing w:before="6" w:after="0" w:line="252" w:lineRule="auto"/>
              <w:ind w:left="90" w:right="275"/>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Cu cel puţin 30 de  minute înainte de  perfuzia cu Mosunetuzumab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2576" behindDoc="0" locked="0" layoutInCell="1" hidden="0" allowOverlap="1" wp14:anchorId="7AC8F140" wp14:editId="09DC2102">
                      <wp:simplePos x="0" y="0"/>
                      <wp:positionH relativeFrom="column">
                        <wp:posOffset>-317499</wp:posOffset>
                      </wp:positionH>
                      <wp:positionV relativeFrom="paragraph">
                        <wp:posOffset>0</wp:posOffset>
                      </wp:positionV>
                      <wp:extent cx="12700" cy="6096"/>
                      <wp:effectExtent l="0" t="0" r="0" b="0"/>
                      <wp:wrapNone/>
                      <wp:docPr id="40" name="Freeform 40"/>
                      <wp:cNvGraphicFramePr/>
                      <a:graphic xmlns:a="http://schemas.openxmlformats.org/drawingml/2006/main">
                        <a:graphicData uri="http://schemas.microsoft.com/office/word/2010/wordprocessingShape">
                          <wps:wsp>
                            <wps:cNvSpPr/>
                            <wps:spPr>
                              <a:xfrm>
                                <a:off x="5342953" y="3776952"/>
                                <a:ext cx="6095" cy="6096"/>
                              </a:xfrm>
                              <a:custGeom>
                                <a:avLst/>
                                <a:gdLst/>
                                <a:ahLst/>
                                <a:cxnLst/>
                                <a:rect l="l" t="t" r="r" b="b"/>
                                <a:pathLst>
                                  <a:path w="6095" h="6096" extrusionOk="0">
                                    <a:moveTo>
                                      <a:pt x="0" y="6096"/>
                                    </a:moveTo>
                                    <a:lnTo>
                                      <a:pt x="6095" y="6096"/>
                                    </a:lnTo>
                                    <a:lnTo>
                                      <a:pt x="6095"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2E75E885" id="Freeform 40" o:spid="_x0000_s1026" style="position:absolute;margin-left:-25pt;margin-top:0;width:1pt;height:.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" path="m,6096r6095,l6095,,,,,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3600" behindDoc="0" locked="0" layoutInCell="1" hidden="0" allowOverlap="1" wp14:anchorId="5CEB0DD6" wp14:editId="407EA8DA">
                      <wp:simplePos x="0" y="0"/>
                      <wp:positionH relativeFrom="column">
                        <wp:posOffset>1206500</wp:posOffset>
                      </wp:positionH>
                      <wp:positionV relativeFrom="paragraph">
                        <wp:posOffset>0</wp:posOffset>
                      </wp:positionV>
                      <wp:extent cx="12700" cy="6096"/>
                      <wp:effectExtent l="0" t="0" r="0" b="0"/>
                      <wp:wrapNone/>
                      <wp:docPr id="24" name="Freeform 24"/>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67B2069F" id="Freeform 24" o:spid="_x0000_s1026" style="position:absolute;margin-left:95pt;margin-top:0;width:1pt;height:.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" path="m,6096r6096,l6096,,,,,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4624" behindDoc="0" locked="0" layoutInCell="1" hidden="0" allowOverlap="1" wp14:anchorId="5620926E" wp14:editId="3A9E5AA1">
                      <wp:simplePos x="0" y="0"/>
                      <wp:positionH relativeFrom="column">
                        <wp:posOffset>-317499</wp:posOffset>
                      </wp:positionH>
                      <wp:positionV relativeFrom="paragraph">
                        <wp:posOffset>317500</wp:posOffset>
                      </wp:positionV>
                      <wp:extent cx="12700" cy="6096"/>
                      <wp:effectExtent l="0" t="0" r="0" b="0"/>
                      <wp:wrapNone/>
                      <wp:docPr id="43" name="Freeform 43"/>
                      <wp:cNvGraphicFramePr/>
                      <a:graphic xmlns:a="http://schemas.openxmlformats.org/drawingml/2006/main">
                        <a:graphicData uri="http://schemas.microsoft.com/office/word/2010/wordprocessingShape">
                          <wps:wsp>
                            <wps:cNvSpPr/>
                            <wps:spPr>
                              <a:xfrm>
                                <a:off x="5342953" y="3776952"/>
                                <a:ext cx="6095" cy="6096"/>
                              </a:xfrm>
                              <a:custGeom>
                                <a:avLst/>
                                <a:gdLst/>
                                <a:ahLst/>
                                <a:cxnLst/>
                                <a:rect l="l" t="t" r="r" b="b"/>
                                <a:pathLst>
                                  <a:path w="6095" h="6096" extrusionOk="0">
                                    <a:moveTo>
                                      <a:pt x="0" y="6096"/>
                                    </a:moveTo>
                                    <a:lnTo>
                                      <a:pt x="6095" y="6096"/>
                                    </a:lnTo>
                                    <a:lnTo>
                                      <a:pt x="6095"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5F64C6F" id="Freeform 43" o:spid="_x0000_s1026" style="position:absolute;margin-left:-25pt;margin-top:25pt;width:1pt;height:.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609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" path="m,6096r6095,l6095,,,,,6096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5648" behindDoc="0" locked="0" layoutInCell="1" hidden="0" allowOverlap="1" wp14:anchorId="6807B611" wp14:editId="0AE09361">
                      <wp:simplePos x="0" y="0"/>
                      <wp:positionH relativeFrom="column">
                        <wp:posOffset>1206500</wp:posOffset>
                      </wp:positionH>
                      <wp:positionV relativeFrom="paragraph">
                        <wp:posOffset>317500</wp:posOffset>
                      </wp:positionV>
                      <wp:extent cx="12700" cy="6096"/>
                      <wp:effectExtent l="0" t="0" r="0" b="0"/>
                      <wp:wrapNone/>
                      <wp:docPr id="35" name="Freeform 35"/>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721E2DA4" id="Freeform 35" o:spid="_x0000_s1026" style="position:absolute;margin-left:95pt;margin-top:25pt;width:1pt;height:.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" path="m,6096r6096,l6096,,,,,6096xe" fillcolor="black" stroked="f">
                      <v:path arrowok="t" o:extrusionok="f"/>
                    </v:shape>
                  </w:pict>
                </mc:Fallback>
              </mc:AlternateContent>
            </w:r>
          </w:p>
        </w:tc>
      </w:tr>
      <w:tr w:rsidR="0049126A" w:rsidRPr="0049126A" w14:paraId="626210D6" w14:textId="77777777" w:rsidTr="00FF4B29">
        <w:trPr>
          <w:trHeight w:val="510"/>
        </w:trPr>
        <w:tc>
          <w:tcPr>
            <w:tcW w:w="3256" w:type="dxa"/>
            <w:vMerge/>
          </w:tcPr>
          <w:p w14:paraId="2E7E0F02" w14:textId="77777777" w:rsidR="00FF4B29" w:rsidRPr="0049126A" w:rsidRDefault="00FF4B29" w:rsidP="00D8762B">
            <w:pPr>
              <w:pBdr>
                <w:top w:val="nil"/>
                <w:left w:val="nil"/>
                <w:bottom w:val="nil"/>
                <w:right w:val="nil"/>
                <w:between w:val="nil"/>
              </w:pBdr>
              <w:spacing w:after="0" w:line="276" w:lineRule="auto"/>
              <w:rPr>
                <w:rFonts w:ascii="Times New Roman" w:hAnsi="Times New Roman" w:cs="Times New Roman"/>
                <w:sz w:val="20"/>
                <w:szCs w:val="20"/>
                <w:lang w:val="pt-BR"/>
              </w:rPr>
            </w:pPr>
          </w:p>
        </w:tc>
        <w:tc>
          <w:tcPr>
            <w:tcW w:w="3402" w:type="dxa"/>
          </w:tcPr>
          <w:p w14:paraId="35128BC8" w14:textId="77777777" w:rsidR="00FF4B29" w:rsidRPr="0049126A" w:rsidRDefault="00FF4B29" w:rsidP="00D8762B">
            <w:pPr>
              <w:spacing w:before="4" w:after="0" w:line="254" w:lineRule="auto"/>
              <w:ind w:left="93"/>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Antipiretic: Paracetamol în doză de 500-1000 mg</w:t>
            </w:r>
            <w:r w:rsidRPr="0049126A">
              <w:rPr>
                <w:rFonts w:ascii="Times New Roman" w:hAnsi="Times New Roman" w:cs="Times New Roman"/>
                <w:sz w:val="20"/>
                <w:szCs w:val="20"/>
                <w:vertAlign w:val="superscript"/>
                <w:lang w:val="pt-BR"/>
              </w:rPr>
              <w:t xml:space="preserv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676672" behindDoc="0" locked="0" layoutInCell="1" hidden="0" allowOverlap="1" wp14:anchorId="6482A49C" wp14:editId="02F1F39B">
                      <wp:simplePos x="0" y="0"/>
                      <wp:positionH relativeFrom="column">
                        <wp:posOffset>-317499</wp:posOffset>
                      </wp:positionH>
                      <wp:positionV relativeFrom="paragraph">
                        <wp:posOffset>0</wp:posOffset>
                      </wp:positionV>
                      <wp:extent cx="12700" cy="6096"/>
                      <wp:effectExtent l="0" t="0" r="0" b="0"/>
                      <wp:wrapNone/>
                      <wp:docPr id="14" name="Freeform 14"/>
                      <wp:cNvGraphicFramePr/>
                      <a:graphic xmlns:a="http://schemas.openxmlformats.org/drawingml/2006/main">
                        <a:graphicData uri="http://schemas.microsoft.com/office/word/2010/wordprocessingShape">
                          <wps:wsp>
                            <wps:cNvSpPr/>
                            <wps:spPr>
                              <a:xfrm>
                                <a:off x="5342952" y="3776952"/>
                                <a:ext cx="6097" cy="6096"/>
                              </a:xfrm>
                              <a:custGeom>
                                <a:avLst/>
                                <a:gdLst/>
                                <a:ahLst/>
                                <a:cxnLst/>
                                <a:rect l="l" t="t" r="r" b="b"/>
                                <a:pathLst>
                                  <a:path w="6097" h="6096" extrusionOk="0">
                                    <a:moveTo>
                                      <a:pt x="0" y="6096"/>
                                    </a:moveTo>
                                    <a:lnTo>
                                      <a:pt x="6097" y="6096"/>
                                    </a:lnTo>
                                    <a:lnTo>
                                      <a:pt x="6097"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26B995B" id="Freeform 14" o:spid="_x0000_s1026" style="position:absolute;margin-left:-25pt;margin-top:0;width:1pt;height:.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6097,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" path="m,6096r6097,l6097,,,,,6096xe" fillcolor="black" stroked="f">
                      <v:path arrowok="t" o:extrusionok="f"/>
                    </v:shape>
                  </w:pict>
                </mc:Fallback>
              </mc:AlternateContent>
            </w:r>
          </w:p>
        </w:tc>
        <w:tc>
          <w:tcPr>
            <w:tcW w:w="2976" w:type="dxa"/>
            <w:vMerge/>
          </w:tcPr>
          <w:p w14:paraId="23893925" w14:textId="77777777" w:rsidR="00FF4B29" w:rsidRPr="0049126A" w:rsidRDefault="00FF4B29" w:rsidP="00D8762B">
            <w:pPr>
              <w:pBdr>
                <w:top w:val="nil"/>
                <w:left w:val="nil"/>
                <w:bottom w:val="nil"/>
                <w:right w:val="nil"/>
                <w:between w:val="nil"/>
              </w:pBdr>
              <w:spacing w:after="0" w:line="276" w:lineRule="auto"/>
              <w:rPr>
                <w:rFonts w:ascii="Times New Roman" w:hAnsi="Times New Roman" w:cs="Times New Roman"/>
                <w:sz w:val="20"/>
                <w:szCs w:val="20"/>
                <w:lang w:val="pt-BR"/>
              </w:rPr>
            </w:pPr>
          </w:p>
        </w:tc>
      </w:tr>
    </w:tbl>
    <w:p w14:paraId="12EE1AB5" w14:textId="77777777" w:rsidR="00FF4B29" w:rsidRPr="0049126A" w:rsidRDefault="00FF4B29" w:rsidP="00D8762B">
      <w:pPr>
        <w:widowControl w:val="0"/>
        <w:spacing w:after="0" w:line="244" w:lineRule="auto"/>
        <w:ind w:right="1"/>
        <w:rPr>
          <w:rFonts w:ascii="Times New Roman" w:eastAsia="Times New Roman" w:hAnsi="Times New Roman" w:cs="Times New Roman"/>
          <w:sz w:val="24"/>
          <w:szCs w:val="24"/>
          <w:lang w:val="pt-BR" w:eastAsia="ro-RO"/>
        </w:rPr>
      </w:pPr>
      <w:r w:rsidRPr="0049126A">
        <w:rPr>
          <w:rFonts w:ascii="Times New Roman" w:eastAsia="Times New Roman" w:hAnsi="Times New Roman" w:cs="Times New Roman"/>
          <w:sz w:val="24"/>
          <w:szCs w:val="24"/>
          <w:lang w:val="pt-BR" w:eastAsia="ro-RO"/>
        </w:rPr>
        <w:t xml:space="preserve">Doza recomandată de Mosunetuzumab pentru fiecare dintre ciclurile de 21 de zile este specificată în Tabelul 2.  </w:t>
      </w:r>
    </w:p>
    <w:p w14:paraId="403E950C" w14:textId="77777777" w:rsidR="00FF4B29" w:rsidRPr="0049126A" w:rsidRDefault="00FF4B29" w:rsidP="00FF4B29">
      <w:pPr>
        <w:widowControl w:val="0"/>
        <w:tabs>
          <w:tab w:val="left" w:pos="2193"/>
        </w:tabs>
        <w:spacing w:after="0" w:line="244" w:lineRule="auto"/>
        <w:rPr>
          <w:rFonts w:ascii="Times New Roman" w:eastAsia="Times New Roman" w:hAnsi="Times New Roman" w:cs="Times New Roman"/>
          <w:b/>
          <w:sz w:val="24"/>
          <w:szCs w:val="24"/>
          <w:lang w:val="pt-BR" w:eastAsia="ro-RO"/>
        </w:rPr>
      </w:pPr>
    </w:p>
    <w:p w14:paraId="62F68F25" w14:textId="77777777" w:rsidR="00FF4B29" w:rsidRPr="0049126A" w:rsidRDefault="00FF4B29" w:rsidP="00FF4B29">
      <w:pPr>
        <w:widowControl w:val="0"/>
        <w:tabs>
          <w:tab w:val="left" w:pos="2193"/>
        </w:tabs>
        <w:spacing w:after="0" w:line="244" w:lineRule="auto"/>
        <w:rPr>
          <w:rFonts w:ascii="Times New Roman" w:eastAsia="Times New Roman" w:hAnsi="Times New Roman" w:cs="Times New Roman"/>
          <w:b/>
          <w:sz w:val="24"/>
          <w:szCs w:val="24"/>
          <w:lang w:val="pt-BR" w:eastAsia="ro-RO"/>
        </w:rPr>
      </w:pPr>
      <w:r w:rsidRPr="0049126A">
        <w:rPr>
          <w:rFonts w:ascii="Times New Roman" w:eastAsia="Times New Roman" w:hAnsi="Times New Roman" w:cs="Times New Roman"/>
          <w:b/>
          <w:sz w:val="24"/>
          <w:szCs w:val="24"/>
          <w:lang w:val="pt-BR" w:eastAsia="ro-RO"/>
        </w:rPr>
        <w:t xml:space="preserve">Tabelul 2 </w:t>
      </w:r>
      <w:r w:rsidRPr="0049126A">
        <w:rPr>
          <w:rFonts w:ascii="Times New Roman" w:eastAsia="Times New Roman" w:hAnsi="Times New Roman" w:cs="Times New Roman"/>
          <w:b/>
          <w:sz w:val="24"/>
          <w:szCs w:val="24"/>
          <w:lang w:val="pt-BR" w:eastAsia="ro-RO"/>
        </w:rPr>
        <w:tab/>
      </w:r>
    </w:p>
    <w:p w14:paraId="53835CAE" w14:textId="27DE77C1" w:rsidR="00FF4B29" w:rsidRPr="0049126A" w:rsidRDefault="00FF4B29" w:rsidP="00FF4B29">
      <w:pPr>
        <w:widowControl w:val="0"/>
        <w:tabs>
          <w:tab w:val="left" w:pos="2193"/>
        </w:tabs>
        <w:spacing w:after="0" w:line="244" w:lineRule="auto"/>
        <w:rPr>
          <w:rFonts w:ascii="Times New Roman" w:eastAsia="Times New Roman" w:hAnsi="Times New Roman" w:cs="Times New Roman"/>
          <w:sz w:val="24"/>
          <w:szCs w:val="24"/>
          <w:lang w:val="pt-BR" w:eastAsia="ro-RO"/>
        </w:rPr>
      </w:pPr>
      <w:r w:rsidRPr="0049126A">
        <w:rPr>
          <w:rFonts w:ascii="Times New Roman" w:eastAsia="Times New Roman" w:hAnsi="Times New Roman" w:cs="Times New Roman"/>
          <w:b/>
          <w:sz w:val="24"/>
          <w:szCs w:val="24"/>
          <w:lang w:val="pt-BR" w:eastAsia="ro-RO"/>
        </w:rPr>
        <w:t>Doza de Mosunetuzumab pentru pacienţii cu limfom folicular recidivat sau refractar</w:t>
      </w:r>
      <w:r w:rsidRPr="0049126A">
        <w:rPr>
          <w:rFonts w:ascii="Times New Roman" w:eastAsia="Times New Roman" w:hAnsi="Times New Roman" w:cs="Times New Roman"/>
          <w:sz w:val="24"/>
          <w:szCs w:val="24"/>
          <w:lang w:val="pt-BR" w:eastAsia="ro-RO"/>
        </w:rPr>
        <w:t xml:space="preserve"> </w:t>
      </w:r>
    </w:p>
    <w:tbl>
      <w:tblPr>
        <w:tblpPr w:leftFromText="180" w:rightFromText="180" w:vertAnchor="text" w:horzAnchor="margin" w:tblpY="181"/>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1395"/>
        <w:gridCol w:w="1935"/>
        <w:gridCol w:w="4869"/>
      </w:tblGrid>
      <w:tr w:rsidR="0049126A" w:rsidRPr="0049126A" w14:paraId="293E78AF" w14:textId="77777777" w:rsidTr="00FF4B29">
        <w:tc>
          <w:tcPr>
            <w:tcW w:w="2830" w:type="dxa"/>
            <w:gridSpan w:val="2"/>
          </w:tcPr>
          <w:p w14:paraId="43E7DE1B"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sz w:val="20"/>
                <w:szCs w:val="20"/>
                <w:lang w:val="en-US" w:eastAsia="ro-RO"/>
              </w:rPr>
              <w:t>Ziua de tratam</w:t>
            </w:r>
            <w:r w:rsidRPr="0049126A">
              <w:rPr>
                <w:rFonts w:ascii="Times New Roman" w:eastAsia="Times New Roman" w:hAnsi="Times New Roman" w:cs="Times New Roman"/>
                <w:b/>
                <w:sz w:val="20"/>
                <w:szCs w:val="20"/>
                <w:u w:val="single"/>
                <w:lang w:val="en-US" w:eastAsia="ro-RO"/>
              </w:rPr>
              <w:t>ent</w:t>
            </w:r>
          </w:p>
        </w:tc>
        <w:tc>
          <w:tcPr>
            <w:tcW w:w="1935" w:type="dxa"/>
          </w:tcPr>
          <w:p w14:paraId="31407F23"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sz w:val="20"/>
                <w:szCs w:val="20"/>
                <w:u w:val="single"/>
                <w:lang w:val="en-US" w:eastAsia="ro-RO"/>
              </w:rPr>
              <w:t>Doza de Lunsumio</w:t>
            </w:r>
          </w:p>
        </w:tc>
        <w:tc>
          <w:tcPr>
            <w:tcW w:w="4869" w:type="dxa"/>
          </w:tcPr>
          <w:p w14:paraId="125A320B"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sz w:val="20"/>
                <w:szCs w:val="20"/>
                <w:lang w:val="en-US" w:eastAsia="ro-RO"/>
              </w:rPr>
              <w:t xml:space="preserve">Viteza de perfuzare  </w:t>
            </w:r>
          </w:p>
        </w:tc>
      </w:tr>
      <w:tr w:rsidR="0049126A" w:rsidRPr="0049126A" w14:paraId="6B520867" w14:textId="77777777" w:rsidTr="00FF4B29">
        <w:tc>
          <w:tcPr>
            <w:tcW w:w="1435" w:type="dxa"/>
            <w:vMerge w:val="restart"/>
          </w:tcPr>
          <w:p w14:paraId="5CA89D40"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Ciclul 1</w:t>
            </w:r>
          </w:p>
        </w:tc>
        <w:tc>
          <w:tcPr>
            <w:tcW w:w="1395" w:type="dxa"/>
          </w:tcPr>
          <w:p w14:paraId="4BA58B9F"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u w:val="single"/>
                <w:lang w:val="en-US" w:eastAsia="ro-RO"/>
              </w:rPr>
              <w:t xml:space="preserve">  Ziua 1</w:t>
            </w:r>
          </w:p>
        </w:tc>
        <w:tc>
          <w:tcPr>
            <w:tcW w:w="1935" w:type="dxa"/>
          </w:tcPr>
          <w:p w14:paraId="28EA37C4"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1 mg</w:t>
            </w:r>
          </w:p>
        </w:tc>
        <w:tc>
          <w:tcPr>
            <w:tcW w:w="4869" w:type="dxa"/>
            <w:vMerge w:val="restart"/>
          </w:tcPr>
          <w:p w14:paraId="3C6A2E59"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 Perfuziile cu Lunsumio în ciclul 1 de  </w:t>
            </w:r>
          </w:p>
          <w:p w14:paraId="5080E57F"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tratament trebuie administrate în decurs de  </w:t>
            </w:r>
          </w:p>
          <w:p w14:paraId="7BF118D1"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minimum 4 ore.</w:t>
            </w:r>
          </w:p>
        </w:tc>
      </w:tr>
      <w:tr w:rsidR="0049126A" w:rsidRPr="0049126A" w14:paraId="3D4F9EA7" w14:textId="77777777" w:rsidTr="00FF4B29">
        <w:tc>
          <w:tcPr>
            <w:tcW w:w="1435" w:type="dxa"/>
            <w:vMerge/>
          </w:tcPr>
          <w:p w14:paraId="451948A2" w14:textId="77777777" w:rsidR="00FF4B29" w:rsidRPr="0049126A" w:rsidRDefault="00FF4B29" w:rsidP="00FF4B2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n-US" w:eastAsia="ro-RO"/>
              </w:rPr>
            </w:pPr>
          </w:p>
        </w:tc>
        <w:tc>
          <w:tcPr>
            <w:tcW w:w="1395" w:type="dxa"/>
          </w:tcPr>
          <w:p w14:paraId="76045A5F"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u w:val="single"/>
                <w:lang w:val="en-US" w:eastAsia="ro-RO"/>
              </w:rPr>
              <w:t xml:space="preserve">  Ziua 8</w:t>
            </w:r>
          </w:p>
        </w:tc>
        <w:tc>
          <w:tcPr>
            <w:tcW w:w="1935" w:type="dxa"/>
          </w:tcPr>
          <w:p w14:paraId="200BE174"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2 mg</w:t>
            </w:r>
          </w:p>
        </w:tc>
        <w:tc>
          <w:tcPr>
            <w:tcW w:w="4869" w:type="dxa"/>
            <w:vMerge/>
          </w:tcPr>
          <w:p w14:paraId="02D4EB32" w14:textId="77777777" w:rsidR="00FF4B29" w:rsidRPr="0049126A" w:rsidRDefault="00FF4B29" w:rsidP="00FF4B2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n-US" w:eastAsia="ro-RO"/>
              </w:rPr>
            </w:pPr>
          </w:p>
        </w:tc>
      </w:tr>
      <w:tr w:rsidR="0049126A" w:rsidRPr="0049126A" w14:paraId="58EC5A96" w14:textId="77777777" w:rsidTr="00FF4B29">
        <w:tc>
          <w:tcPr>
            <w:tcW w:w="1435" w:type="dxa"/>
            <w:vMerge/>
          </w:tcPr>
          <w:p w14:paraId="32863D12" w14:textId="77777777" w:rsidR="00FF4B29" w:rsidRPr="0049126A" w:rsidRDefault="00FF4B29" w:rsidP="00FF4B2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n-US" w:eastAsia="ro-RO"/>
              </w:rPr>
            </w:pPr>
          </w:p>
        </w:tc>
        <w:tc>
          <w:tcPr>
            <w:tcW w:w="1395" w:type="dxa"/>
          </w:tcPr>
          <w:p w14:paraId="62E1A232"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u w:val="single"/>
                <w:lang w:val="en-US" w:eastAsia="ro-RO"/>
              </w:rPr>
              <w:t xml:space="preserve">  Ziua 15</w:t>
            </w:r>
          </w:p>
        </w:tc>
        <w:tc>
          <w:tcPr>
            <w:tcW w:w="1935" w:type="dxa"/>
          </w:tcPr>
          <w:p w14:paraId="05183D05"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60 mg</w:t>
            </w:r>
          </w:p>
        </w:tc>
        <w:tc>
          <w:tcPr>
            <w:tcW w:w="4869" w:type="dxa"/>
            <w:vMerge/>
          </w:tcPr>
          <w:p w14:paraId="0DE9AF07" w14:textId="77777777" w:rsidR="00FF4B29" w:rsidRPr="0049126A" w:rsidRDefault="00FF4B29" w:rsidP="00FF4B2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n-US" w:eastAsia="ro-RO"/>
              </w:rPr>
            </w:pPr>
          </w:p>
        </w:tc>
      </w:tr>
      <w:tr w:rsidR="0049126A" w:rsidRPr="0049126A" w14:paraId="11BCA3BE" w14:textId="77777777" w:rsidTr="00FF4B29">
        <w:tc>
          <w:tcPr>
            <w:tcW w:w="1435" w:type="dxa"/>
          </w:tcPr>
          <w:p w14:paraId="7E5C0B6C"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Ciclul 2</w:t>
            </w:r>
          </w:p>
        </w:tc>
        <w:tc>
          <w:tcPr>
            <w:tcW w:w="1395" w:type="dxa"/>
          </w:tcPr>
          <w:p w14:paraId="2C2F33C2"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u w:val="single"/>
                <w:lang w:val="en-US" w:eastAsia="ro-RO"/>
              </w:rPr>
              <w:t xml:space="preserve">  Ziua 1</w:t>
            </w:r>
          </w:p>
        </w:tc>
        <w:tc>
          <w:tcPr>
            <w:tcW w:w="1935" w:type="dxa"/>
          </w:tcPr>
          <w:p w14:paraId="29E16754"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60 mg</w:t>
            </w:r>
          </w:p>
        </w:tc>
        <w:tc>
          <w:tcPr>
            <w:tcW w:w="4869" w:type="dxa"/>
            <w:vMerge w:val="restart"/>
          </w:tcPr>
          <w:p w14:paraId="4745D0CA" w14:textId="77777777" w:rsidR="00FF4B29" w:rsidRPr="0049126A" w:rsidRDefault="00FF4B29" w:rsidP="00FF4B29">
            <w:pPr>
              <w:widowControl w:val="0"/>
              <w:spacing w:before="12" w:after="0" w:line="244" w:lineRule="auto"/>
              <w:ind w:right="-18"/>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Dacă perfuziile din ciclul 1 sunt bine tolerate, </w: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89984" behindDoc="0" locked="0" layoutInCell="1" hidden="0" allowOverlap="1" wp14:anchorId="0E86EF2A" wp14:editId="6991D913">
                      <wp:simplePos x="0" y="0"/>
                      <wp:positionH relativeFrom="column">
                        <wp:posOffset>2374900</wp:posOffset>
                      </wp:positionH>
                      <wp:positionV relativeFrom="paragraph">
                        <wp:posOffset>0</wp:posOffset>
                      </wp:positionV>
                      <wp:extent cx="12700" cy="6096"/>
                      <wp:effectExtent l="0" t="0" r="0" b="0"/>
                      <wp:wrapNone/>
                      <wp:docPr id="25" name="Freeform 25"/>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95E93F5" id="Freeform 25" o:spid="_x0000_s1026" style="position:absolute;margin-left:187pt;margin-top:0;width:1pt;height:.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" path="m,6096r6096,l6096,,,,,6096xe" fillcolor="black" stroked="f">
                      <v:path arrowok="t" o:extrusionok="f"/>
                    </v:shape>
                  </w:pict>
                </mc:Fallback>
              </mc:AlternateContent>
            </w:r>
          </w:p>
          <w:p w14:paraId="5C67B5F7"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perfuziile ulterioare cu Lunsumio pot fi  administrate pe parcursul a 2 ore.  </w: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91008" behindDoc="0" locked="0" layoutInCell="1" hidden="0" allowOverlap="1" wp14:anchorId="1B419E4C" wp14:editId="3F628EC5">
                      <wp:simplePos x="0" y="0"/>
                      <wp:positionH relativeFrom="column">
                        <wp:posOffset>-317499</wp:posOffset>
                      </wp:positionH>
                      <wp:positionV relativeFrom="paragraph">
                        <wp:posOffset>0</wp:posOffset>
                      </wp:positionV>
                      <wp:extent cx="12700" cy="6096"/>
                      <wp:effectExtent l="0" t="0" r="0" b="0"/>
                      <wp:wrapNone/>
                      <wp:docPr id="42" name="Freeform 42"/>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54309F73" id="Freeform 42" o:spid="_x0000_s1026" style="position:absolute;margin-left:-25pt;margin-top:0;width:1pt;height:.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" path="m,6096r6096,l6096,,,,,6096xe" fillcolor="black" stroked="f">
                      <v:path arrowok="t" o:extrusionok="f"/>
                    </v:shape>
                  </w:pict>
                </mc:Fallback>
              </mc:AlternateConten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92032" behindDoc="0" locked="0" layoutInCell="1" hidden="0" allowOverlap="1" wp14:anchorId="430BE825" wp14:editId="3AD59F58">
                      <wp:simplePos x="0" y="0"/>
                      <wp:positionH relativeFrom="column">
                        <wp:posOffset>2374900</wp:posOffset>
                      </wp:positionH>
                      <wp:positionV relativeFrom="paragraph">
                        <wp:posOffset>0</wp:posOffset>
                      </wp:positionV>
                      <wp:extent cx="12700" cy="6096"/>
                      <wp:effectExtent l="0" t="0" r="0" b="0"/>
                      <wp:wrapNone/>
                      <wp:docPr id="54" name="Freeform 54"/>
                      <wp:cNvGraphicFramePr/>
                      <a:graphic xmlns:a="http://schemas.openxmlformats.org/drawingml/2006/main">
                        <a:graphicData uri="http://schemas.microsoft.com/office/word/2010/wordprocessingShape">
                          <wps:wsp>
                            <wps:cNvSpPr/>
                            <wps:spPr>
                              <a:xfrm>
                                <a:off x="5342952" y="3776952"/>
                                <a:ext cx="6096" cy="6096"/>
                              </a:xfrm>
                              <a:custGeom>
                                <a:avLst/>
                                <a:gdLst/>
                                <a:ahLst/>
                                <a:cxnLst/>
                                <a:rect l="l" t="t" r="r" b="b"/>
                                <a:pathLst>
                                  <a:path w="6096" h="6096" extrusionOk="0">
                                    <a:moveTo>
                                      <a:pt x="0" y="6096"/>
                                    </a:moveTo>
                                    <a:lnTo>
                                      <a:pt x="6096" y="6096"/>
                                    </a:lnTo>
                                    <a:lnTo>
                                      <a:pt x="6096" y="0"/>
                                    </a:lnTo>
                                    <a:lnTo>
                                      <a:pt x="0" y="0"/>
                                    </a:lnTo>
                                    <a:lnTo>
                                      <a:pt x="0" y="6096"/>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4210279" id="Freeform 54" o:spid="_x0000_s1026" style="position:absolute;margin-left:187pt;margin-top:0;width:1pt;height:.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" path="m,6096r6096,l6096,,,,,6096xe" fillcolor="black" stroked="f">
                      <v:path arrowok="t" o:extrusionok="f"/>
                    </v:shape>
                  </w:pict>
                </mc:Fallback>
              </mc:AlternateContent>
            </w:r>
          </w:p>
        </w:tc>
      </w:tr>
      <w:tr w:rsidR="0049126A" w:rsidRPr="0049126A" w14:paraId="2A3A02B7" w14:textId="77777777" w:rsidTr="00FF4B29">
        <w:tc>
          <w:tcPr>
            <w:tcW w:w="1435" w:type="dxa"/>
          </w:tcPr>
          <w:p w14:paraId="0CE26FCA" w14:textId="77777777" w:rsidR="00FF4B29" w:rsidRPr="0049126A" w:rsidRDefault="00FF4B29" w:rsidP="00FF4B29">
            <w:pPr>
              <w:widowControl w:val="0"/>
              <w:spacing w:after="0" w:line="252"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Începând cu  </w:t>
            </w:r>
            <w:r w:rsidRPr="0049126A">
              <w:rPr>
                <w:rFonts w:ascii="Times New Roman" w:eastAsia="Times New Roman" w:hAnsi="Times New Roman" w:cs="Times New Roman"/>
                <w:sz w:val="20"/>
                <w:szCs w:val="20"/>
                <w:lang w:val="en-US" w:eastAsia="ro-RO"/>
              </w:rPr>
              <w:br/>
              <w:t xml:space="preserve">ciclul 3  </w:t>
            </w:r>
          </w:p>
        </w:tc>
        <w:tc>
          <w:tcPr>
            <w:tcW w:w="1395" w:type="dxa"/>
          </w:tcPr>
          <w:p w14:paraId="65E761F6"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u w:val="single"/>
                <w:lang w:val="en-US" w:eastAsia="ro-RO"/>
              </w:rPr>
              <w:t xml:space="preserve">  Ziua 1</w:t>
            </w:r>
          </w:p>
        </w:tc>
        <w:tc>
          <w:tcPr>
            <w:tcW w:w="1935" w:type="dxa"/>
          </w:tcPr>
          <w:p w14:paraId="78A60270" w14:textId="77777777" w:rsidR="00FF4B29" w:rsidRPr="0049126A" w:rsidRDefault="00FF4B29" w:rsidP="00FF4B29">
            <w:pPr>
              <w:widowControl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30 mg</w:t>
            </w:r>
          </w:p>
        </w:tc>
        <w:tc>
          <w:tcPr>
            <w:tcW w:w="4869" w:type="dxa"/>
            <w:vMerge/>
          </w:tcPr>
          <w:p w14:paraId="13B88E5B" w14:textId="77777777" w:rsidR="00FF4B29" w:rsidRPr="0049126A" w:rsidRDefault="00FF4B29" w:rsidP="00FF4B29">
            <w:pPr>
              <w:widowControl w:val="0"/>
              <w:pBdr>
                <w:top w:val="nil"/>
                <w:left w:val="nil"/>
                <w:bottom w:val="nil"/>
                <w:right w:val="nil"/>
                <w:between w:val="nil"/>
              </w:pBdr>
              <w:spacing w:after="0" w:line="276" w:lineRule="auto"/>
              <w:rPr>
                <w:rFonts w:ascii="Times New Roman" w:eastAsia="Times New Roman" w:hAnsi="Times New Roman" w:cs="Times New Roman"/>
                <w:sz w:val="20"/>
                <w:szCs w:val="20"/>
                <w:lang w:val="en-US" w:eastAsia="ro-RO"/>
              </w:rPr>
            </w:pPr>
          </w:p>
        </w:tc>
      </w:tr>
    </w:tbl>
    <w:p w14:paraId="718771A0" w14:textId="77777777" w:rsidR="00FF4B29" w:rsidRPr="0049126A" w:rsidRDefault="00FF4B29" w:rsidP="00FF4B29">
      <w:pPr>
        <w:widowControl w:val="0"/>
        <w:spacing w:after="0" w:line="240" w:lineRule="auto"/>
        <w:rPr>
          <w:rFonts w:ascii="Times New Roman" w:eastAsia="Times New Roman" w:hAnsi="Times New Roman" w:cs="Times New Roman"/>
          <w:sz w:val="24"/>
          <w:szCs w:val="24"/>
          <w:lang w:val="pt-BR" w:eastAsia="ro-RO"/>
        </w:rPr>
      </w:pPr>
    </w:p>
    <w:p w14:paraId="77821383" w14:textId="77777777" w:rsidR="00D8762B" w:rsidRPr="0049126A" w:rsidRDefault="00FF4B29" w:rsidP="00D8762B">
      <w:pPr>
        <w:spacing w:after="0" w:line="240" w:lineRule="auto"/>
        <w:jc w:val="both"/>
        <w:rPr>
          <w:rFonts w:ascii="Times New Roman" w:hAnsi="Times New Roman" w:cs="Times New Roman"/>
          <w:sz w:val="24"/>
          <w:szCs w:val="24"/>
        </w:rPr>
      </w:pPr>
      <w:r w:rsidRPr="0049126A">
        <w:rPr>
          <w:rFonts w:ascii="Times New Roman" w:hAnsi="Times New Roman" w:cs="Times New Roman"/>
          <w:i/>
          <w:sz w:val="24"/>
          <w:szCs w:val="24"/>
          <w:u w:val="single"/>
        </w:rPr>
        <w:t>Durata tratamentului</w:t>
      </w:r>
      <w:r w:rsidRPr="0049126A">
        <w:rPr>
          <w:rFonts w:ascii="Times New Roman" w:hAnsi="Times New Roman" w:cs="Times New Roman"/>
          <w:sz w:val="24"/>
          <w:szCs w:val="24"/>
        </w:rPr>
        <w:t xml:space="preserve"> </w:t>
      </w:r>
    </w:p>
    <w:p w14:paraId="7606D76B" w14:textId="54337490" w:rsidR="00FF4B29" w:rsidRPr="0049126A" w:rsidRDefault="00FF4B29" w:rsidP="00D8762B">
      <w:pPr>
        <w:spacing w:after="0" w:line="240" w:lineRule="auto"/>
        <w:jc w:val="both"/>
        <w:rPr>
          <w:rFonts w:ascii="Times New Roman" w:hAnsi="Times New Roman" w:cs="Times New Roman"/>
          <w:sz w:val="24"/>
          <w:szCs w:val="24"/>
        </w:rPr>
      </w:pPr>
      <w:r w:rsidRPr="0049126A">
        <w:rPr>
          <w:rFonts w:ascii="Times New Roman" w:hAnsi="Times New Roman" w:cs="Times New Roman"/>
          <w:sz w:val="24"/>
          <w:szCs w:val="24"/>
          <w:lang w:val="pt-BR"/>
        </w:rPr>
        <w:t xml:space="preserve">Mosunetuzumab trebuie administrat timp de 8 cicluri, cu excepţia cazului în care apar toxicităţi inacceptabile sau se înregistrează progresia bolii.  </w:t>
      </w:r>
    </w:p>
    <w:p w14:paraId="7F832618" w14:textId="77777777" w:rsidR="00FF4B29" w:rsidRPr="0049126A" w:rsidRDefault="00FF4B29" w:rsidP="00FF4B29">
      <w:pPr>
        <w:spacing w:before="256" w:line="252" w:lineRule="auto"/>
        <w:ind w:right="1"/>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La pacienţii care obţin răspuns complet la tratament nu este necesară continuarea acestuia mai mult de 8 cicluri. La pacienţii cu răspuns parţial sau la care boala se stabilizează ca răspuns la tratamentul cu   Mosunetuzumab după 8 cicluri, tratamentul ar trebui continuat timp de încă 9 cicluri (17 cicluri în total), cu  excepţia situaţiei în care pacientul are reacţii toxice inacceptabile sau prezintă progresia bolii.  </w:t>
      </w:r>
    </w:p>
    <w:p w14:paraId="367D04A7" w14:textId="77777777" w:rsidR="00D8762B" w:rsidRPr="0049126A" w:rsidRDefault="00FF4B29" w:rsidP="00D8762B">
      <w:pPr>
        <w:spacing w:after="0" w:line="244" w:lineRule="auto"/>
        <w:ind w:right="1"/>
        <w:jc w:val="both"/>
        <w:rPr>
          <w:rFonts w:ascii="Times New Roman" w:hAnsi="Times New Roman" w:cs="Times New Roman"/>
          <w:sz w:val="24"/>
          <w:szCs w:val="24"/>
          <w:lang w:val="pt-BR"/>
        </w:rPr>
      </w:pPr>
      <w:r w:rsidRPr="0049126A">
        <w:rPr>
          <w:rFonts w:ascii="Times New Roman" w:hAnsi="Times New Roman" w:cs="Times New Roman"/>
          <w:i/>
          <w:sz w:val="24"/>
          <w:szCs w:val="24"/>
          <w:u w:val="single"/>
          <w:lang w:val="pt-BR"/>
        </w:rPr>
        <w:t>Omiterea sau întârzierea administrării dozelor</w:t>
      </w:r>
      <w:r w:rsidRPr="0049126A">
        <w:rPr>
          <w:rFonts w:ascii="Times New Roman" w:hAnsi="Times New Roman" w:cs="Times New Roman"/>
          <w:sz w:val="24"/>
          <w:szCs w:val="24"/>
          <w:lang w:val="pt-BR"/>
        </w:rPr>
        <w:t xml:space="preserve"> </w:t>
      </w:r>
    </w:p>
    <w:p w14:paraId="300DD1A8" w14:textId="752852B5" w:rsidR="00FF4B29" w:rsidRPr="0049126A" w:rsidRDefault="00FF4B29" w:rsidP="00D8762B">
      <w:pPr>
        <w:spacing w:after="0" w:line="244" w:lineRule="auto"/>
        <w:ind w:right="1"/>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Dacă în ciclul 1 se întârzie administrarea oricărei doze cu &gt; 7 zile, se va administra din nou doza anterioară tolerată înainte de a se relua tratamentul conform schemei planificate.   </w:t>
      </w:r>
    </w:p>
    <w:p w14:paraId="1D30F11A" w14:textId="77777777" w:rsidR="00FF4B29" w:rsidRPr="0049126A" w:rsidRDefault="00FF4B29" w:rsidP="00FF4B29">
      <w:pPr>
        <w:spacing w:before="256" w:line="253" w:lineRule="auto"/>
        <w:ind w:right="1"/>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 xml:space="preserve">Dacă întreruperea administrării are loc între ciclurile 1 şi 2 iar perioada de întrerupere rezultată este ≥ 6 săptămâni, Mosunetuzumab se va administra în doză de 1 mg în ziua 1, în doză de 2 mg în ziua 8, iar  apoi se va continua tratamentul planificat în ciclul 2, cu doza de 60 mg în ziua 15.  </w:t>
      </w:r>
    </w:p>
    <w:p w14:paraId="2A3917C6" w14:textId="5BF0E4F8" w:rsidR="00FF4B29" w:rsidRPr="0049126A" w:rsidRDefault="00FF4B29" w:rsidP="008014AF">
      <w:pPr>
        <w:widowControl w:val="0"/>
        <w:spacing w:after="163" w:line="240" w:lineRule="auto"/>
        <w:jc w:val="both"/>
        <w:rPr>
          <w:rFonts w:ascii="Times New Roman" w:eastAsia="Times New Roman" w:hAnsi="Times New Roman" w:cs="Times New Roman"/>
          <w:sz w:val="24"/>
          <w:szCs w:val="24"/>
          <w:lang w:val="en-US" w:eastAsia="ro-RO"/>
        </w:rPr>
      </w:pPr>
      <w:r w:rsidRPr="0049126A">
        <w:rPr>
          <w:rFonts w:ascii="Times New Roman" w:hAnsi="Times New Roman" w:cs="Times New Roman"/>
          <w:sz w:val="24"/>
          <w:szCs w:val="24"/>
          <w:lang w:val="pt-BR"/>
        </w:rPr>
        <w:t>Dacă întreruperea administrării având ca rezultat o perioadă fără tratament de ≥ 6 săptămâni are loc  între oricare dintre ciclurile începând cu ciclul 3, Mosunetuzumab se va administra în doză de 1 mg în ziua 1, în doză de 2 mg în ziua 8, iar apoi se va continua tratamentul conform schemei</w:t>
      </w:r>
      <w:r w:rsidR="008014AF" w:rsidRPr="0049126A">
        <w:rPr>
          <w:rFonts w:ascii="Times New Roman" w:hAnsi="Times New Roman" w:cs="Times New Roman"/>
          <w:sz w:val="24"/>
          <w:szCs w:val="24"/>
          <w:lang w:val="pt-BR"/>
        </w:rPr>
        <w:t xml:space="preserve"> </w:t>
      </w:r>
      <w:r w:rsidRPr="0049126A">
        <w:rPr>
          <w:rFonts w:ascii="Times New Roman" w:hAnsi="Times New Roman" w:cs="Times New Roman"/>
          <w:sz w:val="24"/>
          <w:szCs w:val="24"/>
          <w:lang w:val="pt-BR"/>
        </w:rPr>
        <w:t xml:space="preserve">planificate, cu doza de  30 mg în ziua 15. </w: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1792" behindDoc="0" locked="0" layoutInCell="1" hidden="0" allowOverlap="1" wp14:anchorId="665FF320" wp14:editId="09FEF23D">
                <wp:simplePos x="0" y="0"/>
                <wp:positionH relativeFrom="column">
                  <wp:posOffset>571500</wp:posOffset>
                </wp:positionH>
                <wp:positionV relativeFrom="paragraph">
                  <wp:posOffset>101600</wp:posOffset>
                </wp:positionV>
                <wp:extent cx="12700" cy="6095"/>
                <wp:effectExtent l="0" t="0" r="0" b="0"/>
                <wp:wrapNone/>
                <wp:docPr id="29" name="Freeform 29"/>
                <wp:cNvGraphicFramePr/>
                <a:graphic xmlns:a="http://schemas.openxmlformats.org/drawingml/2006/main">
                  <a:graphicData uri="http://schemas.microsoft.com/office/word/2010/wordprocessingShape">
                    <wps:wsp>
                      <wps:cNvSpPr/>
                      <wps:spPr>
                        <a:xfrm>
                          <a:off x="5342952" y="3776953"/>
                          <a:ext cx="6096" cy="6095"/>
                        </a:xfrm>
                        <a:custGeom>
                          <a:avLst/>
                          <a:gdLst/>
                          <a:ahLst/>
                          <a:cxnLst/>
                          <a:rect l="l" t="t" r="r" b="b"/>
                          <a:pathLst>
                            <a:path w="6096" h="6095" extrusionOk="0">
                              <a:moveTo>
                                <a:pt x="0" y="6095"/>
                              </a:moveTo>
                              <a:lnTo>
                                <a:pt x="6096" y="6095"/>
                              </a:lnTo>
                              <a:lnTo>
                                <a:pt x="6096"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230DEF5" id="Freeform 29" o:spid="_x0000_s1026" style="position:absolute;margin-left:45pt;margin-top:8pt;width:1pt;height:.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" path="m,6095r6096,l6096,,,,,6095xe" fillcolor="black" stroked="f">
                <v:path arrowok="t" o:extrusionok="f"/>
              </v:shape>
            </w:pict>
          </mc:Fallback>
        </mc:AlternateConten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2816" behindDoc="0" locked="0" layoutInCell="1" hidden="0" allowOverlap="1" wp14:anchorId="149FB8F2" wp14:editId="4E86EAE3">
                <wp:simplePos x="0" y="0"/>
                <wp:positionH relativeFrom="column">
                  <wp:posOffset>571500</wp:posOffset>
                </wp:positionH>
                <wp:positionV relativeFrom="paragraph">
                  <wp:posOffset>101600</wp:posOffset>
                </wp:positionV>
                <wp:extent cx="12700" cy="6095"/>
                <wp:effectExtent l="0" t="0" r="0" b="0"/>
                <wp:wrapNone/>
                <wp:docPr id="15" name="Freeform 15"/>
                <wp:cNvGraphicFramePr/>
                <a:graphic xmlns:a="http://schemas.openxmlformats.org/drawingml/2006/main">
                  <a:graphicData uri="http://schemas.microsoft.com/office/word/2010/wordprocessingShape">
                    <wps:wsp>
                      <wps:cNvSpPr/>
                      <wps:spPr>
                        <a:xfrm>
                          <a:off x="5342952" y="3776953"/>
                          <a:ext cx="6096" cy="6095"/>
                        </a:xfrm>
                        <a:custGeom>
                          <a:avLst/>
                          <a:gdLst/>
                          <a:ahLst/>
                          <a:cxnLst/>
                          <a:rect l="l" t="t" r="r" b="b"/>
                          <a:pathLst>
                            <a:path w="6096" h="6095" extrusionOk="0">
                              <a:moveTo>
                                <a:pt x="0" y="6095"/>
                              </a:moveTo>
                              <a:lnTo>
                                <a:pt x="6096" y="6095"/>
                              </a:lnTo>
                              <a:lnTo>
                                <a:pt x="6096"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27E4E6F6" id="Freeform 15" o:spid="_x0000_s1026" style="position:absolute;margin-left:45pt;margin-top:8pt;width:1pt;height:.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" path="m,6095r6096,l6096,,,,,6095xe" fillcolor="black" stroked="f">
                <v:path arrowok="t" o:extrusionok="f"/>
              </v:shape>
            </w:pict>
          </mc:Fallback>
        </mc:AlternateConten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3840" behindDoc="0" locked="0" layoutInCell="1" hidden="0" allowOverlap="1" wp14:anchorId="28EDF18A" wp14:editId="4B580443">
                <wp:simplePos x="0" y="0"/>
                <wp:positionH relativeFrom="column">
                  <wp:posOffset>1473200</wp:posOffset>
                </wp:positionH>
                <wp:positionV relativeFrom="paragraph">
                  <wp:posOffset>101600</wp:posOffset>
                </wp:positionV>
                <wp:extent cx="12700" cy="6095"/>
                <wp:effectExtent l="0" t="0" r="0" b="0"/>
                <wp:wrapNone/>
                <wp:docPr id="52" name="Freeform 52"/>
                <wp:cNvGraphicFramePr/>
                <a:graphic xmlns:a="http://schemas.openxmlformats.org/drawingml/2006/main">
                  <a:graphicData uri="http://schemas.microsoft.com/office/word/2010/wordprocessingShape">
                    <wps:wsp>
                      <wps:cNvSpPr/>
                      <wps:spPr>
                        <a:xfrm>
                          <a:off x="5342952" y="3776953"/>
                          <a:ext cx="6096" cy="6095"/>
                        </a:xfrm>
                        <a:custGeom>
                          <a:avLst/>
                          <a:gdLst/>
                          <a:ahLst/>
                          <a:cxnLst/>
                          <a:rect l="l" t="t" r="r" b="b"/>
                          <a:pathLst>
                            <a:path w="6096" h="6095" extrusionOk="0">
                              <a:moveTo>
                                <a:pt x="0" y="6095"/>
                              </a:moveTo>
                              <a:lnTo>
                                <a:pt x="6096" y="6095"/>
                              </a:lnTo>
                              <a:lnTo>
                                <a:pt x="6096"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67698644" id="Freeform 52" o:spid="_x0000_s1026" style="position:absolute;margin-left:116pt;margin-top:8pt;width:1pt;height:.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" path="m,6095r6096,l6096,,,,,6095xe" fillcolor="black" stroked="f">
                <v:path arrowok="t" o:extrusionok="f"/>
              </v:shape>
            </w:pict>
          </mc:Fallback>
        </mc:AlternateConten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4864" behindDoc="0" locked="0" layoutInCell="1" hidden="0" allowOverlap="1" wp14:anchorId="0AA862F9" wp14:editId="78E99BC2">
                <wp:simplePos x="0" y="0"/>
                <wp:positionH relativeFrom="column">
                  <wp:posOffset>2197100</wp:posOffset>
                </wp:positionH>
                <wp:positionV relativeFrom="paragraph">
                  <wp:posOffset>101600</wp:posOffset>
                </wp:positionV>
                <wp:extent cx="12700" cy="6095"/>
                <wp:effectExtent l="0" t="0" r="0" b="0"/>
                <wp:wrapNone/>
                <wp:docPr id="34" name="Freeform 34"/>
                <wp:cNvGraphicFramePr/>
                <a:graphic xmlns:a="http://schemas.openxmlformats.org/drawingml/2006/main">
                  <a:graphicData uri="http://schemas.microsoft.com/office/word/2010/wordprocessingShape">
                    <wps:wsp>
                      <wps:cNvSpPr/>
                      <wps:spPr>
                        <a:xfrm>
                          <a:off x="5342952" y="3776953"/>
                          <a:ext cx="6097" cy="6095"/>
                        </a:xfrm>
                        <a:custGeom>
                          <a:avLst/>
                          <a:gdLst/>
                          <a:ahLst/>
                          <a:cxnLst/>
                          <a:rect l="l" t="t" r="r" b="b"/>
                          <a:pathLst>
                            <a:path w="6097" h="6095" extrusionOk="0">
                              <a:moveTo>
                                <a:pt x="0" y="6095"/>
                              </a:moveTo>
                              <a:lnTo>
                                <a:pt x="6097" y="6095"/>
                              </a:lnTo>
                              <a:lnTo>
                                <a:pt x="6097"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247AEB8" id="Freeform 34" o:spid="_x0000_s1026" style="position:absolute;margin-left:173pt;margin-top:8pt;width:1pt;height:.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6097,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" path="m,6095r6097,l6097,,,,,6095xe" fillcolor="black" stroked="f">
                <v:path arrowok="t" o:extrusionok="f"/>
              </v:shape>
            </w:pict>
          </mc:Fallback>
        </mc:AlternateConten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5888" behindDoc="0" locked="0" layoutInCell="1" hidden="0" allowOverlap="1" wp14:anchorId="35094F3F" wp14:editId="413201C6">
                <wp:simplePos x="0" y="0"/>
                <wp:positionH relativeFrom="column">
                  <wp:posOffset>3619500</wp:posOffset>
                </wp:positionH>
                <wp:positionV relativeFrom="paragraph">
                  <wp:posOffset>101600</wp:posOffset>
                </wp:positionV>
                <wp:extent cx="12700" cy="6095"/>
                <wp:effectExtent l="0" t="0" r="0" b="0"/>
                <wp:wrapNone/>
                <wp:docPr id="45" name="Freeform 45"/>
                <wp:cNvGraphicFramePr/>
                <a:graphic xmlns:a="http://schemas.openxmlformats.org/drawingml/2006/main">
                  <a:graphicData uri="http://schemas.microsoft.com/office/word/2010/wordprocessingShape">
                    <wps:wsp>
                      <wps:cNvSpPr/>
                      <wps:spPr>
                        <a:xfrm>
                          <a:off x="5342952" y="3776953"/>
                          <a:ext cx="6096" cy="6095"/>
                        </a:xfrm>
                        <a:custGeom>
                          <a:avLst/>
                          <a:gdLst/>
                          <a:ahLst/>
                          <a:cxnLst/>
                          <a:rect l="l" t="t" r="r" b="b"/>
                          <a:pathLst>
                            <a:path w="6096" h="6095" extrusionOk="0">
                              <a:moveTo>
                                <a:pt x="0" y="6095"/>
                              </a:moveTo>
                              <a:lnTo>
                                <a:pt x="6096" y="6095"/>
                              </a:lnTo>
                              <a:lnTo>
                                <a:pt x="6096"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08BB83CD" id="Freeform 45" o:spid="_x0000_s1026" style="position:absolute;margin-left:285pt;margin-top:8pt;width:1pt;height:.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" path="m,6095r6096,l6096,,,,,6095xe" fillcolor="black" stroked="f">
                <v:path arrowok="t" o:extrusionok="f"/>
              </v:shape>
            </w:pict>
          </mc:Fallback>
        </mc:AlternateConten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6912" behindDoc="0" locked="0" layoutInCell="1" hidden="0" allowOverlap="1" wp14:anchorId="367AD342" wp14:editId="21076C03">
                <wp:simplePos x="0" y="0"/>
                <wp:positionH relativeFrom="column">
                  <wp:posOffset>6324600</wp:posOffset>
                </wp:positionH>
                <wp:positionV relativeFrom="paragraph">
                  <wp:posOffset>101600</wp:posOffset>
                </wp:positionV>
                <wp:extent cx="12700" cy="6095"/>
                <wp:effectExtent l="0" t="0" r="0" b="0"/>
                <wp:wrapNone/>
                <wp:docPr id="3" name="Freeform 3"/>
                <wp:cNvGraphicFramePr/>
                <a:graphic xmlns:a="http://schemas.openxmlformats.org/drawingml/2006/main">
                  <a:graphicData uri="http://schemas.microsoft.com/office/word/2010/wordprocessingShape">
                    <wps:wsp>
                      <wps:cNvSpPr/>
                      <wps:spPr>
                        <a:xfrm>
                          <a:off x="5342952" y="3776953"/>
                          <a:ext cx="6096" cy="6095"/>
                        </a:xfrm>
                        <a:custGeom>
                          <a:avLst/>
                          <a:gdLst/>
                          <a:ahLst/>
                          <a:cxnLst/>
                          <a:rect l="l" t="t" r="r" b="b"/>
                          <a:pathLst>
                            <a:path w="6096" h="6095" extrusionOk="0">
                              <a:moveTo>
                                <a:pt x="0" y="6095"/>
                              </a:moveTo>
                              <a:lnTo>
                                <a:pt x="6096" y="6095"/>
                              </a:lnTo>
                              <a:lnTo>
                                <a:pt x="6096"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5522360F" id="Freeform 3" o:spid="_x0000_s1026" style="position:absolute;margin-left:498pt;margin-top:8pt;width:1pt;height:.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" path="m,6095r6096,l6096,,,,,6095xe" fillcolor="black" stroked="f">
                <v:path arrowok="t" o:extrusionok="f"/>
              </v:shape>
            </w:pict>
          </mc:Fallback>
        </mc:AlternateContent>
      </w:r>
      <w:r w:rsidRPr="0049126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87936" behindDoc="0" locked="0" layoutInCell="1" hidden="0" allowOverlap="1" wp14:anchorId="34C76B2F" wp14:editId="6167B779">
                <wp:simplePos x="0" y="0"/>
                <wp:positionH relativeFrom="column">
                  <wp:posOffset>6324600</wp:posOffset>
                </wp:positionH>
                <wp:positionV relativeFrom="paragraph">
                  <wp:posOffset>101600</wp:posOffset>
                </wp:positionV>
                <wp:extent cx="12700" cy="6095"/>
                <wp:effectExtent l="0" t="0" r="0" b="0"/>
                <wp:wrapNone/>
                <wp:docPr id="19" name="Freeform 19"/>
                <wp:cNvGraphicFramePr/>
                <a:graphic xmlns:a="http://schemas.openxmlformats.org/drawingml/2006/main">
                  <a:graphicData uri="http://schemas.microsoft.com/office/word/2010/wordprocessingShape">
                    <wps:wsp>
                      <wps:cNvSpPr/>
                      <wps:spPr>
                        <a:xfrm>
                          <a:off x="5342952" y="3776953"/>
                          <a:ext cx="6096" cy="6095"/>
                        </a:xfrm>
                        <a:custGeom>
                          <a:avLst/>
                          <a:gdLst/>
                          <a:ahLst/>
                          <a:cxnLst/>
                          <a:rect l="l" t="t" r="r" b="b"/>
                          <a:pathLst>
                            <a:path w="6096" h="6095" extrusionOk="0">
                              <a:moveTo>
                                <a:pt x="0" y="6095"/>
                              </a:moveTo>
                              <a:lnTo>
                                <a:pt x="6096" y="6095"/>
                              </a:lnTo>
                              <a:lnTo>
                                <a:pt x="6096" y="0"/>
                              </a:lnTo>
                              <a:lnTo>
                                <a:pt x="0" y="0"/>
                              </a:lnTo>
                              <a:lnTo>
                                <a:pt x="0" y="6095"/>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4609FE6C" id="Freeform 19" o:spid="_x0000_s1026" style="position:absolute;margin-left:498pt;margin-top:8pt;width:1pt;height:.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6096,6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" path="m,6095r6096,l6096,,,,,6095xe" fillcolor="black" stroked="f">
                <v:path arrowok="t" o:extrusionok="f"/>
              </v:shape>
            </w:pict>
          </mc:Fallback>
        </mc:AlternateContent>
      </w:r>
    </w:p>
    <w:p w14:paraId="38A5FEF0" w14:textId="77777777" w:rsidR="00D8762B" w:rsidRPr="0049126A" w:rsidRDefault="003C769A" w:rsidP="00D8762B">
      <w:pPr>
        <w:widowControl w:val="0"/>
        <w:spacing w:after="0" w:line="240" w:lineRule="auto"/>
        <w:jc w:val="both"/>
        <w:rPr>
          <w:rFonts w:ascii="Times New Roman" w:eastAsia="Times New Roman" w:hAnsi="Times New Roman" w:cs="Times New Roman"/>
          <w:sz w:val="24"/>
          <w:szCs w:val="24"/>
          <w:lang w:val="pt-BR" w:eastAsia="ro-RO"/>
        </w:rPr>
      </w:pPr>
      <w:sdt>
        <w:sdtPr>
          <w:rPr>
            <w:rFonts w:ascii="Times New Roman" w:eastAsia="Times New Roman" w:hAnsi="Times New Roman" w:cs="Times New Roman"/>
            <w:sz w:val="24"/>
            <w:szCs w:val="24"/>
            <w:lang w:val="en-US" w:eastAsia="ro-RO"/>
          </w:rPr>
          <w:tag w:val="goog_rdk_9"/>
          <w:id w:val="-31883850"/>
        </w:sdtPr>
        <w:sdtEndPr/>
        <w:sdtContent>
          <w:r w:rsidR="001B2552" w:rsidRPr="0049126A">
            <w:rPr>
              <w:rFonts w:ascii="Times New Roman" w:eastAsia="Times New Roman" w:hAnsi="Times New Roman" w:cs="Times New Roman"/>
              <w:i/>
              <w:sz w:val="24"/>
              <w:szCs w:val="24"/>
              <w:u w:val="single"/>
              <w:lang w:val="pt-BR" w:eastAsia="ro-RO"/>
            </w:rPr>
            <w:t>Modificarea dozei</w:t>
          </w:r>
          <w:r w:rsidR="001B2552" w:rsidRPr="0049126A">
            <w:rPr>
              <w:rFonts w:ascii="Times New Roman" w:eastAsia="Times New Roman" w:hAnsi="Times New Roman" w:cs="Times New Roman"/>
              <w:sz w:val="24"/>
              <w:szCs w:val="24"/>
              <w:lang w:val="pt-BR" w:eastAsia="ro-RO"/>
            </w:rPr>
            <w:t xml:space="preserve"> </w:t>
          </w:r>
        </w:sdtContent>
      </w:sdt>
    </w:p>
    <w:p w14:paraId="08154EEA" w14:textId="533200D9" w:rsidR="001B2552" w:rsidRPr="0049126A" w:rsidRDefault="001B2552" w:rsidP="00D8762B">
      <w:pPr>
        <w:widowControl w:val="0"/>
        <w:spacing w:after="0" w:line="240" w:lineRule="auto"/>
        <w:jc w:val="both"/>
        <w:rPr>
          <w:rFonts w:ascii="Times New Roman" w:eastAsia="Times New Roman" w:hAnsi="Times New Roman" w:cs="Times New Roman"/>
          <w:sz w:val="24"/>
          <w:szCs w:val="24"/>
          <w:lang w:val="pt-BR" w:eastAsia="ro-RO"/>
        </w:rPr>
      </w:pPr>
      <w:r w:rsidRPr="0049126A">
        <w:rPr>
          <w:rFonts w:ascii="Times New Roman" w:eastAsia="Times New Roman" w:hAnsi="Times New Roman" w:cs="Times New Roman"/>
          <w:sz w:val="24"/>
          <w:szCs w:val="24"/>
          <w:lang w:val="pt-BR" w:eastAsia="ro-RO"/>
        </w:rPr>
        <w:t xml:space="preserve">În cazul pacienţilor care prezintă reacţii adverse de gradul 3 sau 4 (de exemplu, infecţie gravă,  exacerbare tumorală, sindrom de liză tumorală), tratamentul trebuie oprit temporar până la remiterea simptomelor. </w:t>
      </w:r>
    </w:p>
    <w:p w14:paraId="3481164A" w14:textId="77777777" w:rsidR="001B2552" w:rsidRPr="0049126A" w:rsidRDefault="001B2552" w:rsidP="001B2552">
      <w:pPr>
        <w:widowControl w:val="0"/>
        <w:spacing w:before="256" w:after="0" w:line="253" w:lineRule="auto"/>
        <w:ind w:right="1"/>
        <w:jc w:val="both"/>
        <w:rPr>
          <w:rFonts w:ascii="Times New Roman" w:eastAsia="Times New Roman" w:hAnsi="Times New Roman" w:cs="Times New Roman"/>
          <w:sz w:val="24"/>
          <w:szCs w:val="24"/>
          <w:lang w:val="pt-BR" w:eastAsia="ro-RO"/>
        </w:rPr>
      </w:pPr>
      <w:r w:rsidRPr="0049126A">
        <w:rPr>
          <w:rFonts w:ascii="Times New Roman" w:eastAsia="Times New Roman" w:hAnsi="Times New Roman" w:cs="Times New Roman"/>
          <w:sz w:val="24"/>
          <w:szCs w:val="24"/>
          <w:lang w:val="pt-BR" w:eastAsia="ro-RO"/>
        </w:rPr>
        <w:lastRenderedPageBreak/>
        <w:t>Reacţiile adverse enumerate se bazează pe datele din studiile clinice şi sunt prezentate în funcţie de frecvenţă şi clasificarea MedDRA pe aparate, sisteme şi organe. Categoriile de frecvenţă sunt definite după următoarea convenţie: foarte frecvente (≥ 1/10); frecvente (≥ 1/100 şi &lt; 1/10); mai puţin frecvente (≥ 1/1000 şi &lt; 1/100); rare (≥ 1/10000 şi &lt; 1/1000); foarte rare (&lt; 1/10000) şi cu frecvenţă necunoscută (care nu poate fi estimată din datele disponibile). Evenimentele adverse au fost clasificate pe grade de severitate conform Criteriilor de terminologie comună pentru evenimentele adverse ale Institutului Naţional de Cancer din SUA (National Cancer Institute - Common Terminology Criteria for Adverse Events, NCI-CTCAE).</w:t>
      </w:r>
    </w:p>
    <w:p w14:paraId="5740DFF6" w14:textId="77777777" w:rsidR="001B2552" w:rsidRPr="0049126A" w:rsidRDefault="001B2552" w:rsidP="001B2552">
      <w:pPr>
        <w:widowControl w:val="0"/>
        <w:spacing w:before="256" w:after="0" w:line="252" w:lineRule="auto"/>
        <w:ind w:right="1"/>
        <w:jc w:val="both"/>
        <w:rPr>
          <w:rFonts w:ascii="Times New Roman" w:eastAsia="Times New Roman" w:hAnsi="Times New Roman" w:cs="Times New Roman"/>
          <w:sz w:val="24"/>
          <w:szCs w:val="24"/>
          <w:lang w:val="pt-BR" w:eastAsia="ro-RO"/>
        </w:rPr>
      </w:pPr>
      <w:r w:rsidRPr="0049126A">
        <w:rPr>
          <w:rFonts w:ascii="Times New Roman" w:eastAsia="Times New Roman" w:hAnsi="Times New Roman" w:cs="Times New Roman"/>
          <w:sz w:val="24"/>
          <w:szCs w:val="24"/>
          <w:lang w:val="pt-BR" w:eastAsia="ro-RO"/>
        </w:rPr>
        <w:t xml:space="preserve">SEC trebuie identificat pe baza manifestărilor clinice. Pacienţii trebuie evaluaţi şi trataţi pentru alte cauze ale febrei, hipoxiei şi hipotensiunii arteriale, cum ar fi infecţia/sepsisul. Este posibil  ca reacţiile legate de perfuzie (RLP) să fie imposibil de distins clinic de manifestările SEC. În cazul în care se suspectează RLP sau SEC, pacienţii trebuie trataţi conform recomandărilor din tabelul 3.   </w:t>
      </w:r>
    </w:p>
    <w:p w14:paraId="0AC36862" w14:textId="77777777" w:rsidR="003913BC" w:rsidRPr="0049126A" w:rsidRDefault="003913BC" w:rsidP="00380B65">
      <w:pPr>
        <w:tabs>
          <w:tab w:val="left" w:pos="426"/>
        </w:tabs>
        <w:jc w:val="both"/>
        <w:rPr>
          <w:rFonts w:ascii="Times New Roman" w:eastAsia="Arial" w:hAnsi="Times New Roman" w:cs="Times New Roman"/>
          <w:b/>
          <w:bCs/>
          <w:sz w:val="24"/>
          <w:szCs w:val="24"/>
          <w:lang w:val="en-US"/>
        </w:rPr>
      </w:pPr>
    </w:p>
    <w:p w14:paraId="7F59DFB0" w14:textId="77777777" w:rsidR="001B2552" w:rsidRPr="0049126A" w:rsidRDefault="001B2552" w:rsidP="001B2552">
      <w:pPr>
        <w:tabs>
          <w:tab w:val="left" w:pos="426"/>
        </w:tabs>
        <w:spacing w:after="0"/>
        <w:jc w:val="both"/>
        <w:rPr>
          <w:rFonts w:ascii="Times New Roman" w:eastAsia="Arial" w:hAnsi="Times New Roman" w:cs="Times New Roman"/>
          <w:b/>
          <w:bCs/>
          <w:sz w:val="24"/>
          <w:szCs w:val="24"/>
          <w:lang w:val="pt-BR"/>
        </w:rPr>
      </w:pPr>
      <w:r w:rsidRPr="0049126A">
        <w:rPr>
          <w:rFonts w:ascii="Times New Roman" w:eastAsia="Arial" w:hAnsi="Times New Roman" w:cs="Times New Roman"/>
          <w:b/>
          <w:bCs/>
          <w:sz w:val="24"/>
          <w:szCs w:val="24"/>
          <w:lang w:val="pt-BR"/>
        </w:rPr>
        <w:t xml:space="preserve">Tabelul 3 </w:t>
      </w:r>
      <w:r w:rsidRPr="0049126A">
        <w:rPr>
          <w:rFonts w:ascii="Times New Roman" w:eastAsia="Arial" w:hAnsi="Times New Roman" w:cs="Times New Roman"/>
          <w:b/>
          <w:bCs/>
          <w:sz w:val="24"/>
          <w:szCs w:val="24"/>
          <w:lang w:val="pt-BR"/>
        </w:rPr>
        <w:tab/>
      </w:r>
    </w:p>
    <w:p w14:paraId="1FADDB1B" w14:textId="77777777" w:rsidR="008014AF" w:rsidRPr="0049126A" w:rsidRDefault="001B2552" w:rsidP="008014AF">
      <w:pPr>
        <w:tabs>
          <w:tab w:val="left" w:pos="426"/>
        </w:tabs>
        <w:spacing w:after="0"/>
        <w:jc w:val="both"/>
        <w:rPr>
          <w:rFonts w:ascii="Times New Roman" w:eastAsia="Arial" w:hAnsi="Times New Roman" w:cs="Times New Roman"/>
          <w:b/>
          <w:bCs/>
          <w:sz w:val="24"/>
          <w:szCs w:val="24"/>
          <w:lang w:val="pt-BR"/>
        </w:rPr>
      </w:pPr>
      <w:r w:rsidRPr="0049126A">
        <w:rPr>
          <w:rFonts w:ascii="Times New Roman" w:eastAsia="Arial" w:hAnsi="Times New Roman" w:cs="Times New Roman"/>
          <w:b/>
          <w:bCs/>
          <w:sz w:val="24"/>
          <w:szCs w:val="24"/>
          <w:lang w:val="pt-BR"/>
        </w:rPr>
        <w:t>Gradele de severitate SEC</w:t>
      </w:r>
      <w:r w:rsidRPr="0049126A">
        <w:rPr>
          <w:rFonts w:ascii="Times New Roman" w:eastAsia="Arial" w:hAnsi="Times New Roman" w:cs="Times New Roman"/>
          <w:b/>
          <w:bCs/>
          <w:sz w:val="24"/>
          <w:szCs w:val="24"/>
          <w:vertAlign w:val="superscript"/>
          <w:lang w:val="pt-BR"/>
        </w:rPr>
        <w:t>1</w:t>
      </w:r>
      <w:r w:rsidRPr="0049126A">
        <w:rPr>
          <w:rFonts w:ascii="Times New Roman" w:eastAsia="Arial" w:hAnsi="Times New Roman" w:cs="Times New Roman"/>
          <w:b/>
          <w:bCs/>
          <w:sz w:val="24"/>
          <w:szCs w:val="24"/>
          <w:lang w:val="pt-BR"/>
        </w:rPr>
        <w:t xml:space="preserve"> şi gestionarea corespunzătoare</w:t>
      </w:r>
    </w:p>
    <w:p w14:paraId="6EB2723C" w14:textId="6BBB624A" w:rsidR="001B2552" w:rsidRPr="0049126A" w:rsidRDefault="001B2552" w:rsidP="008014AF">
      <w:pPr>
        <w:tabs>
          <w:tab w:val="left" w:pos="426"/>
        </w:tabs>
        <w:spacing w:after="0"/>
        <w:jc w:val="both"/>
        <w:rPr>
          <w:rFonts w:ascii="Times New Roman" w:eastAsia="Arial" w:hAnsi="Times New Roman" w:cs="Times New Roman"/>
          <w:b/>
          <w:bCs/>
          <w:sz w:val="24"/>
          <w:szCs w:val="24"/>
          <w:lang w:val="pt-BR"/>
        </w:rPr>
      </w:pPr>
      <w:r w:rsidRPr="0049126A">
        <w:rPr>
          <w:rFonts w:ascii="Times New Roman" w:eastAsia="Arial" w:hAnsi="Times New Roman" w:cs="Times New Roman"/>
          <w:b/>
          <w:bCs/>
          <w:sz w:val="24"/>
          <w:szCs w:val="24"/>
          <w:lang w:val="pt-BR"/>
        </w:rPr>
        <w:t xml:space="preserve"> </w:t>
      </w:r>
    </w:p>
    <w:sdt>
      <w:sdtPr>
        <w:rPr>
          <w:rFonts w:ascii="Times New Roman" w:eastAsia="Times New Roman" w:hAnsi="Times New Roman" w:cs="Times New Roman"/>
          <w:sz w:val="20"/>
          <w:szCs w:val="20"/>
          <w:lang w:val="en-US" w:eastAsia="ro-RO"/>
        </w:rPr>
        <w:tag w:val="goog_rdk_22"/>
        <w:id w:val="1004854274"/>
      </w:sdtPr>
      <w:sdtEndPr/>
      <w:sdtContent>
        <w:tbl>
          <w:tblPr>
            <w:tblpPr w:vertAnchor="text" w:tblpX="-5"/>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4536"/>
            <w:gridCol w:w="2693"/>
          </w:tblGrid>
          <w:sdt>
            <w:sdtPr>
              <w:rPr>
                <w:rFonts w:ascii="Times New Roman" w:eastAsia="Times New Roman" w:hAnsi="Times New Roman" w:cs="Times New Roman"/>
                <w:sz w:val="20"/>
                <w:szCs w:val="20"/>
                <w:lang w:val="en-US" w:eastAsia="ro-RO"/>
              </w:rPr>
              <w:tag w:val="goog_rdk_10"/>
              <w:id w:val="1794713909"/>
            </w:sdtPr>
            <w:sdtEndPr/>
            <w:sdtContent>
              <w:tr w:rsidR="0049126A" w:rsidRPr="0049126A" w14:paraId="16396FCE" w14:textId="77777777" w:rsidTr="008014AF">
                <w:sdt>
                  <w:sdtPr>
                    <w:rPr>
                      <w:rFonts w:ascii="Times New Roman" w:eastAsia="Times New Roman" w:hAnsi="Times New Roman" w:cs="Times New Roman"/>
                      <w:sz w:val="20"/>
                      <w:szCs w:val="20"/>
                      <w:lang w:val="en-US" w:eastAsia="ro-RO"/>
                    </w:rPr>
                    <w:tag w:val="goog_rdk_11"/>
                    <w:id w:val="-118452567"/>
                  </w:sdtPr>
                  <w:sdtEndPr/>
                  <w:sdtContent>
                    <w:tc>
                      <w:tcPr>
                        <w:tcW w:w="2405" w:type="dxa"/>
                      </w:tcPr>
                      <w:p w14:paraId="5F5DF5A6" w14:textId="77777777" w:rsidR="001B2552" w:rsidRPr="0049126A" w:rsidRDefault="001B2552" w:rsidP="00D8762B">
                        <w:pPr>
                          <w:widowControl w:val="0"/>
                          <w:spacing w:after="0" w:line="251" w:lineRule="auto"/>
                          <w:ind w:left="31" w:right="246"/>
                          <w:jc w:val="center"/>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b/>
                            <w:sz w:val="20"/>
                            <w:szCs w:val="20"/>
                            <w:lang w:val="pt-BR" w:eastAsia="ro-RO"/>
                          </w:rPr>
                          <w:t>Gradul de severitate al</w:t>
                        </w:r>
                        <w:r w:rsidRPr="0049126A">
                          <w:rPr>
                            <w:rFonts w:ascii="Times New Roman" w:eastAsia="Times New Roman" w:hAnsi="Times New Roman" w:cs="Times New Roman"/>
                            <w:sz w:val="20"/>
                            <w:szCs w:val="20"/>
                            <w:lang w:val="pt-BR" w:eastAsia="ro-RO"/>
                          </w:rPr>
                          <w:t xml:space="preserve"> </w:t>
                        </w:r>
                        <w:r w:rsidRPr="0049126A">
                          <w:rPr>
                            <w:rFonts w:ascii="Times New Roman" w:eastAsia="Times New Roman" w:hAnsi="Times New Roman" w:cs="Times New Roman"/>
                            <w:b/>
                            <w:sz w:val="20"/>
                            <w:szCs w:val="20"/>
                            <w:lang w:val="pt-BR" w:eastAsia="ro-RO"/>
                          </w:rPr>
                          <w:t>SEC</w:t>
                        </w:r>
                        <w:r w:rsidRPr="0049126A">
                          <w:rPr>
                            <w:rFonts w:ascii="Times New Roman" w:eastAsia="Times New Roman" w:hAnsi="Times New Roman" w:cs="Times New Roman"/>
                            <w:sz w:val="20"/>
                            <w:szCs w:val="20"/>
                            <w:lang w:val="pt-BR" w:eastAsia="ro-RO"/>
                          </w:rPr>
                          <w:t xml:space="preserve">  </w: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94080" behindDoc="0" locked="0" layoutInCell="1" hidden="0" allowOverlap="1" wp14:anchorId="6D6BEA52" wp14:editId="60092E51">
                                  <wp:simplePos x="0" y="0"/>
                                  <wp:positionH relativeFrom="column">
                                    <wp:posOffset>-317499</wp:posOffset>
                                  </wp:positionH>
                                  <wp:positionV relativeFrom="paragraph">
                                    <wp:posOffset>0</wp:posOffset>
                                  </wp:positionV>
                                  <wp:extent cx="12700" cy="12192"/>
                                  <wp:effectExtent l="0" t="0" r="0" b="0"/>
                                  <wp:wrapNone/>
                                  <wp:docPr id="20" name="Freeform 20"/>
                                  <wp:cNvGraphicFramePr/>
                                  <a:graphic xmlns:a="http://schemas.openxmlformats.org/drawingml/2006/main">
                                    <a:graphicData uri="http://schemas.microsoft.com/office/word/2010/wordprocessingShape">
                                      <wps:wsp>
                                        <wps:cNvSpPr/>
                                        <wps:spPr>
                                          <a:xfrm>
                                            <a:off x="5339904" y="3773904"/>
                                            <a:ext cx="12192" cy="12192"/>
                                          </a:xfrm>
                                          <a:custGeom>
                                            <a:avLst/>
                                            <a:gdLst/>
                                            <a:ahLst/>
                                            <a:cxnLst/>
                                            <a:rect l="l" t="t" r="r" b="b"/>
                                            <a:pathLst>
                                              <a:path w="12192" h="12192" extrusionOk="0">
                                                <a:moveTo>
                                                  <a:pt x="0" y="12192"/>
                                                </a:moveTo>
                                                <a:lnTo>
                                                  <a:pt x="12192" y="12192"/>
                                                </a:lnTo>
                                                <a:lnTo>
                                                  <a:pt x="12192"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257BA67A" id="Freeform 20" o:spid="_x0000_s1026" style="position:absolute;margin-left:-25pt;margin-top:0;width:1pt;height:.95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" path="m,12192r12192,l12192,,,,,12192xe" fillcolor="black" stroked="f">
                                  <v:path arrowok="t" o:extrusionok="f"/>
                                </v:shape>
                              </w:pict>
                            </mc:Fallback>
                          </mc:AlternateContent>
                        </w:r>
                      </w:p>
                    </w:tc>
                  </w:sdtContent>
                </w:sdt>
                <w:sdt>
                  <w:sdtPr>
                    <w:rPr>
                      <w:rFonts w:ascii="Times New Roman" w:eastAsia="Times New Roman" w:hAnsi="Times New Roman" w:cs="Times New Roman"/>
                      <w:sz w:val="20"/>
                      <w:szCs w:val="20"/>
                      <w:lang w:val="en-US" w:eastAsia="ro-RO"/>
                    </w:rPr>
                    <w:tag w:val="goog_rdk_12"/>
                    <w:id w:val="1236515959"/>
                  </w:sdtPr>
                  <w:sdtEndPr/>
                  <w:sdtContent>
                    <w:tc>
                      <w:tcPr>
                        <w:tcW w:w="4536" w:type="dxa"/>
                      </w:tcPr>
                      <w:p w14:paraId="32A5C2B6" w14:textId="77777777" w:rsidR="001B2552" w:rsidRPr="0049126A" w:rsidRDefault="001B2552" w:rsidP="00D8762B">
                        <w:pPr>
                          <w:widowControl w:val="0"/>
                          <w:spacing w:after="0" w:line="250" w:lineRule="auto"/>
                          <w:ind w:left="91"/>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sz w:val="20"/>
                            <w:szCs w:val="20"/>
                            <w:lang w:val="en-US" w:eastAsia="ro-RO"/>
                          </w:rPr>
                          <w:t>Gestionarea SEC</w:t>
                        </w:r>
                        <w:r w:rsidRPr="0049126A">
                          <w:rPr>
                            <w:rFonts w:ascii="Times New Roman" w:eastAsia="Times New Roman" w:hAnsi="Times New Roman" w:cs="Times New Roman"/>
                            <w:b/>
                            <w:sz w:val="20"/>
                            <w:szCs w:val="20"/>
                            <w:vertAlign w:val="superscript"/>
                            <w:lang w:val="en-US" w:eastAsia="ro-RO"/>
                          </w:rPr>
                          <w:t>2</w:t>
                        </w:r>
                        <w:r w:rsidRPr="0049126A">
                          <w:rPr>
                            <w:rFonts w:ascii="Times New Roman" w:eastAsia="Times New Roman" w:hAnsi="Times New Roman" w:cs="Times New Roman"/>
                            <w:sz w:val="20"/>
                            <w:szCs w:val="20"/>
                            <w:lang w:val="en-US" w:eastAsia="ro-RO"/>
                          </w:rPr>
                          <w:t xml:space="preserve">  </w: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95104" behindDoc="0" locked="0" layoutInCell="1" hidden="0" allowOverlap="1" wp14:anchorId="5B42D43B" wp14:editId="2DD4D079">
                                  <wp:simplePos x="0" y="0"/>
                                  <wp:positionH relativeFrom="column">
                                    <wp:posOffset>-317499</wp:posOffset>
                                  </wp:positionH>
                                  <wp:positionV relativeFrom="paragraph">
                                    <wp:posOffset>0</wp:posOffset>
                                  </wp:positionV>
                                  <wp:extent cx="12700" cy="12192"/>
                                  <wp:effectExtent l="0" t="0" r="0" b="0"/>
                                  <wp:wrapNone/>
                                  <wp:docPr id="48" name="Freeform 48"/>
                                  <wp:cNvGraphicFramePr/>
                                  <a:graphic xmlns:a="http://schemas.openxmlformats.org/drawingml/2006/main">
                                    <a:graphicData uri="http://schemas.microsoft.com/office/word/2010/wordprocessingShape">
                                      <wps:wsp>
                                        <wps:cNvSpPr/>
                                        <wps:spPr>
                                          <a:xfrm>
                                            <a:off x="5339905" y="3773904"/>
                                            <a:ext cx="12191" cy="12192"/>
                                          </a:xfrm>
                                          <a:custGeom>
                                            <a:avLst/>
                                            <a:gdLst/>
                                            <a:ahLst/>
                                            <a:cxnLst/>
                                            <a:rect l="l" t="t" r="r" b="b"/>
                                            <a:pathLst>
                                              <a:path w="12191" h="12192" extrusionOk="0">
                                                <a:moveTo>
                                                  <a:pt x="0" y="12192"/>
                                                </a:moveTo>
                                                <a:lnTo>
                                                  <a:pt x="12191" y="12192"/>
                                                </a:lnTo>
                                                <a:lnTo>
                                                  <a:pt x="12191"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94F5BA9" id="Freeform 48" o:spid="_x0000_s1026" style="position:absolute;margin-left:-25pt;margin-top:0;width:1pt;height:.9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" path="m,12192r12191,l12191,,,,,12192xe" fillcolor="black" stroked="f">
                                  <v:path arrowok="t" o:extrusionok="f"/>
                                </v:shape>
                              </w:pict>
                            </mc:Fallback>
                          </mc:AlternateContent>
                        </w:r>
                      </w:p>
                    </w:tc>
                  </w:sdtContent>
                </w:sdt>
                <w:sdt>
                  <w:sdtPr>
                    <w:rPr>
                      <w:rFonts w:ascii="Times New Roman" w:eastAsia="Times New Roman" w:hAnsi="Times New Roman" w:cs="Times New Roman"/>
                      <w:sz w:val="20"/>
                      <w:szCs w:val="20"/>
                      <w:lang w:val="en-US" w:eastAsia="ro-RO"/>
                    </w:rPr>
                    <w:tag w:val="goog_rdk_13"/>
                    <w:id w:val="-1872449889"/>
                  </w:sdtPr>
                  <w:sdtEndPr/>
                  <w:sdtContent>
                    <w:tc>
                      <w:tcPr>
                        <w:tcW w:w="2693" w:type="dxa"/>
                      </w:tcPr>
                      <w:p w14:paraId="508194E2" w14:textId="3E6BB36C" w:rsidR="001B2552" w:rsidRPr="0049126A" w:rsidRDefault="001B2552" w:rsidP="00D8762B">
                        <w:pPr>
                          <w:widowControl w:val="0"/>
                          <w:spacing w:after="0" w:line="244" w:lineRule="auto"/>
                          <w:ind w:left="108"/>
                          <w:jc w:val="center"/>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b/>
                            <w:sz w:val="20"/>
                            <w:szCs w:val="20"/>
                            <w:lang w:val="pt-BR" w:eastAsia="ro-RO"/>
                          </w:rPr>
                          <w:t xml:space="preserve">Următoarea perfuzie  </w: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96128" behindDoc="0" locked="0" layoutInCell="1" hidden="0" allowOverlap="1" wp14:anchorId="584E8128" wp14:editId="56BDB525">
                                  <wp:simplePos x="0" y="0"/>
                                  <wp:positionH relativeFrom="column">
                                    <wp:posOffset>-317499</wp:posOffset>
                                  </wp:positionH>
                                  <wp:positionV relativeFrom="paragraph">
                                    <wp:posOffset>0</wp:posOffset>
                                  </wp:positionV>
                                  <wp:extent cx="12700" cy="12192"/>
                                  <wp:effectExtent l="0" t="0" r="0" b="0"/>
                                  <wp:wrapNone/>
                                  <wp:docPr id="8" name="Freeform 8"/>
                                  <wp:cNvGraphicFramePr/>
                                  <a:graphic xmlns:a="http://schemas.openxmlformats.org/drawingml/2006/main">
                                    <a:graphicData uri="http://schemas.microsoft.com/office/word/2010/wordprocessingShape">
                                      <wps:wsp>
                                        <wps:cNvSpPr/>
                                        <wps:spPr>
                                          <a:xfrm>
                                            <a:off x="5339905" y="3773904"/>
                                            <a:ext cx="12191" cy="12192"/>
                                          </a:xfrm>
                                          <a:custGeom>
                                            <a:avLst/>
                                            <a:gdLst/>
                                            <a:ahLst/>
                                            <a:cxnLst/>
                                            <a:rect l="l" t="t" r="r" b="b"/>
                                            <a:pathLst>
                                              <a:path w="12191" h="12192" extrusionOk="0">
                                                <a:moveTo>
                                                  <a:pt x="0" y="12192"/>
                                                </a:moveTo>
                                                <a:lnTo>
                                                  <a:pt x="12191" y="12192"/>
                                                </a:lnTo>
                                                <a:lnTo>
                                                  <a:pt x="12191"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DBC140C" id="Freeform 8" o:spid="_x0000_s1026" style="position:absolute;margin-left:-25pt;margin-top:0;width:1pt;height:.95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" path="m,12192r12191,l12191,,,,,12192xe" fillcolor="black" stroked="f">
                                  <v:path arrowok="t" o:extrusionok="f"/>
                                </v:shape>
                              </w:pict>
                            </mc:Fallback>
                          </mc:AlternateContent>
                        </w:r>
                        <w:r w:rsidRPr="0049126A">
                          <w:rPr>
                            <w:rFonts w:ascii="Times New Roman" w:eastAsia="Times New Roman" w:hAnsi="Times New Roman" w:cs="Times New Roman"/>
                            <w:noProof/>
                            <w:sz w:val="20"/>
                            <w:szCs w:val="20"/>
                            <w:lang w:val="en-US"/>
                          </w:rPr>
                          <mc:AlternateContent>
                            <mc:Choice Requires="wps">
                              <w:drawing>
                                <wp:anchor distT="0" distB="0" distL="114300" distR="114300" simplePos="0" relativeHeight="251697152" behindDoc="0" locked="0" layoutInCell="1" hidden="0" allowOverlap="1" wp14:anchorId="46DB2F92" wp14:editId="61BCD9CA">
                                  <wp:simplePos x="0" y="0"/>
                                  <wp:positionH relativeFrom="column">
                                    <wp:posOffset>1384300</wp:posOffset>
                                  </wp:positionH>
                                  <wp:positionV relativeFrom="paragraph">
                                    <wp:posOffset>0</wp:posOffset>
                                  </wp:positionV>
                                  <wp:extent cx="12700" cy="12192"/>
                                  <wp:effectExtent l="0" t="0" r="0" b="0"/>
                                  <wp:wrapNone/>
                                  <wp:docPr id="37" name="Freeform 37"/>
                                  <wp:cNvGraphicFramePr/>
                                  <a:graphic xmlns:a="http://schemas.openxmlformats.org/drawingml/2006/main">
                                    <a:graphicData uri="http://schemas.microsoft.com/office/word/2010/wordprocessingShape">
                                      <wps:wsp>
                                        <wps:cNvSpPr/>
                                        <wps:spPr>
                                          <a:xfrm>
                                            <a:off x="5339904" y="3773904"/>
                                            <a:ext cx="12193" cy="12192"/>
                                          </a:xfrm>
                                          <a:custGeom>
                                            <a:avLst/>
                                            <a:gdLst/>
                                            <a:ahLst/>
                                            <a:cxnLst/>
                                            <a:rect l="l" t="t" r="r" b="b"/>
                                            <a:pathLst>
                                              <a:path w="12193" h="12192" extrusionOk="0">
                                                <a:moveTo>
                                                  <a:pt x="0" y="12192"/>
                                                </a:moveTo>
                                                <a:lnTo>
                                                  <a:pt x="12193" y="12192"/>
                                                </a:lnTo>
                                                <a:lnTo>
                                                  <a:pt x="12193"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72E7265E" id="Freeform 37" o:spid="_x0000_s1026" style="position:absolute;margin-left:109pt;margin-top:0;width:1pt;height:.9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2193,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" path="m,12192r12193,l12193,,,,,12192xe" fillcolor="black" stroked="f">
                                  <v:path arrowok="t" o:extrusionok="f"/>
                                </v:shape>
                              </w:pict>
                            </mc:Fallback>
                          </mc:AlternateContent>
                        </w:r>
                        <w:r w:rsidRPr="0049126A">
                          <w:rPr>
                            <w:rFonts w:ascii="Times New Roman" w:eastAsia="Times New Roman" w:hAnsi="Times New Roman" w:cs="Times New Roman"/>
                            <w:b/>
                            <w:sz w:val="20"/>
                            <w:szCs w:val="20"/>
                            <w:lang w:val="pt-BR" w:eastAsia="ro-RO"/>
                          </w:rPr>
                          <w:t>programată cu Mosunetuzumab</w:t>
                        </w:r>
                      </w:p>
                    </w:tc>
                  </w:sdtContent>
                </w:sdt>
              </w:tr>
            </w:sdtContent>
          </w:sdt>
          <w:sdt>
            <w:sdtPr>
              <w:rPr>
                <w:rFonts w:ascii="Times New Roman" w:eastAsia="Times New Roman" w:hAnsi="Times New Roman" w:cs="Times New Roman"/>
                <w:sz w:val="20"/>
                <w:szCs w:val="20"/>
                <w:lang w:val="en-US" w:eastAsia="ro-RO"/>
              </w:rPr>
              <w:tag w:val="goog_rdk_14"/>
              <w:id w:val="-2059012557"/>
            </w:sdtPr>
            <w:sdtEndPr/>
            <w:sdtContent>
              <w:tr w:rsidR="0049126A" w:rsidRPr="0049126A" w14:paraId="47EC5569" w14:textId="77777777" w:rsidTr="008014AF">
                <w:trPr>
                  <w:trHeight w:val="3940"/>
                </w:trPr>
                <w:sdt>
                  <w:sdtPr>
                    <w:rPr>
                      <w:rFonts w:ascii="Times New Roman" w:eastAsia="Times New Roman" w:hAnsi="Times New Roman" w:cs="Times New Roman"/>
                      <w:sz w:val="20"/>
                      <w:szCs w:val="20"/>
                      <w:lang w:val="en-US" w:eastAsia="ro-RO"/>
                    </w:rPr>
                    <w:tag w:val="goog_rdk_15"/>
                    <w:id w:val="640150882"/>
                  </w:sdtPr>
                  <w:sdtEndPr/>
                  <w:sdtContent>
                    <w:tc>
                      <w:tcPr>
                        <w:tcW w:w="2405" w:type="dxa"/>
                      </w:tcPr>
                      <w:p w14:paraId="3482F32D" w14:textId="77777777" w:rsidR="001B2552" w:rsidRPr="0049126A" w:rsidRDefault="001B2552" w:rsidP="00D8762B">
                        <w:pPr>
                          <w:widowControl w:val="0"/>
                          <w:spacing w:after="0" w:line="244" w:lineRule="auto"/>
                          <w:ind w:left="31" w:right="-18"/>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sz w:val="20"/>
                            <w:szCs w:val="20"/>
                            <w:lang w:val="en-US" w:eastAsia="ro-RO"/>
                          </w:rPr>
                          <w:t>Gradul 1</w:t>
                        </w:r>
                        <w:r w:rsidRPr="0049126A">
                          <w:rPr>
                            <w:rFonts w:ascii="Times New Roman" w:eastAsia="Times New Roman" w:hAnsi="Times New Roman" w:cs="Times New Roman"/>
                            <w:sz w:val="20"/>
                            <w:szCs w:val="20"/>
                            <w:lang w:val="en-US" w:eastAsia="ro-RO"/>
                          </w:rPr>
                          <w:t xml:space="preserve"> </w:t>
                        </w:r>
                      </w:p>
                      <w:p w14:paraId="1EB7C7D0" w14:textId="77777777" w:rsidR="001B2552" w:rsidRPr="0049126A" w:rsidRDefault="001B2552" w:rsidP="00D8762B">
                        <w:pPr>
                          <w:widowControl w:val="0"/>
                          <w:spacing w:after="0" w:line="244" w:lineRule="auto"/>
                          <w:ind w:left="31" w:right="-18"/>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Febră ≥ 38ºC </w:t>
                        </w:r>
                      </w:p>
                    </w:tc>
                  </w:sdtContent>
                </w:sdt>
                <w:sdt>
                  <w:sdtPr>
                    <w:rPr>
                      <w:rFonts w:ascii="Times New Roman" w:eastAsia="Times New Roman" w:hAnsi="Times New Roman" w:cs="Times New Roman"/>
                      <w:color w:val="000000"/>
                      <w:sz w:val="20"/>
                      <w:szCs w:val="20"/>
                      <w:u w:color="000000"/>
                      <w:bdr w:val="nil"/>
                      <w:lang w:val="en-US" w:eastAsia="ro-RO"/>
                    </w:rPr>
                    <w:tag w:val="goog_rdk_16"/>
                    <w:id w:val="932403302"/>
                  </w:sdtPr>
                  <w:sdtEndPr>
                    <w:rPr>
                      <w:sz w:val="24"/>
                      <w:szCs w:val="24"/>
                    </w:rPr>
                  </w:sdtEndPr>
                  <w:sdtContent>
                    <w:tc>
                      <w:tcPr>
                        <w:tcW w:w="4536" w:type="dxa"/>
                      </w:tcPr>
                      <w:p w14:paraId="0B792E76" w14:textId="37B4CB0E" w:rsidR="001B2552" w:rsidRPr="0049126A" w:rsidRDefault="001B2552" w:rsidP="00D8762B">
                        <w:pPr>
                          <w:widowControl w:val="0"/>
                          <w:spacing w:after="0" w:line="244" w:lineRule="auto"/>
                          <w:ind w:left="91"/>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Dacă SEC apare pe durata perfuziei:  </w:t>
                        </w:r>
                      </w:p>
                      <w:p w14:paraId="2A94A426" w14:textId="1B7B9DC2" w:rsidR="001B2552" w:rsidRPr="0049126A" w:rsidRDefault="001B2552" w:rsidP="00367864">
                        <w:pPr>
                          <w:pStyle w:val="ListParagraph"/>
                          <w:widowControl w:val="0"/>
                          <w:numPr>
                            <w:ilvl w:val="0"/>
                            <w:numId w:val="96"/>
                          </w:numPr>
                          <w:tabs>
                            <w:tab w:val="left" w:pos="459"/>
                          </w:tabs>
                          <w:spacing w:line="269" w:lineRule="auto"/>
                          <w:ind w:left="459" w:hanging="283"/>
                          <w:jc w:val="both"/>
                          <w:rPr>
                            <w:color w:val="auto"/>
                            <w:sz w:val="20"/>
                            <w:szCs w:val="20"/>
                            <w:lang w:val="pt-BR"/>
                          </w:rPr>
                        </w:pPr>
                        <w:r w:rsidRPr="0049126A">
                          <w:rPr>
                            <w:color w:val="auto"/>
                            <w:sz w:val="20"/>
                            <w:szCs w:val="20"/>
                            <w:lang w:val="pt-BR"/>
                          </w:rPr>
                          <w:t xml:space="preserve">Trebuie întreruptă perfuzia şi tratate simptomele   </w:t>
                        </w:r>
                      </w:p>
                      <w:p w14:paraId="7B7B49A1" w14:textId="6B507D9E" w:rsidR="001B2552" w:rsidRPr="0049126A" w:rsidRDefault="001B2552" w:rsidP="00367864">
                        <w:pPr>
                          <w:pStyle w:val="ListParagraph"/>
                          <w:widowControl w:val="0"/>
                          <w:numPr>
                            <w:ilvl w:val="0"/>
                            <w:numId w:val="96"/>
                          </w:numPr>
                          <w:tabs>
                            <w:tab w:val="left" w:pos="459"/>
                          </w:tabs>
                          <w:spacing w:line="244" w:lineRule="auto"/>
                          <w:ind w:left="459" w:hanging="283"/>
                          <w:jc w:val="both"/>
                          <w:rPr>
                            <w:color w:val="auto"/>
                            <w:sz w:val="20"/>
                            <w:szCs w:val="20"/>
                            <w:lang w:val="pt-BR"/>
                          </w:rPr>
                        </w:pPr>
                        <w:r w:rsidRPr="0049126A">
                          <w:rPr>
                            <w:color w:val="auto"/>
                            <w:sz w:val="20"/>
                            <w:szCs w:val="20"/>
                            <w:lang w:val="pt-BR"/>
                          </w:rPr>
                          <w:t xml:space="preserve">Perfuzia trebuie reluată la aceeaşi viteză de perfuzare după ce simptomele s-au  remis  </w:t>
                        </w:r>
                      </w:p>
                      <w:p w14:paraId="69CA8C68" w14:textId="46C393A9" w:rsidR="001B2552" w:rsidRPr="0049126A" w:rsidRDefault="001B2552" w:rsidP="00367864">
                        <w:pPr>
                          <w:pStyle w:val="ListParagraph"/>
                          <w:widowControl w:val="0"/>
                          <w:numPr>
                            <w:ilvl w:val="0"/>
                            <w:numId w:val="96"/>
                          </w:numPr>
                          <w:tabs>
                            <w:tab w:val="left" w:pos="459"/>
                            <w:tab w:val="left" w:pos="884"/>
                          </w:tabs>
                          <w:spacing w:line="269" w:lineRule="auto"/>
                          <w:ind w:left="459" w:right="115" w:hanging="283"/>
                          <w:jc w:val="both"/>
                          <w:rPr>
                            <w:color w:val="auto"/>
                            <w:sz w:val="20"/>
                            <w:szCs w:val="20"/>
                            <w:lang w:val="pt-BR"/>
                          </w:rPr>
                        </w:pPr>
                        <w:r w:rsidRPr="0049126A">
                          <w:rPr>
                            <w:color w:val="auto"/>
                            <w:sz w:val="20"/>
                            <w:szCs w:val="20"/>
                            <w:lang w:val="pt-BR"/>
                          </w:rPr>
                          <w:t xml:space="preserve">Dacă simptomele reapar odată cu reluarea  perfuziei, aceasta trebuie întreruptă  </w:t>
                        </w:r>
                      </w:p>
                      <w:p w14:paraId="3427598D" w14:textId="77777777" w:rsidR="00D8762B" w:rsidRPr="0049126A" w:rsidRDefault="00D8762B" w:rsidP="00D8762B">
                        <w:pPr>
                          <w:widowControl w:val="0"/>
                          <w:spacing w:after="0" w:line="244" w:lineRule="auto"/>
                          <w:ind w:left="91" w:right="-18"/>
                          <w:jc w:val="both"/>
                          <w:rPr>
                            <w:rFonts w:ascii="Times New Roman" w:eastAsia="Times New Roman" w:hAnsi="Times New Roman" w:cs="Times New Roman"/>
                            <w:sz w:val="20"/>
                            <w:szCs w:val="20"/>
                            <w:lang w:val="pt-BR" w:eastAsia="ro-RO"/>
                          </w:rPr>
                        </w:pPr>
                      </w:p>
                      <w:p w14:paraId="1A797090" w14:textId="77777777" w:rsidR="001B2552" w:rsidRPr="0049126A" w:rsidRDefault="001B2552" w:rsidP="00D8762B">
                        <w:pPr>
                          <w:widowControl w:val="0"/>
                          <w:spacing w:after="0" w:line="244" w:lineRule="auto"/>
                          <w:ind w:left="91" w:right="-18"/>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Dacă SEC apare după administrarea perfuziei: </w:t>
                        </w:r>
                      </w:p>
                      <w:p w14:paraId="3FE004AD" w14:textId="2ABE2294" w:rsidR="001B2552" w:rsidRPr="0049126A" w:rsidRDefault="001B2552" w:rsidP="00367864">
                        <w:pPr>
                          <w:pStyle w:val="ListParagraph"/>
                          <w:widowControl w:val="0"/>
                          <w:numPr>
                            <w:ilvl w:val="0"/>
                            <w:numId w:val="97"/>
                          </w:numPr>
                          <w:tabs>
                            <w:tab w:val="left" w:pos="459"/>
                          </w:tabs>
                          <w:spacing w:line="268" w:lineRule="auto"/>
                          <w:ind w:hanging="544"/>
                          <w:jc w:val="both"/>
                          <w:rPr>
                            <w:color w:val="auto"/>
                            <w:sz w:val="20"/>
                            <w:szCs w:val="20"/>
                            <w:lang w:val="pt-BR"/>
                          </w:rPr>
                        </w:pPr>
                        <w:r w:rsidRPr="0049126A">
                          <w:rPr>
                            <w:color w:val="auto"/>
                            <w:sz w:val="20"/>
                            <w:szCs w:val="20"/>
                            <w:lang w:val="pt-BR"/>
                          </w:rPr>
                          <w:t xml:space="preserve">Trebuie tratate simptomele  </w:t>
                        </w:r>
                      </w:p>
                      <w:p w14:paraId="64A33FBA" w14:textId="77777777" w:rsidR="00D8762B" w:rsidRPr="0049126A" w:rsidRDefault="00D8762B" w:rsidP="00D8762B">
                        <w:pPr>
                          <w:widowControl w:val="0"/>
                          <w:spacing w:after="0" w:line="252" w:lineRule="auto"/>
                          <w:ind w:left="91" w:right="473"/>
                          <w:jc w:val="both"/>
                          <w:rPr>
                            <w:rFonts w:ascii="Times New Roman" w:eastAsia="Times New Roman" w:hAnsi="Times New Roman" w:cs="Times New Roman"/>
                            <w:sz w:val="20"/>
                            <w:szCs w:val="20"/>
                            <w:lang w:val="pt-BR" w:eastAsia="ro-RO"/>
                          </w:rPr>
                        </w:pPr>
                      </w:p>
                      <w:p w14:paraId="10203BD0" w14:textId="16A00F0F" w:rsidR="001B2552" w:rsidRPr="0049126A" w:rsidRDefault="001B2552" w:rsidP="00D8762B">
                        <w:pPr>
                          <w:widowControl w:val="0"/>
                          <w:spacing w:after="0" w:line="252" w:lineRule="auto"/>
                          <w:ind w:left="91" w:right="473"/>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Dacă SEC per</w:t>
                        </w:r>
                        <w:r w:rsidR="008014AF" w:rsidRPr="0049126A">
                          <w:rPr>
                            <w:rFonts w:ascii="Times New Roman" w:eastAsia="Times New Roman" w:hAnsi="Times New Roman" w:cs="Times New Roman"/>
                            <w:sz w:val="20"/>
                            <w:szCs w:val="20"/>
                            <w:lang w:val="pt-BR" w:eastAsia="ro-RO"/>
                          </w:rPr>
                          <w:t xml:space="preserve">sistă &gt;48 ore după tratamentul </w:t>
                        </w:r>
                        <w:r w:rsidRPr="0049126A">
                          <w:rPr>
                            <w:rFonts w:ascii="Times New Roman" w:eastAsia="Times New Roman" w:hAnsi="Times New Roman" w:cs="Times New Roman"/>
                            <w:sz w:val="20"/>
                            <w:szCs w:val="20"/>
                            <w:lang w:val="pt-BR" w:eastAsia="ro-RO"/>
                          </w:rPr>
                          <w:t xml:space="preserve">simptomatologiei:   </w:t>
                        </w:r>
                      </w:p>
                      <w:p w14:paraId="14651416" w14:textId="0B4B7099" w:rsidR="001B2552" w:rsidRPr="0049126A" w:rsidRDefault="001B2552" w:rsidP="00367864">
                        <w:pPr>
                          <w:pStyle w:val="ListParagraph"/>
                          <w:widowControl w:val="0"/>
                          <w:numPr>
                            <w:ilvl w:val="0"/>
                            <w:numId w:val="97"/>
                          </w:numPr>
                          <w:tabs>
                            <w:tab w:val="left" w:pos="459"/>
                          </w:tabs>
                          <w:spacing w:line="269" w:lineRule="auto"/>
                          <w:ind w:left="459" w:right="95" w:hanging="283"/>
                          <w:jc w:val="both"/>
                          <w:rPr>
                            <w:color w:val="auto"/>
                            <w:sz w:val="20"/>
                            <w:szCs w:val="20"/>
                            <w:lang w:val="pt-BR"/>
                          </w:rPr>
                        </w:pPr>
                        <w:r w:rsidRPr="0049126A">
                          <w:rPr>
                            <w:color w:val="auto"/>
                            <w:sz w:val="20"/>
                            <w:szCs w:val="20"/>
                            <w:lang w:val="pt-BR"/>
                          </w:rPr>
                          <w:t>Trebuie luată în considerare administrarea de dexametazonă</w:t>
                        </w:r>
                        <w:r w:rsidRPr="0049126A">
                          <w:rPr>
                            <w:color w:val="auto"/>
                            <w:sz w:val="20"/>
                            <w:szCs w:val="20"/>
                            <w:vertAlign w:val="superscript"/>
                            <w:lang w:val="pt-BR"/>
                          </w:rPr>
                          <w:t>3</w:t>
                        </w:r>
                        <w:r w:rsidRPr="0049126A">
                          <w:rPr>
                            <w:color w:val="auto"/>
                            <w:sz w:val="20"/>
                            <w:szCs w:val="20"/>
                            <w:lang w:val="pt-BR"/>
                          </w:rPr>
                          <w:t xml:space="preserve"> şi/sau tocilizumab</w:t>
                        </w:r>
                        <w:r w:rsidR="008014AF" w:rsidRPr="0049126A">
                          <w:rPr>
                            <w:color w:val="auto"/>
                            <w:sz w:val="20"/>
                            <w:szCs w:val="20"/>
                            <w:vertAlign w:val="superscript"/>
                            <w:lang w:val="pt-BR"/>
                          </w:rPr>
                          <w:t>4, 5</w:t>
                        </w:r>
                      </w:p>
                    </w:tc>
                  </w:sdtContent>
                </w:sdt>
                <w:sdt>
                  <w:sdtPr>
                    <w:rPr>
                      <w:rFonts w:ascii="Times New Roman" w:eastAsia="Times New Roman" w:hAnsi="Times New Roman" w:cs="Times New Roman"/>
                      <w:sz w:val="20"/>
                      <w:szCs w:val="20"/>
                      <w:lang w:val="en-US" w:eastAsia="ro-RO"/>
                    </w:rPr>
                    <w:tag w:val="goog_rdk_17"/>
                    <w:id w:val="-1635870494"/>
                  </w:sdtPr>
                  <w:sdtEndPr/>
                  <w:sdtContent>
                    <w:tc>
                      <w:tcPr>
                        <w:tcW w:w="2693" w:type="dxa"/>
                      </w:tcPr>
                      <w:p w14:paraId="25309415" w14:textId="77777777" w:rsidR="001B2552" w:rsidRPr="0049126A" w:rsidRDefault="001B2552" w:rsidP="00D8762B">
                        <w:pPr>
                          <w:widowControl w:val="0"/>
                          <w:spacing w:after="0" w:line="253" w:lineRule="auto"/>
                          <w:ind w:left="88" w:right="50"/>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Simptomele trebuie să se fi  remis de cel puţin 72 de ore înainte de administrarea  următoarei perfuzii  </w:t>
                        </w:r>
                      </w:p>
                      <w:p w14:paraId="53ADA6FF" w14:textId="77777777" w:rsidR="001B2552" w:rsidRPr="0049126A" w:rsidRDefault="001B2552" w:rsidP="00D8762B">
                        <w:pPr>
                          <w:widowControl w:val="0"/>
                          <w:spacing w:after="0" w:line="254" w:lineRule="auto"/>
                          <w:ind w:left="88" w:right="321"/>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Pacientul trebuie  monitorizat mai frecvent </w:t>
                        </w:r>
                      </w:p>
                    </w:tc>
                  </w:sdtContent>
                </w:sdt>
              </w:tr>
            </w:sdtContent>
          </w:sdt>
          <w:sdt>
            <w:sdtPr>
              <w:rPr>
                <w:rFonts w:ascii="Times New Roman" w:eastAsia="Times New Roman" w:hAnsi="Times New Roman" w:cs="Times New Roman"/>
                <w:sz w:val="20"/>
                <w:szCs w:val="20"/>
                <w:lang w:val="en-US" w:eastAsia="ro-RO"/>
              </w:rPr>
              <w:tag w:val="goog_rdk_18"/>
              <w:id w:val="1552044318"/>
            </w:sdtPr>
            <w:sdtEndPr/>
            <w:sdtContent>
              <w:tr w:rsidR="0049126A" w:rsidRPr="0049126A" w14:paraId="2B2CB6C2" w14:textId="77777777" w:rsidTr="008014AF">
                <w:sdt>
                  <w:sdtPr>
                    <w:rPr>
                      <w:rFonts w:ascii="Times New Roman" w:eastAsia="Times New Roman" w:hAnsi="Times New Roman" w:cs="Times New Roman"/>
                      <w:sz w:val="20"/>
                      <w:szCs w:val="20"/>
                      <w:lang w:val="en-US" w:eastAsia="ro-RO"/>
                    </w:rPr>
                    <w:tag w:val="goog_rdk_19"/>
                    <w:id w:val="2127040866"/>
                  </w:sdtPr>
                  <w:sdtEndPr/>
                  <w:sdtContent>
                    <w:tc>
                      <w:tcPr>
                        <w:tcW w:w="2405" w:type="dxa"/>
                      </w:tcPr>
                      <w:p w14:paraId="50956FA4" w14:textId="77777777" w:rsidR="001B2552" w:rsidRPr="0049126A" w:rsidRDefault="001B2552" w:rsidP="00D8762B">
                        <w:pPr>
                          <w:widowControl w:val="0"/>
                          <w:spacing w:after="0" w:line="244" w:lineRule="auto"/>
                          <w:ind w:left="31" w:right="-18"/>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b/>
                            <w:sz w:val="20"/>
                            <w:szCs w:val="20"/>
                            <w:lang w:val="pt-BR" w:eastAsia="ro-RO"/>
                          </w:rPr>
                          <w:t>Gradul 2</w:t>
                        </w:r>
                        <w:r w:rsidRPr="0049126A">
                          <w:rPr>
                            <w:rFonts w:ascii="Times New Roman" w:eastAsia="Times New Roman" w:hAnsi="Times New Roman" w:cs="Times New Roman"/>
                            <w:sz w:val="20"/>
                            <w:szCs w:val="20"/>
                            <w:lang w:val="pt-BR" w:eastAsia="ro-RO"/>
                          </w:rPr>
                          <w:t xml:space="preserve"> </w:t>
                        </w:r>
                      </w:p>
                      <w:p w14:paraId="5A9FAB80" w14:textId="2EAE10C5" w:rsidR="001B2552" w:rsidRPr="0049126A" w:rsidRDefault="001B2552" w:rsidP="00D8762B">
                        <w:pPr>
                          <w:widowControl w:val="0"/>
                          <w:spacing w:after="0" w:line="251" w:lineRule="auto"/>
                          <w:ind w:left="31"/>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Febră ≥ 38ºC şi/sau  hipotensiune arterială  care nu necesită  administrarea  de vasopresoare  şi/sau hipoxie care impune  administrarea de oxigen cu  flux redus</w:t>
                        </w:r>
                        <w:r w:rsidRPr="0049126A">
                          <w:rPr>
                            <w:rFonts w:ascii="Times New Roman" w:eastAsia="Times New Roman" w:hAnsi="Times New Roman" w:cs="Times New Roman"/>
                            <w:sz w:val="20"/>
                            <w:szCs w:val="20"/>
                            <w:vertAlign w:val="superscript"/>
                            <w:lang w:val="pt-BR" w:eastAsia="ro-RO"/>
                          </w:rPr>
                          <w:t>6</w:t>
                        </w:r>
                        <w:r w:rsidRPr="0049126A">
                          <w:rPr>
                            <w:rFonts w:ascii="Times New Roman" w:eastAsia="Times New Roman" w:hAnsi="Times New Roman" w:cs="Times New Roman"/>
                            <w:sz w:val="20"/>
                            <w:szCs w:val="20"/>
                            <w:lang w:val="pt-BR" w:eastAsia="ro-RO"/>
                          </w:rPr>
                          <w:t xml:space="preserve"> prin canulă nazală sau mască facială fără etanş </w:t>
                        </w:r>
                      </w:p>
                    </w:tc>
                  </w:sdtContent>
                </w:sdt>
                <w:sdt>
                  <w:sdtPr>
                    <w:rPr>
                      <w:rFonts w:ascii="Times New Roman" w:eastAsia="Times New Roman" w:hAnsi="Times New Roman" w:cs="Times New Roman"/>
                      <w:color w:val="000000"/>
                      <w:sz w:val="20"/>
                      <w:szCs w:val="20"/>
                      <w:u w:color="000000"/>
                      <w:bdr w:val="nil"/>
                      <w:lang w:val="en-US" w:eastAsia="ro-RO"/>
                    </w:rPr>
                    <w:tag w:val="goog_rdk_20"/>
                    <w:id w:val="982575463"/>
                  </w:sdtPr>
                  <w:sdtEndPr>
                    <w:rPr>
                      <w:sz w:val="24"/>
                      <w:szCs w:val="24"/>
                    </w:rPr>
                  </w:sdtEndPr>
                  <w:sdtContent>
                    <w:tc>
                      <w:tcPr>
                        <w:tcW w:w="4536" w:type="dxa"/>
                      </w:tcPr>
                      <w:p w14:paraId="3A832D7C" w14:textId="77777777" w:rsidR="001B2552" w:rsidRPr="0049126A" w:rsidRDefault="001B2552" w:rsidP="00D8762B">
                        <w:pPr>
                          <w:widowControl w:val="0"/>
                          <w:spacing w:after="0" w:line="244" w:lineRule="auto"/>
                          <w:ind w:left="91"/>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Dacă SEC apare pe durata perfuziei:  </w:t>
                        </w:r>
                      </w:p>
                      <w:p w14:paraId="7A509637" w14:textId="6F71879D" w:rsidR="001B2552" w:rsidRPr="0049126A" w:rsidRDefault="001B2552" w:rsidP="00367864">
                        <w:pPr>
                          <w:pStyle w:val="ListParagraph"/>
                          <w:widowControl w:val="0"/>
                          <w:numPr>
                            <w:ilvl w:val="0"/>
                            <w:numId w:val="97"/>
                          </w:numPr>
                          <w:tabs>
                            <w:tab w:val="left" w:pos="459"/>
                          </w:tabs>
                          <w:spacing w:line="268" w:lineRule="auto"/>
                          <w:ind w:hanging="544"/>
                          <w:jc w:val="both"/>
                          <w:rPr>
                            <w:color w:val="auto"/>
                            <w:sz w:val="20"/>
                            <w:szCs w:val="20"/>
                            <w:lang w:val="pt-BR"/>
                          </w:rPr>
                        </w:pPr>
                        <w:r w:rsidRPr="0049126A">
                          <w:rPr>
                            <w:color w:val="auto"/>
                            <w:sz w:val="20"/>
                            <w:szCs w:val="20"/>
                            <w:lang w:val="pt-BR"/>
                          </w:rPr>
                          <w:t xml:space="preserve">Trebuie întreruptă perfuzia şi tratate simptomele   </w:t>
                        </w:r>
                      </w:p>
                      <w:p w14:paraId="08206A23" w14:textId="1BF8509D" w:rsidR="001B2552" w:rsidRPr="0049126A" w:rsidRDefault="001B2552" w:rsidP="00367864">
                        <w:pPr>
                          <w:pStyle w:val="ListParagraph"/>
                          <w:widowControl w:val="0"/>
                          <w:numPr>
                            <w:ilvl w:val="0"/>
                            <w:numId w:val="97"/>
                          </w:numPr>
                          <w:tabs>
                            <w:tab w:val="left" w:pos="1026"/>
                          </w:tabs>
                          <w:spacing w:line="268" w:lineRule="auto"/>
                          <w:ind w:left="459" w:right="113" w:hanging="283"/>
                          <w:jc w:val="both"/>
                          <w:rPr>
                            <w:color w:val="auto"/>
                            <w:sz w:val="20"/>
                            <w:szCs w:val="20"/>
                            <w:lang w:val="pt-BR"/>
                          </w:rPr>
                        </w:pPr>
                        <w:r w:rsidRPr="0049126A">
                          <w:rPr>
                            <w:color w:val="auto"/>
                            <w:sz w:val="20"/>
                            <w:szCs w:val="20"/>
                            <w:lang w:val="pt-BR"/>
                          </w:rPr>
                          <w:t xml:space="preserve">Perfuzia trebuie reluată la o viteză redusă  cu 50% după ce simptomele s-au remis  </w:t>
                        </w:r>
                      </w:p>
                      <w:p w14:paraId="7FFDFBB0" w14:textId="75266543" w:rsidR="001B2552" w:rsidRPr="0049126A" w:rsidRDefault="001B2552" w:rsidP="00367864">
                        <w:pPr>
                          <w:pStyle w:val="ListParagraph"/>
                          <w:widowControl w:val="0"/>
                          <w:numPr>
                            <w:ilvl w:val="0"/>
                            <w:numId w:val="97"/>
                          </w:numPr>
                          <w:spacing w:line="269" w:lineRule="auto"/>
                          <w:ind w:left="459" w:right="113" w:hanging="283"/>
                          <w:jc w:val="both"/>
                          <w:rPr>
                            <w:color w:val="auto"/>
                            <w:sz w:val="20"/>
                            <w:szCs w:val="20"/>
                            <w:lang w:val="pt-BR"/>
                          </w:rPr>
                        </w:pPr>
                        <w:r w:rsidRPr="0049126A">
                          <w:rPr>
                            <w:color w:val="auto"/>
                            <w:sz w:val="20"/>
                            <w:szCs w:val="20"/>
                            <w:lang w:val="pt-BR"/>
                          </w:rPr>
                          <w:t xml:space="preserve">Dacă simptomele reapar odată cu reluarea  perfuziei, aceasta trebuie întreruptă  </w:t>
                        </w:r>
                      </w:p>
                      <w:p w14:paraId="65D0A3AD" w14:textId="77777777" w:rsidR="00D8762B" w:rsidRPr="0049126A" w:rsidRDefault="00D8762B" w:rsidP="00D8762B">
                        <w:pPr>
                          <w:widowControl w:val="0"/>
                          <w:spacing w:after="0" w:line="244" w:lineRule="auto"/>
                          <w:ind w:left="91" w:right="-18"/>
                          <w:jc w:val="both"/>
                          <w:rPr>
                            <w:rFonts w:ascii="Times New Roman" w:eastAsia="Times New Roman" w:hAnsi="Times New Roman" w:cs="Times New Roman"/>
                            <w:sz w:val="20"/>
                            <w:szCs w:val="20"/>
                            <w:lang w:val="pt-BR" w:eastAsia="ro-RO"/>
                          </w:rPr>
                        </w:pPr>
                      </w:p>
                      <w:p w14:paraId="4DAD80D4" w14:textId="77777777" w:rsidR="001B2552" w:rsidRPr="0049126A" w:rsidRDefault="001B2552" w:rsidP="00D8762B">
                        <w:pPr>
                          <w:widowControl w:val="0"/>
                          <w:spacing w:after="0" w:line="244" w:lineRule="auto"/>
                          <w:ind w:left="91" w:right="-18"/>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Dacă SEC apare după administrarea perfuziei: </w:t>
                        </w:r>
                      </w:p>
                      <w:p w14:paraId="14342274" w14:textId="09E3F594" w:rsidR="001B2552" w:rsidRPr="0049126A" w:rsidRDefault="001B2552" w:rsidP="00367864">
                        <w:pPr>
                          <w:pStyle w:val="ListParagraph"/>
                          <w:widowControl w:val="0"/>
                          <w:numPr>
                            <w:ilvl w:val="0"/>
                            <w:numId w:val="98"/>
                          </w:numPr>
                          <w:tabs>
                            <w:tab w:val="left" w:pos="459"/>
                          </w:tabs>
                          <w:spacing w:line="268" w:lineRule="auto"/>
                          <w:ind w:hanging="544"/>
                          <w:jc w:val="both"/>
                          <w:rPr>
                            <w:color w:val="auto"/>
                            <w:sz w:val="20"/>
                            <w:szCs w:val="20"/>
                            <w:lang w:val="pt-BR"/>
                          </w:rPr>
                        </w:pPr>
                        <w:r w:rsidRPr="0049126A">
                          <w:rPr>
                            <w:color w:val="auto"/>
                            <w:sz w:val="20"/>
                            <w:szCs w:val="20"/>
                            <w:lang w:val="pt-BR"/>
                          </w:rPr>
                          <w:t xml:space="preserve">Trebuie tratate simptomele  </w:t>
                        </w:r>
                      </w:p>
                      <w:p w14:paraId="10240D46" w14:textId="77777777" w:rsidR="00D8762B" w:rsidRPr="0049126A" w:rsidRDefault="00D8762B" w:rsidP="00D8762B">
                        <w:pPr>
                          <w:widowControl w:val="0"/>
                          <w:spacing w:after="0" w:line="252" w:lineRule="auto"/>
                          <w:ind w:left="91" w:right="535"/>
                          <w:jc w:val="both"/>
                          <w:rPr>
                            <w:rFonts w:ascii="Times New Roman" w:eastAsia="Times New Roman" w:hAnsi="Times New Roman" w:cs="Times New Roman"/>
                            <w:sz w:val="20"/>
                            <w:szCs w:val="20"/>
                            <w:lang w:val="pt-BR" w:eastAsia="ro-RO"/>
                          </w:rPr>
                        </w:pPr>
                      </w:p>
                      <w:p w14:paraId="2F1A8306" w14:textId="77777777" w:rsidR="001B2552" w:rsidRPr="0049126A" w:rsidRDefault="001B2552" w:rsidP="00D8762B">
                        <w:pPr>
                          <w:widowControl w:val="0"/>
                          <w:spacing w:after="0" w:line="252" w:lineRule="auto"/>
                          <w:ind w:left="91" w:right="535"/>
                          <w:jc w:val="both"/>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Dacă nu se observă nicio îmbunătăţire după  tratarea simptomelor:  </w:t>
                        </w:r>
                      </w:p>
                      <w:p w14:paraId="441CF79C" w14:textId="2EF98622" w:rsidR="001B2552" w:rsidRPr="0049126A" w:rsidRDefault="001B2552" w:rsidP="00367864">
                        <w:pPr>
                          <w:pStyle w:val="ListParagraph"/>
                          <w:widowControl w:val="0"/>
                          <w:numPr>
                            <w:ilvl w:val="0"/>
                            <w:numId w:val="98"/>
                          </w:numPr>
                          <w:tabs>
                            <w:tab w:val="left" w:pos="884"/>
                          </w:tabs>
                          <w:spacing w:line="269" w:lineRule="auto"/>
                          <w:ind w:left="459" w:right="95" w:hanging="283"/>
                          <w:jc w:val="both"/>
                          <w:rPr>
                            <w:color w:val="auto"/>
                            <w:sz w:val="20"/>
                            <w:szCs w:val="20"/>
                            <w:lang w:val="pt-BR"/>
                          </w:rPr>
                        </w:pPr>
                        <w:r w:rsidRPr="0049126A">
                          <w:rPr>
                            <w:color w:val="auto"/>
                            <w:sz w:val="20"/>
                            <w:szCs w:val="20"/>
                            <w:lang w:val="pt-BR"/>
                          </w:rPr>
                          <w:t>Trebuie luată în considerare administrarea de dexametazonă</w:t>
                        </w:r>
                        <w:r w:rsidRPr="0049126A">
                          <w:rPr>
                            <w:color w:val="auto"/>
                            <w:sz w:val="20"/>
                            <w:szCs w:val="20"/>
                            <w:vertAlign w:val="superscript"/>
                            <w:lang w:val="pt-BR"/>
                          </w:rPr>
                          <w:t>3</w:t>
                        </w:r>
                        <w:r w:rsidRPr="0049126A">
                          <w:rPr>
                            <w:color w:val="auto"/>
                            <w:sz w:val="20"/>
                            <w:szCs w:val="20"/>
                            <w:lang w:val="pt-BR"/>
                          </w:rPr>
                          <w:t xml:space="preserve"> şi/sau tocilizumab</w:t>
                        </w:r>
                        <w:r w:rsidRPr="0049126A">
                          <w:rPr>
                            <w:color w:val="auto"/>
                            <w:sz w:val="20"/>
                            <w:szCs w:val="20"/>
                            <w:vertAlign w:val="superscript"/>
                            <w:lang w:val="pt-BR"/>
                          </w:rPr>
                          <w:t>4, 5</w:t>
                        </w:r>
                        <w:r w:rsidRPr="0049126A">
                          <w:rPr>
                            <w:color w:val="auto"/>
                            <w:sz w:val="20"/>
                            <w:szCs w:val="20"/>
                            <w:lang w:val="pt-BR"/>
                          </w:rPr>
                          <w:t xml:space="preserve">  </w:t>
                        </w:r>
                      </w:p>
                    </w:tc>
                  </w:sdtContent>
                </w:sdt>
                <w:sdt>
                  <w:sdtPr>
                    <w:rPr>
                      <w:rFonts w:ascii="Times New Roman" w:eastAsia="Times New Roman" w:hAnsi="Times New Roman" w:cs="Times New Roman"/>
                      <w:sz w:val="20"/>
                      <w:szCs w:val="20"/>
                      <w:lang w:val="en-US" w:eastAsia="ro-RO"/>
                    </w:rPr>
                    <w:tag w:val="goog_rdk_21"/>
                    <w:id w:val="-1863743311"/>
                  </w:sdtPr>
                  <w:sdtEndPr/>
                  <w:sdtContent>
                    <w:tc>
                      <w:tcPr>
                        <w:tcW w:w="2693" w:type="dxa"/>
                      </w:tcPr>
                      <w:p w14:paraId="2653FE34" w14:textId="77777777" w:rsidR="001B2552" w:rsidRPr="0049126A" w:rsidRDefault="001B2552" w:rsidP="00D8762B">
                        <w:pPr>
                          <w:widowControl w:val="0"/>
                          <w:spacing w:after="0" w:line="252" w:lineRule="auto"/>
                          <w:ind w:left="88" w:right="50"/>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 xml:space="preserve">Simptomele trebuie să se fi  remis de cel puţin 72 de ore înainte de a se administra  următoarea perfuzie  </w:t>
                        </w:r>
                      </w:p>
                      <w:p w14:paraId="7F4BE542" w14:textId="77777777" w:rsidR="001B2552" w:rsidRPr="0049126A" w:rsidRDefault="001B2552" w:rsidP="00D8762B">
                        <w:pPr>
                          <w:widowControl w:val="0"/>
                          <w:spacing w:after="0" w:line="252" w:lineRule="auto"/>
                          <w:ind w:left="88" w:right="22"/>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Premedicaţia se va optimiza după cum este necesar</w:t>
                        </w:r>
                        <w:r w:rsidRPr="0049126A">
                          <w:rPr>
                            <w:rFonts w:ascii="Times New Roman" w:eastAsia="Times New Roman" w:hAnsi="Times New Roman" w:cs="Times New Roman"/>
                            <w:sz w:val="20"/>
                            <w:szCs w:val="20"/>
                            <w:vertAlign w:val="superscript"/>
                            <w:lang w:val="pt-BR" w:eastAsia="ro-RO"/>
                          </w:rPr>
                          <w:t>7</w:t>
                        </w:r>
                        <w:r w:rsidRPr="0049126A">
                          <w:rPr>
                            <w:rFonts w:ascii="Times New Roman" w:eastAsia="Times New Roman" w:hAnsi="Times New Roman" w:cs="Times New Roman"/>
                            <w:sz w:val="20"/>
                            <w:szCs w:val="20"/>
                            <w:lang w:val="pt-BR" w:eastAsia="ro-RO"/>
                          </w:rPr>
                          <w:t xml:space="preserve">  </w:t>
                        </w:r>
                      </w:p>
                      <w:p w14:paraId="1DA7030C" w14:textId="63FE62EB" w:rsidR="001B2552" w:rsidRPr="0049126A" w:rsidRDefault="001B2552" w:rsidP="00D8762B">
                        <w:pPr>
                          <w:widowControl w:val="0"/>
                          <w:spacing w:after="0" w:line="252" w:lineRule="auto"/>
                          <w:ind w:left="88" w:right="15"/>
                          <w:rPr>
                            <w:rFonts w:ascii="Times New Roman" w:eastAsia="Times New Roman" w:hAnsi="Times New Roman" w:cs="Times New Roman"/>
                            <w:sz w:val="20"/>
                            <w:szCs w:val="20"/>
                            <w:lang w:val="pt-BR" w:eastAsia="ro-RO"/>
                          </w:rPr>
                        </w:pPr>
                        <w:r w:rsidRPr="0049126A">
                          <w:rPr>
                            <w:rFonts w:ascii="Times New Roman" w:eastAsia="Times New Roman" w:hAnsi="Times New Roman" w:cs="Times New Roman"/>
                            <w:sz w:val="20"/>
                            <w:szCs w:val="20"/>
                            <w:lang w:val="pt-BR" w:eastAsia="ro-RO"/>
                          </w:rPr>
                          <w:t>Trebuie luată în considerare reducerea vitezei de  perfuzare cu 50% pentru  următoarea perfuzie, cu  monitorizarea mai frecventă a pacientului.</w:t>
                        </w:r>
                        <w:r w:rsidRPr="0049126A">
                          <w:rPr>
                            <w:rFonts w:ascii="Times New Roman" w:eastAsia="Times New Roman" w:hAnsi="Times New Roman" w:cs="Times New Roman"/>
                            <w:sz w:val="20"/>
                            <w:szCs w:val="20"/>
                            <w:vertAlign w:val="superscript"/>
                            <w:lang w:val="pt-BR" w:eastAsia="ro-RO"/>
                          </w:rPr>
                          <w:t xml:space="preserve">  </w:t>
                        </w:r>
                      </w:p>
                    </w:tc>
                  </w:sdtContent>
                </w:sdt>
              </w:tr>
            </w:sdtContent>
          </w:sdt>
        </w:tbl>
      </w:sdtContent>
    </w:sdt>
    <w:p w14:paraId="18F39269" w14:textId="77777777" w:rsidR="001B2552" w:rsidRPr="0049126A" w:rsidRDefault="001B2552" w:rsidP="00380B65">
      <w:pPr>
        <w:tabs>
          <w:tab w:val="left" w:pos="426"/>
        </w:tabs>
        <w:jc w:val="both"/>
        <w:rPr>
          <w:rFonts w:ascii="Times New Roman" w:eastAsia="Arial" w:hAnsi="Times New Roman" w:cs="Times New Roman"/>
          <w:b/>
          <w:bCs/>
          <w:sz w:val="24"/>
          <w:szCs w:val="24"/>
          <w:lang w:val="en-US"/>
        </w:rPr>
      </w:pPr>
    </w:p>
    <w:p w14:paraId="2EB6C16E"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285AD6C4"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3FEDF000"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tbl>
      <w:tblPr>
        <w:tblpPr w:vertAnchor="text" w:tblpX="-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5"/>
        <w:gridCol w:w="4111"/>
        <w:gridCol w:w="3118"/>
      </w:tblGrid>
      <w:tr w:rsidR="0049126A" w:rsidRPr="0049126A" w14:paraId="179710EE" w14:textId="77777777" w:rsidTr="00D8762B">
        <w:trPr>
          <w:trHeight w:val="563"/>
        </w:trPr>
        <w:tc>
          <w:tcPr>
            <w:tcW w:w="2405" w:type="dxa"/>
          </w:tcPr>
          <w:p w14:paraId="2CB42306" w14:textId="77777777" w:rsidR="00D71A81" w:rsidRPr="0049126A" w:rsidRDefault="00D71A81" w:rsidP="00D8762B">
            <w:pPr>
              <w:spacing w:after="0" w:line="240" w:lineRule="auto"/>
              <w:ind w:left="31" w:right="246"/>
              <w:jc w:val="center"/>
              <w:rPr>
                <w:rFonts w:ascii="Times New Roman" w:hAnsi="Times New Roman" w:cs="Times New Roman"/>
                <w:sz w:val="20"/>
                <w:szCs w:val="20"/>
                <w:lang w:val="pt-BR"/>
              </w:rPr>
            </w:pPr>
            <w:r w:rsidRPr="0049126A">
              <w:rPr>
                <w:rFonts w:ascii="Times New Roman" w:hAnsi="Times New Roman" w:cs="Times New Roman"/>
                <w:b/>
                <w:sz w:val="20"/>
                <w:szCs w:val="20"/>
                <w:lang w:val="pt-BR"/>
              </w:rPr>
              <w:lastRenderedPageBreak/>
              <w:t>Gradul de severitate al</w:t>
            </w:r>
            <w:r w:rsidRPr="0049126A">
              <w:rPr>
                <w:rFonts w:ascii="Times New Roman" w:hAnsi="Times New Roman" w:cs="Times New Roman"/>
                <w:sz w:val="20"/>
                <w:szCs w:val="20"/>
                <w:lang w:val="pt-BR"/>
              </w:rPr>
              <w:t xml:space="preserve"> </w:t>
            </w:r>
            <w:r w:rsidRPr="0049126A">
              <w:rPr>
                <w:rFonts w:ascii="Times New Roman" w:hAnsi="Times New Roman" w:cs="Times New Roman"/>
                <w:b/>
                <w:sz w:val="20"/>
                <w:szCs w:val="20"/>
                <w:lang w:val="pt-BR"/>
              </w:rPr>
              <w:t>SEC</w:t>
            </w:r>
            <w:r w:rsidRPr="0049126A">
              <w:rPr>
                <w:rFonts w:ascii="Times New Roman" w:hAnsi="Times New Roman" w:cs="Times New Roman"/>
                <w:sz w:val="20"/>
                <w:szCs w:val="20"/>
                <w:lang w:val="pt-BR"/>
              </w:rPr>
              <w:t xml:space="preserv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706368" behindDoc="0" locked="0" layoutInCell="1" hidden="0" allowOverlap="1" wp14:anchorId="1A8621D3" wp14:editId="26CC568C">
                      <wp:simplePos x="0" y="0"/>
                      <wp:positionH relativeFrom="column">
                        <wp:posOffset>-317499</wp:posOffset>
                      </wp:positionH>
                      <wp:positionV relativeFrom="paragraph">
                        <wp:posOffset>0</wp:posOffset>
                      </wp:positionV>
                      <wp:extent cx="12700" cy="12192"/>
                      <wp:effectExtent l="0" t="0" r="0" b="0"/>
                      <wp:wrapNone/>
                      <wp:docPr id="4" name="Freeform 4"/>
                      <wp:cNvGraphicFramePr/>
                      <a:graphic xmlns:a="http://schemas.openxmlformats.org/drawingml/2006/main">
                        <a:graphicData uri="http://schemas.microsoft.com/office/word/2010/wordprocessingShape">
                          <wps:wsp>
                            <wps:cNvSpPr/>
                            <wps:spPr>
                              <a:xfrm>
                                <a:off x="5339904" y="3773904"/>
                                <a:ext cx="12192" cy="12192"/>
                              </a:xfrm>
                              <a:custGeom>
                                <a:avLst/>
                                <a:gdLst/>
                                <a:ahLst/>
                                <a:cxnLst/>
                                <a:rect l="l" t="t" r="r" b="b"/>
                                <a:pathLst>
                                  <a:path w="12192" h="12192" extrusionOk="0">
                                    <a:moveTo>
                                      <a:pt x="0" y="12192"/>
                                    </a:moveTo>
                                    <a:lnTo>
                                      <a:pt x="12192" y="12192"/>
                                    </a:lnTo>
                                    <a:lnTo>
                                      <a:pt x="12192"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D068108" id="Freeform 4" o:spid="_x0000_s1026" style="position:absolute;margin-left:-25pt;margin-top:0;width:1pt;height:.9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12192,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" path="m,12192r12192,l12192,,,,,12192xe" fillcolor="black" stroked="f">
                      <v:path arrowok="t" o:extrusionok="f"/>
                    </v:shape>
                  </w:pict>
                </mc:Fallback>
              </mc:AlternateContent>
            </w:r>
          </w:p>
        </w:tc>
        <w:tc>
          <w:tcPr>
            <w:tcW w:w="4111" w:type="dxa"/>
          </w:tcPr>
          <w:p w14:paraId="15B06EC8" w14:textId="141F7DA3" w:rsidR="00D71A81" w:rsidRPr="0049126A" w:rsidRDefault="00D71A81" w:rsidP="00D8762B">
            <w:pPr>
              <w:spacing w:after="0" w:line="240" w:lineRule="auto"/>
              <w:ind w:left="91"/>
              <w:jc w:val="center"/>
              <w:rPr>
                <w:rFonts w:ascii="Times New Roman" w:hAnsi="Times New Roman" w:cs="Times New Roman"/>
                <w:sz w:val="20"/>
                <w:szCs w:val="20"/>
              </w:rPr>
            </w:pPr>
            <w:r w:rsidRPr="0049126A">
              <w:rPr>
                <w:rFonts w:ascii="Times New Roman" w:hAnsi="Times New Roman" w:cs="Times New Roman"/>
                <w:b/>
                <w:sz w:val="20"/>
                <w:szCs w:val="20"/>
              </w:rPr>
              <w:t>Gestionarea SEC</w:t>
            </w:r>
            <w:r w:rsidRPr="0049126A">
              <w:rPr>
                <w:rFonts w:ascii="Times New Roman" w:hAnsi="Times New Roman" w:cs="Times New Roman"/>
                <w:b/>
                <w:sz w:val="20"/>
                <w:szCs w:val="20"/>
                <w:vertAlign w:val="superscript"/>
              </w:rPr>
              <w:t>2</w:t>
            </w:r>
            <w:r w:rsidRPr="0049126A">
              <w:rPr>
                <w:rFonts w:ascii="Times New Roman" w:hAnsi="Times New Roman" w:cs="Times New Roman"/>
                <w:noProof/>
                <w:sz w:val="20"/>
                <w:szCs w:val="20"/>
                <w:lang w:val="en-US"/>
              </w:rPr>
              <mc:AlternateContent>
                <mc:Choice Requires="wps">
                  <w:drawing>
                    <wp:anchor distT="0" distB="0" distL="114300" distR="114300" simplePos="0" relativeHeight="251707392" behindDoc="0" locked="0" layoutInCell="1" hidden="0" allowOverlap="1" wp14:anchorId="082109DC" wp14:editId="7683FDF5">
                      <wp:simplePos x="0" y="0"/>
                      <wp:positionH relativeFrom="column">
                        <wp:posOffset>-317499</wp:posOffset>
                      </wp:positionH>
                      <wp:positionV relativeFrom="paragraph">
                        <wp:posOffset>0</wp:posOffset>
                      </wp:positionV>
                      <wp:extent cx="12700" cy="12192"/>
                      <wp:effectExtent l="0" t="0" r="0" b="0"/>
                      <wp:wrapNone/>
                      <wp:docPr id="17" name="Freeform 17"/>
                      <wp:cNvGraphicFramePr/>
                      <a:graphic xmlns:a="http://schemas.openxmlformats.org/drawingml/2006/main">
                        <a:graphicData uri="http://schemas.microsoft.com/office/word/2010/wordprocessingShape">
                          <wps:wsp>
                            <wps:cNvSpPr/>
                            <wps:spPr>
                              <a:xfrm>
                                <a:off x="5339905" y="3773904"/>
                                <a:ext cx="12191" cy="12192"/>
                              </a:xfrm>
                              <a:custGeom>
                                <a:avLst/>
                                <a:gdLst/>
                                <a:ahLst/>
                                <a:cxnLst/>
                                <a:rect l="l" t="t" r="r" b="b"/>
                                <a:pathLst>
                                  <a:path w="12191" h="12192" extrusionOk="0">
                                    <a:moveTo>
                                      <a:pt x="0" y="12192"/>
                                    </a:moveTo>
                                    <a:lnTo>
                                      <a:pt x="12191" y="12192"/>
                                    </a:lnTo>
                                    <a:lnTo>
                                      <a:pt x="12191"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1457BD0C" id="Freeform 17" o:spid="_x0000_s1026" style="position:absolute;margin-left:-25pt;margin-top:0;width:1pt;height:.9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" path="m,12192r12191,l12191,,,,,12192xe" fillcolor="black" stroked="f">
                      <v:path arrowok="t" o:extrusionok="f"/>
                    </v:shape>
                  </w:pict>
                </mc:Fallback>
              </mc:AlternateContent>
            </w:r>
          </w:p>
        </w:tc>
        <w:tc>
          <w:tcPr>
            <w:tcW w:w="3118" w:type="dxa"/>
          </w:tcPr>
          <w:p w14:paraId="09F00066" w14:textId="0FEF1D39" w:rsidR="00D71A81" w:rsidRPr="0049126A" w:rsidRDefault="00D71A81" w:rsidP="00D8762B">
            <w:pPr>
              <w:spacing w:after="0" w:line="240" w:lineRule="auto"/>
              <w:ind w:left="108"/>
              <w:jc w:val="center"/>
              <w:rPr>
                <w:rFonts w:ascii="Times New Roman" w:hAnsi="Times New Roman" w:cs="Times New Roman"/>
                <w:sz w:val="20"/>
                <w:szCs w:val="20"/>
              </w:rPr>
            </w:pPr>
            <w:r w:rsidRPr="0049126A">
              <w:rPr>
                <w:rFonts w:ascii="Times New Roman" w:hAnsi="Times New Roman" w:cs="Times New Roman"/>
                <w:b/>
                <w:sz w:val="20"/>
                <w:szCs w:val="20"/>
              </w:rPr>
              <w:t xml:space="preserve">Următoarea perfuzie  </w:t>
            </w:r>
            <w:r w:rsidRPr="0049126A">
              <w:rPr>
                <w:rFonts w:ascii="Times New Roman" w:hAnsi="Times New Roman" w:cs="Times New Roman"/>
                <w:noProof/>
                <w:sz w:val="20"/>
                <w:szCs w:val="20"/>
                <w:lang w:val="en-US"/>
              </w:rPr>
              <mc:AlternateContent>
                <mc:Choice Requires="wps">
                  <w:drawing>
                    <wp:anchor distT="0" distB="0" distL="114300" distR="114300" simplePos="0" relativeHeight="251708416" behindDoc="0" locked="0" layoutInCell="1" hidden="0" allowOverlap="1" wp14:anchorId="40B29352" wp14:editId="1DCA793F">
                      <wp:simplePos x="0" y="0"/>
                      <wp:positionH relativeFrom="column">
                        <wp:posOffset>-317499</wp:posOffset>
                      </wp:positionH>
                      <wp:positionV relativeFrom="paragraph">
                        <wp:posOffset>0</wp:posOffset>
                      </wp:positionV>
                      <wp:extent cx="12700" cy="12192"/>
                      <wp:effectExtent l="0" t="0" r="0" b="0"/>
                      <wp:wrapNone/>
                      <wp:docPr id="22" name="Freeform 22"/>
                      <wp:cNvGraphicFramePr/>
                      <a:graphic xmlns:a="http://schemas.openxmlformats.org/drawingml/2006/main">
                        <a:graphicData uri="http://schemas.microsoft.com/office/word/2010/wordprocessingShape">
                          <wps:wsp>
                            <wps:cNvSpPr/>
                            <wps:spPr>
                              <a:xfrm>
                                <a:off x="5339905" y="3773904"/>
                                <a:ext cx="12191" cy="12192"/>
                              </a:xfrm>
                              <a:custGeom>
                                <a:avLst/>
                                <a:gdLst/>
                                <a:ahLst/>
                                <a:cxnLst/>
                                <a:rect l="l" t="t" r="r" b="b"/>
                                <a:pathLst>
                                  <a:path w="12191" h="12192" extrusionOk="0">
                                    <a:moveTo>
                                      <a:pt x="0" y="12192"/>
                                    </a:moveTo>
                                    <a:lnTo>
                                      <a:pt x="12191" y="12192"/>
                                    </a:lnTo>
                                    <a:lnTo>
                                      <a:pt x="12191"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6758DCBB" id="Freeform 22" o:spid="_x0000_s1026" style="position:absolute;margin-left:-25pt;margin-top:0;width:1pt;height:.9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" path="m,12192r12191,l12191,,,,,12192xe" fillcolor="black" stroked="f">
                      <v:path arrowok="t" o:extrusionok="f"/>
                    </v:shape>
                  </w:pict>
                </mc:Fallback>
              </mc:AlternateContent>
            </w:r>
            <w:r w:rsidRPr="0049126A">
              <w:rPr>
                <w:rFonts w:ascii="Times New Roman" w:hAnsi="Times New Roman" w:cs="Times New Roman"/>
                <w:noProof/>
                <w:sz w:val="20"/>
                <w:szCs w:val="20"/>
                <w:lang w:val="en-US"/>
              </w:rPr>
              <mc:AlternateContent>
                <mc:Choice Requires="wps">
                  <w:drawing>
                    <wp:anchor distT="0" distB="0" distL="114300" distR="114300" simplePos="0" relativeHeight="251709440" behindDoc="0" locked="0" layoutInCell="1" hidden="0" allowOverlap="1" wp14:anchorId="7B9A3229" wp14:editId="65834BA6">
                      <wp:simplePos x="0" y="0"/>
                      <wp:positionH relativeFrom="column">
                        <wp:posOffset>1384300</wp:posOffset>
                      </wp:positionH>
                      <wp:positionV relativeFrom="paragraph">
                        <wp:posOffset>0</wp:posOffset>
                      </wp:positionV>
                      <wp:extent cx="12700" cy="12192"/>
                      <wp:effectExtent l="0" t="0" r="0" b="0"/>
                      <wp:wrapNone/>
                      <wp:docPr id="6" name="Freeform 6"/>
                      <wp:cNvGraphicFramePr/>
                      <a:graphic xmlns:a="http://schemas.openxmlformats.org/drawingml/2006/main">
                        <a:graphicData uri="http://schemas.microsoft.com/office/word/2010/wordprocessingShape">
                          <wps:wsp>
                            <wps:cNvSpPr/>
                            <wps:spPr>
                              <a:xfrm>
                                <a:off x="5339904" y="3773904"/>
                                <a:ext cx="12193" cy="12192"/>
                              </a:xfrm>
                              <a:custGeom>
                                <a:avLst/>
                                <a:gdLst/>
                                <a:ahLst/>
                                <a:cxnLst/>
                                <a:rect l="l" t="t" r="r" b="b"/>
                                <a:pathLst>
                                  <a:path w="12193" h="12192" extrusionOk="0">
                                    <a:moveTo>
                                      <a:pt x="0" y="12192"/>
                                    </a:moveTo>
                                    <a:lnTo>
                                      <a:pt x="12193" y="12192"/>
                                    </a:lnTo>
                                    <a:lnTo>
                                      <a:pt x="12193"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5DBB4E99" id="Freeform 6" o:spid="_x0000_s1026" style="position:absolute;margin-left:109pt;margin-top:0;width:1pt;height:.9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12193,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" path="m,12192r12193,l12193,,,,,12192xe" fillcolor="black" stroked="f">
                      <v:path arrowok="t" o:extrusionok="f"/>
                    </v:shape>
                  </w:pict>
                </mc:Fallback>
              </mc:AlternateContent>
            </w:r>
            <w:r w:rsidRPr="0049126A">
              <w:rPr>
                <w:rFonts w:ascii="Times New Roman" w:hAnsi="Times New Roman" w:cs="Times New Roman"/>
                <w:b/>
                <w:sz w:val="20"/>
                <w:szCs w:val="20"/>
              </w:rPr>
              <w:t>programată cu Mosunetuzumab</w:t>
            </w:r>
          </w:p>
        </w:tc>
      </w:tr>
      <w:tr w:rsidR="0049126A" w:rsidRPr="0049126A" w14:paraId="7BF4E702" w14:textId="77777777" w:rsidTr="00D71A81">
        <w:trPr>
          <w:trHeight w:val="4581"/>
        </w:trPr>
        <w:tc>
          <w:tcPr>
            <w:tcW w:w="2405" w:type="dxa"/>
          </w:tcPr>
          <w:p w14:paraId="197126BF" w14:textId="77777777" w:rsidR="00D71A81" w:rsidRPr="0049126A" w:rsidRDefault="00D71A81" w:rsidP="00D8762B">
            <w:pPr>
              <w:spacing w:after="0" w:line="240" w:lineRule="auto"/>
              <w:ind w:left="31" w:right="-18"/>
              <w:rPr>
                <w:rFonts w:ascii="Times New Roman" w:hAnsi="Times New Roman" w:cs="Times New Roman"/>
                <w:sz w:val="20"/>
                <w:szCs w:val="20"/>
                <w:lang w:val="pt-BR"/>
              </w:rPr>
            </w:pPr>
            <w:r w:rsidRPr="0049126A">
              <w:rPr>
                <w:rFonts w:ascii="Times New Roman" w:hAnsi="Times New Roman" w:cs="Times New Roman"/>
                <w:b/>
                <w:sz w:val="20"/>
                <w:szCs w:val="20"/>
                <w:lang w:val="pt-BR"/>
              </w:rPr>
              <w:t>Gradul 3</w:t>
            </w:r>
            <w:r w:rsidRPr="0049126A">
              <w:rPr>
                <w:rFonts w:ascii="Times New Roman" w:hAnsi="Times New Roman" w:cs="Times New Roman"/>
                <w:sz w:val="20"/>
                <w:szCs w:val="20"/>
                <w:lang w:val="pt-BR"/>
              </w:rPr>
              <w:t xml:space="preserve"> </w:t>
            </w:r>
          </w:p>
          <w:p w14:paraId="1F85297A" w14:textId="0176874D" w:rsidR="00D71A81" w:rsidRPr="0049126A" w:rsidRDefault="00D71A81" w:rsidP="00D8762B">
            <w:pPr>
              <w:spacing w:after="0" w:line="240" w:lineRule="auto"/>
              <w:ind w:left="31" w:right="-51"/>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Febră ≥ 38ºC şi/sau  hipotensiune arterială    necesitând administrarea de vasopresoare (cu sau fără   vasopresină) şi/sau   hipoxie necesitând  administrare   de oxigen cu flux crescut</w:t>
            </w:r>
            <w:r w:rsidRPr="0049126A">
              <w:rPr>
                <w:rFonts w:ascii="Times New Roman" w:hAnsi="Times New Roman" w:cs="Times New Roman"/>
                <w:sz w:val="20"/>
                <w:szCs w:val="20"/>
                <w:vertAlign w:val="superscript"/>
                <w:lang w:val="pt-BR"/>
              </w:rPr>
              <w:t>8</w:t>
            </w:r>
            <w:r w:rsidRPr="0049126A">
              <w:rPr>
                <w:rFonts w:ascii="Times New Roman" w:hAnsi="Times New Roman" w:cs="Times New Roman"/>
                <w:sz w:val="20"/>
                <w:szCs w:val="20"/>
                <w:lang w:val="pt-BR"/>
              </w:rPr>
              <w:t xml:space="preserve">  prin canulă nazală, mască  facială, mască de oxigen fără  reinhalare sau mască  Venturi  </w:t>
            </w:r>
          </w:p>
        </w:tc>
        <w:tc>
          <w:tcPr>
            <w:tcW w:w="4111" w:type="dxa"/>
          </w:tcPr>
          <w:p w14:paraId="7E5AE8F4" w14:textId="77777777" w:rsidR="00D71A81" w:rsidRPr="0049126A" w:rsidRDefault="00D71A81" w:rsidP="00D8762B">
            <w:pPr>
              <w:spacing w:after="0" w:line="240" w:lineRule="auto"/>
              <w:ind w:left="91"/>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Dacă SEC apare pe durata perfuziei:  </w:t>
            </w:r>
          </w:p>
          <w:p w14:paraId="388B953A" w14:textId="00A7CA16" w:rsidR="00D71A81" w:rsidRPr="0049126A" w:rsidRDefault="00D71A81" w:rsidP="00367864">
            <w:pPr>
              <w:pStyle w:val="ListParagraph"/>
              <w:numPr>
                <w:ilvl w:val="0"/>
                <w:numId w:val="98"/>
              </w:numPr>
              <w:ind w:left="459" w:hanging="283"/>
              <w:rPr>
                <w:color w:val="auto"/>
                <w:sz w:val="20"/>
                <w:szCs w:val="20"/>
                <w:lang w:val="pt-BR"/>
              </w:rPr>
            </w:pPr>
            <w:r w:rsidRPr="0049126A">
              <w:rPr>
                <w:color w:val="auto"/>
                <w:sz w:val="20"/>
                <w:szCs w:val="20"/>
                <w:lang w:val="pt-BR"/>
              </w:rPr>
              <w:t xml:space="preserve">Trebuie întreruptă perfuzia administrată </w:t>
            </w:r>
          </w:p>
          <w:p w14:paraId="5DE891AF" w14:textId="77777777" w:rsidR="00D71A81" w:rsidRPr="0049126A" w:rsidRDefault="00D71A81" w:rsidP="00D8762B">
            <w:pPr>
              <w:spacing w:after="0" w:line="240" w:lineRule="auto"/>
              <w:ind w:left="803" w:hanging="344"/>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curent  </w:t>
            </w:r>
          </w:p>
          <w:p w14:paraId="3E29C895" w14:textId="10CC0DC7" w:rsidR="00D71A81" w:rsidRPr="0049126A" w:rsidRDefault="00D71A81" w:rsidP="00367864">
            <w:pPr>
              <w:pStyle w:val="ListParagraph"/>
              <w:numPr>
                <w:ilvl w:val="0"/>
                <w:numId w:val="98"/>
              </w:numPr>
              <w:tabs>
                <w:tab w:val="left" w:pos="459"/>
              </w:tabs>
              <w:ind w:hanging="544"/>
              <w:rPr>
                <w:color w:val="auto"/>
                <w:sz w:val="20"/>
                <w:szCs w:val="20"/>
                <w:lang w:val="pt-BR"/>
              </w:rPr>
            </w:pPr>
            <w:r w:rsidRPr="0049126A">
              <w:rPr>
                <w:color w:val="auto"/>
                <w:sz w:val="20"/>
                <w:szCs w:val="20"/>
                <w:lang w:val="pt-BR"/>
              </w:rPr>
              <w:t xml:space="preserve">Trebuie tratate simptomele  </w:t>
            </w:r>
          </w:p>
          <w:p w14:paraId="6400C615" w14:textId="400C973F" w:rsidR="00D71A81" w:rsidRPr="0049126A" w:rsidRDefault="00D71A81" w:rsidP="00367864">
            <w:pPr>
              <w:pStyle w:val="ListParagraph"/>
              <w:numPr>
                <w:ilvl w:val="0"/>
                <w:numId w:val="98"/>
              </w:numPr>
              <w:tabs>
                <w:tab w:val="left" w:pos="459"/>
              </w:tabs>
              <w:ind w:hanging="544"/>
              <w:rPr>
                <w:color w:val="auto"/>
                <w:sz w:val="20"/>
                <w:szCs w:val="20"/>
                <w:lang w:val="pt-BR"/>
              </w:rPr>
            </w:pPr>
            <w:r w:rsidRPr="0049126A">
              <w:rPr>
                <w:color w:val="auto"/>
                <w:sz w:val="20"/>
                <w:szCs w:val="20"/>
                <w:lang w:val="pt-BR"/>
              </w:rPr>
              <w:t>Trebuie administrate dexametazonă</w:t>
            </w:r>
            <w:r w:rsidRPr="0049126A">
              <w:rPr>
                <w:color w:val="auto"/>
                <w:sz w:val="20"/>
                <w:szCs w:val="20"/>
                <w:vertAlign w:val="superscript"/>
                <w:lang w:val="pt-BR"/>
              </w:rPr>
              <w:t>3</w:t>
            </w:r>
            <w:r w:rsidRPr="0049126A">
              <w:rPr>
                <w:color w:val="auto"/>
                <w:sz w:val="20"/>
                <w:szCs w:val="20"/>
                <w:lang w:val="pt-BR"/>
              </w:rPr>
              <w:t xml:space="preserve"> şi  </w:t>
            </w:r>
          </w:p>
          <w:p w14:paraId="0CBBF830" w14:textId="3E1310AC" w:rsidR="00D71A81" w:rsidRPr="0049126A" w:rsidRDefault="00D71A81" w:rsidP="00D8762B">
            <w:pPr>
              <w:spacing w:after="0" w:line="240" w:lineRule="auto"/>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          tocilizumab</w:t>
            </w:r>
            <w:r w:rsidRPr="0049126A">
              <w:rPr>
                <w:rFonts w:ascii="Times New Roman" w:hAnsi="Times New Roman" w:cs="Times New Roman"/>
                <w:sz w:val="20"/>
                <w:szCs w:val="20"/>
                <w:vertAlign w:val="superscript"/>
                <w:lang w:val="pt-BR"/>
              </w:rPr>
              <w:t>4, 5</w:t>
            </w:r>
            <w:r w:rsidRPr="0049126A">
              <w:rPr>
                <w:rFonts w:ascii="Times New Roman" w:hAnsi="Times New Roman" w:cs="Times New Roman"/>
                <w:sz w:val="20"/>
                <w:szCs w:val="20"/>
                <w:lang w:val="pt-BR"/>
              </w:rPr>
              <w:t xml:space="preserve">   </w:t>
            </w:r>
          </w:p>
          <w:p w14:paraId="521DFFB5" w14:textId="77777777" w:rsidR="00D8762B" w:rsidRPr="0049126A" w:rsidRDefault="00D8762B" w:rsidP="00D8762B">
            <w:pPr>
              <w:spacing w:after="0" w:line="240" w:lineRule="auto"/>
              <w:ind w:left="91"/>
              <w:rPr>
                <w:rFonts w:ascii="Times New Roman" w:hAnsi="Times New Roman" w:cs="Times New Roman"/>
                <w:sz w:val="20"/>
                <w:szCs w:val="20"/>
                <w:lang w:val="pt-BR"/>
              </w:rPr>
            </w:pPr>
          </w:p>
          <w:p w14:paraId="3FD78AF0" w14:textId="77777777" w:rsidR="00D71A81" w:rsidRPr="0049126A" w:rsidRDefault="00D71A81" w:rsidP="00D8762B">
            <w:pPr>
              <w:spacing w:after="0" w:line="240" w:lineRule="auto"/>
              <w:ind w:left="91"/>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Dacă SEC apare după administrarea perfuziei:  </w:t>
            </w:r>
          </w:p>
          <w:p w14:paraId="6AF561CD" w14:textId="77777777" w:rsidR="00D71A81" w:rsidRPr="0049126A" w:rsidRDefault="00D71A81" w:rsidP="00367864">
            <w:pPr>
              <w:pStyle w:val="ListParagraph"/>
              <w:numPr>
                <w:ilvl w:val="0"/>
                <w:numId w:val="99"/>
              </w:numPr>
              <w:ind w:left="459" w:hanging="283"/>
              <w:rPr>
                <w:color w:val="auto"/>
                <w:sz w:val="20"/>
                <w:szCs w:val="20"/>
                <w:lang w:val="pt-BR"/>
              </w:rPr>
            </w:pPr>
            <w:r w:rsidRPr="0049126A">
              <w:rPr>
                <w:color w:val="auto"/>
                <w:sz w:val="20"/>
                <w:szCs w:val="20"/>
                <w:lang w:val="pt-BR"/>
              </w:rPr>
              <w:t xml:space="preserve">Trebuie tratate simptomele  </w:t>
            </w:r>
          </w:p>
          <w:p w14:paraId="18E76BF1" w14:textId="62B5D681" w:rsidR="00D71A81" w:rsidRPr="0049126A" w:rsidRDefault="00D71A81" w:rsidP="00367864">
            <w:pPr>
              <w:pStyle w:val="ListParagraph"/>
              <w:numPr>
                <w:ilvl w:val="0"/>
                <w:numId w:val="99"/>
              </w:numPr>
              <w:ind w:left="459" w:hanging="283"/>
              <w:rPr>
                <w:color w:val="auto"/>
                <w:sz w:val="20"/>
                <w:szCs w:val="20"/>
                <w:lang w:val="pt-BR"/>
              </w:rPr>
            </w:pPr>
            <w:r w:rsidRPr="0049126A">
              <w:rPr>
                <w:color w:val="auto"/>
                <w:sz w:val="20"/>
                <w:szCs w:val="20"/>
                <w:lang w:val="pt-BR"/>
              </w:rPr>
              <w:t>Trebuie administrate dexametazonă</w:t>
            </w:r>
            <w:r w:rsidRPr="0049126A">
              <w:rPr>
                <w:color w:val="auto"/>
                <w:sz w:val="20"/>
                <w:szCs w:val="20"/>
                <w:vertAlign w:val="superscript"/>
                <w:lang w:val="pt-BR"/>
              </w:rPr>
              <w:t>3</w:t>
            </w:r>
            <w:r w:rsidRPr="0049126A">
              <w:rPr>
                <w:color w:val="auto"/>
                <w:sz w:val="20"/>
                <w:szCs w:val="20"/>
                <w:lang w:val="pt-BR"/>
              </w:rPr>
              <w:t xml:space="preserve"> şi  </w:t>
            </w:r>
          </w:p>
          <w:p w14:paraId="0124C370" w14:textId="77777777" w:rsidR="00D71A81" w:rsidRPr="0049126A" w:rsidRDefault="00D71A81" w:rsidP="00D8762B">
            <w:pPr>
              <w:spacing w:after="0" w:line="240" w:lineRule="auto"/>
              <w:ind w:left="803" w:hanging="344"/>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tocilizumab</w:t>
            </w:r>
            <w:r w:rsidRPr="0049126A">
              <w:rPr>
                <w:rFonts w:ascii="Times New Roman" w:hAnsi="Times New Roman" w:cs="Times New Roman"/>
                <w:sz w:val="20"/>
                <w:szCs w:val="20"/>
                <w:vertAlign w:val="superscript"/>
                <w:lang w:val="pt-BR"/>
              </w:rPr>
              <w:t>4, 5</w:t>
            </w:r>
            <w:r w:rsidRPr="0049126A">
              <w:rPr>
                <w:rFonts w:ascii="Times New Roman" w:hAnsi="Times New Roman" w:cs="Times New Roman"/>
                <w:sz w:val="20"/>
                <w:szCs w:val="20"/>
                <w:lang w:val="pt-BR"/>
              </w:rPr>
              <w:t xml:space="preserve">   </w:t>
            </w:r>
          </w:p>
          <w:p w14:paraId="63E7B551" w14:textId="77777777" w:rsidR="00D8762B" w:rsidRPr="0049126A" w:rsidRDefault="00D8762B" w:rsidP="00D8762B">
            <w:pPr>
              <w:spacing w:after="0" w:line="240" w:lineRule="auto"/>
              <w:ind w:left="91" w:right="34"/>
              <w:jc w:val="both"/>
              <w:rPr>
                <w:rFonts w:ascii="Times New Roman" w:hAnsi="Times New Roman" w:cs="Times New Roman"/>
                <w:sz w:val="20"/>
                <w:szCs w:val="20"/>
                <w:lang w:val="pt-BR"/>
              </w:rPr>
            </w:pPr>
          </w:p>
          <w:p w14:paraId="7A6A4CB7" w14:textId="5E399FE1" w:rsidR="00D71A81" w:rsidRPr="0049126A" w:rsidRDefault="00D71A81" w:rsidP="00D8762B">
            <w:pPr>
              <w:spacing w:after="0" w:line="240" w:lineRule="auto"/>
              <w:ind w:left="91" w:right="34"/>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Dacă SEC este refractar la tratamentul cu  dexametazonă şi tocilizumab:  </w:t>
            </w:r>
          </w:p>
          <w:p w14:paraId="5B0E0F0D" w14:textId="04715390" w:rsidR="00D71A81" w:rsidRPr="0049126A" w:rsidRDefault="00D71A81" w:rsidP="00367864">
            <w:pPr>
              <w:pStyle w:val="ListParagraph"/>
              <w:numPr>
                <w:ilvl w:val="0"/>
                <w:numId w:val="100"/>
              </w:numPr>
              <w:tabs>
                <w:tab w:val="left" w:pos="459"/>
              </w:tabs>
              <w:ind w:hanging="544"/>
              <w:rPr>
                <w:color w:val="auto"/>
                <w:sz w:val="20"/>
                <w:szCs w:val="20"/>
                <w:lang w:val="pt-BR"/>
              </w:rPr>
            </w:pPr>
            <w:r w:rsidRPr="0049126A">
              <w:rPr>
                <w:color w:val="auto"/>
                <w:sz w:val="20"/>
                <w:szCs w:val="20"/>
                <w:lang w:val="pt-BR"/>
              </w:rPr>
              <w:t xml:space="preserve">Trebuie administrate tipuri alternative de </w:t>
            </w:r>
          </w:p>
          <w:p w14:paraId="456453CB" w14:textId="77777777" w:rsidR="00D71A81" w:rsidRPr="0049126A" w:rsidRDefault="00D71A81" w:rsidP="00D8762B">
            <w:pPr>
              <w:spacing w:after="0" w:line="240" w:lineRule="auto"/>
              <w:ind w:left="459" w:right="142"/>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imunosupresoare</w:t>
            </w:r>
            <w:r w:rsidRPr="0049126A">
              <w:rPr>
                <w:rFonts w:ascii="Times New Roman" w:hAnsi="Times New Roman" w:cs="Times New Roman"/>
                <w:sz w:val="20"/>
                <w:szCs w:val="20"/>
                <w:vertAlign w:val="superscript"/>
                <w:lang w:val="pt-BR"/>
              </w:rPr>
              <w:t>9</w:t>
            </w:r>
            <w:r w:rsidRPr="0049126A">
              <w:rPr>
                <w:rFonts w:ascii="Times New Roman" w:hAnsi="Times New Roman" w:cs="Times New Roman"/>
                <w:sz w:val="20"/>
                <w:szCs w:val="20"/>
                <w:lang w:val="pt-BR"/>
              </w:rPr>
              <w:t xml:space="preserve"> şi metilprednisolon în  doză de 1000 mg/zi pe cale intravenoasă  până la ameliorarea clinică   </w:t>
            </w:r>
          </w:p>
        </w:tc>
        <w:tc>
          <w:tcPr>
            <w:tcW w:w="3118" w:type="dxa"/>
          </w:tcPr>
          <w:p w14:paraId="34EF6611" w14:textId="77777777" w:rsidR="00D71A81" w:rsidRPr="0049126A" w:rsidRDefault="00D71A81" w:rsidP="00D8762B">
            <w:pPr>
              <w:spacing w:after="0" w:line="240" w:lineRule="auto"/>
              <w:ind w:left="88" w:right="50"/>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Simptomele trebuie să se fi  remis de cel puţin 72 de ore înainte de a se administra  următoarea perfuzie  </w:t>
            </w:r>
          </w:p>
          <w:p w14:paraId="5F2B736A" w14:textId="77777777" w:rsidR="00D71A81" w:rsidRPr="0049126A" w:rsidRDefault="00D71A81" w:rsidP="00D8762B">
            <w:pPr>
              <w:spacing w:after="0" w:line="240" w:lineRule="auto"/>
              <w:ind w:left="88" w:right="148"/>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Pacienţii trebuie spitalizaţi pentru administrarea  perfuziei următoare  </w:t>
            </w:r>
          </w:p>
          <w:p w14:paraId="20F79029" w14:textId="77777777" w:rsidR="00D71A81" w:rsidRPr="0049126A" w:rsidRDefault="00D71A81" w:rsidP="00D8762B">
            <w:pPr>
              <w:spacing w:after="0" w:line="240" w:lineRule="auto"/>
              <w:ind w:left="88" w:right="252"/>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Premedicaţia trebuie  </w:t>
            </w:r>
            <w:r w:rsidRPr="0049126A">
              <w:rPr>
                <w:rFonts w:ascii="Times New Roman" w:hAnsi="Times New Roman" w:cs="Times New Roman"/>
                <w:sz w:val="20"/>
                <w:szCs w:val="20"/>
                <w:lang w:val="pt-BR"/>
              </w:rPr>
              <w:br/>
              <w:t>optimizată după cum este necesar</w:t>
            </w:r>
            <w:r w:rsidRPr="0049126A">
              <w:rPr>
                <w:rFonts w:ascii="Times New Roman" w:hAnsi="Times New Roman" w:cs="Times New Roman"/>
                <w:sz w:val="20"/>
                <w:szCs w:val="20"/>
                <w:vertAlign w:val="superscript"/>
                <w:lang w:val="pt-BR"/>
              </w:rPr>
              <w:t>7</w:t>
            </w:r>
            <w:r w:rsidRPr="0049126A">
              <w:rPr>
                <w:rFonts w:ascii="Times New Roman" w:hAnsi="Times New Roman" w:cs="Times New Roman"/>
                <w:sz w:val="20"/>
                <w:szCs w:val="20"/>
                <w:lang w:val="pt-BR"/>
              </w:rPr>
              <w:t xml:space="preserve">  </w:t>
            </w:r>
          </w:p>
          <w:p w14:paraId="546248E3" w14:textId="77777777" w:rsidR="00D71A81" w:rsidRPr="0049126A" w:rsidRDefault="00D71A81" w:rsidP="00D8762B">
            <w:pPr>
              <w:spacing w:after="0" w:line="240" w:lineRule="auto"/>
              <w:ind w:left="88" w:right="15"/>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Următoarea perfuzie trebuie administrată la o viteză de  perfuzare de 50%.  </w:t>
            </w:r>
          </w:p>
        </w:tc>
      </w:tr>
      <w:tr w:rsidR="0049126A" w:rsidRPr="0049126A" w14:paraId="68E45462" w14:textId="77777777" w:rsidTr="00D71A81">
        <w:trPr>
          <w:trHeight w:val="3290"/>
        </w:trPr>
        <w:tc>
          <w:tcPr>
            <w:tcW w:w="2405" w:type="dxa"/>
          </w:tcPr>
          <w:p w14:paraId="7D4F3574" w14:textId="77777777" w:rsidR="00D71A81" w:rsidRPr="0049126A" w:rsidRDefault="00D71A81" w:rsidP="00D8762B">
            <w:pPr>
              <w:spacing w:after="0" w:line="240" w:lineRule="auto"/>
              <w:ind w:left="31" w:right="-18"/>
              <w:rPr>
                <w:rFonts w:ascii="Times New Roman" w:hAnsi="Times New Roman" w:cs="Times New Roman"/>
                <w:sz w:val="20"/>
                <w:szCs w:val="20"/>
                <w:lang w:val="pt-BR"/>
              </w:rPr>
            </w:pPr>
            <w:r w:rsidRPr="0049126A">
              <w:rPr>
                <w:rFonts w:ascii="Times New Roman" w:hAnsi="Times New Roman" w:cs="Times New Roman"/>
                <w:b/>
                <w:sz w:val="20"/>
                <w:szCs w:val="20"/>
                <w:lang w:val="pt-BR"/>
              </w:rPr>
              <w:t>Gradul 4</w:t>
            </w:r>
            <w:r w:rsidRPr="0049126A">
              <w:rPr>
                <w:rFonts w:ascii="Times New Roman" w:hAnsi="Times New Roman" w:cs="Times New Roman"/>
                <w:sz w:val="20"/>
                <w:szCs w:val="20"/>
                <w:lang w:val="pt-BR"/>
              </w:rPr>
              <w:t xml:space="preserve"> </w:t>
            </w:r>
          </w:p>
          <w:p w14:paraId="2067B77D" w14:textId="789AEB8E" w:rsidR="00D71A81" w:rsidRPr="0049126A" w:rsidRDefault="00D71A81" w:rsidP="00D8762B">
            <w:pPr>
              <w:spacing w:after="0" w:line="240" w:lineRule="auto"/>
              <w:ind w:left="31"/>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Febră ≥ 38ºC  şi/sau hipotensiune arterială necesitând administrarea   mai multor  vasopresoare  (cu excepţia  vasopresinei)  şi/sau hipoxie necesitând  administrare de oxigen cu presiune   pozitivă (de exemplu, CPAP,  BiPAP,  intubaţie şi </w:t>
            </w:r>
            <w:r w:rsidRPr="0049126A">
              <w:rPr>
                <w:rFonts w:ascii="Times New Roman" w:hAnsi="Times New Roman" w:cs="Times New Roman"/>
                <w:sz w:val="20"/>
                <w:szCs w:val="20"/>
              </w:rPr>
              <w:t xml:space="preserve">ventilaţie  mecanică)  </w:t>
            </w:r>
          </w:p>
        </w:tc>
        <w:tc>
          <w:tcPr>
            <w:tcW w:w="7229" w:type="dxa"/>
            <w:gridSpan w:val="2"/>
          </w:tcPr>
          <w:sdt>
            <w:sdtPr>
              <w:rPr>
                <w:rFonts w:ascii="Times New Roman" w:hAnsi="Times New Roman" w:cs="Times New Roman"/>
                <w:sz w:val="20"/>
                <w:szCs w:val="20"/>
              </w:rPr>
              <w:tag w:val="goog_rdk_24"/>
              <w:id w:val="637065989"/>
            </w:sdtPr>
            <w:sdtEndPr/>
            <w:sdtContent>
              <w:p w14:paraId="2EBF00E3" w14:textId="26998D87" w:rsidR="00D71A81" w:rsidRPr="0049126A" w:rsidRDefault="00D71A81" w:rsidP="00D8762B">
                <w:pPr>
                  <w:tabs>
                    <w:tab w:val="left" w:pos="803"/>
                  </w:tabs>
                  <w:spacing w:after="0" w:line="240" w:lineRule="auto"/>
                  <w:ind w:left="448" w:right="1752" w:hanging="357"/>
                  <w:jc w:val="both"/>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Dacă SEC apare în timpul sau după administrarea perfuziei: </w:t>
                </w:r>
                <w:sdt>
                  <w:sdtPr>
                    <w:rPr>
                      <w:rFonts w:ascii="Times New Roman" w:hAnsi="Times New Roman" w:cs="Times New Roman"/>
                      <w:sz w:val="20"/>
                      <w:szCs w:val="20"/>
                    </w:rPr>
                    <w:tag w:val="goog_rdk_23"/>
                    <w:id w:val="-1447539564"/>
                  </w:sdtPr>
                  <w:sdtEndPr/>
                  <w:sdtContent>
                    <w:r w:rsidRPr="0049126A">
                      <w:rPr>
                        <w:rFonts w:ascii="Times New Roman" w:hAnsi="Times New Roman" w:cs="Times New Roman"/>
                        <w:noProof/>
                        <w:sz w:val="20"/>
                        <w:szCs w:val="20"/>
                        <w:lang w:val="en-US"/>
                      </w:rPr>
                      <mc:AlternateContent>
                        <mc:Choice Requires="wps">
                          <w:drawing>
                            <wp:anchor distT="0" distB="0" distL="114300" distR="114300" simplePos="0" relativeHeight="251711488" behindDoc="0" locked="0" layoutInCell="1" hidden="0" allowOverlap="1" wp14:anchorId="1BB44FA8" wp14:editId="6F608E56">
                              <wp:simplePos x="0" y="0"/>
                              <wp:positionH relativeFrom="column">
                                <wp:posOffset>2616200</wp:posOffset>
                              </wp:positionH>
                              <wp:positionV relativeFrom="paragraph">
                                <wp:posOffset>0</wp:posOffset>
                              </wp:positionV>
                              <wp:extent cx="12700" cy="12192"/>
                              <wp:effectExtent l="0" t="0" r="0" b="0"/>
                              <wp:wrapNone/>
                              <wp:docPr id="51" name="Freeform 51"/>
                              <wp:cNvGraphicFramePr/>
                              <a:graphic xmlns:a="http://schemas.openxmlformats.org/drawingml/2006/main">
                                <a:graphicData uri="http://schemas.microsoft.com/office/word/2010/wordprocessingShape">
                                  <wps:wsp>
                                    <wps:cNvSpPr/>
                                    <wps:spPr>
                                      <a:xfrm>
                                        <a:off x="5339905" y="3773904"/>
                                        <a:ext cx="12191" cy="12192"/>
                                      </a:xfrm>
                                      <a:custGeom>
                                        <a:avLst/>
                                        <a:gdLst/>
                                        <a:ahLst/>
                                        <a:cxnLst/>
                                        <a:rect l="l" t="t" r="r" b="b"/>
                                        <a:pathLst>
                                          <a:path w="12191" h="12192" extrusionOk="0">
                                            <a:moveTo>
                                              <a:pt x="0" y="12192"/>
                                            </a:moveTo>
                                            <a:lnTo>
                                              <a:pt x="12191" y="12192"/>
                                            </a:lnTo>
                                            <a:lnTo>
                                              <a:pt x="12191" y="0"/>
                                            </a:lnTo>
                                            <a:lnTo>
                                              <a:pt x="0" y="0"/>
                                            </a:lnTo>
                                            <a:lnTo>
                                              <a:pt x="0" y="12192"/>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9537897" id="Freeform 51" o:spid="_x0000_s1026" style="position:absolute;margin-left:206pt;margin-top:0;width:1pt;height:.9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12191,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" path="m,12192r12191,l12191,,,,,12192xe" fillcolor="black" stroked="f">
                              <v:path arrowok="t" o:extrusionok="f"/>
                            </v:shape>
                          </w:pict>
                        </mc:Fallback>
                      </mc:AlternateContent>
                    </w:r>
                  </w:sdtContent>
                </w:sdt>
              </w:p>
            </w:sdtContent>
          </w:sdt>
          <w:sdt>
            <w:sdtPr>
              <w:rPr>
                <w:color w:val="auto"/>
              </w:rPr>
              <w:tag w:val="goog_rdk_31"/>
              <w:id w:val="820547406"/>
            </w:sdtPr>
            <w:sdtEndPr/>
            <w:sdtContent>
              <w:p w14:paraId="5C6433D2" w14:textId="6B318CE8" w:rsidR="00D71A81" w:rsidRPr="0049126A" w:rsidRDefault="00D71A81" w:rsidP="00367864">
                <w:pPr>
                  <w:pStyle w:val="ListParagraph"/>
                  <w:widowControl w:val="0"/>
                  <w:numPr>
                    <w:ilvl w:val="0"/>
                    <w:numId w:val="100"/>
                  </w:numPr>
                  <w:tabs>
                    <w:tab w:val="left" w:pos="459"/>
                  </w:tabs>
                  <w:ind w:right="1752" w:hanging="544"/>
                  <w:rPr>
                    <w:color w:val="auto"/>
                    <w:sz w:val="20"/>
                    <w:szCs w:val="20"/>
                  </w:rPr>
                </w:pPr>
                <w:r w:rsidRPr="0049126A">
                  <w:rPr>
                    <w:color w:val="auto"/>
                    <w:sz w:val="20"/>
                    <w:szCs w:val="20"/>
                    <w:lang w:val="pt-BR"/>
                  </w:rPr>
                  <w:t xml:space="preserve"> Trebuie întrerupt definitiv tratamentul cu</w:t>
                </w:r>
                <w:sdt>
                  <w:sdtPr>
                    <w:rPr>
                      <w:color w:val="auto"/>
                    </w:rPr>
                    <w:tag w:val="goog_rdk_27"/>
                    <w:id w:val="1932700450"/>
                  </w:sdtPr>
                  <w:sdtEndPr/>
                  <w:sdtContent>
                    <w:r w:rsidRPr="0049126A">
                      <w:rPr>
                        <w:color w:val="auto"/>
                        <w:sz w:val="20"/>
                        <w:szCs w:val="20"/>
                        <w:lang w:val="pt-BR"/>
                      </w:rPr>
                      <w:t xml:space="preserve"> </w:t>
                    </w:r>
                  </w:sdtContent>
                </w:sdt>
                <w:r w:rsidRPr="0049126A">
                  <w:rPr>
                    <w:color w:val="auto"/>
                    <w:sz w:val="20"/>
                    <w:szCs w:val="20"/>
                    <w:lang w:val="pt-BR"/>
                  </w:rPr>
                  <w:t>Mosunetuzumab</w:t>
                </w:r>
              </w:p>
              <w:p w14:paraId="7091BEE8" w14:textId="0B24F53B" w:rsidR="00D71A81" w:rsidRPr="0049126A" w:rsidRDefault="00D71A81" w:rsidP="00367864">
                <w:pPr>
                  <w:pStyle w:val="ListParagraph"/>
                  <w:widowControl w:val="0"/>
                  <w:numPr>
                    <w:ilvl w:val="0"/>
                    <w:numId w:val="100"/>
                  </w:numPr>
                  <w:tabs>
                    <w:tab w:val="left" w:pos="459"/>
                  </w:tabs>
                  <w:ind w:right="1752" w:hanging="544"/>
                  <w:rPr>
                    <w:color w:val="auto"/>
                    <w:sz w:val="20"/>
                    <w:szCs w:val="20"/>
                  </w:rPr>
                </w:pPr>
                <w:r w:rsidRPr="0049126A">
                  <w:rPr>
                    <w:color w:val="auto"/>
                    <w:sz w:val="20"/>
                    <w:szCs w:val="20"/>
                  </w:rPr>
                  <w:t xml:space="preserve">Trebuie tratate simptomele  </w:t>
                </w:r>
                <w:sdt>
                  <w:sdtPr>
                    <w:rPr>
                      <w:color w:val="auto"/>
                    </w:rPr>
                    <w:tag w:val="goog_rdk_30"/>
                    <w:id w:val="1765106525"/>
                  </w:sdtPr>
                  <w:sdtEndPr/>
                  <w:sdtContent/>
                </w:sdt>
              </w:p>
            </w:sdtContent>
          </w:sdt>
          <w:sdt>
            <w:sdtPr>
              <w:rPr>
                <w:color w:val="auto"/>
              </w:rPr>
              <w:tag w:val="goog_rdk_32"/>
              <w:id w:val="-107355554"/>
            </w:sdtPr>
            <w:sdtEndPr/>
            <w:sdtContent>
              <w:p w14:paraId="2255BE33" w14:textId="77777777" w:rsidR="00D71A81" w:rsidRPr="0049126A" w:rsidRDefault="00D71A81" w:rsidP="00367864">
                <w:pPr>
                  <w:pStyle w:val="ListParagraph"/>
                  <w:widowControl w:val="0"/>
                  <w:numPr>
                    <w:ilvl w:val="0"/>
                    <w:numId w:val="100"/>
                  </w:numPr>
                  <w:tabs>
                    <w:tab w:val="left" w:pos="459"/>
                  </w:tabs>
                  <w:ind w:right="1752" w:hanging="544"/>
                  <w:rPr>
                    <w:color w:val="auto"/>
                    <w:sz w:val="20"/>
                    <w:szCs w:val="20"/>
                    <w:lang w:val="pt-BR"/>
                  </w:rPr>
                </w:pPr>
                <w:r w:rsidRPr="0049126A">
                  <w:rPr>
                    <w:color w:val="auto"/>
                    <w:sz w:val="20"/>
                    <w:szCs w:val="20"/>
                    <w:lang w:val="pt-BR"/>
                  </w:rPr>
                  <w:t>Trebuie administrate dexametazonă</w:t>
                </w:r>
                <w:r w:rsidRPr="0049126A">
                  <w:rPr>
                    <w:color w:val="auto"/>
                    <w:sz w:val="20"/>
                    <w:szCs w:val="20"/>
                    <w:vertAlign w:val="superscript"/>
                    <w:lang w:val="pt-BR"/>
                  </w:rPr>
                  <w:t>3</w:t>
                </w:r>
                <w:r w:rsidRPr="0049126A">
                  <w:rPr>
                    <w:color w:val="auto"/>
                    <w:sz w:val="20"/>
                    <w:szCs w:val="20"/>
                    <w:lang w:val="pt-BR"/>
                  </w:rPr>
                  <w:t xml:space="preserve"> şi tocilizumab</w:t>
                </w:r>
                <w:r w:rsidRPr="0049126A">
                  <w:rPr>
                    <w:color w:val="auto"/>
                    <w:sz w:val="20"/>
                    <w:szCs w:val="20"/>
                    <w:vertAlign w:val="superscript"/>
                    <w:lang w:val="pt-BR"/>
                  </w:rPr>
                  <w:t>4, 5</w:t>
                </w:r>
                <w:r w:rsidRPr="0049126A">
                  <w:rPr>
                    <w:color w:val="auto"/>
                    <w:sz w:val="20"/>
                    <w:szCs w:val="20"/>
                    <w:lang w:val="pt-BR"/>
                  </w:rPr>
                  <w:t xml:space="preserve"> </w:t>
                </w:r>
              </w:p>
            </w:sdtContent>
          </w:sdt>
          <w:p w14:paraId="4B23DA36" w14:textId="77777777" w:rsidR="00D8762B" w:rsidRPr="0049126A" w:rsidRDefault="00D8762B" w:rsidP="00D8762B">
            <w:pPr>
              <w:spacing w:after="0" w:line="240" w:lineRule="auto"/>
              <w:ind w:left="91"/>
              <w:rPr>
                <w:rFonts w:ascii="Times New Roman" w:hAnsi="Times New Roman" w:cs="Times New Roman"/>
                <w:sz w:val="20"/>
                <w:szCs w:val="20"/>
                <w:lang w:val="pt-BR"/>
              </w:rPr>
            </w:pPr>
          </w:p>
          <w:p w14:paraId="4E6E5E01" w14:textId="77777777" w:rsidR="00D71A81" w:rsidRPr="0049126A" w:rsidRDefault="00D71A81" w:rsidP="00D8762B">
            <w:pPr>
              <w:spacing w:after="0" w:line="240" w:lineRule="auto"/>
              <w:ind w:left="91"/>
              <w:rPr>
                <w:rFonts w:ascii="Times New Roman" w:hAnsi="Times New Roman" w:cs="Times New Roman"/>
                <w:sz w:val="20"/>
                <w:szCs w:val="20"/>
                <w:lang w:val="pt-BR"/>
              </w:rPr>
            </w:pPr>
            <w:r w:rsidRPr="0049126A">
              <w:rPr>
                <w:rFonts w:ascii="Times New Roman" w:hAnsi="Times New Roman" w:cs="Times New Roman"/>
                <w:sz w:val="20"/>
                <w:szCs w:val="20"/>
                <w:lang w:val="pt-BR"/>
              </w:rPr>
              <w:t xml:space="preserve">Dacă SEC este refractar la tratamentul cu dexametazonă şi tocilizumab:  </w:t>
            </w:r>
          </w:p>
          <w:p w14:paraId="0DA218AA" w14:textId="05AD0D82" w:rsidR="00D71A81" w:rsidRPr="0049126A" w:rsidRDefault="00D71A81" w:rsidP="00367864">
            <w:pPr>
              <w:pStyle w:val="ListParagraph"/>
              <w:numPr>
                <w:ilvl w:val="0"/>
                <w:numId w:val="101"/>
              </w:numPr>
              <w:tabs>
                <w:tab w:val="left" w:pos="459"/>
              </w:tabs>
              <w:ind w:left="459" w:right="-108" w:hanging="283"/>
              <w:rPr>
                <w:color w:val="auto"/>
                <w:sz w:val="20"/>
                <w:szCs w:val="20"/>
                <w:lang w:val="pt-BR"/>
              </w:rPr>
            </w:pPr>
            <w:r w:rsidRPr="0049126A">
              <w:rPr>
                <w:color w:val="auto"/>
                <w:sz w:val="20"/>
                <w:szCs w:val="20"/>
                <w:lang w:val="pt-BR"/>
              </w:rPr>
              <w:t>Trebuie administrate tipuri alternative de imunosupresoare</w:t>
            </w:r>
            <w:r w:rsidRPr="0049126A">
              <w:rPr>
                <w:color w:val="auto"/>
                <w:sz w:val="20"/>
                <w:szCs w:val="20"/>
                <w:vertAlign w:val="superscript"/>
                <w:lang w:val="pt-BR"/>
              </w:rPr>
              <w:t>9</w:t>
            </w:r>
            <w:r w:rsidRPr="0049126A">
              <w:rPr>
                <w:color w:val="auto"/>
                <w:sz w:val="20"/>
                <w:szCs w:val="20"/>
                <w:lang w:val="pt-BR"/>
              </w:rPr>
              <w:t xml:space="preserve"> şi  metilprednisolon în doză de 1000 mg/zi pe cale intravenoasă până la </w:t>
            </w:r>
            <w:r w:rsidRPr="0049126A">
              <w:rPr>
                <w:color w:val="auto"/>
                <w:sz w:val="20"/>
                <w:szCs w:val="20"/>
              </w:rPr>
              <w:t xml:space="preserve">ameliorarea clinică  </w:t>
            </w:r>
          </w:p>
        </w:tc>
      </w:tr>
    </w:tbl>
    <w:p w14:paraId="651DE0FC" w14:textId="1E8A19D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1</w:t>
      </w:r>
      <w:r w:rsidRPr="0049126A">
        <w:rPr>
          <w:rFonts w:ascii="Times New Roman" w:eastAsia="Arial" w:hAnsi="Times New Roman" w:cs="Times New Roman"/>
          <w:bCs/>
          <w:sz w:val="20"/>
          <w:szCs w:val="20"/>
          <w:lang w:val="en-US"/>
        </w:rPr>
        <w:t xml:space="preserve"> ASTCT = Societatea Americană pentru Transplant şi Terapie Celulară (American Society for Transplant and  Cellular Therapy). Premedicaţia poate masca febra, prin urmare, dacă manifestările clinice sunt sugestive pentru  SEC, vă rugăm să urmaţi aceste instrucțiuni privind gestionarea lor                                </w:t>
      </w:r>
    </w:p>
    <w:p w14:paraId="464D0062"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2</w:t>
      </w:r>
      <w:r w:rsidRPr="0049126A">
        <w:rPr>
          <w:rFonts w:ascii="Times New Roman" w:eastAsia="Arial" w:hAnsi="Times New Roman" w:cs="Times New Roman"/>
          <w:bCs/>
          <w:sz w:val="20"/>
          <w:szCs w:val="20"/>
          <w:lang w:val="en-US"/>
        </w:rPr>
        <w:t xml:space="preserve"> Dacă SEC este refractar la tratament, luaţi în considerare alte etiologii, cum ar fi limfohistiocitoza hemofagocitară 3 Dexametazona trebuie administrată în doze de 10 mg pe cale intravenoasă la fiecare 6 ore (sau doze echivalente)  </w:t>
      </w:r>
    </w:p>
    <w:p w14:paraId="13148B77"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lang w:val="en-US"/>
        </w:rPr>
        <w:t xml:space="preserve">până la ameliorarea clinică  </w:t>
      </w:r>
    </w:p>
    <w:p w14:paraId="1637223C"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4</w:t>
      </w:r>
      <w:r w:rsidRPr="0049126A">
        <w:rPr>
          <w:rFonts w:ascii="Times New Roman" w:eastAsia="Arial" w:hAnsi="Times New Roman" w:cs="Times New Roman"/>
          <w:bCs/>
          <w:sz w:val="20"/>
          <w:szCs w:val="20"/>
          <w:lang w:val="en-US"/>
        </w:rPr>
        <w:t xml:space="preserve"> În studiul GO29781, tocilizumab a fost administrat pe cale intravenoasă în doze de 8 mg/kg (a nu se depăşi  </w:t>
      </w:r>
    </w:p>
    <w:p w14:paraId="5C290EA5"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lang w:val="en-US"/>
        </w:rPr>
        <w:t xml:space="preserve">800 mg de perfuzie), așa cum este necesar pentru gestionarea SEC   </w:t>
      </w:r>
    </w:p>
    <w:p w14:paraId="2E23A849"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5</w:t>
      </w:r>
      <w:r w:rsidRPr="0049126A">
        <w:rPr>
          <w:rFonts w:ascii="Times New Roman" w:eastAsia="Arial" w:hAnsi="Times New Roman" w:cs="Times New Roman"/>
          <w:bCs/>
          <w:sz w:val="20"/>
          <w:szCs w:val="20"/>
          <w:lang w:val="en-US"/>
        </w:rPr>
        <w:t xml:space="preserve"> Dacă după administrarea primei doze nu se observă nicio ameliorare clinică a semnelor şi simptomelor de SEC, se </w:t>
      </w:r>
    </w:p>
    <w:p w14:paraId="28FBB1EB"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lang w:val="en-US"/>
        </w:rPr>
        <w:t xml:space="preserve">poate administra intravenos o a doua doză de tocilizumab de 8 mg/kg, la interval de minimum 8 ore de la prima  doză (maxim 2 doze per eveniment de SEC). În cadrul fiecărei perioade de 6 săptămâni de tratament cu   Mosunetuzumab, cantitatea totală de tocilizumab, nu trebuie să depăşească 3 doze  </w:t>
      </w:r>
    </w:p>
    <w:p w14:paraId="5AE53D17"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6</w:t>
      </w:r>
      <w:r w:rsidRPr="0049126A">
        <w:rPr>
          <w:rFonts w:ascii="Times New Roman" w:eastAsia="Arial" w:hAnsi="Times New Roman" w:cs="Times New Roman"/>
          <w:bCs/>
          <w:sz w:val="20"/>
          <w:szCs w:val="20"/>
          <w:lang w:val="en-US"/>
        </w:rPr>
        <w:t xml:space="preserve"> Oxigenul cu flux scăzut este definit ca oxigen cu debit &lt; 6 l/minut  </w:t>
      </w:r>
    </w:p>
    <w:p w14:paraId="27658874"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 xml:space="preserve">7 </w:t>
      </w:r>
      <w:r w:rsidRPr="0049126A">
        <w:rPr>
          <w:rFonts w:ascii="Times New Roman" w:eastAsia="Arial" w:hAnsi="Times New Roman" w:cs="Times New Roman"/>
          <w:bCs/>
          <w:sz w:val="20"/>
          <w:szCs w:val="20"/>
          <w:lang w:val="en-US"/>
        </w:rPr>
        <w:t xml:space="preserve">Pentru informaţii suplimentare, consultaţi Tabelul 1   </w:t>
      </w:r>
    </w:p>
    <w:p w14:paraId="7D308F99" w14:textId="77777777" w:rsidR="006A40AE"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8</w:t>
      </w:r>
      <w:r w:rsidRPr="0049126A">
        <w:rPr>
          <w:rFonts w:ascii="Times New Roman" w:eastAsia="Arial" w:hAnsi="Times New Roman" w:cs="Times New Roman"/>
          <w:bCs/>
          <w:sz w:val="20"/>
          <w:szCs w:val="20"/>
          <w:lang w:val="en-US"/>
        </w:rPr>
        <w:t xml:space="preserve"> Oxigenul cu flux crescut este definit ca oxigen cu debit ≥ 6 l/minut  </w:t>
      </w:r>
    </w:p>
    <w:p w14:paraId="124FB6A8" w14:textId="4B01C908" w:rsidR="003913BC" w:rsidRPr="0049126A" w:rsidRDefault="006A40AE" w:rsidP="008014AF">
      <w:pPr>
        <w:tabs>
          <w:tab w:val="left" w:pos="426"/>
        </w:tabs>
        <w:spacing w:after="0" w:line="240" w:lineRule="auto"/>
        <w:jc w:val="both"/>
        <w:rPr>
          <w:rFonts w:ascii="Times New Roman" w:eastAsia="Arial" w:hAnsi="Times New Roman" w:cs="Times New Roman"/>
          <w:bCs/>
          <w:sz w:val="20"/>
          <w:szCs w:val="20"/>
          <w:lang w:val="en-US"/>
        </w:rPr>
      </w:pPr>
      <w:r w:rsidRPr="0049126A">
        <w:rPr>
          <w:rFonts w:ascii="Times New Roman" w:eastAsia="Arial" w:hAnsi="Times New Roman" w:cs="Times New Roman"/>
          <w:bCs/>
          <w:sz w:val="20"/>
          <w:szCs w:val="20"/>
          <w:vertAlign w:val="superscript"/>
          <w:lang w:val="en-US"/>
        </w:rPr>
        <w:t>9</w:t>
      </w:r>
      <w:r w:rsidRPr="0049126A">
        <w:rPr>
          <w:rFonts w:ascii="Times New Roman" w:eastAsia="Arial" w:hAnsi="Times New Roman" w:cs="Times New Roman"/>
          <w:bCs/>
          <w:sz w:val="20"/>
          <w:szCs w:val="20"/>
          <w:lang w:val="en-US"/>
        </w:rPr>
        <w:t xml:space="preserve"> Riegler L et al. (2019)    </w:t>
      </w:r>
    </w:p>
    <w:p w14:paraId="5C59D872" w14:textId="77777777" w:rsidR="00D8762B" w:rsidRPr="0049126A" w:rsidRDefault="00D8762B" w:rsidP="002A1321">
      <w:pPr>
        <w:jc w:val="both"/>
        <w:rPr>
          <w:rFonts w:ascii="Times New Roman" w:hAnsi="Times New Roman" w:cs="Times New Roman"/>
          <w:b/>
          <w:sz w:val="24"/>
          <w:szCs w:val="24"/>
        </w:rPr>
      </w:pPr>
    </w:p>
    <w:p w14:paraId="25EBC589" w14:textId="4196F456" w:rsidR="002A1321" w:rsidRPr="0049126A" w:rsidRDefault="002A1321" w:rsidP="00D8762B">
      <w:pPr>
        <w:spacing w:after="0"/>
        <w:jc w:val="both"/>
        <w:rPr>
          <w:rFonts w:ascii="Times New Roman" w:hAnsi="Times New Roman" w:cs="Times New Roman"/>
          <w:b/>
          <w:sz w:val="24"/>
          <w:szCs w:val="24"/>
        </w:rPr>
      </w:pPr>
      <w:r w:rsidRPr="0049126A">
        <w:rPr>
          <w:rFonts w:ascii="Times New Roman" w:hAnsi="Times New Roman" w:cs="Times New Roman"/>
          <w:b/>
          <w:sz w:val="24"/>
          <w:szCs w:val="24"/>
        </w:rPr>
        <w:t xml:space="preserve">V. Întreruperea tratamentului </w:t>
      </w:r>
    </w:p>
    <w:p w14:paraId="6105E9B1" w14:textId="77777777" w:rsidR="002A1321" w:rsidRPr="0049126A" w:rsidRDefault="002A1321" w:rsidP="00367864">
      <w:pPr>
        <w:numPr>
          <w:ilvl w:val="0"/>
          <w:numId w:val="102"/>
        </w:numPr>
        <w:pBdr>
          <w:top w:val="nil"/>
          <w:left w:val="nil"/>
          <w:bottom w:val="nil"/>
          <w:right w:val="nil"/>
          <w:between w:val="nil"/>
        </w:pBdr>
        <w:tabs>
          <w:tab w:val="left" w:pos="284"/>
        </w:tabs>
        <w:spacing w:after="0" w:line="240" w:lineRule="auto"/>
        <w:ind w:left="0" w:firstLine="0"/>
        <w:jc w:val="both"/>
        <w:rPr>
          <w:rFonts w:ascii="Times New Roman" w:hAnsi="Times New Roman" w:cs="Times New Roman"/>
          <w:sz w:val="24"/>
          <w:szCs w:val="24"/>
          <w:lang w:val="pt-BR"/>
        </w:rPr>
      </w:pPr>
      <w:r w:rsidRPr="0049126A">
        <w:rPr>
          <w:rFonts w:ascii="Times New Roman" w:hAnsi="Times New Roman" w:cs="Times New Roman"/>
          <w:sz w:val="24"/>
          <w:szCs w:val="24"/>
          <w:lang w:val="pt-BR"/>
        </w:rPr>
        <w:t>Progresia bolii sub tratament sau pierderea beneficiului clinic;</w:t>
      </w:r>
    </w:p>
    <w:p w14:paraId="3AE30BBC" w14:textId="77777777" w:rsidR="002A1321" w:rsidRPr="0049126A" w:rsidRDefault="002A1321" w:rsidP="00367864">
      <w:pPr>
        <w:numPr>
          <w:ilvl w:val="0"/>
          <w:numId w:val="102"/>
        </w:numPr>
        <w:pBdr>
          <w:top w:val="nil"/>
          <w:left w:val="nil"/>
          <w:bottom w:val="nil"/>
          <w:right w:val="nil"/>
          <w:between w:val="nil"/>
        </w:pBdr>
        <w:tabs>
          <w:tab w:val="left" w:pos="284"/>
        </w:tabs>
        <w:spacing w:after="0" w:line="240" w:lineRule="auto"/>
        <w:ind w:left="0" w:firstLine="0"/>
        <w:jc w:val="both"/>
        <w:rPr>
          <w:rFonts w:ascii="Times New Roman" w:hAnsi="Times New Roman" w:cs="Times New Roman"/>
          <w:sz w:val="24"/>
          <w:szCs w:val="24"/>
        </w:rPr>
      </w:pPr>
      <w:r w:rsidRPr="0049126A">
        <w:rPr>
          <w:rFonts w:ascii="Times New Roman" w:hAnsi="Times New Roman" w:cs="Times New Roman"/>
          <w:sz w:val="24"/>
          <w:szCs w:val="24"/>
        </w:rPr>
        <w:t>Reacţii toxice inacceptabile;</w:t>
      </w:r>
    </w:p>
    <w:p w14:paraId="1EEF9085" w14:textId="034F8BFB" w:rsidR="002A1321" w:rsidRPr="0049126A" w:rsidRDefault="002A1321" w:rsidP="00367864">
      <w:pPr>
        <w:numPr>
          <w:ilvl w:val="0"/>
          <w:numId w:val="102"/>
        </w:numPr>
        <w:pBdr>
          <w:top w:val="nil"/>
          <w:left w:val="nil"/>
          <w:bottom w:val="nil"/>
          <w:right w:val="nil"/>
          <w:between w:val="nil"/>
        </w:pBdr>
        <w:tabs>
          <w:tab w:val="left" w:pos="284"/>
        </w:tabs>
        <w:spacing w:after="0" w:line="240" w:lineRule="auto"/>
        <w:ind w:left="0" w:firstLine="0"/>
        <w:jc w:val="both"/>
        <w:rPr>
          <w:rFonts w:ascii="Times New Roman" w:hAnsi="Times New Roman" w:cs="Times New Roman"/>
          <w:sz w:val="24"/>
          <w:szCs w:val="24"/>
        </w:rPr>
      </w:pPr>
      <w:r w:rsidRPr="0049126A">
        <w:rPr>
          <w:rFonts w:ascii="Times New Roman" w:hAnsi="Times New Roman" w:cs="Times New Roman"/>
          <w:sz w:val="24"/>
          <w:szCs w:val="24"/>
        </w:rPr>
        <w:t>Decizia pacientului.</w:t>
      </w:r>
    </w:p>
    <w:p w14:paraId="1DB9CEC3" w14:textId="77777777" w:rsidR="00D8762B" w:rsidRPr="0049126A" w:rsidRDefault="00D8762B" w:rsidP="00D8762B">
      <w:pPr>
        <w:pBdr>
          <w:top w:val="nil"/>
          <w:left w:val="nil"/>
          <w:bottom w:val="nil"/>
          <w:right w:val="nil"/>
          <w:between w:val="nil"/>
        </w:pBdr>
        <w:tabs>
          <w:tab w:val="left" w:pos="284"/>
        </w:tabs>
        <w:spacing w:after="0" w:line="276" w:lineRule="auto"/>
        <w:jc w:val="both"/>
        <w:rPr>
          <w:rFonts w:ascii="Times New Roman" w:hAnsi="Times New Roman" w:cs="Times New Roman"/>
          <w:sz w:val="24"/>
          <w:szCs w:val="24"/>
        </w:rPr>
      </w:pPr>
    </w:p>
    <w:p w14:paraId="750AB96A" w14:textId="77777777" w:rsidR="00D8762B" w:rsidRPr="0049126A" w:rsidRDefault="002A1321" w:rsidP="00D8762B">
      <w:pPr>
        <w:spacing w:after="0"/>
        <w:jc w:val="both"/>
        <w:rPr>
          <w:rFonts w:ascii="Times New Roman" w:hAnsi="Times New Roman" w:cs="Times New Roman"/>
          <w:b/>
          <w:sz w:val="24"/>
          <w:szCs w:val="24"/>
        </w:rPr>
      </w:pPr>
      <w:r w:rsidRPr="0049126A">
        <w:rPr>
          <w:rFonts w:ascii="Times New Roman" w:hAnsi="Times New Roman" w:cs="Times New Roman"/>
          <w:b/>
          <w:sz w:val="24"/>
          <w:szCs w:val="24"/>
        </w:rPr>
        <w:t xml:space="preserve">VI. Prescriptori </w:t>
      </w:r>
    </w:p>
    <w:p w14:paraId="43F17B2E" w14:textId="39773823" w:rsidR="003913BC" w:rsidRPr="0049126A" w:rsidRDefault="002A1321" w:rsidP="00D8762B">
      <w:pPr>
        <w:spacing w:after="0"/>
        <w:jc w:val="both"/>
        <w:rPr>
          <w:rFonts w:ascii="Times New Roman" w:hAnsi="Times New Roman" w:cs="Times New Roman"/>
          <w:b/>
          <w:sz w:val="24"/>
          <w:szCs w:val="24"/>
        </w:rPr>
      </w:pPr>
      <w:r w:rsidRPr="0049126A">
        <w:rPr>
          <w:rFonts w:ascii="Times New Roman" w:hAnsi="Times New Roman" w:cs="Times New Roman"/>
          <w:sz w:val="24"/>
          <w:szCs w:val="24"/>
          <w:lang w:val="pt-BR"/>
        </w:rPr>
        <w:t>Iniţierea si continuarea tratamentului se face de către medicii din specialitatea hematologie sau oncologie clinică.</w:t>
      </w:r>
      <w:r w:rsidR="00D8762B" w:rsidRPr="0049126A">
        <w:rPr>
          <w:rFonts w:ascii="Times New Roman" w:hAnsi="Times New Roman" w:cs="Times New Roman"/>
          <w:sz w:val="24"/>
          <w:szCs w:val="24"/>
          <w:lang w:val="pt-BR"/>
        </w:rPr>
        <w:t>”</w:t>
      </w:r>
      <w:sdt>
        <w:sdtPr>
          <w:rPr>
            <w:rFonts w:ascii="Times New Roman" w:hAnsi="Times New Roman" w:cs="Times New Roman"/>
            <w:sz w:val="24"/>
            <w:szCs w:val="24"/>
          </w:rPr>
          <w:tag w:val="goog_rdk_100"/>
          <w:id w:val="-2056534983"/>
          <w:showingPlcHdr/>
        </w:sdtPr>
        <w:sdtEndPr/>
        <w:sdtContent>
          <w:r w:rsidRPr="0049126A">
            <w:rPr>
              <w:rFonts w:ascii="Times New Roman" w:hAnsi="Times New Roman" w:cs="Times New Roman"/>
              <w:sz w:val="24"/>
              <w:szCs w:val="24"/>
              <w:lang w:val="pt-BR"/>
            </w:rPr>
            <w:t xml:space="preserve">     </w:t>
          </w:r>
        </w:sdtContent>
      </w:sdt>
    </w:p>
    <w:p w14:paraId="36EB198D" w14:textId="27DF9727" w:rsidR="00F73895" w:rsidRPr="0049126A" w:rsidRDefault="00F73895" w:rsidP="00C26280">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1, după protocolul terapeutic corespunzător poziției cu nr. 357 se introduce protocolul terapeutic corespunzător poziției nr. 358 cod (</w:t>
      </w:r>
      <w:r w:rsidR="00896095" w:rsidRPr="0049126A">
        <w:rPr>
          <w:rFonts w:eastAsia="Arial"/>
          <w:b/>
          <w:bCs/>
          <w:color w:val="auto"/>
          <w:lang w:val="en-US"/>
        </w:rPr>
        <w:t>L03AA14</w:t>
      </w:r>
      <w:r w:rsidRPr="0049126A">
        <w:rPr>
          <w:rFonts w:eastAsia="Arial"/>
          <w:b/>
          <w:bCs/>
          <w:color w:val="auto"/>
          <w:lang w:val="en-US"/>
        </w:rPr>
        <w:t xml:space="preserve">): DCI </w:t>
      </w:r>
      <w:r w:rsidR="00896095" w:rsidRPr="0049126A">
        <w:rPr>
          <w:rFonts w:eastAsia="Arial"/>
          <w:b/>
          <w:bCs/>
          <w:color w:val="auto"/>
          <w:lang w:val="en-US"/>
        </w:rPr>
        <w:t>LIPEGFILGRASTIMUM</w:t>
      </w:r>
      <w:r w:rsidRPr="0049126A">
        <w:rPr>
          <w:rFonts w:eastAsia="Arial"/>
          <w:b/>
          <w:bCs/>
          <w:color w:val="auto"/>
          <w:lang w:val="en-US"/>
        </w:rPr>
        <w:t xml:space="preserve"> cu următorul cuprins: </w:t>
      </w:r>
    </w:p>
    <w:p w14:paraId="55C1097F"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2E39E125" w14:textId="41826D42" w:rsidR="00F73895"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 xml:space="preserve">”Protocol terapeutic corespunzător poziţiei nr. </w:t>
      </w:r>
      <w:r w:rsidR="00896095" w:rsidRPr="0049126A">
        <w:rPr>
          <w:rFonts w:ascii="Times New Roman" w:eastAsia="Arial" w:hAnsi="Times New Roman" w:cs="Times New Roman"/>
          <w:b/>
          <w:bCs/>
          <w:sz w:val="24"/>
          <w:szCs w:val="24"/>
          <w:lang w:val="en-US"/>
        </w:rPr>
        <w:t>358 cod (L03AA14): DCI LIPEGFILGRASTIMUM</w:t>
      </w:r>
    </w:p>
    <w:p w14:paraId="1D63EF61" w14:textId="77777777" w:rsidR="00896095" w:rsidRPr="0049126A" w:rsidRDefault="00896095" w:rsidP="00380B65">
      <w:pPr>
        <w:tabs>
          <w:tab w:val="left" w:pos="426"/>
        </w:tabs>
        <w:jc w:val="both"/>
        <w:rPr>
          <w:rFonts w:ascii="Times New Roman" w:eastAsia="Arial" w:hAnsi="Times New Roman" w:cs="Times New Roman"/>
          <w:b/>
          <w:bCs/>
          <w:sz w:val="24"/>
          <w:szCs w:val="24"/>
          <w:lang w:val="en-US"/>
        </w:rPr>
      </w:pPr>
    </w:p>
    <w:p w14:paraId="6FDE1F4C" w14:textId="77777777"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284" w:hanging="284"/>
        <w:contextualSpacing/>
        <w:jc w:val="both"/>
        <w:rPr>
          <w:b/>
          <w:bCs/>
          <w:color w:val="auto"/>
        </w:rPr>
      </w:pPr>
      <w:r w:rsidRPr="0049126A">
        <w:rPr>
          <w:b/>
          <w:bCs/>
          <w:color w:val="auto"/>
        </w:rPr>
        <w:t>Indicaţii:</w:t>
      </w:r>
    </w:p>
    <w:p w14:paraId="3763A5D7" w14:textId="77777777" w:rsidR="009772BB" w:rsidRPr="0049126A" w:rsidRDefault="009772BB" w:rsidP="009772BB">
      <w:pPr>
        <w:spacing w:after="0" w:line="276" w:lineRule="auto"/>
        <w:ind w:left="60"/>
        <w:jc w:val="both"/>
        <w:rPr>
          <w:rFonts w:ascii="Times New Roman" w:hAnsi="Times New Roman" w:cs="Times New Roman"/>
          <w:b/>
          <w:bCs/>
          <w:sz w:val="24"/>
          <w:szCs w:val="24"/>
        </w:rPr>
      </w:pPr>
      <w:r w:rsidRPr="0049126A">
        <w:rPr>
          <w:rFonts w:ascii="Times New Roman" w:hAnsi="Times New Roman" w:cs="Times New Roman"/>
          <w:sz w:val="24"/>
          <w:szCs w:val="24"/>
        </w:rPr>
        <w:t>Reducerea duratei neutropeniei şi a apariţiei neutropeniei febrile la pacienţi adulți, adolescenţi şi copii cu vârsta de 2 ani sau peste trataţi cu chimioterapie citotoxică pentru afec</w:t>
      </w:r>
      <w:bookmarkStart w:id="5" w:name="_Hlk164528763"/>
      <w:r w:rsidRPr="0049126A">
        <w:rPr>
          <w:rFonts w:ascii="Times New Roman" w:hAnsi="Times New Roman" w:cs="Times New Roman"/>
          <w:sz w:val="24"/>
          <w:szCs w:val="24"/>
        </w:rPr>
        <w:t>ţ</w:t>
      </w:r>
      <w:bookmarkEnd w:id="5"/>
      <w:r w:rsidRPr="0049126A">
        <w:rPr>
          <w:rFonts w:ascii="Times New Roman" w:hAnsi="Times New Roman" w:cs="Times New Roman"/>
          <w:sz w:val="24"/>
          <w:szCs w:val="24"/>
        </w:rPr>
        <w:t>iuni maligne (cu excepţia leucemiei mieloide cronice şi a sindroamelor mielodisplazice).</w:t>
      </w:r>
    </w:p>
    <w:p w14:paraId="04DDED12"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50DC7559" w14:textId="77777777"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hanging="284"/>
        <w:contextualSpacing/>
        <w:jc w:val="both"/>
        <w:rPr>
          <w:b/>
          <w:bCs/>
          <w:color w:val="auto"/>
        </w:rPr>
      </w:pPr>
      <w:r w:rsidRPr="0049126A">
        <w:rPr>
          <w:b/>
          <w:bCs/>
          <w:color w:val="auto"/>
        </w:rPr>
        <w:t xml:space="preserve">Criterii de includere: </w:t>
      </w:r>
    </w:p>
    <w:p w14:paraId="348EBECF" w14:textId="77777777" w:rsidR="009772BB" w:rsidRPr="0049126A" w:rsidRDefault="009772BB" w:rsidP="009772BB">
      <w:pPr>
        <w:pStyle w:val="ListParagraph"/>
        <w:autoSpaceDE w:val="0"/>
        <w:autoSpaceDN w:val="0"/>
        <w:adjustRightInd w:val="0"/>
        <w:spacing w:line="276" w:lineRule="auto"/>
        <w:ind w:left="780"/>
        <w:jc w:val="both"/>
        <w:rPr>
          <w:color w:val="auto"/>
        </w:rPr>
      </w:pPr>
    </w:p>
    <w:p w14:paraId="633ADF1E"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 xml:space="preserve">1. Profilaxia primară a neutropeniei febrile: </w:t>
      </w:r>
    </w:p>
    <w:p w14:paraId="648E6C85" w14:textId="1D110506" w:rsidR="009772BB" w:rsidRPr="0049126A" w:rsidRDefault="009772BB" w:rsidP="00367864">
      <w:pPr>
        <w:pStyle w:val="ListParagraph"/>
        <w:numPr>
          <w:ilvl w:val="0"/>
          <w:numId w:val="104"/>
        </w:numPr>
        <w:autoSpaceDE w:val="0"/>
        <w:autoSpaceDN w:val="0"/>
        <w:adjustRightInd w:val="0"/>
        <w:spacing w:line="276" w:lineRule="auto"/>
        <w:jc w:val="both"/>
        <w:rPr>
          <w:color w:val="auto"/>
        </w:rPr>
      </w:pPr>
      <w:r w:rsidRPr="0049126A">
        <w:rPr>
          <w:color w:val="auto"/>
        </w:rPr>
        <w:t xml:space="preserve">Regimuri de chimioterapie cu risc cunoscut de apariţie a neutropeniei febrile ≥ 20%: administrare profilactică începând cu primul ciclu de chimioterapie </w:t>
      </w:r>
    </w:p>
    <w:p w14:paraId="46E6165D" w14:textId="0389C901" w:rsidR="009772BB" w:rsidRPr="0049126A" w:rsidRDefault="009772BB" w:rsidP="00367864">
      <w:pPr>
        <w:pStyle w:val="ListParagraph"/>
        <w:numPr>
          <w:ilvl w:val="0"/>
          <w:numId w:val="104"/>
        </w:numPr>
        <w:autoSpaceDE w:val="0"/>
        <w:autoSpaceDN w:val="0"/>
        <w:adjustRightInd w:val="0"/>
        <w:spacing w:line="276" w:lineRule="auto"/>
        <w:jc w:val="both"/>
        <w:rPr>
          <w:color w:val="auto"/>
        </w:rPr>
      </w:pPr>
      <w:r w:rsidRPr="0049126A">
        <w:rPr>
          <w:color w:val="auto"/>
        </w:rPr>
        <w:t xml:space="preserve">În cazurile în care reducerea dozei citostaticelor ar influenţa negativ evoluţia pacientului (OS; DFS) </w:t>
      </w:r>
    </w:p>
    <w:p w14:paraId="03F4C4C8" w14:textId="3FB93758" w:rsidR="009772BB" w:rsidRPr="0049126A" w:rsidRDefault="009772BB" w:rsidP="00367864">
      <w:pPr>
        <w:pStyle w:val="ListParagraph"/>
        <w:numPr>
          <w:ilvl w:val="0"/>
          <w:numId w:val="104"/>
        </w:numPr>
        <w:autoSpaceDE w:val="0"/>
        <w:autoSpaceDN w:val="0"/>
        <w:adjustRightInd w:val="0"/>
        <w:spacing w:line="276" w:lineRule="auto"/>
        <w:jc w:val="both"/>
        <w:rPr>
          <w:color w:val="auto"/>
        </w:rPr>
      </w:pPr>
      <w:r w:rsidRPr="0049126A">
        <w:rPr>
          <w:color w:val="auto"/>
        </w:rPr>
        <w:t xml:space="preserve">Regimuri de chimioterapie "dose-dense"(doze frecvente/intensificate): administrare profilactică începând cu primul ciclu de chimioterapie </w:t>
      </w:r>
    </w:p>
    <w:p w14:paraId="602DDBB6" w14:textId="0F4B1E07" w:rsidR="009772BB" w:rsidRPr="0049126A" w:rsidRDefault="009772BB" w:rsidP="00367864">
      <w:pPr>
        <w:pStyle w:val="ListParagraph"/>
        <w:numPr>
          <w:ilvl w:val="0"/>
          <w:numId w:val="104"/>
        </w:numPr>
        <w:autoSpaceDE w:val="0"/>
        <w:autoSpaceDN w:val="0"/>
        <w:adjustRightInd w:val="0"/>
        <w:spacing w:line="276" w:lineRule="auto"/>
        <w:jc w:val="both"/>
        <w:rPr>
          <w:color w:val="auto"/>
        </w:rPr>
      </w:pPr>
      <w:r w:rsidRPr="0049126A">
        <w:rPr>
          <w:color w:val="auto"/>
        </w:rPr>
        <w:t xml:space="preserve">Regimuri de chimioterapie cu risc cunoscut de apariţie a neutropeniei febrile &gt; 10% dar &lt; 20%: administrare profilactică începând cu primul ciclu de chimioterapie dacă pacienţii prezintă alţi factori de risc asociaţi </w:t>
      </w:r>
    </w:p>
    <w:p w14:paraId="5A52B1A7" w14:textId="39D88FE9" w:rsidR="009772BB" w:rsidRPr="0049126A" w:rsidRDefault="009772BB" w:rsidP="00367864">
      <w:pPr>
        <w:pStyle w:val="ListParagraph"/>
        <w:numPr>
          <w:ilvl w:val="0"/>
          <w:numId w:val="104"/>
        </w:numPr>
        <w:autoSpaceDE w:val="0"/>
        <w:autoSpaceDN w:val="0"/>
        <w:adjustRightInd w:val="0"/>
        <w:spacing w:line="276" w:lineRule="auto"/>
        <w:jc w:val="both"/>
        <w:rPr>
          <w:color w:val="auto"/>
        </w:rPr>
      </w:pPr>
      <w:r w:rsidRPr="0049126A">
        <w:rPr>
          <w:color w:val="auto"/>
        </w:rPr>
        <w:t xml:space="preserve">În cazul regimurilor de chimioterapie cu risc cunoscut de apariţie a neutropeniei febrile &lt; 10% profilaxia primară nu este indicată; riscul individual va fi reevaluat la fiecare dintre ciclurile ulterioare </w:t>
      </w:r>
    </w:p>
    <w:p w14:paraId="31763A05"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1F9CB04E"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2. Profilaxie secundară a neutropeniei febrile:</w:t>
      </w:r>
    </w:p>
    <w:p w14:paraId="592455AF" w14:textId="02CC369E" w:rsidR="009772BB" w:rsidRPr="0049126A" w:rsidRDefault="009772BB" w:rsidP="00367864">
      <w:pPr>
        <w:pStyle w:val="ListParagraph"/>
        <w:numPr>
          <w:ilvl w:val="0"/>
          <w:numId w:val="105"/>
        </w:numPr>
        <w:autoSpaceDE w:val="0"/>
        <w:autoSpaceDN w:val="0"/>
        <w:adjustRightInd w:val="0"/>
        <w:spacing w:line="276" w:lineRule="auto"/>
        <w:jc w:val="both"/>
        <w:rPr>
          <w:color w:val="auto"/>
        </w:rPr>
      </w:pPr>
      <w:r w:rsidRPr="0049126A">
        <w:rPr>
          <w:color w:val="auto"/>
        </w:rPr>
        <w:t>Episoade de neutropenie febrilă sau neutropenie grad 3 sau 4 apărute în cursul ciclului precedent de chimioterapie</w:t>
      </w:r>
    </w:p>
    <w:p w14:paraId="61F80100" w14:textId="1279ED4B" w:rsidR="009772BB" w:rsidRPr="0049126A" w:rsidRDefault="009772BB" w:rsidP="00367864">
      <w:pPr>
        <w:pStyle w:val="ListParagraph"/>
        <w:numPr>
          <w:ilvl w:val="0"/>
          <w:numId w:val="105"/>
        </w:numPr>
        <w:autoSpaceDE w:val="0"/>
        <w:autoSpaceDN w:val="0"/>
        <w:adjustRightInd w:val="0"/>
        <w:spacing w:line="276" w:lineRule="auto"/>
        <w:jc w:val="both"/>
        <w:rPr>
          <w:color w:val="auto"/>
        </w:rPr>
      </w:pPr>
      <w:r w:rsidRPr="0049126A">
        <w:rPr>
          <w:color w:val="auto"/>
        </w:rPr>
        <w:t>Număr absolut de neutrofile &lt; 0,5 X 10</w:t>
      </w:r>
      <w:r w:rsidRPr="0049126A">
        <w:rPr>
          <w:color w:val="auto"/>
          <w:vertAlign w:val="superscript"/>
        </w:rPr>
        <w:t>9</w:t>
      </w:r>
      <w:r w:rsidRPr="0049126A">
        <w:rPr>
          <w:color w:val="auto"/>
        </w:rPr>
        <w:t>/l sau &lt; 1,0 X 10</w:t>
      </w:r>
      <w:r w:rsidRPr="0049126A">
        <w:rPr>
          <w:color w:val="auto"/>
          <w:vertAlign w:val="superscript"/>
        </w:rPr>
        <w:t>9</w:t>
      </w:r>
      <w:r w:rsidRPr="0049126A">
        <w:rPr>
          <w:color w:val="auto"/>
        </w:rPr>
        <w:t>/l care se estimează că va scădea sub 0,5 X 10</w:t>
      </w:r>
      <w:r w:rsidRPr="0049126A">
        <w:rPr>
          <w:color w:val="auto"/>
          <w:vertAlign w:val="superscript"/>
        </w:rPr>
        <w:t>9</w:t>
      </w:r>
      <w:r w:rsidRPr="0049126A">
        <w:rPr>
          <w:color w:val="auto"/>
        </w:rPr>
        <w:t>/l în interval de 48 ore, însoţit de febră sau semne clinice de sepsis</w:t>
      </w:r>
    </w:p>
    <w:p w14:paraId="024B4275" w14:textId="54648BA7" w:rsidR="009772BB" w:rsidRPr="0049126A" w:rsidRDefault="009772BB" w:rsidP="00367864">
      <w:pPr>
        <w:pStyle w:val="ListParagraph"/>
        <w:numPr>
          <w:ilvl w:val="0"/>
          <w:numId w:val="105"/>
        </w:numPr>
        <w:autoSpaceDE w:val="0"/>
        <w:autoSpaceDN w:val="0"/>
        <w:adjustRightInd w:val="0"/>
        <w:spacing w:line="276" w:lineRule="auto"/>
        <w:jc w:val="both"/>
        <w:rPr>
          <w:color w:val="auto"/>
        </w:rPr>
      </w:pPr>
      <w:r w:rsidRPr="0049126A">
        <w:rPr>
          <w:color w:val="auto"/>
        </w:rPr>
        <w:t>Infecţii cu risc letal, documentate, în cursul ciclului precedent de chimioterapie, asociate cu neutropenie şi/sau febră</w:t>
      </w:r>
    </w:p>
    <w:p w14:paraId="1C4133BC" w14:textId="3ECB40FD" w:rsidR="009772BB" w:rsidRPr="0049126A" w:rsidRDefault="009772BB" w:rsidP="00367864">
      <w:pPr>
        <w:pStyle w:val="ListParagraph"/>
        <w:numPr>
          <w:ilvl w:val="0"/>
          <w:numId w:val="105"/>
        </w:numPr>
        <w:autoSpaceDE w:val="0"/>
        <w:autoSpaceDN w:val="0"/>
        <w:adjustRightInd w:val="0"/>
        <w:spacing w:line="276" w:lineRule="auto"/>
        <w:jc w:val="both"/>
        <w:rPr>
          <w:color w:val="auto"/>
        </w:rPr>
      </w:pPr>
      <w:r w:rsidRPr="0049126A">
        <w:rPr>
          <w:color w:val="auto"/>
        </w:rPr>
        <w:t>Toleranţa dificilă la tratament adjuvant care compromite intenţia curativă, supravieţuirea şi supravieţuirea fără boală (OS; DFS)</w:t>
      </w:r>
    </w:p>
    <w:p w14:paraId="0C6A73BE"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6AE6EC3B"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Evaluarea riscului neutropeniei febrile se face la fiecare ciclu de chimioterapie citotoxică.</w:t>
      </w:r>
    </w:p>
    <w:p w14:paraId="2AC11D0E"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6E2E694B" w14:textId="3B303C55"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hanging="426"/>
        <w:contextualSpacing/>
        <w:jc w:val="both"/>
        <w:rPr>
          <w:b/>
          <w:bCs/>
          <w:color w:val="auto"/>
        </w:rPr>
      </w:pPr>
      <w:r w:rsidRPr="0049126A">
        <w:rPr>
          <w:b/>
          <w:bCs/>
          <w:color w:val="auto"/>
        </w:rPr>
        <w:t xml:space="preserve">Criterii de excludere de la tratament: </w:t>
      </w:r>
    </w:p>
    <w:p w14:paraId="058A58C9" w14:textId="606BA00F" w:rsidR="009772BB" w:rsidRPr="0049126A" w:rsidRDefault="009772BB" w:rsidP="00367864">
      <w:pPr>
        <w:pStyle w:val="ListParagraph"/>
        <w:numPr>
          <w:ilvl w:val="0"/>
          <w:numId w:val="106"/>
        </w:numPr>
        <w:autoSpaceDE w:val="0"/>
        <w:autoSpaceDN w:val="0"/>
        <w:adjustRightInd w:val="0"/>
        <w:spacing w:line="276" w:lineRule="auto"/>
        <w:jc w:val="both"/>
        <w:rPr>
          <w:color w:val="auto"/>
        </w:rPr>
      </w:pPr>
      <w:r w:rsidRPr="0049126A">
        <w:rPr>
          <w:color w:val="auto"/>
        </w:rPr>
        <w:t xml:space="preserve">Hipersensibilitate la substanţa activă sau la oricare dintre excipienţi. </w:t>
      </w:r>
    </w:p>
    <w:p w14:paraId="277CD849" w14:textId="4A075A72" w:rsidR="009772BB" w:rsidRPr="0049126A" w:rsidRDefault="009772BB" w:rsidP="00367864">
      <w:pPr>
        <w:pStyle w:val="ListParagraph"/>
        <w:numPr>
          <w:ilvl w:val="0"/>
          <w:numId w:val="106"/>
        </w:numPr>
        <w:autoSpaceDE w:val="0"/>
        <w:autoSpaceDN w:val="0"/>
        <w:adjustRightInd w:val="0"/>
        <w:spacing w:line="276" w:lineRule="auto"/>
        <w:jc w:val="both"/>
        <w:rPr>
          <w:color w:val="auto"/>
        </w:rPr>
      </w:pPr>
      <w:r w:rsidRPr="0049126A">
        <w:rPr>
          <w:color w:val="auto"/>
        </w:rPr>
        <w:t xml:space="preserve">Leucemie mieloidă cronică </w:t>
      </w:r>
    </w:p>
    <w:p w14:paraId="7B822402" w14:textId="75E730FE" w:rsidR="009772BB" w:rsidRPr="0049126A" w:rsidRDefault="009772BB" w:rsidP="00367864">
      <w:pPr>
        <w:pStyle w:val="ListParagraph"/>
        <w:numPr>
          <w:ilvl w:val="0"/>
          <w:numId w:val="106"/>
        </w:numPr>
        <w:autoSpaceDE w:val="0"/>
        <w:autoSpaceDN w:val="0"/>
        <w:adjustRightInd w:val="0"/>
        <w:spacing w:line="276" w:lineRule="auto"/>
        <w:jc w:val="both"/>
        <w:rPr>
          <w:color w:val="auto"/>
        </w:rPr>
      </w:pPr>
      <w:r w:rsidRPr="0049126A">
        <w:rPr>
          <w:color w:val="auto"/>
        </w:rPr>
        <w:t xml:space="preserve">Leucemie mieloidă acută (LMA) secundară </w:t>
      </w:r>
    </w:p>
    <w:p w14:paraId="4AAC6978" w14:textId="1CFDC760" w:rsidR="009772BB" w:rsidRPr="0049126A" w:rsidRDefault="009772BB" w:rsidP="00367864">
      <w:pPr>
        <w:pStyle w:val="ListParagraph"/>
        <w:numPr>
          <w:ilvl w:val="0"/>
          <w:numId w:val="106"/>
        </w:numPr>
        <w:autoSpaceDE w:val="0"/>
        <w:autoSpaceDN w:val="0"/>
        <w:adjustRightInd w:val="0"/>
        <w:spacing w:line="276" w:lineRule="auto"/>
        <w:jc w:val="both"/>
        <w:rPr>
          <w:color w:val="auto"/>
        </w:rPr>
      </w:pPr>
      <w:r w:rsidRPr="0049126A">
        <w:rPr>
          <w:color w:val="auto"/>
        </w:rPr>
        <w:t xml:space="preserve">Sindroame mielodisplazice </w:t>
      </w:r>
    </w:p>
    <w:p w14:paraId="4DAC6526"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4DBB6B45" w14:textId="7F5BB2A8"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hanging="426"/>
        <w:contextualSpacing/>
        <w:jc w:val="both"/>
        <w:rPr>
          <w:b/>
          <w:bCs/>
          <w:color w:val="auto"/>
        </w:rPr>
      </w:pPr>
      <w:r w:rsidRPr="0049126A">
        <w:rPr>
          <w:b/>
          <w:bCs/>
          <w:color w:val="auto"/>
        </w:rPr>
        <w:lastRenderedPageBreak/>
        <w:t xml:space="preserve">Tratament: </w:t>
      </w:r>
    </w:p>
    <w:p w14:paraId="2A0F1C0C"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Lipegfilgrastim se administrează subcutanat în doza totală de 6 mg pentru fiecare ciclu de chimioterapie, la aproximativ 24 ore după terapia citostatică.</w:t>
      </w:r>
    </w:p>
    <w:p w14:paraId="20B3B401"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Aceasta doza este administrata la pacientii adulti, adolescenţi şi copii cu vârsta de 2 ani sau peste cu greutatea de 45 kg și peste.</w:t>
      </w:r>
    </w:p>
    <w:p w14:paraId="290D5452"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La pacientii adolescenţi şi copii cu vârsta de 2 ani sau peste cu greutatea sub 45 kg , doza se stabileste in functie de greutatea corporala.</w:t>
      </w:r>
    </w:p>
    <w:p w14:paraId="68CEECE1" w14:textId="77777777" w:rsidR="009772BB" w:rsidRPr="0049126A" w:rsidRDefault="009772BB" w:rsidP="009772BB">
      <w:pPr>
        <w:spacing w:after="0" w:line="276" w:lineRule="auto"/>
        <w:jc w:val="both"/>
        <w:rPr>
          <w:rFonts w:ascii="Times New Roman" w:hAnsi="Times New Roman" w:cs="Times New Roman"/>
          <w:bCs/>
          <w:sz w:val="24"/>
          <w:szCs w:val="24"/>
        </w:rPr>
      </w:pPr>
      <w:r w:rsidRPr="0049126A">
        <w:rPr>
          <w:rFonts w:ascii="Times New Roman" w:hAnsi="Times New Roman" w:cs="Times New Roman"/>
          <w:bCs/>
          <w:sz w:val="24"/>
          <w:szCs w:val="24"/>
        </w:rPr>
        <w:t>Prima administrare trebuie efectuata sub supraveghere medicala directa.</w:t>
      </w:r>
    </w:p>
    <w:p w14:paraId="656265B4" w14:textId="77777777" w:rsidR="009772BB" w:rsidRPr="0049126A" w:rsidRDefault="009772BB" w:rsidP="009772BB">
      <w:pPr>
        <w:spacing w:after="0" w:line="276" w:lineRule="auto"/>
        <w:ind w:left="62"/>
        <w:jc w:val="both"/>
        <w:rPr>
          <w:rFonts w:ascii="Times New Roman" w:hAnsi="Times New Roman" w:cs="Times New Roman"/>
          <w:b/>
          <w:bCs/>
          <w:sz w:val="24"/>
          <w:szCs w:val="24"/>
        </w:rPr>
      </w:pPr>
    </w:p>
    <w:p w14:paraId="7D46EADE" w14:textId="62562C0D"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hanging="426"/>
        <w:contextualSpacing/>
        <w:jc w:val="both"/>
        <w:rPr>
          <w:b/>
          <w:bCs/>
          <w:color w:val="auto"/>
        </w:rPr>
      </w:pPr>
      <w:r w:rsidRPr="0049126A">
        <w:rPr>
          <w:b/>
          <w:bCs/>
          <w:color w:val="auto"/>
        </w:rPr>
        <w:t xml:space="preserve">Monitorizarea tratamentului: </w:t>
      </w:r>
    </w:p>
    <w:p w14:paraId="24AD40C9" w14:textId="4412BA6D" w:rsidR="009772BB" w:rsidRPr="0049126A" w:rsidRDefault="009772BB" w:rsidP="00367864">
      <w:pPr>
        <w:pStyle w:val="ListParagraph"/>
        <w:numPr>
          <w:ilvl w:val="0"/>
          <w:numId w:val="107"/>
        </w:numPr>
        <w:autoSpaceDE w:val="0"/>
        <w:autoSpaceDN w:val="0"/>
        <w:adjustRightInd w:val="0"/>
        <w:spacing w:line="276" w:lineRule="auto"/>
        <w:jc w:val="both"/>
        <w:rPr>
          <w:color w:val="auto"/>
        </w:rPr>
      </w:pPr>
      <w:r w:rsidRPr="0049126A">
        <w:rPr>
          <w:color w:val="auto"/>
        </w:rPr>
        <w:t xml:space="preserve">examen clinic: </w:t>
      </w:r>
    </w:p>
    <w:p w14:paraId="259B157F" w14:textId="3F3CD75E" w:rsidR="009772BB" w:rsidRPr="0049126A" w:rsidRDefault="009772BB" w:rsidP="00367864">
      <w:pPr>
        <w:pStyle w:val="ListParagraph"/>
        <w:numPr>
          <w:ilvl w:val="0"/>
          <w:numId w:val="109"/>
        </w:numPr>
        <w:autoSpaceDE w:val="0"/>
        <w:autoSpaceDN w:val="0"/>
        <w:adjustRightInd w:val="0"/>
        <w:spacing w:line="276" w:lineRule="auto"/>
        <w:ind w:left="993" w:hanging="284"/>
        <w:jc w:val="both"/>
        <w:rPr>
          <w:color w:val="auto"/>
        </w:rPr>
      </w:pPr>
      <w:r w:rsidRPr="0049126A">
        <w:rPr>
          <w:color w:val="auto"/>
        </w:rPr>
        <w:t xml:space="preserve">semne vitale: temperatură, puls, tensiune arterială </w:t>
      </w:r>
    </w:p>
    <w:p w14:paraId="49945EA3" w14:textId="63D3D73C" w:rsidR="009772BB" w:rsidRPr="0049126A" w:rsidRDefault="009772BB" w:rsidP="00367864">
      <w:pPr>
        <w:pStyle w:val="ListParagraph"/>
        <w:numPr>
          <w:ilvl w:val="0"/>
          <w:numId w:val="109"/>
        </w:numPr>
        <w:autoSpaceDE w:val="0"/>
        <w:autoSpaceDN w:val="0"/>
        <w:adjustRightInd w:val="0"/>
        <w:spacing w:line="276" w:lineRule="auto"/>
        <w:ind w:left="993" w:hanging="284"/>
        <w:jc w:val="both"/>
        <w:rPr>
          <w:color w:val="auto"/>
        </w:rPr>
      </w:pPr>
      <w:r w:rsidRPr="0049126A">
        <w:rPr>
          <w:color w:val="auto"/>
        </w:rPr>
        <w:t xml:space="preserve">apariţia edemelor </w:t>
      </w:r>
    </w:p>
    <w:p w14:paraId="5BFF6137" w14:textId="014A4CC2" w:rsidR="009772BB" w:rsidRPr="0049126A" w:rsidRDefault="009772BB" w:rsidP="00367864">
      <w:pPr>
        <w:pStyle w:val="ListParagraph"/>
        <w:numPr>
          <w:ilvl w:val="0"/>
          <w:numId w:val="109"/>
        </w:numPr>
        <w:autoSpaceDE w:val="0"/>
        <w:autoSpaceDN w:val="0"/>
        <w:adjustRightInd w:val="0"/>
        <w:spacing w:line="276" w:lineRule="auto"/>
        <w:ind w:left="993" w:hanging="284"/>
        <w:jc w:val="both"/>
        <w:rPr>
          <w:color w:val="auto"/>
        </w:rPr>
      </w:pPr>
      <w:r w:rsidRPr="0049126A">
        <w:rPr>
          <w:color w:val="auto"/>
        </w:rPr>
        <w:t xml:space="preserve">dimensiunile splinei </w:t>
      </w:r>
    </w:p>
    <w:p w14:paraId="6F415830" w14:textId="50C57B8E" w:rsidR="009772BB" w:rsidRPr="0049126A" w:rsidRDefault="009772BB" w:rsidP="00367864">
      <w:pPr>
        <w:pStyle w:val="ListParagraph"/>
        <w:numPr>
          <w:ilvl w:val="0"/>
          <w:numId w:val="108"/>
        </w:numPr>
        <w:autoSpaceDE w:val="0"/>
        <w:autoSpaceDN w:val="0"/>
        <w:adjustRightInd w:val="0"/>
        <w:spacing w:line="276" w:lineRule="auto"/>
        <w:jc w:val="both"/>
        <w:rPr>
          <w:color w:val="auto"/>
        </w:rPr>
      </w:pPr>
      <w:r w:rsidRPr="0049126A">
        <w:rPr>
          <w:color w:val="auto"/>
        </w:rPr>
        <w:t xml:space="preserve">hemoleucograma </w:t>
      </w:r>
    </w:p>
    <w:p w14:paraId="38E12824" w14:textId="4321D080" w:rsidR="009772BB" w:rsidRPr="0049126A" w:rsidRDefault="009772BB" w:rsidP="00367864">
      <w:pPr>
        <w:pStyle w:val="ListParagraph"/>
        <w:numPr>
          <w:ilvl w:val="0"/>
          <w:numId w:val="108"/>
        </w:numPr>
        <w:autoSpaceDE w:val="0"/>
        <w:autoSpaceDN w:val="0"/>
        <w:adjustRightInd w:val="0"/>
        <w:spacing w:line="276" w:lineRule="auto"/>
        <w:jc w:val="both"/>
        <w:rPr>
          <w:color w:val="auto"/>
        </w:rPr>
      </w:pPr>
      <w:r w:rsidRPr="0049126A">
        <w:rPr>
          <w:color w:val="auto"/>
        </w:rPr>
        <w:t xml:space="preserve">probe hepatice şi renale </w:t>
      </w:r>
    </w:p>
    <w:p w14:paraId="30CDCCEA" w14:textId="03489725" w:rsidR="009772BB" w:rsidRPr="0049126A" w:rsidRDefault="009772BB" w:rsidP="00367864">
      <w:pPr>
        <w:pStyle w:val="ListParagraph"/>
        <w:numPr>
          <w:ilvl w:val="0"/>
          <w:numId w:val="108"/>
        </w:numPr>
        <w:autoSpaceDE w:val="0"/>
        <w:autoSpaceDN w:val="0"/>
        <w:adjustRightInd w:val="0"/>
        <w:spacing w:line="276" w:lineRule="auto"/>
        <w:jc w:val="both"/>
        <w:rPr>
          <w:color w:val="auto"/>
        </w:rPr>
      </w:pPr>
      <w:r w:rsidRPr="0049126A">
        <w:rPr>
          <w:color w:val="auto"/>
        </w:rPr>
        <w:t xml:space="preserve">albumina serică </w:t>
      </w:r>
    </w:p>
    <w:p w14:paraId="623AECB2" w14:textId="12DB1559" w:rsidR="009772BB" w:rsidRPr="0049126A" w:rsidRDefault="009772BB" w:rsidP="00367864">
      <w:pPr>
        <w:pStyle w:val="ListParagraph"/>
        <w:numPr>
          <w:ilvl w:val="0"/>
          <w:numId w:val="108"/>
        </w:numPr>
        <w:autoSpaceDE w:val="0"/>
        <w:autoSpaceDN w:val="0"/>
        <w:adjustRightInd w:val="0"/>
        <w:spacing w:line="276" w:lineRule="auto"/>
        <w:jc w:val="both"/>
        <w:rPr>
          <w:color w:val="auto"/>
        </w:rPr>
      </w:pPr>
      <w:r w:rsidRPr="0049126A">
        <w:rPr>
          <w:color w:val="auto"/>
        </w:rPr>
        <w:t xml:space="preserve">probe bacteriologice </w:t>
      </w:r>
    </w:p>
    <w:p w14:paraId="099751A4" w14:textId="0C8C4110" w:rsidR="009772BB" w:rsidRPr="0049126A" w:rsidRDefault="009772BB" w:rsidP="00367864">
      <w:pPr>
        <w:pStyle w:val="ListParagraph"/>
        <w:numPr>
          <w:ilvl w:val="0"/>
          <w:numId w:val="108"/>
        </w:numPr>
        <w:autoSpaceDE w:val="0"/>
        <w:autoSpaceDN w:val="0"/>
        <w:adjustRightInd w:val="0"/>
        <w:spacing w:line="276" w:lineRule="auto"/>
        <w:jc w:val="both"/>
        <w:rPr>
          <w:color w:val="auto"/>
        </w:rPr>
      </w:pPr>
      <w:r w:rsidRPr="0049126A">
        <w:rPr>
          <w:color w:val="auto"/>
        </w:rPr>
        <w:t xml:space="preserve">examen sumar de urină - identificarea semnelor de glomerulonefrita acută </w:t>
      </w:r>
    </w:p>
    <w:p w14:paraId="0D23C66A" w14:textId="7BA8B131" w:rsidR="009772BB" w:rsidRPr="0049126A" w:rsidRDefault="009772BB" w:rsidP="00367864">
      <w:pPr>
        <w:pStyle w:val="ListParagraph"/>
        <w:numPr>
          <w:ilvl w:val="0"/>
          <w:numId w:val="108"/>
        </w:numPr>
        <w:autoSpaceDE w:val="0"/>
        <w:autoSpaceDN w:val="0"/>
        <w:adjustRightInd w:val="0"/>
        <w:spacing w:line="276" w:lineRule="auto"/>
        <w:jc w:val="both"/>
        <w:rPr>
          <w:color w:val="auto"/>
        </w:rPr>
      </w:pPr>
      <w:r w:rsidRPr="0049126A">
        <w:rPr>
          <w:color w:val="auto"/>
        </w:rPr>
        <w:t xml:space="preserve">radiografie toracică; ecografie abdominală sau investigaţii imagistice specifice ori de câte ori este considerat clinic necesar </w:t>
      </w:r>
    </w:p>
    <w:p w14:paraId="28A09915"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689A0D87" w14:textId="05340518"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hanging="426"/>
        <w:contextualSpacing/>
        <w:jc w:val="both"/>
        <w:rPr>
          <w:b/>
          <w:bCs/>
          <w:color w:val="auto"/>
        </w:rPr>
      </w:pPr>
      <w:r w:rsidRPr="0049126A">
        <w:rPr>
          <w:b/>
          <w:bCs/>
          <w:color w:val="auto"/>
        </w:rPr>
        <w:t xml:space="preserve">Criterii de întrerupere a tratamentului: </w:t>
      </w:r>
    </w:p>
    <w:p w14:paraId="7905F60A" w14:textId="1A1F0CE2" w:rsidR="009772BB" w:rsidRPr="0049126A" w:rsidRDefault="009772BB" w:rsidP="00367864">
      <w:pPr>
        <w:pStyle w:val="ListParagraph"/>
        <w:numPr>
          <w:ilvl w:val="0"/>
          <w:numId w:val="110"/>
        </w:numPr>
        <w:autoSpaceDE w:val="0"/>
        <w:autoSpaceDN w:val="0"/>
        <w:adjustRightInd w:val="0"/>
        <w:spacing w:line="276" w:lineRule="auto"/>
        <w:jc w:val="both"/>
        <w:rPr>
          <w:color w:val="auto"/>
        </w:rPr>
      </w:pPr>
      <w:r w:rsidRPr="0049126A">
        <w:rPr>
          <w:color w:val="auto"/>
        </w:rPr>
        <w:t xml:space="preserve">Sindromul de detresa respiratorie acută (SDRA) - indicat de apariţia unor semne respiratorii (tuse, febră şi dispnee) în asociere cu imagini radiologice de infiltrate pulmonare şi deteriorarea funcţiei respiratorii, împreună cu un număr crescut de neutrofile </w:t>
      </w:r>
    </w:p>
    <w:p w14:paraId="74BCE374" w14:textId="7B5B5443" w:rsidR="009772BB" w:rsidRPr="0049126A" w:rsidRDefault="009772BB" w:rsidP="00367864">
      <w:pPr>
        <w:pStyle w:val="ListParagraph"/>
        <w:numPr>
          <w:ilvl w:val="0"/>
          <w:numId w:val="110"/>
        </w:numPr>
        <w:autoSpaceDE w:val="0"/>
        <w:autoSpaceDN w:val="0"/>
        <w:adjustRightInd w:val="0"/>
        <w:spacing w:line="276" w:lineRule="auto"/>
        <w:jc w:val="both"/>
        <w:rPr>
          <w:color w:val="auto"/>
        </w:rPr>
      </w:pPr>
      <w:r w:rsidRPr="0049126A">
        <w:rPr>
          <w:color w:val="auto"/>
        </w:rPr>
        <w:t xml:space="preserve">Reacţii de hipersensibilitate </w:t>
      </w:r>
    </w:p>
    <w:p w14:paraId="6D367D83" w14:textId="77777777"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p>
    <w:p w14:paraId="0784A789" w14:textId="49D84649" w:rsidR="009772BB" w:rsidRPr="0049126A" w:rsidRDefault="009772BB" w:rsidP="00367864">
      <w:pPr>
        <w:pStyle w:val="ListParagraph"/>
        <w:numPr>
          <w:ilvl w:val="0"/>
          <w:numId w:val="10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426" w:hanging="426"/>
        <w:contextualSpacing/>
        <w:jc w:val="both"/>
        <w:rPr>
          <w:b/>
          <w:bCs/>
          <w:color w:val="auto"/>
        </w:rPr>
      </w:pPr>
      <w:r w:rsidRPr="0049126A">
        <w:rPr>
          <w:b/>
          <w:bCs/>
          <w:color w:val="auto"/>
        </w:rPr>
        <w:t xml:space="preserve">Prescriptori: </w:t>
      </w:r>
    </w:p>
    <w:p w14:paraId="071BD4CA" w14:textId="5B96CED3"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 xml:space="preserve">Iniţierea se face de către medicii din specialităţile oncologie medicală sau hematologie, după caz. </w:t>
      </w:r>
    </w:p>
    <w:p w14:paraId="51BF0EB1" w14:textId="6911B57E" w:rsidR="009772BB" w:rsidRPr="0049126A" w:rsidRDefault="009772BB" w:rsidP="009772B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Continuarea tratamentului se face de către medicul o</w:t>
      </w:r>
      <w:r w:rsidR="005D2C9E" w:rsidRPr="0049126A">
        <w:rPr>
          <w:rFonts w:ascii="Times New Roman" w:hAnsi="Times New Roman" w:cs="Times New Roman"/>
          <w:sz w:val="24"/>
          <w:szCs w:val="24"/>
        </w:rPr>
        <w:t>ncolog sau hematolog, după caz.”</w:t>
      </w:r>
    </w:p>
    <w:p w14:paraId="29A376D1" w14:textId="77777777" w:rsidR="009772BB" w:rsidRPr="0049126A" w:rsidRDefault="009772BB" w:rsidP="009772BB">
      <w:pPr>
        <w:spacing w:after="0" w:line="276" w:lineRule="auto"/>
        <w:ind w:left="60"/>
        <w:jc w:val="both"/>
        <w:rPr>
          <w:rFonts w:ascii="Times New Roman" w:hAnsi="Times New Roman" w:cs="Times New Roman"/>
          <w:b/>
          <w:bCs/>
          <w:sz w:val="24"/>
          <w:szCs w:val="24"/>
        </w:rPr>
      </w:pPr>
    </w:p>
    <w:p w14:paraId="4CE9CCD9"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4064860F"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6B77D67F"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6F6CB94D"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390D9FDB"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5ABA6927"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3C60D9C8"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6A8F949C"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21452567" w14:textId="77777777" w:rsidR="00D8762B" w:rsidRPr="0049126A" w:rsidRDefault="00D8762B" w:rsidP="00380B65">
      <w:pPr>
        <w:tabs>
          <w:tab w:val="left" w:pos="426"/>
        </w:tabs>
        <w:jc w:val="both"/>
        <w:rPr>
          <w:rFonts w:ascii="Times New Roman" w:eastAsia="Arial" w:hAnsi="Times New Roman" w:cs="Times New Roman"/>
          <w:b/>
          <w:bCs/>
          <w:sz w:val="24"/>
          <w:szCs w:val="24"/>
          <w:lang w:val="en-US"/>
        </w:rPr>
      </w:pPr>
    </w:p>
    <w:p w14:paraId="6B720AD9"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111709D1" w14:textId="3D87377F" w:rsidR="00F73895" w:rsidRPr="0049126A" w:rsidRDefault="00F73895" w:rsidP="00C26280">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1, după protocolul terapeutic corespunzător poziției cu nr. 358 se introduce protocolul terapeutic corespunzător poziției nr. 359 cod (</w:t>
      </w:r>
      <w:r w:rsidR="00896095" w:rsidRPr="0049126A">
        <w:rPr>
          <w:rFonts w:eastAsia="Arial"/>
          <w:b/>
          <w:bCs/>
          <w:color w:val="auto"/>
          <w:lang w:val="en-US"/>
        </w:rPr>
        <w:t>L04AA43-SHUa</w:t>
      </w:r>
      <w:r w:rsidRPr="0049126A">
        <w:rPr>
          <w:rFonts w:eastAsia="Arial"/>
          <w:b/>
          <w:bCs/>
          <w:color w:val="auto"/>
          <w:lang w:val="en-US"/>
        </w:rPr>
        <w:t xml:space="preserve">): DCI </w:t>
      </w:r>
      <w:r w:rsidR="00896095" w:rsidRPr="0049126A">
        <w:rPr>
          <w:rFonts w:eastAsia="Arial"/>
          <w:b/>
          <w:bCs/>
          <w:color w:val="auto"/>
          <w:lang w:val="en-US"/>
        </w:rPr>
        <w:t>RAVULIZUMABUM</w:t>
      </w:r>
      <w:r w:rsidRPr="0049126A">
        <w:rPr>
          <w:rFonts w:eastAsia="Arial"/>
          <w:b/>
          <w:bCs/>
          <w:color w:val="auto"/>
          <w:lang w:val="en-US"/>
        </w:rPr>
        <w:t xml:space="preserve"> cu următorul cuprins: </w:t>
      </w:r>
    </w:p>
    <w:p w14:paraId="26486674"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7D7F24E6" w14:textId="7A20BB4D" w:rsidR="00F73895"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 xml:space="preserve">”Protocol terapeutic corespunzător poziţiei nr. </w:t>
      </w:r>
      <w:r w:rsidR="00896095" w:rsidRPr="0049126A">
        <w:rPr>
          <w:rFonts w:ascii="Times New Roman" w:eastAsia="Arial" w:hAnsi="Times New Roman" w:cs="Times New Roman"/>
          <w:b/>
          <w:bCs/>
          <w:sz w:val="24"/>
          <w:szCs w:val="24"/>
          <w:lang w:val="en-US"/>
        </w:rPr>
        <w:t>359 cod (L04AA43-SHUa): DCI RAVULIZUMABUM</w:t>
      </w:r>
    </w:p>
    <w:p w14:paraId="3FDEDD2D" w14:textId="77777777" w:rsidR="009A2C6B" w:rsidRPr="0049126A" w:rsidRDefault="009A2C6B" w:rsidP="009A2C6B">
      <w:pPr>
        <w:pStyle w:val="Heading2"/>
        <w:spacing w:line="276" w:lineRule="auto"/>
        <w:rPr>
          <w:rFonts w:ascii="Times New Roman" w:hAnsi="Times New Roman"/>
        </w:rPr>
      </w:pPr>
    </w:p>
    <w:p w14:paraId="63D7DAAB" w14:textId="77777777" w:rsidR="009A2C6B" w:rsidRPr="0049126A" w:rsidRDefault="009A2C6B" w:rsidP="009A2C6B">
      <w:pPr>
        <w:pStyle w:val="Heading2"/>
        <w:spacing w:line="276" w:lineRule="auto"/>
        <w:ind w:left="0"/>
        <w:jc w:val="both"/>
        <w:rPr>
          <w:rFonts w:ascii="Times New Roman" w:hAnsi="Times New Roman"/>
          <w:i w:val="0"/>
          <w:u w:val="none"/>
        </w:rPr>
      </w:pPr>
      <w:r w:rsidRPr="0049126A">
        <w:rPr>
          <w:rFonts w:ascii="Times New Roman" w:hAnsi="Times New Roman"/>
          <w:i w:val="0"/>
          <w:u w:val="none"/>
        </w:rPr>
        <w:t>Introducere</w:t>
      </w:r>
    </w:p>
    <w:p w14:paraId="6AECAB5C" w14:textId="38E05A3B" w:rsidR="009A2C6B" w:rsidRPr="0049126A" w:rsidRDefault="009A2C6B" w:rsidP="009A2C6B">
      <w:pPr>
        <w:spacing w:after="0" w:line="276" w:lineRule="auto"/>
        <w:contextualSpacing/>
        <w:jc w:val="both"/>
        <w:rPr>
          <w:rFonts w:ascii="Times New Roman" w:hAnsi="Times New Roman"/>
          <w:sz w:val="24"/>
          <w:szCs w:val="24"/>
        </w:rPr>
      </w:pPr>
      <w:r w:rsidRPr="0049126A">
        <w:rPr>
          <w:rFonts w:ascii="Times New Roman" w:hAnsi="Times New Roman"/>
          <w:sz w:val="24"/>
          <w:szCs w:val="24"/>
        </w:rPr>
        <w:t xml:space="preserve">Sindroamele de </w:t>
      </w:r>
      <w:r w:rsidRPr="0049126A">
        <w:rPr>
          <w:rFonts w:ascii="Times New Roman" w:hAnsi="Times New Roman"/>
          <w:i/>
          <w:iCs/>
          <w:sz w:val="24"/>
          <w:szCs w:val="24"/>
        </w:rPr>
        <w:t>microangiopatie trombotică</w:t>
      </w:r>
      <w:r w:rsidRPr="0049126A">
        <w:rPr>
          <w:rFonts w:ascii="Times New Roman" w:hAnsi="Times New Roman"/>
          <w:sz w:val="24"/>
          <w:szCs w:val="24"/>
        </w:rPr>
        <w:t xml:space="preserve"> (</w:t>
      </w:r>
      <w:r w:rsidRPr="0049126A">
        <w:rPr>
          <w:rFonts w:ascii="Times New Roman" w:hAnsi="Times New Roman"/>
          <w:i/>
          <w:iCs/>
          <w:sz w:val="24"/>
          <w:szCs w:val="24"/>
        </w:rPr>
        <w:t>MAT</w:t>
      </w:r>
      <w:r w:rsidRPr="0049126A">
        <w:rPr>
          <w:rFonts w:ascii="Times New Roman" w:hAnsi="Times New Roman"/>
          <w:sz w:val="24"/>
          <w:szCs w:val="24"/>
        </w:rPr>
        <w:t>) reunesc un spectru larg de afecțiuni cu manifestări clinice și histologice comune. Odată cu elucidarea mecanismelor patogenice, clasificarea clinică a MAT a fost treptat înlocuită de clasificarea etiologică, fapt ce a permis dezvoltarea unor terapii specifice.</w:t>
      </w:r>
    </w:p>
    <w:p w14:paraId="06D8CB28" w14:textId="77777777" w:rsidR="009A2C6B" w:rsidRPr="0049126A" w:rsidRDefault="009A2C6B" w:rsidP="009A2C6B">
      <w:pPr>
        <w:spacing w:after="0" w:line="276" w:lineRule="auto"/>
        <w:contextualSpacing/>
        <w:jc w:val="both"/>
        <w:rPr>
          <w:rFonts w:ascii="Times New Roman" w:hAnsi="Times New Roman"/>
          <w:sz w:val="24"/>
          <w:szCs w:val="24"/>
        </w:rPr>
      </w:pPr>
    </w:p>
    <w:p w14:paraId="1476CF14" w14:textId="11F265AC" w:rsidR="009A2C6B" w:rsidRPr="0049126A" w:rsidRDefault="009A2C6B" w:rsidP="009A2C6B">
      <w:pPr>
        <w:spacing w:after="0" w:line="276" w:lineRule="auto"/>
        <w:contextualSpacing/>
        <w:jc w:val="both"/>
        <w:rPr>
          <w:rFonts w:ascii="Times New Roman" w:hAnsi="Times New Roman"/>
          <w:sz w:val="24"/>
          <w:szCs w:val="24"/>
        </w:rPr>
      </w:pPr>
      <w:r w:rsidRPr="0049126A">
        <w:rPr>
          <w:rFonts w:ascii="Times New Roman" w:hAnsi="Times New Roman"/>
          <w:i/>
          <w:iCs/>
          <w:sz w:val="24"/>
          <w:szCs w:val="24"/>
        </w:rPr>
        <w:t>Sindromul hemolitic uremic atipic (SHUa),</w:t>
      </w:r>
      <w:r w:rsidRPr="0049126A">
        <w:rPr>
          <w:rFonts w:ascii="Times New Roman" w:hAnsi="Times New Roman"/>
          <w:sz w:val="24"/>
          <w:szCs w:val="24"/>
        </w:rPr>
        <w:t xml:space="preserve"> mediat de defecte ale activității căii alterne a cascadei complementului, este o afecțiune genetică rară,  caracterizată prin injurie endotelială severă și tromboză microvasculară, la nivel capilar și arteriolar. Din punct de vedere clinic, tromboza microvasculară determină trombocitopenie, anemie hemolitică microangiopatică și injurie de organ</w:t>
      </w:r>
      <w:r w:rsidRPr="0049126A">
        <w:rPr>
          <w:rFonts w:ascii="Times New Roman" w:hAnsi="Times New Roman"/>
          <w:sz w:val="24"/>
          <w:szCs w:val="24"/>
        </w:rPr>
        <w:fldChar w:fldCharType="begin" w:fldLock="1"/>
      </w:r>
      <w:r w:rsidRPr="0049126A">
        <w:rPr>
          <w:rFonts w:ascii="Times New Roman" w:hAnsi="Times New Roman"/>
          <w:sz w:val="24"/>
          <w:szCs w:val="24"/>
        </w:rPr>
        <w:instrText>ADDIN CSL_CITATION {"citationItems":[{"id":"ITEM-1","itemData":{"DOI":"10.2215/CJN.00620117","ISSN":"1555905X","PMID":"29042465","abstract":"Thrombotic microangiopathy is a common renal pathologic finding, which is characterized by the presence of endothelial cell injury and microvascular thrombi. The spectrum of clinical diseases that are connected by a thrombotic microangiopathic injury may appear to be unrelated, but overactivation of the complement system is emerging as an important mechanism, especially in atypical hemolytic uremic syndrome, anti-phospholipid antibody syndrome, scleroderma renal crisis, and others. Although few pathologic findings enable the pathologist to establish the precise etiology of the microvascular injury, the kidney biopsy remains the gold standard for diagnosing renal thrombotic microangiopathy and excluding other potential causes of kidney injury. After this critical step, additional investigation of the clinical and laboratory data is necessary to establish the underlying etiology and guide subsequent therapeutic options. The salient clinical and pathologic features of common diseases that are associated with thrombotic microangiopathy will be discussed.","author":[{"dropping-particle":"","family":"Brocklebank","given":"Vicky","non-dropping-particle":"","parse-names":false,"suffix":""},{"dropping-particle":"","family":"Wood","given":"Katrina M.","non-dropping-particle":"","parse-names":false,"suffix":""},{"dropping-particle":"","family":"Kavanagh","given":"David","non-dropping-particle":"","parse-names":false,"suffix":""}],"container-title":"Clinical Journal of the American Society of Nephrology","id":"ITEM-1","issue":"2","issued":{"date-parts":[["2018"]]},"page":"300-317","title":"Thrombotic microangiopathy and the kidney","type":"article-journal","volume":"13"},"uris":["http://www.mendeley.com/documents/?uuid=0da3c921-0c07-42c1-b4f4-c3bd3c34906c","http://www.mendeley.com/documents/?uuid=ea1f6c1e-7457-41bf-ad3c-151b26b6dc29"]}],"mendeley":{"formattedCitation":"&lt;sup&gt;3&lt;/sup&gt;","plainTextFormattedCitation":"3","previouslyFormattedCitation":"&lt;sup&gt;3&lt;/sup&gt;"},"properties":{"noteIndex":0},"schema":"https://github.com/citation-style-language/schema/raw/master/csl-citation.json"}</w:instrText>
      </w:r>
      <w:r w:rsidRPr="0049126A">
        <w:rPr>
          <w:rFonts w:ascii="Times New Roman" w:hAnsi="Times New Roman"/>
          <w:sz w:val="24"/>
          <w:szCs w:val="24"/>
        </w:rPr>
        <w:fldChar w:fldCharType="separate"/>
      </w:r>
      <w:r w:rsidRPr="0049126A">
        <w:rPr>
          <w:rFonts w:ascii="Times New Roman" w:hAnsi="Times New Roman"/>
          <w:noProof/>
          <w:sz w:val="24"/>
          <w:szCs w:val="24"/>
          <w:vertAlign w:val="superscript"/>
        </w:rPr>
        <w:t>3</w:t>
      </w:r>
      <w:r w:rsidRPr="0049126A">
        <w:rPr>
          <w:rFonts w:ascii="Times New Roman" w:hAnsi="Times New Roman"/>
          <w:sz w:val="24"/>
          <w:szCs w:val="24"/>
        </w:rPr>
        <w:fldChar w:fldCharType="end"/>
      </w:r>
      <w:r w:rsidRPr="0049126A">
        <w:rPr>
          <w:rFonts w:ascii="Times New Roman" w:hAnsi="Times New Roman"/>
          <w:sz w:val="24"/>
          <w:szCs w:val="24"/>
        </w:rPr>
        <w:t xml:space="preserve">. Deși afectarea renală este întâlnită în majoritatea cazurilor, tabloul clinic poate fi dominat de afectare multiorgan (pulmonară, digestivă, neurologică, cardiacă). </w:t>
      </w:r>
    </w:p>
    <w:p w14:paraId="1C0F17BE" w14:textId="77777777" w:rsidR="009A2C6B" w:rsidRPr="0049126A" w:rsidRDefault="009A2C6B" w:rsidP="009A2C6B">
      <w:pPr>
        <w:spacing w:line="276" w:lineRule="auto"/>
        <w:jc w:val="both"/>
        <w:rPr>
          <w:rFonts w:ascii="Times New Roman" w:hAnsi="Times New Roman"/>
          <w:sz w:val="24"/>
          <w:szCs w:val="24"/>
        </w:rPr>
      </w:pPr>
    </w:p>
    <w:p w14:paraId="2CF2E00C" w14:textId="1ADA4962" w:rsidR="009A2C6B" w:rsidRPr="0049126A" w:rsidRDefault="009A2C6B" w:rsidP="009A2C6B">
      <w:pPr>
        <w:spacing w:line="276" w:lineRule="auto"/>
        <w:jc w:val="both"/>
        <w:rPr>
          <w:rFonts w:ascii="Times New Roman" w:hAnsi="Times New Roman"/>
          <w:sz w:val="24"/>
          <w:szCs w:val="24"/>
        </w:rPr>
      </w:pPr>
      <w:r w:rsidRPr="0049126A">
        <w:rPr>
          <w:rFonts w:ascii="Times New Roman" w:hAnsi="Times New Roman"/>
          <w:sz w:val="24"/>
          <w:szCs w:val="24"/>
        </w:rPr>
        <w:t>În aproximativ 60-70% din cazuri, hiperactivarea cascadei complementului este determinată de mutații ale proteinelor reglatoare ale căii alterne sau formarea unor autoanticorpi împotriva acestor proteine</w:t>
      </w:r>
      <w:r w:rsidRPr="0049126A">
        <w:rPr>
          <w:rFonts w:ascii="Times New Roman" w:hAnsi="Times New Roman"/>
          <w:sz w:val="24"/>
          <w:szCs w:val="24"/>
        </w:rPr>
        <w:fldChar w:fldCharType="begin" w:fldLock="1"/>
      </w:r>
      <w:r w:rsidRPr="0049126A">
        <w:rPr>
          <w:rFonts w:ascii="Times New Roman" w:hAnsi="Times New Roman"/>
          <w:sz w:val="24"/>
          <w:szCs w:val="24"/>
        </w:rPr>
        <w:instrText>ADDIN CSL_CITATION {"citationItems":[{"id":"ITEM-1","itemData":{"DOI":"10.1007/s40265-013-0147-7","author":[{"dropping-particle":"","family":"Keating","given":"Gillian M","non-dropping-particle":"","parse-names":false,"suffix":""}],"container-title":"Drugs","id":"ITEM-1","issued":{"date-parts":[["2013"]]},"title":"Eculizumab : A Review of Its Use in Atypical Haemolytic Uraemic Syndrome","type":"article-journal"},"uris":["http://www.mendeley.com/documents/?uuid=10f17a94-c630-452c-aead-7e6ef637deb9","http://www.mendeley.com/documents/?uuid=498144cf-16c6-4b02-ab98-8eb5bc82ae74"]}],"mendeley":{"formattedCitation":"&lt;sup&gt;4&lt;/sup&gt;","plainTextFormattedCitation":"4","previouslyFormattedCitation":"&lt;sup&gt;4&lt;/sup&gt;"},"properties":{"noteIndex":0},"schema":"https://github.com/citation-style-language/schema/raw/master/csl-citation.json"}</w:instrText>
      </w:r>
      <w:r w:rsidRPr="0049126A">
        <w:rPr>
          <w:rFonts w:ascii="Times New Roman" w:hAnsi="Times New Roman"/>
          <w:sz w:val="24"/>
          <w:szCs w:val="24"/>
        </w:rPr>
        <w:fldChar w:fldCharType="separate"/>
      </w:r>
      <w:r w:rsidRPr="0049126A">
        <w:rPr>
          <w:rFonts w:ascii="Times New Roman" w:hAnsi="Times New Roman"/>
          <w:noProof/>
          <w:sz w:val="24"/>
          <w:szCs w:val="24"/>
          <w:vertAlign w:val="superscript"/>
        </w:rPr>
        <w:t>4</w:t>
      </w:r>
      <w:r w:rsidRPr="0049126A">
        <w:rPr>
          <w:rFonts w:ascii="Times New Roman" w:hAnsi="Times New Roman"/>
          <w:sz w:val="24"/>
          <w:szCs w:val="24"/>
        </w:rPr>
        <w:fldChar w:fldCharType="end"/>
      </w:r>
      <w:r w:rsidRPr="0049126A">
        <w:rPr>
          <w:rFonts w:ascii="Times New Roman" w:hAnsi="Times New Roman"/>
          <w:sz w:val="24"/>
          <w:szCs w:val="24"/>
        </w:rPr>
        <w:t>. Identificarea anomaliei genetice subiacente are importanță diagnostică și prognostică (permițând evaluarea răspunsului la tratament, riscul de recădere la oprirea tratamentului și riscul de recădere post-transplant renal)</w:t>
      </w:r>
      <w:r w:rsidR="00F52CC5" w:rsidRPr="0049126A">
        <w:rPr>
          <w:rFonts w:ascii="Times New Roman" w:hAnsi="Times New Roman"/>
          <w:sz w:val="24"/>
          <w:szCs w:val="24"/>
        </w:rPr>
        <w:t xml:space="preserve"> </w:t>
      </w:r>
      <w:r w:rsidRPr="0049126A">
        <w:rPr>
          <w:rFonts w:ascii="Times New Roman" w:hAnsi="Times New Roman"/>
          <w:sz w:val="24"/>
          <w:szCs w:val="24"/>
        </w:rPr>
        <w:t>(</w:t>
      </w:r>
      <w:r w:rsidRPr="0049126A">
        <w:rPr>
          <w:rFonts w:ascii="Times New Roman" w:hAnsi="Times New Roman"/>
          <w:b/>
          <w:bCs/>
          <w:sz w:val="24"/>
          <w:szCs w:val="24"/>
        </w:rPr>
        <w:t>Tabel 1</w:t>
      </w:r>
      <w:r w:rsidRPr="0049126A">
        <w:rPr>
          <w:rFonts w:ascii="Times New Roman" w:hAnsi="Times New Roman"/>
          <w:sz w:val="24"/>
          <w:szCs w:val="24"/>
        </w:rPr>
        <w:t>).</w:t>
      </w:r>
    </w:p>
    <w:p w14:paraId="7C8A0585" w14:textId="77777777" w:rsidR="009A2C6B" w:rsidRPr="0049126A" w:rsidRDefault="009A2C6B" w:rsidP="009A2C6B">
      <w:pPr>
        <w:spacing w:line="276" w:lineRule="auto"/>
        <w:jc w:val="both"/>
        <w:rPr>
          <w:rFonts w:ascii="Times New Roman" w:hAnsi="Times New Roman"/>
          <w:b/>
          <w:sz w:val="24"/>
          <w:szCs w:val="24"/>
        </w:rPr>
      </w:pPr>
      <w:r w:rsidRPr="0049126A">
        <w:rPr>
          <w:rFonts w:ascii="Times New Roman" w:hAnsi="Times New Roman"/>
          <w:b/>
          <w:sz w:val="24"/>
          <w:szCs w:val="24"/>
        </w:rPr>
        <w:t>Tabel 1. Anomaliile genetice și prognosticul pacienților cu SHUa asociat cu defecte ale cascadei complementului</w:t>
      </w:r>
      <w:r w:rsidRPr="0049126A">
        <w:rPr>
          <w:rFonts w:ascii="Times New Roman" w:hAnsi="Times New Roman"/>
          <w:b/>
          <w:sz w:val="24"/>
          <w:szCs w:val="24"/>
        </w:rPr>
        <w:fldChar w:fldCharType="begin" w:fldLock="1"/>
      </w:r>
      <w:r w:rsidRPr="0049126A">
        <w:rPr>
          <w:rFonts w:ascii="Times New Roman" w:hAnsi="Times New Roman"/>
          <w:b/>
          <w:sz w:val="24"/>
          <w:szCs w:val="24"/>
        </w:rPr>
        <w:instrText>ADDIN CSL_CITATION {"citationItems":[{"id":"ITEM-1","itemData":{"DOI":"10.1056/NEJMra0902814","ISBN":"0028-4793","ISSN":"0028-4793","PMID":"19846853","author":[{"dropping-particle":"","family":"Noris","given":"Marina","non-dropping-particle":"","parse-names":false,"suffix":""},{"dropping-particle":"","family":"Remuzzi","given":"Giuseppe","non-dropping-particle":"","parse-names":false,"suffix":""}],"container-title":"N Engl J Med","id":"ITEM-1","issue":"22","issued":{"date-parts":[["2009"]]},"page":"1676-87","title":"Atypical Hemolytic–Uremic Syndrome","type":"article-journal","volume":"17361"},"uris":["http://www.mendeley.com/documents/?uuid=e0da181f-be76-4200-9ffd-30a070ffc0af","http://www.mendeley.com/documents/?uuid=8ed364d6-fc0c-4698-9f7c-cc605bfab4ea"]}],"mendeley":{"formattedCitation":"&lt;sup&gt;5&lt;/sup&gt;","plainTextFormattedCitation":"5","previouslyFormattedCitation":"&lt;sup&gt;5&lt;/sup&gt;"},"properties":{"noteIndex":0},"schema":"https://github.com/citation-style-language/schema/raw/master/csl-citation.json"}</w:instrText>
      </w:r>
      <w:r w:rsidRPr="0049126A">
        <w:rPr>
          <w:rFonts w:ascii="Times New Roman" w:hAnsi="Times New Roman"/>
          <w:b/>
          <w:sz w:val="24"/>
          <w:szCs w:val="24"/>
        </w:rPr>
        <w:fldChar w:fldCharType="separate"/>
      </w:r>
      <w:r w:rsidRPr="0049126A">
        <w:rPr>
          <w:rFonts w:ascii="Times New Roman" w:hAnsi="Times New Roman"/>
          <w:noProof/>
          <w:sz w:val="24"/>
          <w:szCs w:val="24"/>
          <w:vertAlign w:val="superscript"/>
        </w:rPr>
        <w:t>5</w:t>
      </w:r>
      <w:r w:rsidRPr="0049126A">
        <w:rPr>
          <w:rFonts w:ascii="Times New Roman" w:hAnsi="Times New Roman"/>
          <w:b/>
          <w:sz w:val="24"/>
          <w:szCs w:val="24"/>
        </w:rPr>
        <w:fldChar w:fldCharType="end"/>
      </w:r>
    </w:p>
    <w:tbl>
      <w:tblPr>
        <w:tblStyle w:val="TableGrid"/>
        <w:tblW w:w="9639" w:type="dxa"/>
        <w:tblInd w:w="-5" w:type="dxa"/>
        <w:tblLook w:val="06A0" w:firstRow="1" w:lastRow="0" w:firstColumn="1" w:lastColumn="0" w:noHBand="1" w:noVBand="1"/>
      </w:tblPr>
      <w:tblGrid>
        <w:gridCol w:w="2410"/>
        <w:gridCol w:w="1418"/>
        <w:gridCol w:w="1984"/>
        <w:gridCol w:w="1985"/>
        <w:gridCol w:w="1842"/>
      </w:tblGrid>
      <w:tr w:rsidR="0049126A" w:rsidRPr="0049126A" w14:paraId="09BF0914" w14:textId="77777777" w:rsidTr="009A2C6B">
        <w:trPr>
          <w:trHeight w:val="263"/>
        </w:trPr>
        <w:tc>
          <w:tcPr>
            <w:tcW w:w="2410" w:type="dxa"/>
            <w:shd w:val="clear" w:color="auto" w:fill="BFBFBF" w:themeFill="background1" w:themeFillShade="BF"/>
          </w:tcPr>
          <w:p w14:paraId="5602C55D"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Proteina afectată</w:t>
            </w:r>
          </w:p>
        </w:tc>
        <w:tc>
          <w:tcPr>
            <w:tcW w:w="1418" w:type="dxa"/>
            <w:shd w:val="clear" w:color="auto" w:fill="BFBFBF" w:themeFill="background1" w:themeFillShade="BF"/>
          </w:tcPr>
          <w:p w14:paraId="435A58FA" w14:textId="77777777" w:rsidR="009A2C6B" w:rsidRPr="0049126A" w:rsidRDefault="009A2C6B" w:rsidP="009A2C6B">
            <w:pPr>
              <w:spacing w:line="276" w:lineRule="auto"/>
              <w:jc w:val="center"/>
              <w:rPr>
                <w:rFonts w:ascii="Times New Roman" w:hAnsi="Times New Roman"/>
                <w:b/>
                <w:sz w:val="20"/>
                <w:szCs w:val="20"/>
              </w:rPr>
            </w:pPr>
            <w:r w:rsidRPr="0049126A">
              <w:rPr>
                <w:rFonts w:ascii="Times New Roman" w:hAnsi="Times New Roman"/>
                <w:b/>
                <w:sz w:val="20"/>
                <w:szCs w:val="20"/>
              </w:rPr>
              <w:t>Frecvența (%)</w:t>
            </w:r>
          </w:p>
        </w:tc>
        <w:tc>
          <w:tcPr>
            <w:tcW w:w="1984" w:type="dxa"/>
            <w:shd w:val="clear" w:color="auto" w:fill="BFBFBF" w:themeFill="background1" w:themeFillShade="BF"/>
          </w:tcPr>
          <w:p w14:paraId="7C1440A3" w14:textId="77777777" w:rsidR="009A2C6B" w:rsidRPr="0049126A" w:rsidRDefault="009A2C6B" w:rsidP="009A2C6B">
            <w:pPr>
              <w:spacing w:line="276" w:lineRule="auto"/>
              <w:jc w:val="center"/>
              <w:rPr>
                <w:rFonts w:ascii="Times New Roman" w:hAnsi="Times New Roman"/>
                <w:b/>
                <w:sz w:val="20"/>
                <w:szCs w:val="20"/>
              </w:rPr>
            </w:pPr>
            <w:r w:rsidRPr="0049126A">
              <w:rPr>
                <w:rFonts w:ascii="Times New Roman" w:hAnsi="Times New Roman"/>
                <w:b/>
                <w:sz w:val="20"/>
                <w:szCs w:val="20"/>
              </w:rPr>
              <w:t>Rata de remisiune cu plasmafereză (%)</w:t>
            </w:r>
          </w:p>
        </w:tc>
        <w:tc>
          <w:tcPr>
            <w:tcW w:w="1985" w:type="dxa"/>
            <w:shd w:val="clear" w:color="auto" w:fill="BFBFBF" w:themeFill="background1" w:themeFillShade="BF"/>
          </w:tcPr>
          <w:p w14:paraId="3000BAE8" w14:textId="77777777" w:rsidR="009A2C6B" w:rsidRPr="0049126A" w:rsidRDefault="009A2C6B" w:rsidP="009A2C6B">
            <w:pPr>
              <w:spacing w:line="276" w:lineRule="auto"/>
              <w:jc w:val="center"/>
              <w:rPr>
                <w:rFonts w:ascii="Times New Roman" w:hAnsi="Times New Roman"/>
                <w:b/>
                <w:sz w:val="20"/>
                <w:szCs w:val="20"/>
              </w:rPr>
            </w:pPr>
            <w:r w:rsidRPr="0049126A">
              <w:rPr>
                <w:rFonts w:ascii="Times New Roman" w:hAnsi="Times New Roman"/>
                <w:b/>
                <w:sz w:val="20"/>
                <w:szCs w:val="20"/>
              </w:rPr>
              <w:t>Rata de deces sau BCR stadiul final la 5 și 10 ani (%)</w:t>
            </w:r>
          </w:p>
        </w:tc>
        <w:tc>
          <w:tcPr>
            <w:tcW w:w="1842" w:type="dxa"/>
            <w:shd w:val="clear" w:color="auto" w:fill="BFBFBF" w:themeFill="background1" w:themeFillShade="BF"/>
          </w:tcPr>
          <w:p w14:paraId="270F1C57" w14:textId="77777777" w:rsidR="009A2C6B" w:rsidRPr="0049126A" w:rsidRDefault="009A2C6B" w:rsidP="009A2C6B">
            <w:pPr>
              <w:spacing w:line="276" w:lineRule="auto"/>
              <w:jc w:val="center"/>
              <w:rPr>
                <w:rFonts w:ascii="Times New Roman" w:hAnsi="Times New Roman"/>
                <w:b/>
                <w:sz w:val="20"/>
                <w:szCs w:val="20"/>
              </w:rPr>
            </w:pPr>
            <w:r w:rsidRPr="0049126A">
              <w:rPr>
                <w:rFonts w:ascii="Times New Roman" w:hAnsi="Times New Roman"/>
                <w:b/>
                <w:sz w:val="20"/>
                <w:szCs w:val="20"/>
              </w:rPr>
              <w:t>Riscul de recădere posttransplant renal (%)</w:t>
            </w:r>
          </w:p>
        </w:tc>
      </w:tr>
      <w:tr w:rsidR="0049126A" w:rsidRPr="0049126A" w14:paraId="7B956B87" w14:textId="77777777" w:rsidTr="009A2C6B">
        <w:trPr>
          <w:trHeight w:val="254"/>
        </w:trPr>
        <w:tc>
          <w:tcPr>
            <w:tcW w:w="2410" w:type="dxa"/>
          </w:tcPr>
          <w:p w14:paraId="00CC0515"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Factor H</w:t>
            </w:r>
          </w:p>
        </w:tc>
        <w:tc>
          <w:tcPr>
            <w:tcW w:w="1418" w:type="dxa"/>
          </w:tcPr>
          <w:p w14:paraId="2DEBAEAD"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20-30</w:t>
            </w:r>
          </w:p>
        </w:tc>
        <w:tc>
          <w:tcPr>
            <w:tcW w:w="1984" w:type="dxa"/>
          </w:tcPr>
          <w:p w14:paraId="4598F798"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60</w:t>
            </w:r>
          </w:p>
        </w:tc>
        <w:tc>
          <w:tcPr>
            <w:tcW w:w="1985" w:type="dxa"/>
          </w:tcPr>
          <w:p w14:paraId="185F51E8"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70-80</w:t>
            </w:r>
          </w:p>
        </w:tc>
        <w:tc>
          <w:tcPr>
            <w:tcW w:w="1842" w:type="dxa"/>
          </w:tcPr>
          <w:p w14:paraId="1BD5FE9C"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80-90</w:t>
            </w:r>
          </w:p>
        </w:tc>
      </w:tr>
      <w:tr w:rsidR="0049126A" w:rsidRPr="0049126A" w14:paraId="4C7593FE" w14:textId="77777777" w:rsidTr="009A2C6B">
        <w:trPr>
          <w:trHeight w:val="254"/>
        </w:trPr>
        <w:tc>
          <w:tcPr>
            <w:tcW w:w="2410" w:type="dxa"/>
          </w:tcPr>
          <w:p w14:paraId="2E4B1779"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Proteina CFHR 1/3</w:t>
            </w:r>
          </w:p>
        </w:tc>
        <w:tc>
          <w:tcPr>
            <w:tcW w:w="1418" w:type="dxa"/>
          </w:tcPr>
          <w:p w14:paraId="11D0597F"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6</w:t>
            </w:r>
          </w:p>
        </w:tc>
        <w:tc>
          <w:tcPr>
            <w:tcW w:w="1984" w:type="dxa"/>
          </w:tcPr>
          <w:p w14:paraId="01061D21"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70-80</w:t>
            </w:r>
          </w:p>
        </w:tc>
        <w:tc>
          <w:tcPr>
            <w:tcW w:w="1985" w:type="dxa"/>
          </w:tcPr>
          <w:p w14:paraId="6298331C"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30-40</w:t>
            </w:r>
          </w:p>
        </w:tc>
        <w:tc>
          <w:tcPr>
            <w:tcW w:w="1842" w:type="dxa"/>
          </w:tcPr>
          <w:p w14:paraId="03ED94E4"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20</w:t>
            </w:r>
          </w:p>
        </w:tc>
      </w:tr>
      <w:tr w:rsidR="0049126A" w:rsidRPr="0049126A" w14:paraId="5D39E45C" w14:textId="77777777" w:rsidTr="009A2C6B">
        <w:trPr>
          <w:trHeight w:val="263"/>
        </w:trPr>
        <w:tc>
          <w:tcPr>
            <w:tcW w:w="2410" w:type="dxa"/>
          </w:tcPr>
          <w:p w14:paraId="55BB54B5"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MCP</w:t>
            </w:r>
          </w:p>
        </w:tc>
        <w:tc>
          <w:tcPr>
            <w:tcW w:w="1418" w:type="dxa"/>
          </w:tcPr>
          <w:p w14:paraId="0EAD9101"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10-15</w:t>
            </w:r>
          </w:p>
        </w:tc>
        <w:tc>
          <w:tcPr>
            <w:tcW w:w="1984" w:type="dxa"/>
          </w:tcPr>
          <w:p w14:paraId="33A08065"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Fără indicație de plasmafereză</w:t>
            </w:r>
          </w:p>
        </w:tc>
        <w:tc>
          <w:tcPr>
            <w:tcW w:w="1985" w:type="dxa"/>
          </w:tcPr>
          <w:p w14:paraId="2F6A82E7"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lang w:val="en-GB"/>
              </w:rPr>
              <w:t>&lt;</w:t>
            </w:r>
            <w:r w:rsidRPr="0049126A">
              <w:rPr>
                <w:rFonts w:ascii="Times New Roman" w:hAnsi="Times New Roman"/>
                <w:sz w:val="20"/>
                <w:szCs w:val="20"/>
              </w:rPr>
              <w:t>20</w:t>
            </w:r>
          </w:p>
        </w:tc>
        <w:tc>
          <w:tcPr>
            <w:tcW w:w="1842" w:type="dxa"/>
          </w:tcPr>
          <w:p w14:paraId="242C9416"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15-20</w:t>
            </w:r>
          </w:p>
        </w:tc>
      </w:tr>
      <w:tr w:rsidR="0049126A" w:rsidRPr="0049126A" w14:paraId="617C8CA9" w14:textId="77777777" w:rsidTr="009A2C6B">
        <w:trPr>
          <w:trHeight w:val="254"/>
        </w:trPr>
        <w:tc>
          <w:tcPr>
            <w:tcW w:w="2410" w:type="dxa"/>
          </w:tcPr>
          <w:p w14:paraId="10FA8B7F"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Factor I</w:t>
            </w:r>
          </w:p>
        </w:tc>
        <w:tc>
          <w:tcPr>
            <w:tcW w:w="1418" w:type="dxa"/>
          </w:tcPr>
          <w:p w14:paraId="76C63417"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4-10</w:t>
            </w:r>
          </w:p>
        </w:tc>
        <w:tc>
          <w:tcPr>
            <w:tcW w:w="1984" w:type="dxa"/>
          </w:tcPr>
          <w:p w14:paraId="2CC955F6"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30-40</w:t>
            </w:r>
          </w:p>
        </w:tc>
        <w:tc>
          <w:tcPr>
            <w:tcW w:w="1985" w:type="dxa"/>
          </w:tcPr>
          <w:p w14:paraId="42F37EBB"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60-70</w:t>
            </w:r>
          </w:p>
        </w:tc>
        <w:tc>
          <w:tcPr>
            <w:tcW w:w="1842" w:type="dxa"/>
          </w:tcPr>
          <w:p w14:paraId="1251A6E6"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70-80</w:t>
            </w:r>
          </w:p>
        </w:tc>
      </w:tr>
      <w:tr w:rsidR="0049126A" w:rsidRPr="0049126A" w14:paraId="4A26FF01" w14:textId="77777777" w:rsidTr="009A2C6B">
        <w:trPr>
          <w:trHeight w:val="263"/>
        </w:trPr>
        <w:tc>
          <w:tcPr>
            <w:tcW w:w="2410" w:type="dxa"/>
          </w:tcPr>
          <w:p w14:paraId="022D17B3"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Factor B</w:t>
            </w:r>
          </w:p>
        </w:tc>
        <w:tc>
          <w:tcPr>
            <w:tcW w:w="1418" w:type="dxa"/>
          </w:tcPr>
          <w:p w14:paraId="16F2DB83"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1-2</w:t>
            </w:r>
          </w:p>
        </w:tc>
        <w:tc>
          <w:tcPr>
            <w:tcW w:w="1984" w:type="dxa"/>
          </w:tcPr>
          <w:p w14:paraId="7DDBEDE1"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30</w:t>
            </w:r>
          </w:p>
        </w:tc>
        <w:tc>
          <w:tcPr>
            <w:tcW w:w="1985" w:type="dxa"/>
          </w:tcPr>
          <w:p w14:paraId="7941D7E8"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70</w:t>
            </w:r>
          </w:p>
        </w:tc>
        <w:tc>
          <w:tcPr>
            <w:tcW w:w="1842" w:type="dxa"/>
          </w:tcPr>
          <w:p w14:paraId="6E04D331"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1 caz raportat</w:t>
            </w:r>
          </w:p>
        </w:tc>
      </w:tr>
      <w:tr w:rsidR="0049126A" w:rsidRPr="0049126A" w14:paraId="28BE0240" w14:textId="77777777" w:rsidTr="009A2C6B">
        <w:trPr>
          <w:trHeight w:val="263"/>
        </w:trPr>
        <w:tc>
          <w:tcPr>
            <w:tcW w:w="2410" w:type="dxa"/>
          </w:tcPr>
          <w:p w14:paraId="55119B1C"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C3</w:t>
            </w:r>
          </w:p>
        </w:tc>
        <w:tc>
          <w:tcPr>
            <w:tcW w:w="1418" w:type="dxa"/>
          </w:tcPr>
          <w:p w14:paraId="1F786188"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5-10</w:t>
            </w:r>
          </w:p>
        </w:tc>
        <w:tc>
          <w:tcPr>
            <w:tcW w:w="1984" w:type="dxa"/>
          </w:tcPr>
          <w:p w14:paraId="68426882"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40-50</w:t>
            </w:r>
          </w:p>
        </w:tc>
        <w:tc>
          <w:tcPr>
            <w:tcW w:w="1985" w:type="dxa"/>
          </w:tcPr>
          <w:p w14:paraId="56B035B7"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6</w:t>
            </w:r>
          </w:p>
        </w:tc>
        <w:tc>
          <w:tcPr>
            <w:tcW w:w="1842" w:type="dxa"/>
          </w:tcPr>
          <w:p w14:paraId="41099C4D"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40-50</w:t>
            </w:r>
          </w:p>
        </w:tc>
      </w:tr>
      <w:tr w:rsidR="0049126A" w:rsidRPr="0049126A" w14:paraId="049FB79B" w14:textId="77777777" w:rsidTr="009A2C6B">
        <w:trPr>
          <w:trHeight w:val="254"/>
        </w:trPr>
        <w:tc>
          <w:tcPr>
            <w:tcW w:w="2410" w:type="dxa"/>
          </w:tcPr>
          <w:p w14:paraId="1C6927A5" w14:textId="77777777" w:rsidR="009A2C6B" w:rsidRPr="0049126A" w:rsidRDefault="009A2C6B" w:rsidP="009A2C6B">
            <w:pPr>
              <w:spacing w:line="276" w:lineRule="auto"/>
              <w:rPr>
                <w:rFonts w:ascii="Times New Roman" w:hAnsi="Times New Roman"/>
                <w:b/>
                <w:sz w:val="20"/>
                <w:szCs w:val="20"/>
              </w:rPr>
            </w:pPr>
            <w:r w:rsidRPr="0049126A">
              <w:rPr>
                <w:rFonts w:ascii="Times New Roman" w:hAnsi="Times New Roman"/>
                <w:b/>
                <w:sz w:val="20"/>
                <w:szCs w:val="20"/>
              </w:rPr>
              <w:t>Trombomodulina</w:t>
            </w:r>
          </w:p>
        </w:tc>
        <w:tc>
          <w:tcPr>
            <w:tcW w:w="1418" w:type="dxa"/>
          </w:tcPr>
          <w:p w14:paraId="0922A8FB"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5</w:t>
            </w:r>
          </w:p>
        </w:tc>
        <w:tc>
          <w:tcPr>
            <w:tcW w:w="1984" w:type="dxa"/>
          </w:tcPr>
          <w:p w14:paraId="11B955F7"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60</w:t>
            </w:r>
          </w:p>
        </w:tc>
        <w:tc>
          <w:tcPr>
            <w:tcW w:w="1985" w:type="dxa"/>
          </w:tcPr>
          <w:p w14:paraId="0E23A1BA"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60</w:t>
            </w:r>
          </w:p>
        </w:tc>
        <w:tc>
          <w:tcPr>
            <w:tcW w:w="1842" w:type="dxa"/>
          </w:tcPr>
          <w:p w14:paraId="08000A81" w14:textId="77777777" w:rsidR="009A2C6B" w:rsidRPr="0049126A" w:rsidRDefault="009A2C6B" w:rsidP="009A2C6B">
            <w:pPr>
              <w:spacing w:line="276" w:lineRule="auto"/>
              <w:jc w:val="center"/>
              <w:rPr>
                <w:rFonts w:ascii="Times New Roman" w:hAnsi="Times New Roman"/>
                <w:sz w:val="20"/>
                <w:szCs w:val="20"/>
              </w:rPr>
            </w:pPr>
            <w:r w:rsidRPr="0049126A">
              <w:rPr>
                <w:rFonts w:ascii="Times New Roman" w:hAnsi="Times New Roman"/>
                <w:sz w:val="20"/>
                <w:szCs w:val="20"/>
              </w:rPr>
              <w:t>1 caz raportat</w:t>
            </w:r>
          </w:p>
        </w:tc>
      </w:tr>
    </w:tbl>
    <w:p w14:paraId="7E536662" w14:textId="77777777" w:rsidR="009A2C6B" w:rsidRPr="0049126A" w:rsidRDefault="009A2C6B" w:rsidP="009A2C6B">
      <w:pPr>
        <w:spacing w:after="0" w:line="276" w:lineRule="auto"/>
        <w:rPr>
          <w:rFonts w:ascii="Times New Roman" w:hAnsi="Times New Roman"/>
          <w:i/>
          <w:sz w:val="20"/>
          <w:szCs w:val="20"/>
        </w:rPr>
      </w:pPr>
      <w:r w:rsidRPr="0049126A">
        <w:rPr>
          <w:rFonts w:ascii="Times New Roman" w:hAnsi="Times New Roman"/>
          <w:i/>
          <w:sz w:val="20"/>
          <w:szCs w:val="20"/>
        </w:rPr>
        <w:t>Adaptat după Noris et al. Atypical Hemolytic Uremic Syndrome. NEJM 2009</w:t>
      </w:r>
    </w:p>
    <w:p w14:paraId="608BBCD4" w14:textId="77777777" w:rsidR="009A2C6B" w:rsidRPr="0049126A" w:rsidRDefault="009A2C6B" w:rsidP="009A2C6B">
      <w:pPr>
        <w:spacing w:line="276" w:lineRule="auto"/>
        <w:rPr>
          <w:rFonts w:ascii="Times New Roman" w:hAnsi="Times New Roman"/>
          <w:i/>
          <w:sz w:val="20"/>
          <w:szCs w:val="20"/>
        </w:rPr>
      </w:pPr>
      <w:r w:rsidRPr="0049126A">
        <w:rPr>
          <w:rFonts w:ascii="Times New Roman" w:hAnsi="Times New Roman"/>
          <w:i/>
          <w:sz w:val="20"/>
          <w:szCs w:val="20"/>
        </w:rPr>
        <w:t>Abrevieri: CFHR, complement factor H related proteins; MCP, membrane cofactor protein.</w:t>
      </w:r>
    </w:p>
    <w:p w14:paraId="6BD7FB56" w14:textId="1B3341F7" w:rsidR="009A2C6B" w:rsidRPr="0049126A" w:rsidRDefault="009A2C6B" w:rsidP="009A2C6B">
      <w:pPr>
        <w:spacing w:after="0" w:line="276" w:lineRule="auto"/>
        <w:contextualSpacing/>
        <w:jc w:val="both"/>
        <w:rPr>
          <w:rFonts w:ascii="Times New Roman" w:hAnsi="Times New Roman"/>
          <w:iCs/>
          <w:sz w:val="24"/>
          <w:szCs w:val="24"/>
        </w:rPr>
      </w:pPr>
      <w:r w:rsidRPr="0049126A">
        <w:rPr>
          <w:rFonts w:ascii="Times New Roman" w:hAnsi="Times New Roman"/>
          <w:iCs/>
          <w:sz w:val="24"/>
          <w:szCs w:val="24"/>
        </w:rPr>
        <w:t>Prognosticul pacienților cu SHUa depinde de anomalia genetică subiacentă, 60-70% dintre pacienții cu mutația genei care codifică factorul H dezvoltă boală cronică de rinichi stadiul final în primul an de la diagnostic, iar până la 90% dintre aceștia prezintă recăderea bolii pe grefa renală. Comparativ, pacienții cu un defect izolat al genei ce codifică MCP (CD46) pot obține remisiune clinică spontană și prezintă o rată mică de recădere pe grefa renală</w:t>
      </w:r>
      <w:r w:rsidRPr="0049126A">
        <w:rPr>
          <w:rFonts w:ascii="Times New Roman" w:hAnsi="Times New Roman"/>
          <w:iCs/>
          <w:sz w:val="24"/>
          <w:szCs w:val="24"/>
        </w:rPr>
        <w:fldChar w:fldCharType="begin" w:fldLock="1"/>
      </w:r>
      <w:r w:rsidRPr="0049126A">
        <w:rPr>
          <w:rFonts w:ascii="Times New Roman" w:hAnsi="Times New Roman"/>
          <w:iCs/>
          <w:sz w:val="24"/>
          <w:szCs w:val="24"/>
        </w:rPr>
        <w:instrText>ADDIN CSL_CITATION {"citationItems":[{"id":"ITEM-1","itemData":{"DOI":"10.1007/s40265-013-0147-7","author":[{"dropping-particle":"","family":"Keating","given":"Gillian M","non-dropping-particle":"","parse-names":false,"suffix":""}],"container-title":"Drugs","id":"ITEM-1","issued":{"date-parts":[["2013"]]},"title":"Eculizumab : A Review of Its Use in Atypical Haemolytic Uraemic Syndrome","type":"article-journal"},"uris":["http://www.mendeley.com/documents/?uuid=10f17a94-c630-452c-aead-7e6ef637deb9","http://www.mendeley.com/documents/?uuid=498144cf-16c6-4b02-ab98-8eb5bc82ae74"]}],"mendeley":{"formattedCitation":"&lt;sup&gt;4&lt;/sup&gt;","plainTextFormattedCitation":"4","previouslyFormattedCitation":"&lt;sup&gt;4&lt;/sup&gt;"},"properties":{"noteIndex":0},"schema":"https://github.com/citation-style-language/schema/raw/master/csl-citation.json"}</w:instrText>
      </w:r>
      <w:r w:rsidRPr="0049126A">
        <w:rPr>
          <w:rFonts w:ascii="Times New Roman" w:hAnsi="Times New Roman"/>
          <w:iCs/>
          <w:sz w:val="24"/>
          <w:szCs w:val="24"/>
        </w:rPr>
        <w:fldChar w:fldCharType="separate"/>
      </w:r>
      <w:r w:rsidRPr="0049126A">
        <w:rPr>
          <w:rFonts w:ascii="Times New Roman" w:hAnsi="Times New Roman"/>
          <w:iCs/>
          <w:noProof/>
          <w:sz w:val="24"/>
          <w:szCs w:val="24"/>
          <w:vertAlign w:val="superscript"/>
        </w:rPr>
        <w:t>4</w:t>
      </w:r>
      <w:r w:rsidRPr="0049126A">
        <w:rPr>
          <w:rFonts w:ascii="Times New Roman" w:hAnsi="Times New Roman"/>
          <w:iCs/>
          <w:sz w:val="24"/>
          <w:szCs w:val="24"/>
        </w:rPr>
        <w:fldChar w:fldCharType="end"/>
      </w:r>
      <w:r w:rsidRPr="0049126A">
        <w:rPr>
          <w:rFonts w:ascii="Times New Roman" w:hAnsi="Times New Roman"/>
          <w:iCs/>
          <w:sz w:val="24"/>
          <w:szCs w:val="24"/>
        </w:rPr>
        <w:t>. Mortalitatea pacienților cu SHUa este de aproximativ 2-4% în rândul populației adulte și de 8-14% în rândul populației pediatrice.</w:t>
      </w:r>
    </w:p>
    <w:p w14:paraId="57D208C7" w14:textId="18766957" w:rsidR="009A2C6B" w:rsidRPr="0049126A" w:rsidRDefault="009A2C6B" w:rsidP="009A2C6B">
      <w:pPr>
        <w:spacing w:after="0" w:line="276" w:lineRule="auto"/>
        <w:contextualSpacing/>
        <w:jc w:val="both"/>
        <w:rPr>
          <w:rFonts w:ascii="Times New Roman" w:hAnsi="Times New Roman"/>
          <w:iCs/>
          <w:sz w:val="24"/>
          <w:szCs w:val="24"/>
        </w:rPr>
      </w:pPr>
      <w:r w:rsidRPr="0049126A">
        <w:rPr>
          <w:rFonts w:ascii="Times New Roman" w:hAnsi="Times New Roman"/>
          <w:iCs/>
          <w:sz w:val="24"/>
          <w:szCs w:val="24"/>
        </w:rPr>
        <w:lastRenderedPageBreak/>
        <w:t xml:space="preserve">Utilizarea  inhibitorilor de complement a îmbunătățit semnificativ evoluția pacienților cu SHUa și astfel au devenit terapii standard pentru managementul acestor pacienți. Eculizumabul și ravulizumabul  sunt aprobate de FDA (Food and Drug Administration) pentru tratamentul SHUa din 2011, respectiv din 2019. Eficiența și profilul de siguranță al eculizumabului au fost demonstrate în studii clinice atât la pacienți adulți, cât și la pacienți pediatrici cu SHUa. Însă, administrarea eculizumabului la intervale de 2 săptămâni  a condus la necesitatea utilizării unui medicament cu frecvență de administrare mai redusă și cu eficiență și tolerabilitate similare. Ravulizumabul, un inhibitor de complement de nouă generație, a fost conceput prin modificarea structurală a eculizumabului la nivelul a 4 aminoacizi, ceea ce a permis reciclarea medicamentului la nivelul compartimentului vascular și creșterea timpului său de înjumătățire de 4 ori față de eculizumab. Astfel, ravulizumabul a dobândit avantajul reducerii frecvențelor de administrare. </w:t>
      </w:r>
    </w:p>
    <w:p w14:paraId="15A5ABC2" w14:textId="77777777" w:rsidR="009A2C6B" w:rsidRPr="0049126A" w:rsidRDefault="009A2C6B" w:rsidP="009A2C6B">
      <w:pPr>
        <w:spacing w:after="0" w:line="276" w:lineRule="auto"/>
        <w:contextualSpacing/>
        <w:jc w:val="both"/>
        <w:rPr>
          <w:rFonts w:ascii="Times New Roman" w:hAnsi="Times New Roman"/>
          <w:iCs/>
          <w:sz w:val="24"/>
          <w:szCs w:val="24"/>
        </w:rPr>
      </w:pPr>
    </w:p>
    <w:p w14:paraId="54A76496" w14:textId="77777777" w:rsidR="009A2C6B" w:rsidRPr="0049126A" w:rsidRDefault="009A2C6B" w:rsidP="009A2C6B">
      <w:pPr>
        <w:spacing w:after="0" w:line="276" w:lineRule="auto"/>
        <w:contextualSpacing/>
        <w:jc w:val="both"/>
        <w:rPr>
          <w:rFonts w:ascii="Times New Roman" w:hAnsi="Times New Roman"/>
          <w:iCs/>
          <w:sz w:val="24"/>
          <w:szCs w:val="24"/>
        </w:rPr>
      </w:pPr>
      <w:r w:rsidRPr="0049126A">
        <w:rPr>
          <w:rFonts w:ascii="Times New Roman" w:hAnsi="Times New Roman"/>
          <w:iCs/>
          <w:sz w:val="24"/>
          <w:szCs w:val="24"/>
        </w:rPr>
        <w:t xml:space="preserve">Eficacitatea și tolerabilitatea Ravulizumabului a fost evaluată în 2 studii clinice, unul adresat populației adulte și unul populației pediatrice. Studiul efectuat pe populația adultă a fost un studiu clinic de fază 3, multicentric, cu un singur braț terapeutic ce a inclus 56 de pacienți cu SHUa, care nu au fost tratați anterior cu inhibitori ai complementului. </w:t>
      </w:r>
      <w:bookmarkStart w:id="6" w:name="_Hlk157022590"/>
      <w:r w:rsidRPr="0049126A">
        <w:rPr>
          <w:rFonts w:ascii="Times New Roman" w:hAnsi="Times New Roman"/>
          <w:iCs/>
          <w:sz w:val="24"/>
          <w:szCs w:val="24"/>
        </w:rPr>
        <w:t>Perioada inițială de tratament a fost de 26 săptămâni, iar perioada de extensie a fost până la 4.5 ani</w:t>
      </w:r>
      <w:bookmarkEnd w:id="6"/>
      <w:r w:rsidRPr="0049126A">
        <w:rPr>
          <w:rFonts w:ascii="Times New Roman" w:hAnsi="Times New Roman"/>
          <w:iCs/>
          <w:sz w:val="24"/>
          <w:szCs w:val="24"/>
        </w:rPr>
        <w:t xml:space="preserve">. La inițierea tratamentului 93% dintre pacienți aveau afectare extrarenală, 71.4% se aflau în stadiul 5 al bolii cronice de rinichi, 51.8% erau in dializă și 14% aveau istoric de transplant renal. Tratamentul cu ravulizumab a determinat inhibarea imediată, completă și susținută a C5 la toți pacienții. Răspunsul complet al MAT în perioada inițială de tratament a fost de 53.6% și a crescut la 60.7% în perioada de extensie a studiului. Acest răspuns a fost obținut într-o perioadă mediană de timp de 86 de zile (7- 169). </w:t>
      </w:r>
    </w:p>
    <w:p w14:paraId="5F520369" w14:textId="77777777" w:rsidR="009A2C6B" w:rsidRPr="0049126A" w:rsidRDefault="009A2C6B" w:rsidP="009A2C6B">
      <w:pPr>
        <w:spacing w:after="0" w:line="276" w:lineRule="auto"/>
        <w:contextualSpacing/>
        <w:jc w:val="both"/>
        <w:rPr>
          <w:rFonts w:ascii="Times New Roman" w:hAnsi="Times New Roman"/>
          <w:iCs/>
          <w:sz w:val="24"/>
          <w:szCs w:val="24"/>
        </w:rPr>
      </w:pPr>
    </w:p>
    <w:p w14:paraId="0FBAEAF3" w14:textId="34CAB36C" w:rsidR="009A2C6B" w:rsidRPr="0049126A" w:rsidRDefault="009A2C6B" w:rsidP="009A2C6B">
      <w:pPr>
        <w:spacing w:after="0" w:line="276" w:lineRule="auto"/>
        <w:contextualSpacing/>
        <w:jc w:val="both"/>
        <w:rPr>
          <w:rFonts w:ascii="Times New Roman" w:hAnsi="Times New Roman"/>
          <w:iCs/>
          <w:sz w:val="24"/>
          <w:szCs w:val="24"/>
        </w:rPr>
      </w:pPr>
      <w:r w:rsidRPr="0049126A">
        <w:rPr>
          <w:rFonts w:ascii="Times New Roman" w:hAnsi="Times New Roman"/>
          <w:iCs/>
          <w:sz w:val="24"/>
          <w:szCs w:val="24"/>
        </w:rPr>
        <w:t>Normalizarea valorilor trombocitelor, a LDH-ului și scăderea valorii serice a creatininei cu ≥ 25% au fost observată la 83.9%, 76.8% și respectiv 58.9% dintre pacienți. Îmbunătățirea ratei de filtrare glomerulară (categoriei BCR) a fost observată la 68.1% dintre pacienți, iar 58.6% dintre pacienții aflați pe dializă la începerea tratamentului nu au mai necesitat această procedură după 183 de tratament cu ravulizumab. În ceea ce privește profilul de siguranță, nu au fost raportate reacții adverse neașteptate. Toți pacienții au experimentat cel puțin o reacție adversă, 34.5% reacții adverse asociate tratamentului și 51.7% reacții adverse importante. Nu a fost raportată nicio infecție meningococică, iar rata de deces observată a fost de 6.9%</w:t>
      </w:r>
      <w:r w:rsidRPr="0049126A">
        <w:rPr>
          <w:rFonts w:ascii="Times New Roman" w:hAnsi="Times New Roman"/>
          <w:iCs/>
          <w:sz w:val="24"/>
          <w:szCs w:val="24"/>
        </w:rPr>
        <w:fldChar w:fldCharType="begin" w:fldLock="1"/>
      </w:r>
      <w:r w:rsidRPr="0049126A">
        <w:rPr>
          <w:rFonts w:ascii="Times New Roman" w:hAnsi="Times New Roman"/>
          <w:iCs/>
          <w:sz w:val="24"/>
          <w:szCs w:val="24"/>
        </w:rPr>
        <w:instrText>ADDIN CSL_CITATION {"citationItems":[{"id":"ITEM-1","itemData":{"DOI":"10.1016/j.kint.2020.01.035","ISSN":"1523-1755 (Electronic)","PMID":"32299680","abstract":"Ravulizumab is a long-acting C5 inhibitor engineered from eculizumab with  increased elimination half-life, allowing an extended dosing interval from two to eight weeks. Here we evaluate the efficacy and safety of ravulizumab in adults with atypical hemolytic uremic syndrome presenting with thrombotic microangiopathy. In this global, phase 3, single arm study in complement inhibitor-naïve adults (18 years and older) who fulfilled diagnostic criteria for atypical hemolytic uremic syndrome, enrolled patients received ravulizumab through a 26-week initial evaluation period. The primary endpoint was complete thrombotic microangiopathy response defined as normalization of platelet count and lactate dehydrogenase and 25% or more improvement in serum creatinine. Secondary endpoints included changes in hematologic variables and renal function. Safety was also evaluated. Ravulizumab treatment resulted in an immediate, complete, and sustained C5 inhibition in all patients. Complete thrombotic microangiopathy response was achieved in 53.6% of patients. Normalization of platelet count, lactate dehydrogenase and 25% or more improvement in serum creatinine was achieved in 83.9%, 76.8% and 58.9% of patients, respectively. Improvement in estimated glomerular filtration rate by one or more stage was achieved in 68.1% of patients by day 183. No unexpected adverse events were reported across a safety analysis set of 58 patients. Four deaths occurred (three within one month of study initiation, including one in a patient excluded based on eligibility criteria after the first dose) with none considered treatment-related by the study investigator. Thus, treatment with ravulizumab once every eight weeks resulted in rapidly improved hematologic and renal endpoints with no unexpected adverse events in adults with atypical hemolytic uremic syndrome.","author":[{"dropping-particle":"","family":"Rondeau","given":"Eric","non-dropping-particle":"","parse-names":false,"suffix":""},{"dropping-particle":"","family":"Scully","given":"Marie","non-dropping-particle":"","parse-names":false,"suffix":""},{"dropping-particle":"","family":"Ariceta","given":"Gema","non-dropping-particle":"","parse-names":false,"suffix":""},{"dropping-particle":"","family":"Barbour","given":"Tom","non-dropping-particle":"","parse-names":false,"suffix":""},{"dropping-particle":"","family":"Cataland","given":"Spero","non-dropping-particle":"","parse-names":false,"suffix":""},{"dropping-particle":"","family":"Heyne","given":"Nils","non-dropping-particle":"","parse-names":false,"suffix":""},{"dropping-particle":"","family":"Miyakawa","given":"Yoshitaka","non-dropping-particle":"","parse-names":false,"suffix":""},{"dropping-particle":"","family":"Ortiz","given":"Stephan","non-dropping-particle":"","parse-names":false,"suffix":""},{"dropping-particle":"","family":"Swenson","given":"Eugene","non-dropping-particle":"","parse-names":false,"suffix":""},{"dropping-particle":"","family":"Vallee","given":"Marc","non-dropping-particle":"","parse-names":false,"suffix":""},{"dropping-particle":"","family":"Yoon","given":"Sung-Soo","non-dropping-particle":"","parse-names":false,"suffix":""},{"dropping-particle":"","family":"Kavanagh","given":"David","non-dropping-particle":"","parse-names":false,"suffix":""},{"dropping-particle":"","family":"Haller","given":"Hermann","non-dropping-particle":"","parse-names":false,"suffix":""}],"container-title":"Kidney international","id":"ITEM-1","issue":"6","issued":{"date-parts":[["2020","6"]]},"language":"eng","page":"1287-1296","publisher-place":"United States","title":"The long-acting C5 inhibitor, Ravulizumab, is effective and safe in adult  patients with atypical hemolytic uremic syndrome naïve to complement inhibitor treatment.","type":"article-journal","volume":"97"},"uris":["http://www.mendeley.com/documents/?uuid=eb0e268a-d60e-47e7-a83b-6b1bdd94c294"]}],"mendeley":{"formattedCitation":"&lt;sup&gt;8&lt;/sup&gt;","plainTextFormattedCitation":"8","previouslyFormattedCitation":"&lt;sup&gt;8&lt;/sup&gt;"},"properties":{"noteIndex":0},"schema":"https://github.com/citation-style-language/schema/raw/master/csl-citation.json"}</w:instrText>
      </w:r>
      <w:r w:rsidRPr="0049126A">
        <w:rPr>
          <w:rFonts w:ascii="Times New Roman" w:hAnsi="Times New Roman"/>
          <w:iCs/>
          <w:sz w:val="24"/>
          <w:szCs w:val="24"/>
        </w:rPr>
        <w:fldChar w:fldCharType="separate"/>
      </w:r>
      <w:r w:rsidRPr="0049126A">
        <w:rPr>
          <w:rFonts w:ascii="Times New Roman" w:hAnsi="Times New Roman"/>
          <w:iCs/>
          <w:noProof/>
          <w:sz w:val="24"/>
          <w:szCs w:val="24"/>
          <w:vertAlign w:val="superscript"/>
        </w:rPr>
        <w:t>8</w:t>
      </w:r>
      <w:r w:rsidRPr="0049126A">
        <w:rPr>
          <w:rFonts w:ascii="Times New Roman" w:hAnsi="Times New Roman"/>
          <w:iCs/>
          <w:sz w:val="24"/>
          <w:szCs w:val="24"/>
        </w:rPr>
        <w:fldChar w:fldCharType="end"/>
      </w:r>
      <w:r w:rsidRPr="0049126A">
        <w:rPr>
          <w:rFonts w:ascii="Times New Roman" w:hAnsi="Times New Roman"/>
          <w:iCs/>
          <w:sz w:val="24"/>
          <w:szCs w:val="24"/>
        </w:rPr>
        <w:t xml:space="preserve">. Studiul efectuat pe populația pediatrică a fost un studiu clinic de fază 3 ,multicentric, cu un singur braț terapeutic ce a inclus 18 pacienți cu vârsta &lt;18 ani, care nu au primit anterior tratament cu inhibitori ai complementului. Perioada inițială de tratament a fost de 26 săptămâni, iar perioada de extensie a fost până la 50 de săptămâni. </w:t>
      </w:r>
    </w:p>
    <w:p w14:paraId="36A78BB5" w14:textId="77777777" w:rsidR="009A2C6B" w:rsidRPr="0049126A" w:rsidRDefault="009A2C6B" w:rsidP="009A2C6B">
      <w:pPr>
        <w:spacing w:after="0" w:line="276" w:lineRule="auto"/>
        <w:contextualSpacing/>
        <w:jc w:val="both"/>
        <w:rPr>
          <w:rFonts w:ascii="Times New Roman" w:hAnsi="Times New Roman"/>
          <w:iCs/>
          <w:sz w:val="24"/>
          <w:szCs w:val="24"/>
        </w:rPr>
      </w:pPr>
    </w:p>
    <w:p w14:paraId="2FA7A1EC" w14:textId="10D42BF8" w:rsidR="009A2C6B" w:rsidRPr="0049126A" w:rsidRDefault="009A2C6B" w:rsidP="009A2C6B">
      <w:pPr>
        <w:spacing w:after="0" w:line="276" w:lineRule="auto"/>
        <w:contextualSpacing/>
        <w:jc w:val="both"/>
        <w:rPr>
          <w:rFonts w:ascii="Times New Roman" w:hAnsi="Times New Roman"/>
          <w:iCs/>
          <w:sz w:val="24"/>
          <w:szCs w:val="24"/>
        </w:rPr>
      </w:pPr>
      <w:r w:rsidRPr="0049126A">
        <w:rPr>
          <w:rFonts w:ascii="Times New Roman" w:hAnsi="Times New Roman"/>
          <w:iCs/>
          <w:sz w:val="24"/>
          <w:szCs w:val="24"/>
        </w:rPr>
        <w:t>La inițierea tratamentului 72.2% dintre pacienți aveau afectare extrarenală, 38.9% aveau necesar de terapie intensivă, iar rata de filtrare glomerulară era 22 ml/min/1.73m</w:t>
      </w:r>
      <w:r w:rsidRPr="0049126A">
        <w:rPr>
          <w:rFonts w:ascii="Times New Roman" w:hAnsi="Times New Roman"/>
          <w:iCs/>
          <w:sz w:val="24"/>
          <w:szCs w:val="24"/>
          <w:vertAlign w:val="superscript"/>
        </w:rPr>
        <w:t>2</w:t>
      </w:r>
      <w:r w:rsidRPr="0049126A">
        <w:rPr>
          <w:rFonts w:ascii="Times New Roman" w:hAnsi="Times New Roman"/>
          <w:iCs/>
          <w:sz w:val="24"/>
          <w:szCs w:val="24"/>
        </w:rPr>
        <w:t>. După 26 de săptămâni de tratament răspunsul complet privind MAT a fost observat la 77.8% dintre pacienți, iar după 50 de săptămâni 94.4%. Normalizarea valorilor trombocitelor, a LDH-ului și scăderea valorii serice a creatininei cu ≥ 25% au fost observate la 94.4%, 88.9% și  respectiv 83.3% dintre pacienți. A fost observată o îmbunătățire semnificativă a ratei de filtrare glomerulară la 26 de săptămâni (80 ml/min/1.73m</w:t>
      </w:r>
      <w:r w:rsidRPr="0049126A">
        <w:rPr>
          <w:rFonts w:ascii="Times New Roman" w:hAnsi="Times New Roman"/>
          <w:iCs/>
          <w:sz w:val="24"/>
          <w:szCs w:val="24"/>
          <w:vertAlign w:val="superscript"/>
        </w:rPr>
        <w:t>2</w:t>
      </w:r>
      <w:r w:rsidRPr="0049126A">
        <w:rPr>
          <w:rFonts w:ascii="Times New Roman" w:hAnsi="Times New Roman"/>
          <w:iCs/>
          <w:sz w:val="24"/>
          <w:szCs w:val="24"/>
        </w:rPr>
        <w:t>)  și 50 de săptămâni (94 ml/min/1.73m</w:t>
      </w:r>
      <w:r w:rsidRPr="0049126A">
        <w:rPr>
          <w:rFonts w:ascii="Times New Roman" w:hAnsi="Times New Roman"/>
          <w:iCs/>
          <w:sz w:val="24"/>
          <w:szCs w:val="24"/>
          <w:vertAlign w:val="superscript"/>
        </w:rPr>
        <w:t>2</w:t>
      </w:r>
      <w:r w:rsidRPr="0049126A">
        <w:rPr>
          <w:rFonts w:ascii="Times New Roman" w:hAnsi="Times New Roman"/>
          <w:iCs/>
          <w:sz w:val="24"/>
          <w:szCs w:val="24"/>
        </w:rPr>
        <w:t>). Nu au fost raportate reacții adverse neașteptate, decese sau infecții meningococice</w:t>
      </w:r>
      <w:r w:rsidRPr="0049126A">
        <w:rPr>
          <w:rFonts w:ascii="Times New Roman" w:hAnsi="Times New Roman"/>
          <w:iCs/>
          <w:sz w:val="24"/>
          <w:szCs w:val="24"/>
        </w:rPr>
        <w:fldChar w:fldCharType="begin" w:fldLock="1"/>
      </w:r>
      <w:r w:rsidRPr="0049126A">
        <w:rPr>
          <w:rFonts w:ascii="Times New Roman" w:hAnsi="Times New Roman"/>
          <w:iCs/>
          <w:sz w:val="24"/>
          <w:szCs w:val="24"/>
        </w:rPr>
        <w:instrText>ADDIN CSL_CITATION {"citationItems":[{"id":"ITEM-1","itemData":{"DOI":"10.1016/j.kint.2020.10.046","ISSN":"1523-1755 (Electronic)","PMID":"33307104","abstract":"Ravulizumab, a long-acting complement C5 inhibitor engineered from eculizumab,  allows extending maintenance dosing from every 2-3 weeks to every 4-8 weeks depending on bodyweight. Here, we evaluated the efficacy and safety of ravulizumab in complement inhibitor-naïve children (under 18 years) with atypical hemolytic uremic syndrome. In this phase III, single-arm trial, ravulizumab was administered every eight weeks in patients 20 kg and over, and four weeks in patients under 20 kg. The primary endpoint was a complete thrombotic microangiopathy response (normalization of platelet count and lactate dehydrogenase, and a 25% or more improvement in serum creatinine) through 26 weeks. Secondary endpoints included change in hematologic parameters and kidney function. 18 patients with a median age of 5.2 years were evaluated. At baseline, symptoms of atypical hemolytic uremic syndrome outside the kidney were present in 72.2% of patients and 38.9% had been in intensive care. Baseline estimated glomerular filtration rate was 22 mL/min/1.73 m(2). By week 26, 77.8% of patients achieved a complete thrombotic microangiopathy response; 94.4%, 88.9% and 83.3% of patients achieved platelet normalization, lactate dehydrogenase normalization and a 25% or more improvement in serum creatinine, respectively. By week 50, 94.4% patients had achieved a complete thrombotic microangiopathy response. Median improvement in platelet count was 246 and 213 x10(9)/L through week 26 and week 50, respectively. The median increase above baseline in estimated glomerular filtration rate was 80 and 94 mL/min/1.73m(2) through week 26 and week 50, respectively. No unexpected adverse events, deaths, or meningococcal infections occurred. Thus, ravulizumab rapidly improved hematologic and kidney parameters with no unexpected safety concerns in complement inhibitor-naïve children with atypical hemolytic uremic syndrome.","author":[{"dropping-particle":"","family":"Ariceta","given":"Gema","non-dropping-particle":"","parse-names":false,"suffix":""},{"dropping-particle":"","family":"Dixon","given":"Bradley P","non-dropping-particle":"","parse-names":false,"suffix":""},{"dropping-particle":"","family":"Kim","given":"Seong Heon","non-dropping-particle":"","parse-names":false,"suffix":""},{"dropping-particle":"","family":"Kapur","given":"Gaurav","non-dropping-particle":"","parse-names":false,"suffix":""},{"dropping-particle":"","family":"Mauch","given":"Teri","non-dropping-particle":"","parse-names":false,"suffix":""},{"dropping-particle":"","family":"Ortiz","given":"Stephan","non-dropping-particle":"","parse-names":false,"suffix":""},{"dropping-particle":"","family":"Vallee","given":"Marc","non-dropping-particle":"","parse-names":false,"suffix":""},{"dropping-particle":"","family":"Denker","given":"Andrew E","non-dropping-particle":"","parse-names":false,"suffix":""},{"dropping-particle":"","family":"Kang","given":"Hee Gyung","non-dropping-particle":"","parse-names":false,"suffix":""},{"dropping-particle":"","family":"Greenbaum","given":"Larry A","non-dropping-particle":"","parse-names":false,"suffix":""}],"container-title":"Kidney international","id":"ITEM-1","issue":"1","issued":{"date-parts":[["2021","7"]]},"language":"eng","page":"225-237","publisher-place":"United States","title":"The long-acting C5 inhibitor, ravulizumab, is effective and safe in pediatric  patients with atypical hemolytic uremic syndrome naïve to complement inhibitor treatment.","type":"article-journal","volume":"100"},"uris":["http://www.mendeley.com/documents/?uuid=a7434069-1ac4-472f-972c-3d1c7a869154"]}],"mendeley":{"formattedCitation":"&lt;sup&gt;9&lt;/sup&gt;","plainTextFormattedCitation":"9","previouslyFormattedCitation":"&lt;sup&gt;9&lt;/sup&gt;"},"properties":{"noteIndex":0},"schema":"https://github.com/citation-style-language/schema/raw/master/csl-citation.json"}</w:instrText>
      </w:r>
      <w:r w:rsidRPr="0049126A">
        <w:rPr>
          <w:rFonts w:ascii="Times New Roman" w:hAnsi="Times New Roman"/>
          <w:iCs/>
          <w:sz w:val="24"/>
          <w:szCs w:val="24"/>
        </w:rPr>
        <w:fldChar w:fldCharType="separate"/>
      </w:r>
      <w:r w:rsidRPr="0049126A">
        <w:rPr>
          <w:rFonts w:ascii="Times New Roman" w:hAnsi="Times New Roman"/>
          <w:iCs/>
          <w:noProof/>
          <w:sz w:val="24"/>
          <w:szCs w:val="24"/>
          <w:vertAlign w:val="superscript"/>
        </w:rPr>
        <w:t>9</w:t>
      </w:r>
      <w:r w:rsidRPr="0049126A">
        <w:rPr>
          <w:rFonts w:ascii="Times New Roman" w:hAnsi="Times New Roman"/>
          <w:iCs/>
          <w:sz w:val="24"/>
          <w:szCs w:val="24"/>
        </w:rPr>
        <w:fldChar w:fldCharType="end"/>
      </w:r>
      <w:r w:rsidRPr="0049126A">
        <w:rPr>
          <w:rFonts w:ascii="Times New Roman" w:hAnsi="Times New Roman"/>
          <w:iCs/>
          <w:sz w:val="24"/>
          <w:szCs w:val="24"/>
        </w:rPr>
        <w:t xml:space="preserve">. </w:t>
      </w:r>
    </w:p>
    <w:p w14:paraId="4CFB963A" w14:textId="77777777" w:rsidR="009A2C6B" w:rsidRPr="0049126A" w:rsidRDefault="009A2C6B" w:rsidP="009A2C6B">
      <w:pPr>
        <w:spacing w:after="0" w:line="276" w:lineRule="auto"/>
        <w:contextualSpacing/>
        <w:rPr>
          <w:rFonts w:ascii="Times New Roman" w:hAnsi="Times New Roman"/>
          <w:iCs/>
          <w:sz w:val="24"/>
          <w:szCs w:val="24"/>
        </w:rPr>
      </w:pPr>
    </w:p>
    <w:p w14:paraId="6859B06E" w14:textId="77777777" w:rsidR="009A2C6B" w:rsidRPr="0049126A" w:rsidRDefault="009A2C6B" w:rsidP="009A2C6B">
      <w:pPr>
        <w:spacing w:after="0" w:line="276" w:lineRule="auto"/>
        <w:contextualSpacing/>
        <w:rPr>
          <w:rFonts w:ascii="Times New Roman" w:hAnsi="Times New Roman"/>
          <w:b/>
          <w:bCs/>
          <w:i/>
          <w:sz w:val="24"/>
          <w:szCs w:val="24"/>
        </w:rPr>
      </w:pPr>
    </w:p>
    <w:p w14:paraId="53D24B45" w14:textId="77777777" w:rsidR="009A2C6B" w:rsidRPr="0049126A" w:rsidRDefault="009A2C6B" w:rsidP="009A2C6B">
      <w:pPr>
        <w:spacing w:after="0" w:line="276" w:lineRule="auto"/>
        <w:contextualSpacing/>
        <w:rPr>
          <w:rFonts w:ascii="Times New Roman" w:hAnsi="Times New Roman"/>
          <w:b/>
          <w:bCs/>
          <w:i/>
          <w:sz w:val="24"/>
          <w:szCs w:val="24"/>
        </w:rPr>
      </w:pPr>
    </w:p>
    <w:p w14:paraId="459E71B4" w14:textId="77777777" w:rsidR="009A2C6B" w:rsidRPr="0049126A" w:rsidRDefault="009A2C6B" w:rsidP="009A2C6B">
      <w:pPr>
        <w:spacing w:after="0" w:line="276" w:lineRule="auto"/>
        <w:contextualSpacing/>
        <w:rPr>
          <w:rFonts w:ascii="Times New Roman" w:hAnsi="Times New Roman"/>
          <w:b/>
          <w:bCs/>
          <w:i/>
          <w:sz w:val="24"/>
          <w:szCs w:val="24"/>
        </w:rPr>
      </w:pPr>
    </w:p>
    <w:p w14:paraId="6ABF1173" w14:textId="77777777" w:rsidR="009A2C6B" w:rsidRPr="0049126A" w:rsidRDefault="009A2C6B" w:rsidP="009A2C6B">
      <w:pPr>
        <w:spacing w:after="0" w:line="276" w:lineRule="auto"/>
        <w:contextualSpacing/>
        <w:rPr>
          <w:rFonts w:ascii="Times New Roman" w:hAnsi="Times New Roman"/>
          <w:b/>
          <w:bCs/>
          <w:sz w:val="24"/>
          <w:szCs w:val="24"/>
        </w:rPr>
      </w:pPr>
      <w:r w:rsidRPr="0049126A">
        <w:rPr>
          <w:rFonts w:ascii="Times New Roman" w:hAnsi="Times New Roman"/>
          <w:b/>
          <w:bCs/>
          <w:sz w:val="24"/>
          <w:szCs w:val="24"/>
        </w:rPr>
        <w:lastRenderedPageBreak/>
        <w:t>I. Indicația terapeutică</w:t>
      </w:r>
    </w:p>
    <w:p w14:paraId="3F0D5593" w14:textId="77777777" w:rsidR="009A2C6B" w:rsidRPr="0049126A" w:rsidRDefault="009A2C6B" w:rsidP="009A2C6B">
      <w:pPr>
        <w:spacing w:after="0" w:line="276" w:lineRule="auto"/>
        <w:contextualSpacing/>
        <w:jc w:val="both"/>
        <w:rPr>
          <w:rFonts w:ascii="Times New Roman" w:hAnsi="Times New Roman"/>
          <w:iCs/>
          <w:sz w:val="24"/>
          <w:szCs w:val="24"/>
        </w:rPr>
      </w:pPr>
      <w:r w:rsidRPr="0049126A">
        <w:rPr>
          <w:rFonts w:ascii="Times New Roman" w:hAnsi="Times New Roman"/>
          <w:iCs/>
          <w:sz w:val="24"/>
          <w:szCs w:val="24"/>
        </w:rPr>
        <w:t>Ravulizumab este indicat în tratamentul pacienților cu diagnostic de SHUa, cu greutate corporală ≥10 kg, care nu au fost tratați anterior cu inhibitori de complement sau au fost tratați cu eculizumab pe o perioadă de cel puțin 3 luni și prezintă dovezi de răspuns la acesta.</w:t>
      </w:r>
    </w:p>
    <w:p w14:paraId="7D98B859" w14:textId="77777777" w:rsidR="009A2C6B" w:rsidRPr="0049126A" w:rsidRDefault="009A2C6B" w:rsidP="009A2C6B">
      <w:pPr>
        <w:spacing w:after="0" w:line="276" w:lineRule="auto"/>
        <w:contextualSpacing/>
        <w:rPr>
          <w:rFonts w:ascii="Times New Roman" w:hAnsi="Times New Roman"/>
          <w:b/>
          <w:bCs/>
          <w:iCs/>
          <w:sz w:val="24"/>
          <w:szCs w:val="24"/>
        </w:rPr>
      </w:pPr>
    </w:p>
    <w:p w14:paraId="66E52744" w14:textId="77777777" w:rsidR="009A2C6B" w:rsidRPr="0049126A" w:rsidRDefault="009A2C6B" w:rsidP="009A2C6B">
      <w:pPr>
        <w:spacing w:after="0" w:line="276" w:lineRule="auto"/>
        <w:contextualSpacing/>
        <w:rPr>
          <w:rFonts w:ascii="Times New Roman" w:hAnsi="Times New Roman" w:cs="Times New Roman"/>
          <w:b/>
          <w:bCs/>
          <w:sz w:val="24"/>
          <w:szCs w:val="24"/>
        </w:rPr>
      </w:pPr>
      <w:r w:rsidRPr="0049126A">
        <w:rPr>
          <w:rFonts w:ascii="Times New Roman" w:hAnsi="Times New Roman" w:cs="Times New Roman"/>
          <w:b/>
          <w:bCs/>
          <w:sz w:val="24"/>
          <w:szCs w:val="24"/>
        </w:rPr>
        <w:t>II. Criterii de eligibilitate pentru tratament</w:t>
      </w:r>
    </w:p>
    <w:p w14:paraId="00203C24" w14:textId="77777777" w:rsidR="009A2C6B" w:rsidRPr="0049126A" w:rsidRDefault="009A2C6B" w:rsidP="009A2C6B">
      <w:pPr>
        <w:pStyle w:val="Default"/>
        <w:spacing w:after="240" w:line="276" w:lineRule="auto"/>
        <w:rPr>
          <w:rFonts w:ascii="Times New Roman" w:hAnsi="Times New Roman" w:cs="Times New Roman"/>
          <w:color w:val="auto"/>
        </w:rPr>
      </w:pPr>
      <w:r w:rsidRPr="0049126A">
        <w:rPr>
          <w:rFonts w:ascii="Times New Roman" w:hAnsi="Times New Roman" w:cs="Times New Roman"/>
          <w:b/>
          <w:bCs/>
          <w:color w:val="auto"/>
        </w:rPr>
        <w:t xml:space="preserve">1. Criterii de includere </w:t>
      </w:r>
    </w:p>
    <w:p w14:paraId="6FAFDBC9" w14:textId="70508872" w:rsidR="009A2C6B" w:rsidRPr="0049126A" w:rsidRDefault="009A2C6B" w:rsidP="00367864">
      <w:pPr>
        <w:pStyle w:val="ListParagraph"/>
        <w:numPr>
          <w:ilvl w:val="0"/>
          <w:numId w:val="118"/>
        </w:numPr>
        <w:spacing w:after="240" w:line="276" w:lineRule="auto"/>
        <w:jc w:val="both"/>
        <w:rPr>
          <w:color w:val="auto"/>
        </w:rPr>
      </w:pPr>
      <w:r w:rsidRPr="0049126A">
        <w:rPr>
          <w:color w:val="auto"/>
        </w:rPr>
        <w:t>Pacienți cu microangiopatie trombotică (MAT) mediată de defecte ale cascadei complementului dovedită prin:</w:t>
      </w:r>
    </w:p>
    <w:p w14:paraId="488F9C64" w14:textId="77777777" w:rsidR="009A2C6B" w:rsidRPr="0049126A" w:rsidRDefault="009A2C6B" w:rsidP="00367864">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Anemie hemolitică microangiopatică (scăderea hemoglobinei, a haptoglobinei, creșterea LDH, prezența reticulocitozei și a schistocitelor pe frotiul sangvin periferic). De menționat faptul că sunt cazuri de MAT care nu întrunesc toate criteriile pentru anemia hemolitică microangiopatică (ex: forme limitate renal).</w:t>
      </w:r>
    </w:p>
    <w:p w14:paraId="486F7F9F" w14:textId="77777777" w:rsidR="009A2C6B" w:rsidRPr="0049126A" w:rsidRDefault="009A2C6B" w:rsidP="00367864">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Trombocitopenie</w:t>
      </w:r>
    </w:p>
    <w:p w14:paraId="787FC1B0" w14:textId="77777777" w:rsidR="009A2C6B" w:rsidRPr="0049126A" w:rsidRDefault="009A2C6B" w:rsidP="00367864">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Afectare de organ</w:t>
      </w:r>
    </w:p>
    <w:p w14:paraId="58366F5A" w14:textId="77777777" w:rsidR="009A2C6B" w:rsidRPr="0049126A" w:rsidRDefault="009A2C6B" w:rsidP="00367864">
      <w:pPr>
        <w:pStyle w:val="ListParagraph"/>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Rinichi: injurie acută a rinichiului, HTA, oligoanuria, proteinurie, hematurie, dovada histologică a microangiopatiei trombotice formă acută/cronică (criteriul nu este obligatoriu)</w:t>
      </w:r>
    </w:p>
    <w:p w14:paraId="3B5AB79F" w14:textId="77777777" w:rsidR="009A2C6B" w:rsidRPr="0049126A" w:rsidRDefault="009A2C6B" w:rsidP="00367864">
      <w:pPr>
        <w:pStyle w:val="ListParagraph"/>
        <w:numPr>
          <w:ilvl w:val="1"/>
          <w:numId w:val="117"/>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Afectare extrarenală: neurologică, digestivă, pulmonară, cardiacă, cutanată, oculară</w:t>
      </w:r>
      <w:r w:rsidRPr="0049126A">
        <w:rPr>
          <w:color w:val="auto"/>
        </w:rPr>
        <w:fldChar w:fldCharType="begin" w:fldLock="1"/>
      </w:r>
      <w:r w:rsidRPr="0049126A">
        <w:rPr>
          <w:color w:val="auto"/>
        </w:rPr>
        <w:instrText>ADDIN CSL_CITATION {"citationItems":[{"id":"ITEM-1","itemData":{"DOI":"10.2215/CJN.00620117","ISSN":"1555905X","PMID":"29042465","abstract":"Thrombotic microangiopathy is a common renal pathologic finding, which is characterized by the presence of endothelial cell injury and microvascular thrombi. The spectrum of clinical diseases that are connected by a thrombotic microangiopathic injury may appear to be unrelated, but overactivation of the complement system is emerging as an important mechanism, especially in atypical hemolytic uremic syndrome, anti-phospholipid antibody syndrome, scleroderma renal crisis, and others. Although few pathologic findings enable the pathologist to establish the precise etiology of the microvascular injury, the kidney biopsy remains the gold standard for diagnosing renal thrombotic microangiopathy and excluding other potential causes of kidney injury. After this critical step, additional investigation of the clinical and laboratory data is necessary to establish the underlying etiology and guide subsequent therapeutic options. The salient clinical and pathologic features of common diseases that are associated with thrombotic microangiopathy will be discussed.","author":[{"dropping-particle":"","family":"Brocklebank","given":"Vicky","non-dropping-particle":"","parse-names":false,"suffix":""},{"dropping-particle":"","family":"Wood","given":"Katrina M.","non-dropping-particle":"","parse-names":false,"suffix":""},{"dropping-particle":"","family":"Kavanagh","given":"David","non-dropping-particle":"","parse-names":false,"suffix":""}],"container-title":"Clinical Journal of the American Society of Nephrology","id":"ITEM-1","issue":"2","issued":{"date-parts":[["2018"]]},"page":"300-317","title":"Thrombotic microangiopathy and the kidney","type":"article-journal","volume":"13"},"uris":["http://www.mendeley.com/documents/?uuid=0da3c921-0c07-42c1-b4f4-c3bd3c34906c","http://www.mendeley.com/documents/?uuid=ea1f6c1e-7457-41bf-ad3c-151b26b6dc29"]}],"mendeley":{"formattedCitation":"&lt;sup&gt;3&lt;/sup&gt;","plainTextFormattedCitation":"3","previouslyFormattedCitation":"&lt;sup&gt;3&lt;/sup&gt;"},"properties":{"noteIndex":0},"schema":"https://github.com/citation-style-language/schema/raw/master/csl-citation.json"}</w:instrText>
      </w:r>
      <w:r w:rsidRPr="0049126A">
        <w:rPr>
          <w:color w:val="auto"/>
        </w:rPr>
        <w:fldChar w:fldCharType="separate"/>
      </w:r>
      <w:r w:rsidRPr="0049126A">
        <w:rPr>
          <w:noProof/>
          <w:color w:val="auto"/>
          <w:vertAlign w:val="superscript"/>
        </w:rPr>
        <w:t>3</w:t>
      </w:r>
      <w:r w:rsidRPr="0049126A">
        <w:rPr>
          <w:color w:val="auto"/>
        </w:rPr>
        <w:fldChar w:fldCharType="end"/>
      </w:r>
      <w:r w:rsidRPr="0049126A">
        <w:rPr>
          <w:color w:val="auto"/>
        </w:rPr>
        <w:t xml:space="preserve"> (asocierea nu este obligatorie).</w:t>
      </w:r>
    </w:p>
    <w:p w14:paraId="22432621" w14:textId="77777777" w:rsidR="009A2C6B" w:rsidRPr="0049126A" w:rsidRDefault="009A2C6B" w:rsidP="00367864">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Excluderea altor cauze de microangiopatie trombotică (</w:t>
      </w:r>
      <w:r w:rsidRPr="0049126A">
        <w:rPr>
          <w:b/>
          <w:bCs/>
          <w:color w:val="auto"/>
        </w:rPr>
        <w:t>Figura 1</w:t>
      </w:r>
      <w:r w:rsidRPr="0049126A">
        <w:rPr>
          <w:color w:val="auto"/>
        </w:rPr>
        <w:t>)</w:t>
      </w:r>
    </w:p>
    <w:p w14:paraId="051A91E4"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Dozarea activității proteazei ADAMTS13</w:t>
      </w:r>
    </w:p>
    <w:p w14:paraId="675B7965"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Excluderea cauzelor infecțioase (SHU secundar infecției cu E. Coli entero-patogen: SHU-STEC), medicamentoase, bolilor autoimune/neoplaziilor.</w:t>
      </w:r>
    </w:p>
    <w:p w14:paraId="3B4CFFEB" w14:textId="77777777" w:rsidR="009A2C6B" w:rsidRPr="0049126A" w:rsidRDefault="009A2C6B" w:rsidP="00367864">
      <w:pPr>
        <w:pStyle w:val="ListParagraph"/>
        <w:numPr>
          <w:ilvl w:val="0"/>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Confirmarea dereglării căii alterne a complementului (</w:t>
      </w:r>
      <w:r w:rsidRPr="0049126A">
        <w:rPr>
          <w:b/>
          <w:bCs/>
          <w:color w:val="auto"/>
        </w:rPr>
        <w:t>Tabel 2, Figura 2</w:t>
      </w:r>
      <w:r w:rsidRPr="0049126A">
        <w:rPr>
          <w:color w:val="auto"/>
        </w:rPr>
        <w:t xml:space="preserve">). </w:t>
      </w:r>
    </w:p>
    <w:p w14:paraId="1402A740"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Dozarea nivelului seric al componentelor complementului (C3 și C4)</w:t>
      </w:r>
    </w:p>
    <w:p w14:paraId="44D703AA"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Teste funcționale (CH50 și AP50)</w:t>
      </w:r>
    </w:p>
    <w:p w14:paraId="07B45A31"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Cuantificarea produșilor de degradare: C3d, Bb, C5b-C9.</w:t>
      </w:r>
    </w:p>
    <w:p w14:paraId="2CF4BD94"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567" w:hanging="283"/>
        <w:contextualSpacing/>
        <w:jc w:val="both"/>
        <w:rPr>
          <w:color w:val="auto"/>
        </w:rPr>
      </w:pPr>
      <w:r w:rsidRPr="0049126A">
        <w:rPr>
          <w:color w:val="auto"/>
        </w:rPr>
        <w:t>Determinarea autoanticorpilor anti-factor I sau H.</w:t>
      </w:r>
    </w:p>
    <w:p w14:paraId="5B549F05" w14:textId="77777777" w:rsidR="009A2C6B" w:rsidRPr="0049126A" w:rsidRDefault="009A2C6B" w:rsidP="00367864">
      <w:pPr>
        <w:pStyle w:val="ListParagraph"/>
        <w:numPr>
          <w:ilvl w:val="1"/>
          <w:numId w:val="11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contextualSpacing/>
        <w:jc w:val="both"/>
        <w:rPr>
          <w:color w:val="auto"/>
        </w:rPr>
      </w:pPr>
      <w:r w:rsidRPr="0049126A">
        <w:rPr>
          <w:color w:val="auto"/>
        </w:rPr>
        <w:t>Teste genetice (criteriul este recomandat pentru evaluarea prognosticului, dar nu este obligatoriu; mutații vor fi identificate la 60-70% dintre pacienți).</w:t>
      </w:r>
    </w:p>
    <w:p w14:paraId="3247FCBB" w14:textId="77777777" w:rsidR="009A2C6B" w:rsidRPr="0049126A" w:rsidRDefault="009A2C6B" w:rsidP="009A2C6B">
      <w:pPr>
        <w:spacing w:line="276" w:lineRule="auto"/>
        <w:contextualSpacing/>
        <w:jc w:val="both"/>
      </w:pPr>
    </w:p>
    <w:p w14:paraId="25CD3C2F" w14:textId="2EA2B19C" w:rsidR="009A2C6B" w:rsidRPr="0049126A" w:rsidRDefault="009A2C6B" w:rsidP="00367864">
      <w:pPr>
        <w:pStyle w:val="ListParagraph"/>
        <w:numPr>
          <w:ilvl w:val="0"/>
          <w:numId w:val="118"/>
        </w:numPr>
        <w:spacing w:line="276" w:lineRule="auto"/>
        <w:contextualSpacing/>
        <w:jc w:val="both"/>
        <w:rPr>
          <w:color w:val="auto"/>
        </w:rPr>
      </w:pPr>
      <w:r w:rsidRPr="0049126A">
        <w:rPr>
          <w:color w:val="auto"/>
        </w:rPr>
        <w:t>Pacienți care nu au fost tratați anterior cu inhibitori de complement sau au fost tratați cu eculizumab pe o perioadă de cel puțin 3 luni și prezintă dovezi de răspuns la acesta.</w:t>
      </w:r>
    </w:p>
    <w:p w14:paraId="62D089BD" w14:textId="77777777" w:rsidR="009A2C6B" w:rsidRPr="0049126A" w:rsidRDefault="009A2C6B" w:rsidP="009A2C6B">
      <w:pPr>
        <w:spacing w:after="0" w:line="276" w:lineRule="auto"/>
        <w:jc w:val="both"/>
        <w:rPr>
          <w:rFonts w:ascii="Times New Roman" w:hAnsi="Times New Roman"/>
          <w:sz w:val="24"/>
          <w:szCs w:val="24"/>
        </w:rPr>
      </w:pPr>
    </w:p>
    <w:p w14:paraId="4D8AA6CC" w14:textId="77777777" w:rsidR="009A2C6B" w:rsidRPr="0049126A" w:rsidRDefault="009A2C6B" w:rsidP="009A2C6B">
      <w:pPr>
        <w:spacing w:after="0" w:line="276" w:lineRule="auto"/>
        <w:jc w:val="both"/>
        <w:rPr>
          <w:rFonts w:ascii="Times New Roman" w:hAnsi="Times New Roman"/>
          <w:sz w:val="24"/>
          <w:szCs w:val="24"/>
        </w:rPr>
      </w:pPr>
      <w:r w:rsidRPr="0049126A">
        <w:rPr>
          <w:rFonts w:ascii="Times New Roman" w:hAnsi="Times New Roman"/>
          <w:sz w:val="24"/>
          <w:szCs w:val="24"/>
        </w:rPr>
        <w:t>Inițierea tratamentului cu Ravulizumab nu trebuie să fie condiționată de rezultatele acestor teste (cu excepția C3 și C4, multe sunt greu accesibile, cu rezultat disponibil după perioade lungi de timp).</w:t>
      </w:r>
    </w:p>
    <w:p w14:paraId="5B2DC423" w14:textId="77777777" w:rsidR="009A2C6B" w:rsidRPr="0049126A" w:rsidRDefault="009A2C6B" w:rsidP="009A2C6B">
      <w:pPr>
        <w:spacing w:line="276" w:lineRule="auto"/>
        <w:jc w:val="center"/>
        <w:rPr>
          <w:rFonts w:ascii="Times New Roman" w:hAnsi="Times New Roman"/>
          <w:sz w:val="24"/>
          <w:szCs w:val="24"/>
        </w:rPr>
      </w:pPr>
      <w:r w:rsidRPr="0049126A">
        <w:rPr>
          <w:rFonts w:ascii="Times New Roman" w:hAnsi="Times New Roman"/>
          <w:noProof/>
          <w:sz w:val="24"/>
          <w:szCs w:val="24"/>
          <w:lang w:val="en-US"/>
        </w:rPr>
        <w:lastRenderedPageBreak/>
        <w:drawing>
          <wp:inline distT="0" distB="0" distL="0" distR="0" wp14:anchorId="3FFFAD1F" wp14:editId="4EA1419F">
            <wp:extent cx="5731510" cy="7313930"/>
            <wp:effectExtent l="0" t="0" r="2540" b="1270"/>
            <wp:docPr id="711185837"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85837" name="Picture 1" descr="A diagram of a diagra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7313930"/>
                    </a:xfrm>
                    <a:prstGeom prst="rect">
                      <a:avLst/>
                    </a:prstGeom>
                  </pic:spPr>
                </pic:pic>
              </a:graphicData>
            </a:graphic>
          </wp:inline>
        </w:drawing>
      </w:r>
    </w:p>
    <w:p w14:paraId="05CA5F5D" w14:textId="11B3E276" w:rsidR="009A2C6B" w:rsidRPr="0049126A" w:rsidRDefault="009A2C6B" w:rsidP="009A2C6B">
      <w:pPr>
        <w:spacing w:line="276" w:lineRule="auto"/>
        <w:jc w:val="both"/>
        <w:rPr>
          <w:rFonts w:ascii="Times New Roman" w:hAnsi="Times New Roman"/>
          <w:sz w:val="20"/>
          <w:szCs w:val="20"/>
        </w:rPr>
      </w:pPr>
      <w:r w:rsidRPr="0049126A">
        <w:rPr>
          <w:rFonts w:ascii="Times New Roman" w:hAnsi="Times New Roman"/>
          <w:b/>
          <w:sz w:val="20"/>
          <w:szCs w:val="20"/>
        </w:rPr>
        <w:t>Figura 1. Algoritmul de diagnostic și mangement al unui pacient cu tablou clinic de microangiopatie trombotică</w:t>
      </w:r>
      <w:r w:rsidRPr="0049126A">
        <w:rPr>
          <w:rFonts w:ascii="Times New Roman" w:hAnsi="Times New Roman"/>
          <w:sz w:val="20"/>
          <w:szCs w:val="20"/>
        </w:rPr>
        <w:t xml:space="preserve">. Algoritm adaptat după </w:t>
      </w:r>
      <w:r w:rsidRPr="0049126A">
        <w:rPr>
          <w:rFonts w:ascii="Times New Roman" w:hAnsi="Times New Roman"/>
          <w:i/>
          <w:sz w:val="20"/>
          <w:szCs w:val="20"/>
        </w:rPr>
        <w:t>Brocklebank et al</w:t>
      </w:r>
      <w:r w:rsidRPr="0049126A">
        <w:rPr>
          <w:rFonts w:ascii="Times New Roman" w:hAnsi="Times New Roman"/>
          <w:i/>
          <w:sz w:val="20"/>
          <w:szCs w:val="20"/>
        </w:rPr>
        <w:fldChar w:fldCharType="begin" w:fldLock="1"/>
      </w:r>
      <w:r w:rsidRPr="0049126A">
        <w:rPr>
          <w:rFonts w:ascii="Times New Roman" w:hAnsi="Times New Roman"/>
          <w:i/>
          <w:sz w:val="20"/>
          <w:szCs w:val="20"/>
        </w:rPr>
        <w:instrText>ADDIN CSL_CITATION {"citationItems":[{"id":"ITEM-1","itemData":{"DOI":"10.2215/CJN.00620117","ISSN":"1555905X","PMID":"29042465","abstract":"Thrombotic microangiopathy is a common renal pathologic finding, which is characterized by the presence of endothelial cell injury and microvascular thrombi. The spectrum of clinical diseases that are connected by a thrombotic microangiopathic injury may appear to be unrelated, but overactivation of the complement system is emerging as an important mechanism, especially in atypical hemolytic uremic syndrome, anti-phospholipid antibody syndrome, scleroderma renal crisis, and others. Although few pathologic findings enable the pathologist to establish the precise etiology of the microvascular injury, the kidney biopsy remains the gold standard for diagnosing renal thrombotic microangiopathy and excluding other potential causes of kidney injury. After this critical step, additional investigation of the clinical and laboratory data is necessary to establish the underlying etiology and guide subsequent therapeutic options. The salient clinical and pathologic features of common diseases that are associated with thrombotic microangiopathy will be discussed.","author":[{"dropping-particle":"","family":"Brocklebank","given":"Vicky","non-dropping-particle":"","parse-names":false,"suffix":""},{"dropping-particle":"","family":"Wood","given":"Katrina M.","non-dropping-particle":"","parse-names":false,"suffix":""},{"dropping-particle":"","family":"Kavanagh","given":"David","non-dropping-particle":"","parse-names":false,"suffix":""}],"container-title":"Clinical Journal of the American Society of Nephrology","id":"ITEM-1","issue":"2","issued":{"date-parts":[["2018"]]},"page":"300-317","title":"Thrombotic microangiopathy and the kidney","type":"article-journal","volume":"13"},"uris":["http://www.mendeley.com/documents/?uuid=0da3c921-0c07-42c1-b4f4-c3bd3c34906c","http://www.mendeley.com/documents/?uuid=ea1f6c1e-7457-41bf-ad3c-151b26b6dc29"]}],"mendeley":{"formattedCitation":"&lt;sup&gt;3&lt;/sup&gt;","plainTextFormattedCitation":"3","previouslyFormattedCitation":"&lt;sup&gt;3&lt;/sup&gt;"},"properties":{"noteIndex":0},"schema":"https://github.com/citation-style-language/schema/raw/master/csl-citation.json"}</w:instrText>
      </w:r>
      <w:r w:rsidRPr="0049126A">
        <w:rPr>
          <w:rFonts w:ascii="Times New Roman" w:hAnsi="Times New Roman"/>
          <w:i/>
          <w:sz w:val="20"/>
          <w:szCs w:val="20"/>
        </w:rPr>
        <w:fldChar w:fldCharType="separate"/>
      </w:r>
      <w:r w:rsidRPr="0049126A">
        <w:rPr>
          <w:rFonts w:ascii="Times New Roman" w:hAnsi="Times New Roman"/>
          <w:noProof/>
          <w:sz w:val="20"/>
          <w:szCs w:val="20"/>
          <w:vertAlign w:val="superscript"/>
        </w:rPr>
        <w:t>3</w:t>
      </w:r>
      <w:r w:rsidRPr="0049126A">
        <w:rPr>
          <w:rFonts w:ascii="Times New Roman" w:hAnsi="Times New Roman"/>
          <w:i/>
          <w:sz w:val="20"/>
          <w:szCs w:val="20"/>
        </w:rPr>
        <w:fldChar w:fldCharType="end"/>
      </w:r>
      <w:r w:rsidRPr="0049126A">
        <w:rPr>
          <w:rFonts w:ascii="Times New Roman" w:hAnsi="Times New Roman"/>
          <w:i/>
          <w:sz w:val="20"/>
          <w:szCs w:val="20"/>
        </w:rPr>
        <w:t xml:space="preserve"> </w:t>
      </w:r>
      <w:r w:rsidRPr="0049126A">
        <w:rPr>
          <w:rFonts w:ascii="Times New Roman" w:hAnsi="Times New Roman"/>
          <w:sz w:val="20"/>
          <w:szCs w:val="20"/>
        </w:rPr>
        <w:t xml:space="preserve">și </w:t>
      </w:r>
      <w:r w:rsidRPr="0049126A">
        <w:rPr>
          <w:rFonts w:ascii="Times New Roman" w:hAnsi="Times New Roman"/>
          <w:i/>
          <w:sz w:val="20"/>
          <w:szCs w:val="20"/>
        </w:rPr>
        <w:t>Goodship et al</w:t>
      </w:r>
      <w:r w:rsidRPr="0049126A">
        <w:rPr>
          <w:rFonts w:ascii="Times New Roman" w:hAnsi="Times New Roman"/>
          <w:sz w:val="20"/>
          <w:szCs w:val="20"/>
        </w:rPr>
        <w:t>. Abrevieri: MAT, microangiopatie trombotică; Hb, hemoglobină; IRA, injurie renală acută; LDH, lactat dehidrogenaza; CID, coagulare intravasculară diseminată; MER, masă eritrocitară; TSFR, terapie de substituție a funcției renale; PTT, purpura trombotică trombocitopenică; SHU, sindrom hemolitic uremic; PE, plasmafereză; STEC, Shiga-toxin E.Coli; HIV, virusul imunodeficienței umane; LES, lupus eritematos sistemic; CRS, criză renală sclerodermică.</w:t>
      </w:r>
    </w:p>
    <w:p w14:paraId="42333935" w14:textId="77777777" w:rsidR="009A2C6B" w:rsidRPr="0049126A" w:rsidRDefault="009A2C6B" w:rsidP="009A2C6B">
      <w:pPr>
        <w:spacing w:line="276" w:lineRule="auto"/>
        <w:jc w:val="both"/>
        <w:rPr>
          <w:rFonts w:ascii="Times New Roman" w:hAnsi="Times New Roman"/>
          <w:sz w:val="24"/>
          <w:szCs w:val="24"/>
        </w:rPr>
      </w:pPr>
    </w:p>
    <w:p w14:paraId="42267634" w14:textId="77777777" w:rsidR="009A2C6B" w:rsidRPr="0049126A" w:rsidRDefault="009A2C6B" w:rsidP="009A2C6B">
      <w:pPr>
        <w:spacing w:line="276" w:lineRule="auto"/>
        <w:jc w:val="both"/>
        <w:rPr>
          <w:rFonts w:ascii="Times New Roman" w:hAnsi="Times New Roman"/>
          <w:sz w:val="24"/>
          <w:szCs w:val="24"/>
        </w:rPr>
      </w:pPr>
    </w:p>
    <w:p w14:paraId="58917B76" w14:textId="77777777" w:rsidR="009A2C6B" w:rsidRPr="0049126A" w:rsidRDefault="009A2C6B" w:rsidP="009A2C6B">
      <w:pPr>
        <w:spacing w:line="276" w:lineRule="auto"/>
        <w:jc w:val="both"/>
        <w:rPr>
          <w:rFonts w:ascii="Times New Roman" w:hAnsi="Times New Roman"/>
          <w:sz w:val="24"/>
          <w:szCs w:val="24"/>
        </w:rPr>
      </w:pPr>
    </w:p>
    <w:p w14:paraId="3FB934CC" w14:textId="11591F38" w:rsidR="009A2C6B" w:rsidRPr="0049126A" w:rsidRDefault="009A2C6B" w:rsidP="009A2C6B">
      <w:pPr>
        <w:spacing w:line="276" w:lineRule="auto"/>
        <w:jc w:val="both"/>
        <w:rPr>
          <w:rFonts w:ascii="Times New Roman" w:hAnsi="Times New Roman"/>
          <w:sz w:val="24"/>
          <w:szCs w:val="24"/>
        </w:rPr>
      </w:pPr>
      <w:r w:rsidRPr="0049126A">
        <w:rPr>
          <w:rFonts w:ascii="Times New Roman" w:hAnsi="Times New Roman"/>
          <w:sz w:val="24"/>
          <w:szCs w:val="24"/>
        </w:rPr>
        <w:lastRenderedPageBreak/>
        <w:t>Tratamentul este recomandat să fie inițiat cât mai precoce (</w:t>
      </w:r>
      <w:r w:rsidRPr="0049126A">
        <w:rPr>
          <w:rFonts w:ascii="Times New Roman" w:hAnsi="Times New Roman"/>
          <w:sz w:val="24"/>
          <w:szCs w:val="24"/>
          <w:lang w:val="pt-BR"/>
        </w:rPr>
        <w:t>&lt;</w:t>
      </w:r>
      <w:r w:rsidRPr="0049126A">
        <w:rPr>
          <w:rFonts w:ascii="Times New Roman" w:hAnsi="Times New Roman"/>
          <w:sz w:val="24"/>
          <w:szCs w:val="24"/>
        </w:rPr>
        <w:t>24-48 ore) pentru remiterea fenomenelor de microangiopatie trombotică și prevenirea recăderilor pe termen lung. Tratamentul suport este esențial în managementul oricărei microangiopatii trombotice (reechilibrare hidroelectrolitică, transfuzii de masă eritrocitară, terapie de supleere a funcției renale, evitarea administrării de masă trombocitară). În populația pediatrică, se recomandă inițierea de primă intenție a tratamentului cu inhibitori C5 de tipul ravulizumab. La adult, se recomandă terapie inițială cu plasmă pentru o durată maximă de 5 zile, în scopul efectuării screening-ului pentru purpura trombotică trombocitopenică și excluderea cauzelor secundare de microangiopatie trombotică (</w:t>
      </w:r>
      <w:r w:rsidRPr="0049126A">
        <w:rPr>
          <w:rFonts w:ascii="Times New Roman" w:hAnsi="Times New Roman"/>
          <w:b/>
          <w:bCs/>
          <w:sz w:val="24"/>
          <w:szCs w:val="24"/>
        </w:rPr>
        <w:t>Figura 1</w:t>
      </w:r>
      <w:r w:rsidRPr="0049126A">
        <w:rPr>
          <w:rFonts w:ascii="Times New Roman" w:hAnsi="Times New Roman"/>
          <w:sz w:val="24"/>
          <w:szCs w:val="24"/>
        </w:rPr>
        <w:t xml:space="preserve">). </w:t>
      </w:r>
    </w:p>
    <w:p w14:paraId="7492E39F" w14:textId="77777777" w:rsidR="009A2C6B" w:rsidRPr="0049126A" w:rsidRDefault="009A2C6B" w:rsidP="009A2C6B">
      <w:pPr>
        <w:spacing w:line="276" w:lineRule="auto"/>
        <w:jc w:val="both"/>
        <w:rPr>
          <w:rFonts w:ascii="Times New Roman" w:hAnsi="Times New Roman"/>
          <w:b/>
          <w:sz w:val="24"/>
          <w:szCs w:val="24"/>
        </w:rPr>
      </w:pPr>
    </w:p>
    <w:p w14:paraId="3F2B50EC" w14:textId="4805A1D1" w:rsidR="009A2C6B" w:rsidRPr="0049126A" w:rsidRDefault="009A2C6B" w:rsidP="009A2C6B">
      <w:pPr>
        <w:spacing w:line="276" w:lineRule="auto"/>
        <w:jc w:val="both"/>
        <w:rPr>
          <w:rFonts w:ascii="Times New Roman" w:hAnsi="Times New Roman"/>
          <w:b/>
          <w:sz w:val="24"/>
          <w:szCs w:val="24"/>
        </w:rPr>
      </w:pPr>
      <w:r w:rsidRPr="0049126A">
        <w:rPr>
          <w:rFonts w:ascii="Times New Roman" w:hAnsi="Times New Roman"/>
          <w:b/>
          <w:sz w:val="24"/>
          <w:szCs w:val="24"/>
        </w:rPr>
        <w:t>Tabel 2. Screening-ul pentru formele de SHU asociat defectului căii alterne a complementului</w:t>
      </w:r>
      <w:r w:rsidRPr="0049126A">
        <w:rPr>
          <w:rFonts w:ascii="Times New Roman" w:hAnsi="Times New Roman"/>
          <w:b/>
          <w:sz w:val="24"/>
          <w:szCs w:val="24"/>
        </w:rPr>
        <w:fldChar w:fldCharType="begin" w:fldLock="1"/>
      </w:r>
      <w:r w:rsidRPr="0049126A">
        <w:rPr>
          <w:rFonts w:ascii="Times New Roman" w:hAnsi="Times New Roman"/>
          <w:b/>
          <w:sz w:val="24"/>
          <w:szCs w:val="24"/>
        </w:rPr>
        <w:instrText>ADDIN CSL_CITATION {"citationItems":[{"id":"ITEM-1","itemData":{"DOI":"10.1016/j.kint.2015.12.003","ISBN":"1523-1755 (Electronic)\\r0085-2538 (Linking)","ISSN":"15231755","PMID":"26806831","abstract":"Kidney diseases resulting from abnormal control of the complement alternative pathway include atypical hemolytic uremic syndrome, C3 glomerulonephritis, and dense-deposit disease, as well as atypical postinfectious glomerulonephritis. Although clinically diverse, they all result from loss of surface or fluid-phase complement control, caused by acquired or genetic defects in the complement alternative pathway. As such, the diagnostic approach is similar and includes a comprehensive biochemical, genetic, and pathologic analysis of the complement pathway. The biochemical test battery includes functional activity measurements of the entire complement pathway, functional and quantitative analysis of individual components and regulators, and quantification of activation products. In patients with a thrombotic microangiopathy, ADAMTS-13 activity should be determined to exclude a thrombotic thrombocytopenic purpura. The spectrum of genes currently known to be involved in the pathogenesis of alternative pathway disorders is rapidly expanding. Pathologic analysis of a kidney biopsy specimen is sophisticated with ad hoc immunofluorescence studies and laser microdissection with mass spectrometry. The identification of the underlying defect in the alternative pathway based on this comprehensive analysis will allow treatment to be directed to the site of dysregulation.","author":[{"dropping-particle":"","family":"Angioi","given":"Andrea","non-dropping-particle":"","parse-names":false,"suffix":""},{"dropping-particle":"","family":"Fervenza","given":"Fernando C.","non-dropping-particle":"","parse-names":false,"suffix":""},{"dropping-particle":"","family":"Sethi","given":"Sanjeev","non-dropping-particle":"","parse-names":false,"suffix":""},{"dropping-particle":"","family":"Zhang","given":"Yuzhou","non-dropping-particle":"","parse-names":false,"suffix":""},{"dropping-particle":"","family":"Smith","given":"Richard J.","non-dropping-particle":"","parse-names":false,"suffix":""},{"dropping-particle":"","family":"Murray","given":"David","non-dropping-particle":"","parse-names":false,"suffix":""},{"dropping-particle":"","family":"Praet","given":"Jens","non-dropping-particle":"Van","parse-names":false,"suffix":""},{"dropping-particle":"","family":"Pani","given":"Antonello","non-dropping-particle":"","parse-names":false,"suffix":""},{"dropping-particle":"","family":"Vriese","given":"An S.","non-dropping-particle":"De","parse-names":false,"suffix":""}],"container-title":"Kidney International","id":"ITEM-1","issue":"2","issued":{"date-parts":[["2016"]]},"page":"278-288","publisher":"Elsevier Inc","title":"Diagnosis of complement alternative pathway disorders","type":"article-journal","volume":"89"},"uris":["http://www.mendeley.com/documents/?uuid=83e1b09a-a278-47b2-b57a-ba53c1d45bd7","http://www.mendeley.com/documents/?uuid=ee307026-347f-46ac-91e9-6d4c3c8c1cc1"]}],"mendeley":{"formattedCitation":"&lt;sup&gt;12&lt;/sup&gt;","plainTextFormattedCitation":"12","previouslyFormattedCitation":"&lt;sup&gt;12&lt;/sup&gt;"},"properties":{"noteIndex":0},"schema":"https://github.com/citation-style-language/schema/raw/master/csl-citation.json"}</w:instrText>
      </w:r>
      <w:r w:rsidRPr="0049126A">
        <w:rPr>
          <w:rFonts w:ascii="Times New Roman" w:hAnsi="Times New Roman"/>
          <w:b/>
          <w:sz w:val="24"/>
          <w:szCs w:val="24"/>
        </w:rPr>
        <w:fldChar w:fldCharType="end"/>
      </w:r>
    </w:p>
    <w:tbl>
      <w:tblPr>
        <w:tblW w:w="0" w:type="auto"/>
        <w:tblLook w:val="06A0" w:firstRow="1" w:lastRow="0" w:firstColumn="1" w:lastColumn="0" w:noHBand="1" w:noVBand="1"/>
      </w:tblPr>
      <w:tblGrid>
        <w:gridCol w:w="4174"/>
        <w:gridCol w:w="5465"/>
      </w:tblGrid>
      <w:tr w:rsidR="0049126A" w:rsidRPr="0049126A" w14:paraId="5CA4B621" w14:textId="77777777" w:rsidTr="009A2C6B">
        <w:trPr>
          <w:trHeight w:val="420"/>
        </w:trPr>
        <w:tc>
          <w:tcPr>
            <w:tcW w:w="4174" w:type="dxa"/>
            <w:shd w:val="clear" w:color="auto" w:fill="BFBFBF" w:themeFill="background1" w:themeFillShade="BF"/>
          </w:tcPr>
          <w:p w14:paraId="7BCC4D44"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Tipul de investigație</w:t>
            </w:r>
          </w:p>
        </w:tc>
        <w:tc>
          <w:tcPr>
            <w:tcW w:w="5465" w:type="dxa"/>
            <w:shd w:val="clear" w:color="auto" w:fill="BFBFBF" w:themeFill="background1" w:themeFillShade="BF"/>
          </w:tcPr>
          <w:p w14:paraId="67BD1A3E" w14:textId="77777777" w:rsidR="009A2C6B" w:rsidRPr="0049126A" w:rsidRDefault="009A2C6B" w:rsidP="009A2C6B">
            <w:pPr>
              <w:spacing w:line="276" w:lineRule="auto"/>
              <w:rPr>
                <w:rFonts w:ascii="Times New Roman" w:hAnsi="Times New Roman"/>
                <w:b/>
                <w:bCs/>
                <w:sz w:val="20"/>
                <w:szCs w:val="20"/>
              </w:rPr>
            </w:pPr>
          </w:p>
        </w:tc>
      </w:tr>
      <w:tr w:rsidR="0049126A" w:rsidRPr="0049126A" w14:paraId="7BE8A963" w14:textId="77777777" w:rsidTr="009A2C6B">
        <w:trPr>
          <w:trHeight w:val="825"/>
        </w:trPr>
        <w:tc>
          <w:tcPr>
            <w:tcW w:w="4174" w:type="dxa"/>
            <w:tcBorders>
              <w:top w:val="single" w:sz="4" w:space="0" w:color="7F7F7F" w:themeColor="text1" w:themeTint="80"/>
              <w:bottom w:val="single" w:sz="4" w:space="0" w:color="auto"/>
            </w:tcBorders>
          </w:tcPr>
          <w:p w14:paraId="35EC08A0"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Teste funcționale</w:t>
            </w:r>
          </w:p>
        </w:tc>
        <w:tc>
          <w:tcPr>
            <w:tcW w:w="5465" w:type="dxa"/>
            <w:tcBorders>
              <w:top w:val="single" w:sz="4" w:space="0" w:color="7F7F7F" w:themeColor="text1" w:themeTint="80"/>
              <w:bottom w:val="single" w:sz="4" w:space="0" w:color="auto"/>
            </w:tcBorders>
          </w:tcPr>
          <w:p w14:paraId="3B13A689"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Complementul hemolitic total (CH50), activitatea hemolitică a căii alterne a complementului (AP50), evaluarea activității factorului H</w:t>
            </w:r>
          </w:p>
        </w:tc>
      </w:tr>
      <w:tr w:rsidR="0049126A" w:rsidRPr="0049126A" w14:paraId="11940753" w14:textId="77777777" w:rsidTr="009A2C6B">
        <w:trPr>
          <w:trHeight w:val="980"/>
        </w:trPr>
        <w:tc>
          <w:tcPr>
            <w:tcW w:w="4174" w:type="dxa"/>
            <w:tcBorders>
              <w:top w:val="single" w:sz="4" w:space="0" w:color="auto"/>
              <w:bottom w:val="single" w:sz="4" w:space="0" w:color="auto"/>
            </w:tcBorders>
          </w:tcPr>
          <w:p w14:paraId="27B73014"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Cuantificarea calitativă și cantitativă a componentelor complementului și a proteinelor reglatoare</w:t>
            </w:r>
          </w:p>
        </w:tc>
        <w:tc>
          <w:tcPr>
            <w:tcW w:w="5465" w:type="dxa"/>
            <w:tcBorders>
              <w:top w:val="single" w:sz="4" w:space="0" w:color="auto"/>
              <w:bottom w:val="single" w:sz="4" w:space="0" w:color="auto"/>
            </w:tcBorders>
          </w:tcPr>
          <w:p w14:paraId="39BC4582"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Nivelul seric al C3 și C4</w:t>
            </w:r>
          </w:p>
          <w:p w14:paraId="06C368B1"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Determinarea nivelului seric al factorului H, I, B, properdinei, MCP</w:t>
            </w:r>
          </w:p>
        </w:tc>
      </w:tr>
      <w:tr w:rsidR="0049126A" w:rsidRPr="0049126A" w14:paraId="0E88EB92" w14:textId="77777777" w:rsidTr="009A2C6B">
        <w:trPr>
          <w:trHeight w:val="931"/>
        </w:trPr>
        <w:tc>
          <w:tcPr>
            <w:tcW w:w="4174" w:type="dxa"/>
            <w:tcBorders>
              <w:top w:val="single" w:sz="4" w:space="0" w:color="auto"/>
              <w:bottom w:val="single" w:sz="4" w:space="0" w:color="auto"/>
            </w:tcBorders>
          </w:tcPr>
          <w:p w14:paraId="76E9B764"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Cuantificarea produșilor de degradare ai complementului</w:t>
            </w:r>
          </w:p>
        </w:tc>
        <w:tc>
          <w:tcPr>
            <w:tcW w:w="5465" w:type="dxa"/>
            <w:tcBorders>
              <w:top w:val="single" w:sz="4" w:space="0" w:color="auto"/>
              <w:bottom w:val="single" w:sz="4" w:space="0" w:color="auto"/>
            </w:tcBorders>
          </w:tcPr>
          <w:p w14:paraId="7F2D7907"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Determinarea nivelului seric al C3d, Bb și al complexului de atac al membranei solubil (sMAC)</w:t>
            </w:r>
          </w:p>
        </w:tc>
      </w:tr>
      <w:tr w:rsidR="0049126A" w:rsidRPr="0049126A" w14:paraId="2AAE2A34" w14:textId="77777777" w:rsidTr="009A2C6B">
        <w:trPr>
          <w:trHeight w:val="420"/>
        </w:trPr>
        <w:tc>
          <w:tcPr>
            <w:tcW w:w="4174" w:type="dxa"/>
            <w:tcBorders>
              <w:top w:val="single" w:sz="4" w:space="0" w:color="auto"/>
              <w:bottom w:val="single" w:sz="4" w:space="0" w:color="auto"/>
            </w:tcBorders>
          </w:tcPr>
          <w:p w14:paraId="35C1F46A"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Determinarea autoanticorpilor</w:t>
            </w:r>
          </w:p>
        </w:tc>
        <w:tc>
          <w:tcPr>
            <w:tcW w:w="5465" w:type="dxa"/>
            <w:tcBorders>
              <w:top w:val="single" w:sz="4" w:space="0" w:color="auto"/>
              <w:bottom w:val="single" w:sz="4" w:space="0" w:color="auto"/>
            </w:tcBorders>
          </w:tcPr>
          <w:p w14:paraId="6CCA5F12"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Anticorpi anti-factor H și anti-factor I</w:t>
            </w:r>
          </w:p>
        </w:tc>
      </w:tr>
      <w:tr w:rsidR="0049126A" w:rsidRPr="0049126A" w14:paraId="6B88E2F9" w14:textId="77777777" w:rsidTr="009A2C6B">
        <w:trPr>
          <w:trHeight w:val="762"/>
        </w:trPr>
        <w:tc>
          <w:tcPr>
            <w:tcW w:w="4174" w:type="dxa"/>
            <w:tcBorders>
              <w:top w:val="single" w:sz="4" w:space="0" w:color="auto"/>
              <w:bottom w:val="single" w:sz="4" w:space="0" w:color="auto"/>
            </w:tcBorders>
          </w:tcPr>
          <w:p w14:paraId="7695DFAF"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Teste genetice</w:t>
            </w:r>
          </w:p>
        </w:tc>
        <w:tc>
          <w:tcPr>
            <w:tcW w:w="5465" w:type="dxa"/>
            <w:tcBorders>
              <w:top w:val="single" w:sz="4" w:space="0" w:color="auto"/>
              <w:bottom w:val="single" w:sz="4" w:space="0" w:color="auto"/>
            </w:tcBorders>
          </w:tcPr>
          <w:p w14:paraId="6EB331C2"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 xml:space="preserve">Mutații ale genelor care codifică factorul H, I, B, C3, MCP, CFHR 1-5 trombomodulina, diacilglicerol kinaza </w:t>
            </w:r>
            <m:oMath>
              <m:r>
                <w:rPr>
                  <w:rFonts w:ascii="Cambria Math" w:hAnsi="Cambria Math"/>
                  <w:sz w:val="20"/>
                  <w:szCs w:val="20"/>
                </w:rPr>
                <m:t>ε</m:t>
              </m:r>
            </m:oMath>
          </w:p>
        </w:tc>
      </w:tr>
    </w:tbl>
    <w:p w14:paraId="7D786244" w14:textId="1B1D9F07" w:rsidR="009A2C6B" w:rsidRPr="0049126A" w:rsidRDefault="009A2C6B" w:rsidP="009A2C6B">
      <w:pPr>
        <w:spacing w:after="0" w:line="276" w:lineRule="auto"/>
        <w:jc w:val="both"/>
        <w:rPr>
          <w:rFonts w:ascii="Times New Roman" w:hAnsi="Times New Roman"/>
          <w:i/>
          <w:sz w:val="20"/>
          <w:szCs w:val="20"/>
        </w:rPr>
      </w:pPr>
      <w:r w:rsidRPr="0049126A">
        <w:rPr>
          <w:rFonts w:ascii="Times New Roman" w:hAnsi="Times New Roman"/>
          <w:i/>
          <w:sz w:val="20"/>
          <w:szCs w:val="20"/>
        </w:rPr>
        <w:t>Adaptat după Angioi et al. Diagnosis of complement alternative pathway disorders. Kidney Int. 2016</w:t>
      </w:r>
    </w:p>
    <w:p w14:paraId="0E5EB5A1" w14:textId="77777777" w:rsidR="009A2C6B" w:rsidRPr="0049126A" w:rsidRDefault="009A2C6B" w:rsidP="009A2C6B">
      <w:pPr>
        <w:spacing w:line="276" w:lineRule="auto"/>
        <w:jc w:val="both"/>
        <w:rPr>
          <w:rFonts w:ascii="Times New Roman" w:hAnsi="Times New Roman"/>
          <w:i/>
          <w:sz w:val="20"/>
          <w:szCs w:val="20"/>
        </w:rPr>
      </w:pPr>
      <w:r w:rsidRPr="0049126A">
        <w:rPr>
          <w:rFonts w:ascii="Times New Roman" w:hAnsi="Times New Roman"/>
          <w:i/>
          <w:sz w:val="20"/>
          <w:szCs w:val="20"/>
        </w:rPr>
        <w:t>Abrevieri: MCP, membrane cofactor protein; sMAC, complexul de atact al membranei solubil, CFHR, complement factor H related proteins.</w:t>
      </w:r>
    </w:p>
    <w:p w14:paraId="626A9CC1" w14:textId="77777777" w:rsidR="009A2C6B" w:rsidRPr="0049126A" w:rsidRDefault="009A2C6B" w:rsidP="009A2C6B">
      <w:pPr>
        <w:spacing w:line="276" w:lineRule="auto"/>
        <w:rPr>
          <w:rFonts w:ascii="Times New Roman" w:hAnsi="Times New Roman"/>
          <w:sz w:val="24"/>
          <w:szCs w:val="24"/>
        </w:rPr>
      </w:pPr>
    </w:p>
    <w:p w14:paraId="5EC66605" w14:textId="77777777" w:rsidR="009A2C6B" w:rsidRPr="0049126A" w:rsidRDefault="009A2C6B" w:rsidP="009A2C6B">
      <w:pPr>
        <w:spacing w:line="276" w:lineRule="auto"/>
        <w:rPr>
          <w:rFonts w:ascii="Times New Roman" w:hAnsi="Times New Roman"/>
          <w:sz w:val="24"/>
          <w:szCs w:val="24"/>
        </w:rPr>
      </w:pPr>
    </w:p>
    <w:p w14:paraId="035D7D97" w14:textId="77777777" w:rsidR="009A2C6B" w:rsidRPr="0049126A" w:rsidRDefault="009A2C6B" w:rsidP="009A2C6B">
      <w:pPr>
        <w:spacing w:line="276" w:lineRule="auto"/>
        <w:rPr>
          <w:rFonts w:ascii="Times New Roman" w:hAnsi="Times New Roman"/>
          <w:sz w:val="24"/>
          <w:szCs w:val="24"/>
        </w:rPr>
      </w:pPr>
    </w:p>
    <w:p w14:paraId="34A7AB93" w14:textId="77777777" w:rsidR="009A2C6B" w:rsidRPr="0049126A" w:rsidRDefault="009A2C6B" w:rsidP="009A2C6B">
      <w:pPr>
        <w:spacing w:line="276" w:lineRule="auto"/>
        <w:rPr>
          <w:rFonts w:ascii="Times New Roman" w:hAnsi="Times New Roman"/>
          <w:sz w:val="24"/>
          <w:szCs w:val="24"/>
        </w:rPr>
      </w:pPr>
    </w:p>
    <w:p w14:paraId="2F0C8BF4" w14:textId="77777777" w:rsidR="009A2C6B" w:rsidRPr="0049126A" w:rsidRDefault="009A2C6B" w:rsidP="009A2C6B">
      <w:pPr>
        <w:pStyle w:val="Heading2"/>
        <w:spacing w:line="276" w:lineRule="auto"/>
        <w:jc w:val="center"/>
        <w:rPr>
          <w:rFonts w:ascii="Times New Roman" w:hAnsi="Times New Roman"/>
        </w:rPr>
      </w:pPr>
      <w:bookmarkStart w:id="7" w:name="_Toc379436881"/>
      <w:bookmarkStart w:id="8" w:name="_Toc380406691"/>
      <w:r w:rsidRPr="0049126A">
        <w:rPr>
          <w:rFonts w:ascii="Times New Roman" w:hAnsi="Times New Roman"/>
          <w:noProof/>
        </w:rPr>
        <w:lastRenderedPageBreak/>
        <w:drawing>
          <wp:inline distT="0" distB="0" distL="0" distR="0" wp14:anchorId="1B5F55EB" wp14:editId="336FD417">
            <wp:extent cx="5020329" cy="71120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3667" cy="7116729"/>
                    </a:xfrm>
                    <a:prstGeom prst="rect">
                      <a:avLst/>
                    </a:prstGeom>
                    <a:noFill/>
                  </pic:spPr>
                </pic:pic>
              </a:graphicData>
            </a:graphic>
          </wp:inline>
        </w:drawing>
      </w:r>
    </w:p>
    <w:p w14:paraId="1F6DF634" w14:textId="77777777" w:rsidR="009A2C6B" w:rsidRPr="0049126A" w:rsidRDefault="009A2C6B" w:rsidP="00D4112B">
      <w:pPr>
        <w:spacing w:line="276" w:lineRule="auto"/>
        <w:jc w:val="both"/>
        <w:rPr>
          <w:rFonts w:ascii="Times New Roman" w:hAnsi="Times New Roman"/>
          <w:b/>
          <w:sz w:val="20"/>
          <w:szCs w:val="20"/>
        </w:rPr>
      </w:pPr>
    </w:p>
    <w:p w14:paraId="0F61E271" w14:textId="77777777" w:rsidR="009A2C6B" w:rsidRPr="0049126A" w:rsidRDefault="009A2C6B" w:rsidP="00D4112B">
      <w:pPr>
        <w:spacing w:line="276" w:lineRule="auto"/>
        <w:jc w:val="both"/>
        <w:rPr>
          <w:rFonts w:ascii="Times New Roman" w:hAnsi="Times New Roman"/>
          <w:i/>
          <w:sz w:val="20"/>
          <w:szCs w:val="20"/>
        </w:rPr>
      </w:pPr>
      <w:r w:rsidRPr="0049126A">
        <w:rPr>
          <w:rFonts w:ascii="Times New Roman" w:hAnsi="Times New Roman"/>
          <w:b/>
          <w:sz w:val="20"/>
          <w:szCs w:val="20"/>
        </w:rPr>
        <w:t xml:space="preserve">Figura 2. Algoritm de screening al anomaliilor genetice la un pacient cu SHU mediat de dereglarea activității sistemului complement. </w:t>
      </w:r>
      <w:r w:rsidRPr="0049126A">
        <w:rPr>
          <w:rFonts w:ascii="Times New Roman" w:hAnsi="Times New Roman"/>
          <w:sz w:val="20"/>
          <w:szCs w:val="20"/>
        </w:rPr>
        <w:t xml:space="preserve">Evaluarea paraclinică a activității cascadei complementului la un pacient cu SHU începe prin teste funcționale (CH50, AP50) și cantitative (C3, C4). Evidențierea unei hiperactivări a căii alterne trebuie urmată de teste genetice pentru a identifica anomalia/anomaliile genetice patogenice. Screening-ul secvențial în funcție de frecvența mutațiilor genetice optimizează raportul cost-eficiență în ceea ce privește diagnosticul SHU mediat de dereglarea sistemului complement. </w:t>
      </w:r>
      <w:r w:rsidRPr="0049126A">
        <w:rPr>
          <w:rFonts w:ascii="Times New Roman" w:hAnsi="Times New Roman"/>
          <w:i/>
          <w:sz w:val="20"/>
          <w:szCs w:val="20"/>
        </w:rPr>
        <w:t>Abrevieri:CH50, complementul hemolitic total; AP50, activitatea hemolitică a căii alterne a complementului; SHU, sindrom hemolitic uremic; FH, factor H; FI, factor I; MCP, membrane cofactor protein, sMAC, complexul de atac al membranei solubil. Adaptat după Brenner &amp; Rector's The Kidney.</w:t>
      </w:r>
    </w:p>
    <w:bookmarkEnd w:id="7"/>
    <w:bookmarkEnd w:id="8"/>
    <w:p w14:paraId="17E5F2B1" w14:textId="77777777" w:rsidR="009A2C6B" w:rsidRPr="0049126A" w:rsidRDefault="009A2C6B" w:rsidP="00D4112B">
      <w:pPr>
        <w:pStyle w:val="Default"/>
        <w:spacing w:line="276" w:lineRule="auto"/>
        <w:jc w:val="both"/>
        <w:rPr>
          <w:b/>
          <w:bCs/>
          <w:color w:val="auto"/>
          <w:sz w:val="23"/>
          <w:szCs w:val="23"/>
        </w:rPr>
      </w:pPr>
    </w:p>
    <w:p w14:paraId="6B9C372E" w14:textId="77777777" w:rsidR="009A2C6B" w:rsidRPr="0049126A" w:rsidRDefault="009A2C6B" w:rsidP="00D4112B">
      <w:pPr>
        <w:pStyle w:val="Default"/>
        <w:spacing w:line="276" w:lineRule="auto"/>
        <w:jc w:val="both"/>
        <w:rPr>
          <w:b/>
          <w:bCs/>
          <w:color w:val="auto"/>
          <w:sz w:val="23"/>
          <w:szCs w:val="23"/>
        </w:rPr>
      </w:pPr>
    </w:p>
    <w:p w14:paraId="136A6AE1" w14:textId="77777777" w:rsidR="009A2C6B" w:rsidRPr="0049126A" w:rsidRDefault="009A2C6B" w:rsidP="00D4112B">
      <w:pPr>
        <w:pStyle w:val="Default"/>
        <w:spacing w:line="276" w:lineRule="auto"/>
        <w:jc w:val="both"/>
        <w:rPr>
          <w:rFonts w:ascii="Times New Roman" w:hAnsi="Times New Roman" w:cs="Times New Roman"/>
          <w:b/>
          <w:bCs/>
          <w:color w:val="auto"/>
        </w:rPr>
      </w:pPr>
    </w:p>
    <w:p w14:paraId="3938B183" w14:textId="77777777" w:rsidR="009A2C6B" w:rsidRPr="0049126A" w:rsidRDefault="009A2C6B" w:rsidP="00D4112B">
      <w:pPr>
        <w:pStyle w:val="Default"/>
        <w:spacing w:line="276" w:lineRule="auto"/>
        <w:jc w:val="both"/>
        <w:rPr>
          <w:rFonts w:ascii="Times New Roman" w:hAnsi="Times New Roman" w:cs="Times New Roman"/>
          <w:color w:val="auto"/>
        </w:rPr>
      </w:pPr>
      <w:r w:rsidRPr="0049126A">
        <w:rPr>
          <w:rFonts w:ascii="Times New Roman" w:hAnsi="Times New Roman" w:cs="Times New Roman"/>
          <w:b/>
          <w:bCs/>
          <w:color w:val="auto"/>
        </w:rPr>
        <w:lastRenderedPageBreak/>
        <w:t xml:space="preserve">2. Criterii de excludere: </w:t>
      </w:r>
    </w:p>
    <w:p w14:paraId="4EFECBBA" w14:textId="77777777" w:rsidR="009A2C6B" w:rsidRPr="0049126A" w:rsidRDefault="009A2C6B" w:rsidP="00367864">
      <w:pPr>
        <w:pStyle w:val="Default"/>
        <w:numPr>
          <w:ilvl w:val="0"/>
          <w:numId w:val="119"/>
        </w:numPr>
        <w:spacing w:line="276" w:lineRule="auto"/>
        <w:jc w:val="both"/>
        <w:rPr>
          <w:rFonts w:ascii="Times New Roman" w:hAnsi="Times New Roman" w:cs="Times New Roman"/>
          <w:color w:val="auto"/>
        </w:rPr>
      </w:pPr>
      <w:r w:rsidRPr="0049126A">
        <w:rPr>
          <w:rFonts w:ascii="Times New Roman" w:hAnsi="Times New Roman" w:cs="Times New Roman"/>
          <w:color w:val="auto"/>
        </w:rPr>
        <w:t xml:space="preserve">ADAMTS13 &lt; 10% </w:t>
      </w:r>
    </w:p>
    <w:p w14:paraId="1FDA6FF2" w14:textId="77777777" w:rsidR="009A2C6B" w:rsidRPr="0049126A" w:rsidRDefault="009A2C6B" w:rsidP="00367864">
      <w:pPr>
        <w:pStyle w:val="Default"/>
        <w:numPr>
          <w:ilvl w:val="0"/>
          <w:numId w:val="119"/>
        </w:numPr>
        <w:spacing w:line="276" w:lineRule="auto"/>
        <w:jc w:val="both"/>
        <w:rPr>
          <w:rFonts w:ascii="Times New Roman" w:hAnsi="Times New Roman" w:cs="Times New Roman"/>
          <w:color w:val="auto"/>
        </w:rPr>
      </w:pPr>
      <w:r w:rsidRPr="0049126A">
        <w:rPr>
          <w:rFonts w:ascii="Times New Roman" w:hAnsi="Times New Roman" w:cs="Times New Roman"/>
          <w:color w:val="auto"/>
        </w:rPr>
        <w:t xml:space="preserve">Test scaun pozitiv pentru Escherichia coli (E.coli) enteropatogen </w:t>
      </w:r>
    </w:p>
    <w:p w14:paraId="1A05546F" w14:textId="77777777" w:rsidR="009A2C6B" w:rsidRPr="0049126A" w:rsidRDefault="009A2C6B" w:rsidP="00367864">
      <w:pPr>
        <w:pStyle w:val="Default"/>
        <w:numPr>
          <w:ilvl w:val="0"/>
          <w:numId w:val="119"/>
        </w:numPr>
        <w:spacing w:line="276" w:lineRule="auto"/>
        <w:jc w:val="both"/>
        <w:rPr>
          <w:rFonts w:ascii="Times New Roman" w:hAnsi="Times New Roman" w:cs="Times New Roman"/>
          <w:color w:val="auto"/>
        </w:rPr>
      </w:pPr>
      <w:r w:rsidRPr="0049126A">
        <w:rPr>
          <w:rFonts w:ascii="Times New Roman" w:hAnsi="Times New Roman" w:cs="Times New Roman"/>
          <w:color w:val="auto"/>
        </w:rPr>
        <w:t xml:space="preserve">Confirmarea unui tip de microangiopatie trombotica secundara (cauze medicamentoase, boli autoimune/neoplazii, transplant medular, sepsis) </w:t>
      </w:r>
    </w:p>
    <w:p w14:paraId="5984DEAB" w14:textId="77777777" w:rsidR="009A2C6B" w:rsidRPr="0049126A" w:rsidRDefault="009A2C6B" w:rsidP="00D4112B">
      <w:pPr>
        <w:spacing w:after="0" w:line="276" w:lineRule="auto"/>
        <w:contextualSpacing/>
        <w:jc w:val="both"/>
        <w:rPr>
          <w:rFonts w:ascii="Times New Roman" w:hAnsi="Times New Roman" w:cs="Times New Roman"/>
          <w:b/>
          <w:bCs/>
          <w:iCs/>
          <w:sz w:val="24"/>
          <w:szCs w:val="24"/>
        </w:rPr>
      </w:pPr>
    </w:p>
    <w:p w14:paraId="595F36BD" w14:textId="5A6A89B0" w:rsidR="009A2C6B" w:rsidRPr="0049126A" w:rsidRDefault="009A2C6B" w:rsidP="00D4112B">
      <w:pPr>
        <w:spacing w:after="0" w:line="276" w:lineRule="auto"/>
        <w:contextualSpacing/>
        <w:jc w:val="both"/>
        <w:rPr>
          <w:rFonts w:ascii="Times New Roman" w:hAnsi="Times New Roman" w:cs="Times New Roman"/>
          <w:b/>
          <w:bCs/>
          <w:iCs/>
          <w:sz w:val="24"/>
          <w:szCs w:val="24"/>
        </w:rPr>
      </w:pPr>
      <w:r w:rsidRPr="0049126A">
        <w:rPr>
          <w:rFonts w:ascii="Times New Roman" w:hAnsi="Times New Roman" w:cs="Times New Roman"/>
          <w:b/>
          <w:bCs/>
          <w:iCs/>
          <w:sz w:val="24"/>
          <w:szCs w:val="24"/>
        </w:rPr>
        <w:t>III. Tratament</w:t>
      </w:r>
    </w:p>
    <w:p w14:paraId="34C3CABA" w14:textId="77777777" w:rsidR="009A2C6B" w:rsidRPr="0049126A" w:rsidRDefault="009A2C6B" w:rsidP="00367864">
      <w:pPr>
        <w:pStyle w:val="Default"/>
        <w:numPr>
          <w:ilvl w:val="0"/>
          <w:numId w:val="120"/>
        </w:numPr>
        <w:spacing w:line="276" w:lineRule="auto"/>
        <w:jc w:val="both"/>
        <w:rPr>
          <w:rFonts w:ascii="Times New Roman" w:hAnsi="Times New Roman" w:cs="Times New Roman"/>
          <w:color w:val="auto"/>
        </w:rPr>
      </w:pPr>
      <w:r w:rsidRPr="0049126A">
        <w:rPr>
          <w:rFonts w:ascii="Times New Roman" w:hAnsi="Times New Roman" w:cs="Times New Roman"/>
          <w:b/>
          <w:bCs/>
          <w:i/>
          <w:iCs/>
          <w:color w:val="auto"/>
        </w:rPr>
        <w:t xml:space="preserve">Obiectivele tratamentului </w:t>
      </w:r>
    </w:p>
    <w:p w14:paraId="564501C8" w14:textId="77777777" w:rsidR="009A2C6B" w:rsidRPr="0049126A" w:rsidRDefault="009A2C6B" w:rsidP="00367864">
      <w:pPr>
        <w:pStyle w:val="Default"/>
        <w:numPr>
          <w:ilvl w:val="0"/>
          <w:numId w:val="120"/>
        </w:numPr>
        <w:spacing w:after="66" w:line="276" w:lineRule="auto"/>
        <w:jc w:val="both"/>
        <w:rPr>
          <w:rFonts w:ascii="Times New Roman" w:hAnsi="Times New Roman" w:cs="Times New Roman"/>
          <w:color w:val="auto"/>
        </w:rPr>
      </w:pPr>
      <w:r w:rsidRPr="0049126A">
        <w:rPr>
          <w:rFonts w:ascii="Times New Roman" w:hAnsi="Times New Roman" w:cs="Times New Roman"/>
          <w:color w:val="auto"/>
        </w:rPr>
        <w:t xml:space="preserve">Normalizarea parametrilor hematologici (normalizarea trombocitelor, corectarea hemoglobinei, normalizarea LDH/haptoglobinei) </w:t>
      </w:r>
    </w:p>
    <w:p w14:paraId="3062490C" w14:textId="77777777" w:rsidR="009A2C6B" w:rsidRPr="0049126A" w:rsidRDefault="009A2C6B" w:rsidP="00367864">
      <w:pPr>
        <w:pStyle w:val="Default"/>
        <w:numPr>
          <w:ilvl w:val="0"/>
          <w:numId w:val="120"/>
        </w:numPr>
        <w:spacing w:after="66" w:line="276" w:lineRule="auto"/>
        <w:jc w:val="both"/>
        <w:rPr>
          <w:rFonts w:ascii="Times New Roman" w:hAnsi="Times New Roman" w:cs="Times New Roman"/>
          <w:color w:val="auto"/>
        </w:rPr>
      </w:pPr>
      <w:r w:rsidRPr="0049126A">
        <w:rPr>
          <w:rFonts w:ascii="Times New Roman" w:hAnsi="Times New Roman" w:cs="Times New Roman"/>
          <w:color w:val="auto"/>
        </w:rPr>
        <w:t xml:space="preserve">Normalizarea funcției renale și ameliorarea manifestărilor extrarenale </w:t>
      </w:r>
    </w:p>
    <w:p w14:paraId="459920B5" w14:textId="77777777" w:rsidR="009A2C6B" w:rsidRPr="0049126A" w:rsidRDefault="009A2C6B" w:rsidP="00367864">
      <w:pPr>
        <w:pStyle w:val="Default"/>
        <w:numPr>
          <w:ilvl w:val="0"/>
          <w:numId w:val="120"/>
        </w:numPr>
        <w:spacing w:after="66" w:line="276" w:lineRule="auto"/>
        <w:jc w:val="both"/>
        <w:rPr>
          <w:rFonts w:ascii="Times New Roman" w:hAnsi="Times New Roman" w:cs="Times New Roman"/>
          <w:color w:val="auto"/>
        </w:rPr>
      </w:pPr>
      <w:r w:rsidRPr="0049126A">
        <w:rPr>
          <w:rFonts w:ascii="Times New Roman" w:hAnsi="Times New Roman" w:cs="Times New Roman"/>
          <w:color w:val="auto"/>
        </w:rPr>
        <w:t xml:space="preserve">Prevenirea necesității terapiei cu plasmă (PE/PPI). </w:t>
      </w:r>
    </w:p>
    <w:p w14:paraId="1E88A74F" w14:textId="77777777" w:rsidR="009A2C6B" w:rsidRPr="0049126A" w:rsidRDefault="009A2C6B" w:rsidP="00367864">
      <w:pPr>
        <w:pStyle w:val="Default"/>
        <w:numPr>
          <w:ilvl w:val="0"/>
          <w:numId w:val="120"/>
        </w:numPr>
        <w:spacing w:after="66" w:line="276" w:lineRule="auto"/>
        <w:jc w:val="both"/>
        <w:rPr>
          <w:rFonts w:ascii="Times New Roman" w:hAnsi="Times New Roman" w:cs="Times New Roman"/>
          <w:color w:val="auto"/>
        </w:rPr>
      </w:pPr>
      <w:r w:rsidRPr="0049126A">
        <w:rPr>
          <w:rFonts w:ascii="Times New Roman" w:hAnsi="Times New Roman" w:cs="Times New Roman"/>
          <w:color w:val="auto"/>
        </w:rPr>
        <w:t xml:space="preserve">Prevenirea recăderilor </w:t>
      </w:r>
    </w:p>
    <w:p w14:paraId="7B873638" w14:textId="77777777" w:rsidR="009A2C6B" w:rsidRPr="0049126A" w:rsidRDefault="009A2C6B" w:rsidP="00367864">
      <w:pPr>
        <w:pStyle w:val="Default"/>
        <w:numPr>
          <w:ilvl w:val="0"/>
          <w:numId w:val="120"/>
        </w:numPr>
        <w:spacing w:line="276" w:lineRule="auto"/>
        <w:jc w:val="both"/>
        <w:rPr>
          <w:rFonts w:ascii="Times New Roman" w:hAnsi="Times New Roman" w:cs="Times New Roman"/>
          <w:color w:val="auto"/>
        </w:rPr>
      </w:pPr>
      <w:r w:rsidRPr="0049126A">
        <w:rPr>
          <w:rFonts w:ascii="Times New Roman" w:hAnsi="Times New Roman" w:cs="Times New Roman"/>
          <w:color w:val="auto"/>
        </w:rPr>
        <w:t xml:space="preserve">Prevenirea complicațiilor infecțioase </w:t>
      </w:r>
    </w:p>
    <w:p w14:paraId="0D380F36" w14:textId="77777777" w:rsidR="009A2C6B" w:rsidRPr="0049126A" w:rsidRDefault="009A2C6B" w:rsidP="00D4112B">
      <w:pPr>
        <w:spacing w:after="0" w:line="276" w:lineRule="auto"/>
        <w:contextualSpacing/>
        <w:jc w:val="both"/>
        <w:rPr>
          <w:rFonts w:ascii="Times New Roman" w:hAnsi="Times New Roman" w:cs="Times New Roman"/>
          <w:b/>
          <w:bCs/>
          <w:sz w:val="24"/>
          <w:szCs w:val="24"/>
        </w:rPr>
      </w:pPr>
    </w:p>
    <w:p w14:paraId="3AAC50AD" w14:textId="3C68070E" w:rsidR="009A2C6B" w:rsidRPr="0049126A" w:rsidRDefault="009A2C6B" w:rsidP="00D4112B">
      <w:pPr>
        <w:pStyle w:val="Heading2"/>
        <w:spacing w:line="276" w:lineRule="auto"/>
        <w:ind w:left="0"/>
        <w:contextualSpacing/>
        <w:jc w:val="both"/>
        <w:rPr>
          <w:rFonts w:ascii="Times New Roman" w:hAnsi="Times New Roman" w:cs="Times New Roman"/>
          <w:i w:val="0"/>
        </w:rPr>
      </w:pPr>
      <w:r w:rsidRPr="0049126A">
        <w:rPr>
          <w:rFonts w:ascii="Times New Roman" w:hAnsi="Times New Roman" w:cs="Times New Roman"/>
          <w:i w:val="0"/>
        </w:rPr>
        <w:t xml:space="preserve">Grupa farmacoterapeutică: </w:t>
      </w:r>
      <w:r w:rsidRPr="0049126A">
        <w:rPr>
          <w:rFonts w:ascii="Times New Roman" w:hAnsi="Times New Roman" w:cs="Times New Roman"/>
          <w:b w:val="0"/>
          <w:bCs w:val="0"/>
          <w:i w:val="0"/>
        </w:rPr>
        <w:t>imunosupresoare</w:t>
      </w:r>
    </w:p>
    <w:p w14:paraId="1F7A930C" w14:textId="77777777" w:rsidR="00D4112B" w:rsidRPr="0049126A" w:rsidRDefault="00D4112B" w:rsidP="00D4112B">
      <w:pPr>
        <w:pStyle w:val="Heading4"/>
        <w:spacing w:before="0" w:line="276" w:lineRule="auto"/>
        <w:contextualSpacing/>
        <w:jc w:val="both"/>
        <w:rPr>
          <w:rFonts w:ascii="Times New Roman" w:hAnsi="Times New Roman" w:cs="Times New Roman"/>
          <w:color w:val="auto"/>
          <w:sz w:val="24"/>
          <w:szCs w:val="24"/>
        </w:rPr>
      </w:pPr>
    </w:p>
    <w:p w14:paraId="7F9FD050" w14:textId="3A6DEC08" w:rsidR="009A2C6B" w:rsidRPr="0049126A" w:rsidRDefault="009A2C6B" w:rsidP="00D4112B">
      <w:pPr>
        <w:pStyle w:val="Heading4"/>
        <w:spacing w:before="0" w:line="276" w:lineRule="auto"/>
        <w:contextualSpacing/>
        <w:jc w:val="both"/>
        <w:rPr>
          <w:rFonts w:ascii="Times New Roman" w:hAnsi="Times New Roman" w:cs="Times New Roman"/>
          <w:color w:val="auto"/>
          <w:sz w:val="24"/>
          <w:szCs w:val="24"/>
        </w:rPr>
      </w:pPr>
      <w:r w:rsidRPr="0049126A">
        <w:rPr>
          <w:rFonts w:ascii="Times New Roman" w:hAnsi="Times New Roman" w:cs="Times New Roman"/>
          <w:color w:val="auto"/>
          <w:sz w:val="24"/>
          <w:szCs w:val="24"/>
        </w:rPr>
        <w:t>Mecanism de acțiune</w:t>
      </w:r>
    </w:p>
    <w:p w14:paraId="31079A9A" w14:textId="78E33698" w:rsidR="009A2C6B" w:rsidRPr="0049126A" w:rsidRDefault="009A2C6B" w:rsidP="00D4112B">
      <w:pPr>
        <w:spacing w:after="0" w:line="276" w:lineRule="auto"/>
        <w:contextualSpacing/>
        <w:jc w:val="both"/>
        <w:rPr>
          <w:rFonts w:ascii="Times New Roman" w:hAnsi="Times New Roman"/>
          <w:sz w:val="24"/>
          <w:szCs w:val="24"/>
        </w:rPr>
      </w:pPr>
      <w:r w:rsidRPr="0049126A">
        <w:rPr>
          <w:rFonts w:ascii="Times New Roman" w:hAnsi="Times New Roman" w:cs="Times New Roman"/>
          <w:sz w:val="24"/>
          <w:szCs w:val="24"/>
        </w:rPr>
        <w:t>Ravulizumabul este un anticorp</w:t>
      </w:r>
      <w:r w:rsidRPr="0049126A">
        <w:rPr>
          <w:rFonts w:ascii="Times New Roman" w:hAnsi="Times New Roman"/>
          <w:sz w:val="24"/>
          <w:szCs w:val="24"/>
        </w:rPr>
        <w:t xml:space="preserve"> monoclonal de tip IgG</w:t>
      </w:r>
      <w:r w:rsidRPr="0049126A">
        <w:rPr>
          <w:rFonts w:ascii="Times New Roman" w:hAnsi="Times New Roman"/>
          <w:sz w:val="24"/>
          <w:szCs w:val="24"/>
          <w:vertAlign w:val="subscript"/>
        </w:rPr>
        <w:t xml:space="preserve">2/4K </w:t>
      </w:r>
      <w:r w:rsidRPr="0049126A">
        <w:rPr>
          <w:rFonts w:ascii="Times New Roman" w:hAnsi="Times New Roman"/>
          <w:sz w:val="24"/>
          <w:szCs w:val="24"/>
        </w:rPr>
        <w:t>care se leagă specific de componenta C5 a cascadei complementului, inhibând astfel clivajul acesteia în C5a (anafilatoxina proinflamatoare) și C5b (subunitatea inițiatoare a complexului de atac membranar) și previne formarea complexului de atac membranar (C5b-9). Ravulizumab conservă componentele progenitoare ale activării complementului, care sunt esențiale pentru opsonizarea microorganismelor și pentru clearance-ul complexelor imune.</w:t>
      </w:r>
    </w:p>
    <w:p w14:paraId="21E669EE" w14:textId="77777777" w:rsidR="00D4112B" w:rsidRPr="0049126A" w:rsidRDefault="00D4112B" w:rsidP="00D4112B">
      <w:pPr>
        <w:pStyle w:val="Heading4"/>
        <w:spacing w:before="0" w:line="276" w:lineRule="auto"/>
        <w:contextualSpacing/>
        <w:jc w:val="both"/>
        <w:rPr>
          <w:rFonts w:ascii="Times New Roman" w:hAnsi="Times New Roman"/>
          <w:color w:val="auto"/>
          <w:sz w:val="24"/>
          <w:szCs w:val="24"/>
        </w:rPr>
      </w:pPr>
    </w:p>
    <w:p w14:paraId="0BC2E46F" w14:textId="2604D184" w:rsidR="009A2C6B" w:rsidRPr="0049126A" w:rsidRDefault="009A2C6B" w:rsidP="00D4112B">
      <w:pPr>
        <w:pStyle w:val="Heading4"/>
        <w:spacing w:before="0" w:line="276" w:lineRule="auto"/>
        <w:contextualSpacing/>
        <w:jc w:val="both"/>
        <w:rPr>
          <w:rFonts w:ascii="Times New Roman" w:hAnsi="Times New Roman"/>
          <w:color w:val="auto"/>
          <w:sz w:val="24"/>
          <w:szCs w:val="24"/>
        </w:rPr>
      </w:pPr>
      <w:r w:rsidRPr="0049126A">
        <w:rPr>
          <w:rFonts w:ascii="Times New Roman" w:hAnsi="Times New Roman"/>
          <w:color w:val="auto"/>
          <w:sz w:val="24"/>
          <w:szCs w:val="24"/>
        </w:rPr>
        <w:t>Compoziția cantitativă și calitativă</w:t>
      </w:r>
    </w:p>
    <w:p w14:paraId="4EC22BAC" w14:textId="77777777" w:rsidR="009A2C6B" w:rsidRPr="0049126A" w:rsidRDefault="009A2C6B" w:rsidP="00D4112B">
      <w:pPr>
        <w:spacing w:after="0" w:line="276" w:lineRule="auto"/>
        <w:contextualSpacing/>
        <w:jc w:val="both"/>
        <w:rPr>
          <w:rFonts w:ascii="Times New Roman" w:hAnsi="Times New Roman"/>
          <w:sz w:val="24"/>
          <w:szCs w:val="24"/>
        </w:rPr>
      </w:pPr>
      <w:r w:rsidRPr="0049126A">
        <w:rPr>
          <w:rFonts w:ascii="Times New Roman" w:hAnsi="Times New Roman"/>
          <w:sz w:val="24"/>
          <w:szCs w:val="24"/>
        </w:rPr>
        <w:t>Formula de ravulizumab este produsă din cultură celulară obținută din ovar de hamster chinezesc (OHC) prin tehnologie cu ADN recombinant. Acesta se regăsește sub formă de concentrat de soluție perfuzabilă, in 2 cantități:</w:t>
      </w:r>
    </w:p>
    <w:p w14:paraId="0A124BEA" w14:textId="77777777" w:rsidR="009A2C6B" w:rsidRPr="0049126A" w:rsidRDefault="009A2C6B" w:rsidP="00367864">
      <w:pPr>
        <w:pStyle w:val="ListParagraph"/>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contextualSpacing/>
        <w:jc w:val="both"/>
        <w:rPr>
          <w:color w:val="auto"/>
        </w:rPr>
      </w:pPr>
      <w:r w:rsidRPr="0049126A">
        <w:rPr>
          <w:color w:val="auto"/>
        </w:rPr>
        <w:t>Flacon de 300 mg/3 ml concentrat pentru soluție perfuzabilă.  Fiecare flacon de 3 ml conține ravulizumab 300 mg (100 mg/ml). După diluare, concentrația finală a soluției perfuzabile este de 50 mg/ml.</w:t>
      </w:r>
    </w:p>
    <w:p w14:paraId="7AF70F18" w14:textId="77777777" w:rsidR="009A2C6B" w:rsidRPr="0049126A" w:rsidRDefault="009A2C6B" w:rsidP="00367864">
      <w:pPr>
        <w:pStyle w:val="ListParagraph"/>
        <w:numPr>
          <w:ilvl w:val="0"/>
          <w:numId w:val="1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567" w:hanging="283"/>
        <w:contextualSpacing/>
        <w:jc w:val="both"/>
        <w:rPr>
          <w:color w:val="auto"/>
        </w:rPr>
      </w:pPr>
      <w:r w:rsidRPr="0049126A">
        <w:rPr>
          <w:color w:val="auto"/>
        </w:rPr>
        <w:t>Flacon de 1100 mg/11 ml concentrat pentru soluție perfuzabilă  Fiecare flacon de 11 ml conține ravulizumab 1100 mg (100 mg/ml). După diluare, concentrația finală a soluției perfuzabile este de 50 mg/ml.</w:t>
      </w:r>
    </w:p>
    <w:p w14:paraId="6AB1DB36" w14:textId="77777777" w:rsidR="00D4112B" w:rsidRPr="0049126A" w:rsidRDefault="00D4112B" w:rsidP="00D4112B">
      <w:pPr>
        <w:spacing w:after="0" w:line="276" w:lineRule="auto"/>
        <w:contextualSpacing/>
        <w:jc w:val="both"/>
        <w:rPr>
          <w:rFonts w:ascii="Times New Roman" w:hAnsi="Times New Roman"/>
          <w:b/>
          <w:bCs/>
          <w:sz w:val="24"/>
          <w:szCs w:val="24"/>
        </w:rPr>
      </w:pPr>
    </w:p>
    <w:p w14:paraId="730B09AC" w14:textId="67134E5B" w:rsidR="009A2C6B" w:rsidRPr="0049126A" w:rsidRDefault="009A2C6B" w:rsidP="00D4112B">
      <w:pPr>
        <w:spacing w:after="0" w:line="276" w:lineRule="auto"/>
        <w:contextualSpacing/>
        <w:jc w:val="both"/>
        <w:rPr>
          <w:rFonts w:ascii="Times New Roman" w:hAnsi="Times New Roman"/>
          <w:b/>
          <w:bCs/>
          <w:sz w:val="24"/>
          <w:szCs w:val="24"/>
        </w:rPr>
      </w:pPr>
      <w:r w:rsidRPr="0049126A">
        <w:rPr>
          <w:rFonts w:ascii="Times New Roman" w:hAnsi="Times New Roman"/>
          <w:b/>
          <w:bCs/>
          <w:sz w:val="24"/>
          <w:szCs w:val="24"/>
        </w:rPr>
        <w:t>Forma farmaceutică</w:t>
      </w:r>
    </w:p>
    <w:p w14:paraId="097EF25D" w14:textId="77777777" w:rsidR="009A2C6B" w:rsidRPr="0049126A" w:rsidRDefault="009A2C6B" w:rsidP="00D4112B">
      <w:pPr>
        <w:spacing w:after="0" w:line="276" w:lineRule="auto"/>
        <w:contextualSpacing/>
        <w:jc w:val="both"/>
        <w:rPr>
          <w:rFonts w:ascii="Times New Roman" w:hAnsi="Times New Roman"/>
          <w:sz w:val="24"/>
          <w:szCs w:val="24"/>
        </w:rPr>
      </w:pPr>
      <w:r w:rsidRPr="0049126A">
        <w:rPr>
          <w:rFonts w:ascii="Times New Roman" w:hAnsi="Times New Roman"/>
          <w:sz w:val="24"/>
          <w:szCs w:val="24"/>
        </w:rPr>
        <w:t>Concentrat pentru soluție perfuzabilă (concentrat steril).</w:t>
      </w:r>
    </w:p>
    <w:p w14:paraId="66249C65" w14:textId="77777777" w:rsidR="009A2C6B" w:rsidRPr="0049126A" w:rsidRDefault="009A2C6B" w:rsidP="00367864">
      <w:pPr>
        <w:pStyle w:val="ListParagraph"/>
        <w:numPr>
          <w:ilvl w:val="0"/>
          <w:numId w:val="122"/>
        </w:numPr>
        <w:spacing w:line="276" w:lineRule="auto"/>
        <w:contextualSpacing/>
        <w:jc w:val="both"/>
        <w:rPr>
          <w:color w:val="auto"/>
        </w:rPr>
      </w:pPr>
      <w:r w:rsidRPr="0049126A">
        <w:rPr>
          <w:color w:val="auto"/>
        </w:rPr>
        <w:t xml:space="preserve">Flacoane de 300 mg/3 ml și 1100 mg/11 ml concentrate pentru soluție perfuzabilă. Soluție transparentă, limpede până la ușor gălbuie, cu pH 7,4.  </w:t>
      </w:r>
    </w:p>
    <w:p w14:paraId="28D64DB5" w14:textId="77777777" w:rsidR="00D4112B" w:rsidRPr="0049126A" w:rsidRDefault="00D4112B" w:rsidP="00D4112B">
      <w:pPr>
        <w:spacing w:after="0" w:line="276" w:lineRule="auto"/>
        <w:jc w:val="both"/>
        <w:rPr>
          <w:rFonts w:ascii="Times New Roman" w:hAnsi="Times New Roman"/>
          <w:b/>
          <w:bCs/>
          <w:sz w:val="24"/>
          <w:szCs w:val="24"/>
        </w:rPr>
      </w:pPr>
    </w:p>
    <w:p w14:paraId="2590BAE4" w14:textId="5A0910CC" w:rsidR="009A2C6B" w:rsidRPr="0049126A" w:rsidRDefault="009A2C6B" w:rsidP="00D4112B">
      <w:pPr>
        <w:spacing w:after="0" w:line="276" w:lineRule="auto"/>
        <w:jc w:val="both"/>
        <w:rPr>
          <w:rFonts w:ascii="Times New Roman" w:hAnsi="Times New Roman"/>
          <w:b/>
          <w:bCs/>
          <w:sz w:val="24"/>
          <w:szCs w:val="24"/>
        </w:rPr>
      </w:pPr>
      <w:r w:rsidRPr="0049126A">
        <w:rPr>
          <w:rFonts w:ascii="Times New Roman" w:hAnsi="Times New Roman"/>
          <w:b/>
          <w:bCs/>
          <w:sz w:val="24"/>
          <w:szCs w:val="24"/>
        </w:rPr>
        <w:t>Doze și modalitate de administrare</w:t>
      </w:r>
    </w:p>
    <w:p w14:paraId="3C5E7B65" w14:textId="77777777" w:rsidR="009A2C6B" w:rsidRPr="0049126A" w:rsidRDefault="009A2C6B" w:rsidP="00D4112B">
      <w:pPr>
        <w:spacing w:after="0" w:line="276" w:lineRule="auto"/>
        <w:contextualSpacing/>
        <w:jc w:val="both"/>
        <w:rPr>
          <w:rFonts w:ascii="Times New Roman" w:hAnsi="Times New Roman"/>
          <w:sz w:val="24"/>
          <w:szCs w:val="24"/>
        </w:rPr>
      </w:pPr>
      <w:r w:rsidRPr="0049126A">
        <w:rPr>
          <w:rFonts w:ascii="Times New Roman" w:hAnsi="Times New Roman"/>
          <w:sz w:val="24"/>
          <w:szCs w:val="24"/>
        </w:rPr>
        <w:t>Schema terapeutică recomandată constă într-o doză de încărcare, urmată de doze de întreținere, administrata sub formă de perfuzie intravenoasă. Dozele administrate se bazează pe greutatea corporală a pacientului, așa cum se arată în Tabelul 3.</w:t>
      </w:r>
    </w:p>
    <w:p w14:paraId="0FB09EDF" w14:textId="08680D7E" w:rsidR="009A2C6B" w:rsidRPr="0049126A" w:rsidRDefault="009A2C6B" w:rsidP="00D4112B">
      <w:pPr>
        <w:spacing w:after="0" w:line="276" w:lineRule="auto"/>
        <w:contextualSpacing/>
        <w:jc w:val="both"/>
        <w:rPr>
          <w:rFonts w:ascii="Times New Roman" w:hAnsi="Times New Roman"/>
          <w:sz w:val="24"/>
          <w:szCs w:val="24"/>
        </w:rPr>
      </w:pPr>
      <w:r w:rsidRPr="0049126A">
        <w:rPr>
          <w:rFonts w:ascii="Times New Roman" w:hAnsi="Times New Roman"/>
          <w:sz w:val="24"/>
          <w:szCs w:val="24"/>
        </w:rPr>
        <w:lastRenderedPageBreak/>
        <w:t>Ravulizumab sub formă de flacoane de 3 ml și 11 ml  trebuie diluat în ser fiziologic 0.9% până la o concentrație finală de 50 mg/ml. În urma diluției, trebuie administrat prin perfuzie intravenoasă cu pompă de tip seringă sau cu pompă de perfuzie pe o perioadă minimă cuprinsă între 0,17 și 1,3 ore (10 și 75 minute), în funcție de greutatea corporală</w:t>
      </w:r>
      <w:r w:rsidR="00F52CC5" w:rsidRPr="0049126A">
        <w:rPr>
          <w:rFonts w:ascii="Times New Roman" w:hAnsi="Times New Roman"/>
          <w:sz w:val="24"/>
          <w:szCs w:val="24"/>
        </w:rPr>
        <w:t xml:space="preserve"> (</w:t>
      </w:r>
      <w:r w:rsidRPr="0049126A">
        <w:rPr>
          <w:rFonts w:ascii="Times New Roman" w:hAnsi="Times New Roman"/>
          <w:sz w:val="24"/>
          <w:szCs w:val="24"/>
        </w:rPr>
        <w:t>vezi Tabelul 3 și Tabelul 4). Dacă apare un eveniment advers în timpul administrării de ravulizumab, perfuzia poate fi încetinită sau oprită conform deciziei medicului. Pacientul trebuie monitorizat timp de o oră după perfuzie.</w:t>
      </w:r>
    </w:p>
    <w:p w14:paraId="05CB87F0" w14:textId="77777777" w:rsidR="009A2C6B" w:rsidRPr="0049126A" w:rsidRDefault="009A2C6B" w:rsidP="00367864">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bCs/>
          <w:i/>
          <w:iCs/>
          <w:color w:val="auto"/>
        </w:rPr>
      </w:pPr>
      <w:r w:rsidRPr="0049126A">
        <w:rPr>
          <w:b/>
          <w:bCs/>
          <w:i/>
          <w:iCs/>
          <w:color w:val="auto"/>
        </w:rPr>
        <w:t>Pacienți care nu au primit anterior tratament cu eculizumab</w:t>
      </w:r>
    </w:p>
    <w:p w14:paraId="6C2ABB21" w14:textId="77777777" w:rsidR="009A2C6B" w:rsidRPr="0049126A" w:rsidRDefault="009A2C6B" w:rsidP="00D4112B">
      <w:pPr>
        <w:pStyle w:val="ListParagraph"/>
        <w:spacing w:line="276" w:lineRule="auto"/>
        <w:ind w:left="927"/>
        <w:jc w:val="both"/>
        <w:rPr>
          <w:color w:val="auto"/>
        </w:rPr>
      </w:pPr>
      <w:r w:rsidRPr="0049126A">
        <w:rPr>
          <w:color w:val="auto"/>
        </w:rPr>
        <w:t>Doza de încărcare: doză unică administrată conform statutului de adult sau copil/adolescent și a greutății corporale</w:t>
      </w:r>
    </w:p>
    <w:p w14:paraId="3E59E2FD" w14:textId="77777777" w:rsidR="009A2C6B" w:rsidRPr="0049126A" w:rsidRDefault="009A2C6B" w:rsidP="00D4112B">
      <w:pPr>
        <w:pStyle w:val="ListParagraph"/>
        <w:spacing w:line="276" w:lineRule="auto"/>
        <w:ind w:left="927"/>
        <w:jc w:val="both"/>
        <w:rPr>
          <w:color w:val="auto"/>
        </w:rPr>
      </w:pPr>
      <w:r w:rsidRPr="0049126A">
        <w:rPr>
          <w:color w:val="auto"/>
        </w:rPr>
        <w:t>Dozele de menținere: prima doză de menținere se administrează la 2 săptămâni după doza de încărcare și ulterior la  intervale de 8 săptămâni, conform statutului de adult sau copil/adolescent și a greutății corporale</w:t>
      </w:r>
    </w:p>
    <w:p w14:paraId="1965E372" w14:textId="77777777" w:rsidR="009A2C6B" w:rsidRPr="0049126A" w:rsidRDefault="009A2C6B" w:rsidP="00D4112B">
      <w:pPr>
        <w:pStyle w:val="ListParagraph"/>
        <w:spacing w:line="276" w:lineRule="auto"/>
        <w:ind w:left="927"/>
        <w:jc w:val="both"/>
        <w:rPr>
          <w:color w:val="auto"/>
        </w:rPr>
      </w:pPr>
    </w:p>
    <w:p w14:paraId="74D35697" w14:textId="77777777" w:rsidR="009A2C6B" w:rsidRPr="0049126A" w:rsidRDefault="009A2C6B" w:rsidP="00367864">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bCs/>
          <w:i/>
          <w:iCs/>
          <w:color w:val="auto"/>
        </w:rPr>
      </w:pPr>
      <w:r w:rsidRPr="0049126A">
        <w:rPr>
          <w:b/>
          <w:bCs/>
          <w:i/>
          <w:iCs/>
          <w:color w:val="auto"/>
        </w:rPr>
        <w:t>Pacienți care necesită conversia de pe eculizumab pe ravulizumab</w:t>
      </w:r>
    </w:p>
    <w:p w14:paraId="6AADD850" w14:textId="77777777" w:rsidR="009A2C6B" w:rsidRPr="0049126A" w:rsidRDefault="009A2C6B" w:rsidP="00D4112B">
      <w:pPr>
        <w:pStyle w:val="ListParagraph"/>
        <w:spacing w:line="276" w:lineRule="auto"/>
        <w:ind w:left="927"/>
        <w:jc w:val="both"/>
        <w:rPr>
          <w:color w:val="auto"/>
        </w:rPr>
      </w:pPr>
      <w:r w:rsidRPr="0049126A">
        <w:rPr>
          <w:color w:val="auto"/>
        </w:rPr>
        <w:t>Doza de încărcare: doza unică administrată la 2 săptămâni de la ultima perfuzie cu Eculizumab, conform statutului de copil/adolescent și a greutății corporale</w:t>
      </w:r>
    </w:p>
    <w:p w14:paraId="2A505FD6" w14:textId="77777777" w:rsidR="009A2C6B" w:rsidRPr="0049126A" w:rsidRDefault="009A2C6B" w:rsidP="00D4112B">
      <w:pPr>
        <w:pStyle w:val="ListParagraph"/>
        <w:spacing w:line="276" w:lineRule="auto"/>
        <w:ind w:left="927"/>
        <w:jc w:val="both"/>
        <w:rPr>
          <w:color w:val="auto"/>
        </w:rPr>
      </w:pPr>
      <w:r w:rsidRPr="0049126A">
        <w:rPr>
          <w:color w:val="auto"/>
        </w:rPr>
        <w:t>Dozele de menținere: prima doză de menținere se administrează la 2 săptămâni după doza de încărcare și ulterior la intervale de 8 săptămâni, conform statutului de copil/adolescent și a greutății corporale</w:t>
      </w:r>
    </w:p>
    <w:p w14:paraId="788DD9CB" w14:textId="77777777" w:rsidR="00D4112B" w:rsidRPr="0049126A" w:rsidRDefault="00D4112B" w:rsidP="009A2C6B">
      <w:pPr>
        <w:spacing w:after="0" w:line="276" w:lineRule="auto"/>
        <w:contextualSpacing/>
        <w:rPr>
          <w:rFonts w:ascii="Times New Roman" w:hAnsi="Times New Roman"/>
          <w:i/>
          <w:iCs/>
          <w:sz w:val="24"/>
          <w:szCs w:val="24"/>
        </w:rPr>
      </w:pPr>
    </w:p>
    <w:p w14:paraId="6879685C" w14:textId="0C21678A" w:rsidR="009A2C6B" w:rsidRPr="0049126A" w:rsidRDefault="009A2C6B" w:rsidP="00D4112B">
      <w:pPr>
        <w:spacing w:after="0" w:line="276" w:lineRule="auto"/>
        <w:contextualSpacing/>
        <w:jc w:val="both"/>
        <w:rPr>
          <w:rFonts w:ascii="Times New Roman" w:hAnsi="Times New Roman"/>
          <w:i/>
          <w:iCs/>
          <w:sz w:val="24"/>
          <w:szCs w:val="24"/>
        </w:rPr>
      </w:pPr>
      <w:r w:rsidRPr="0049126A">
        <w:rPr>
          <w:rFonts w:ascii="Times New Roman" w:hAnsi="Times New Roman"/>
          <w:i/>
          <w:iCs/>
          <w:sz w:val="24"/>
          <w:szCs w:val="24"/>
        </w:rPr>
        <w:t>NB: La pacienții pediatrici cu greutate ≥ 10 kg dar  &lt; 20kg prima doză de menținere se administrează tot la 2 săptămâni după doza de încărcare, însă ulterior dozele de menținere e vor administra la intervale de 4 săptămâni;</w:t>
      </w:r>
    </w:p>
    <w:p w14:paraId="060EE2A8" w14:textId="77777777" w:rsidR="00D4112B" w:rsidRPr="0049126A" w:rsidRDefault="00D4112B" w:rsidP="00D4112B">
      <w:pPr>
        <w:spacing w:after="0" w:line="276" w:lineRule="auto"/>
        <w:contextualSpacing/>
        <w:jc w:val="both"/>
        <w:rPr>
          <w:rFonts w:ascii="Times New Roman" w:hAnsi="Times New Roman"/>
          <w:i/>
          <w:iCs/>
          <w:sz w:val="24"/>
          <w:szCs w:val="24"/>
        </w:rPr>
      </w:pPr>
    </w:p>
    <w:p w14:paraId="14A5868A" w14:textId="31DCFE27" w:rsidR="009A2C6B" w:rsidRPr="0049126A" w:rsidRDefault="009A2C6B" w:rsidP="00D4112B">
      <w:pPr>
        <w:spacing w:after="0" w:line="276" w:lineRule="auto"/>
        <w:contextualSpacing/>
        <w:jc w:val="both"/>
        <w:rPr>
          <w:rFonts w:ascii="Times New Roman" w:hAnsi="Times New Roman"/>
          <w:i/>
          <w:iCs/>
          <w:sz w:val="24"/>
          <w:szCs w:val="24"/>
        </w:rPr>
      </w:pPr>
      <w:r w:rsidRPr="0049126A">
        <w:rPr>
          <w:rFonts w:ascii="Times New Roman" w:hAnsi="Times New Roman"/>
          <w:i/>
          <w:iCs/>
          <w:sz w:val="24"/>
          <w:szCs w:val="24"/>
        </w:rPr>
        <w:t>În cadrul schemei terapeutice, este permisă o modificare a momentului administrării cu ± 7 zile față de ziua programată a perfuziei (cu excepția primei doze de întreținere cu ravulizumab), dar doza ulterioară trebuie administrată conform schemei originale.</w:t>
      </w:r>
    </w:p>
    <w:p w14:paraId="2D270BF0" w14:textId="77777777" w:rsidR="009A2C6B" w:rsidRPr="0049126A" w:rsidRDefault="009A2C6B" w:rsidP="00D4112B">
      <w:pPr>
        <w:spacing w:after="0" w:line="276" w:lineRule="auto"/>
        <w:contextualSpacing/>
        <w:jc w:val="both"/>
        <w:rPr>
          <w:rFonts w:ascii="Times New Roman" w:hAnsi="Times New Roman"/>
          <w:i/>
          <w:iCs/>
          <w:sz w:val="24"/>
          <w:szCs w:val="24"/>
        </w:rPr>
      </w:pPr>
    </w:p>
    <w:p w14:paraId="4E01CBAE" w14:textId="77777777" w:rsidR="009A2C6B" w:rsidRPr="0049126A" w:rsidRDefault="009A2C6B" w:rsidP="00D4112B">
      <w:pPr>
        <w:spacing w:line="276" w:lineRule="auto"/>
        <w:jc w:val="both"/>
        <w:rPr>
          <w:rFonts w:ascii="Times New Roman" w:hAnsi="Times New Roman"/>
          <w:b/>
          <w:bCs/>
          <w:sz w:val="24"/>
          <w:szCs w:val="24"/>
        </w:rPr>
      </w:pPr>
      <w:r w:rsidRPr="0049126A">
        <w:rPr>
          <w:rFonts w:ascii="Times New Roman" w:hAnsi="Times New Roman"/>
          <w:b/>
          <w:bCs/>
          <w:sz w:val="24"/>
          <w:szCs w:val="24"/>
        </w:rPr>
        <w:t>Tabelul 3. Schema de doze recomandate pentru ravulizumab, dozele fiind bazate pe greutate pentru pacienți adulți cu greutate corporală ≥cu 40 kg</w:t>
      </w:r>
    </w:p>
    <w:tbl>
      <w:tblPr>
        <w:tblStyle w:val="TableGrid"/>
        <w:tblW w:w="9634" w:type="dxa"/>
        <w:tblLook w:val="04A0" w:firstRow="1" w:lastRow="0" w:firstColumn="1" w:lastColumn="0" w:noHBand="0" w:noVBand="1"/>
      </w:tblPr>
      <w:tblGrid>
        <w:gridCol w:w="2254"/>
        <w:gridCol w:w="2254"/>
        <w:gridCol w:w="2254"/>
        <w:gridCol w:w="2872"/>
      </w:tblGrid>
      <w:tr w:rsidR="0049126A" w:rsidRPr="0049126A" w14:paraId="703B3970" w14:textId="77777777" w:rsidTr="00D4112B">
        <w:tc>
          <w:tcPr>
            <w:tcW w:w="2254" w:type="dxa"/>
          </w:tcPr>
          <w:p w14:paraId="35EFB5B7"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Interval greutate corporală (kg)</w:t>
            </w:r>
          </w:p>
        </w:tc>
        <w:tc>
          <w:tcPr>
            <w:tcW w:w="2254" w:type="dxa"/>
          </w:tcPr>
          <w:p w14:paraId="481B0FB6"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Doză de încărcare</w:t>
            </w:r>
          </w:p>
          <w:p w14:paraId="513697F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(mg)</w:t>
            </w:r>
          </w:p>
        </w:tc>
        <w:tc>
          <w:tcPr>
            <w:tcW w:w="2254" w:type="dxa"/>
          </w:tcPr>
          <w:p w14:paraId="36712A0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Doză de menținere</w:t>
            </w:r>
          </w:p>
          <w:p w14:paraId="2E6586E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(mg)*</w:t>
            </w:r>
          </w:p>
        </w:tc>
        <w:tc>
          <w:tcPr>
            <w:tcW w:w="2872" w:type="dxa"/>
          </w:tcPr>
          <w:p w14:paraId="07F57FF9"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Interval administrare doze menținere (săptămâni)</w:t>
            </w:r>
          </w:p>
        </w:tc>
      </w:tr>
      <w:tr w:rsidR="0049126A" w:rsidRPr="0049126A" w14:paraId="381F625C" w14:textId="77777777" w:rsidTr="00D4112B">
        <w:tc>
          <w:tcPr>
            <w:tcW w:w="2254" w:type="dxa"/>
          </w:tcPr>
          <w:p w14:paraId="2B17708E"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40 până la &lt; 60</w:t>
            </w:r>
          </w:p>
        </w:tc>
        <w:tc>
          <w:tcPr>
            <w:tcW w:w="2254" w:type="dxa"/>
          </w:tcPr>
          <w:p w14:paraId="3D45BC98"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2400</w:t>
            </w:r>
          </w:p>
        </w:tc>
        <w:tc>
          <w:tcPr>
            <w:tcW w:w="2254" w:type="dxa"/>
          </w:tcPr>
          <w:p w14:paraId="3760F839"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3000</w:t>
            </w:r>
          </w:p>
        </w:tc>
        <w:tc>
          <w:tcPr>
            <w:tcW w:w="2872" w:type="dxa"/>
          </w:tcPr>
          <w:p w14:paraId="1E1F76DB"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8</w:t>
            </w:r>
          </w:p>
        </w:tc>
      </w:tr>
      <w:tr w:rsidR="0049126A" w:rsidRPr="0049126A" w14:paraId="6CAAE62D" w14:textId="77777777" w:rsidTr="00D4112B">
        <w:tc>
          <w:tcPr>
            <w:tcW w:w="2254" w:type="dxa"/>
          </w:tcPr>
          <w:p w14:paraId="270D431B"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60 până la &lt; 100</w:t>
            </w:r>
          </w:p>
        </w:tc>
        <w:tc>
          <w:tcPr>
            <w:tcW w:w="2254" w:type="dxa"/>
          </w:tcPr>
          <w:p w14:paraId="42D43AED"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2700</w:t>
            </w:r>
          </w:p>
        </w:tc>
        <w:tc>
          <w:tcPr>
            <w:tcW w:w="2254" w:type="dxa"/>
          </w:tcPr>
          <w:p w14:paraId="62E560F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3300</w:t>
            </w:r>
          </w:p>
        </w:tc>
        <w:tc>
          <w:tcPr>
            <w:tcW w:w="2872" w:type="dxa"/>
          </w:tcPr>
          <w:p w14:paraId="14C535B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8</w:t>
            </w:r>
          </w:p>
        </w:tc>
      </w:tr>
      <w:tr w:rsidR="0049126A" w:rsidRPr="0049126A" w14:paraId="76579D3B" w14:textId="77777777" w:rsidTr="00D4112B">
        <w:tc>
          <w:tcPr>
            <w:tcW w:w="2254" w:type="dxa"/>
          </w:tcPr>
          <w:p w14:paraId="734D42BB"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100</w:t>
            </w:r>
          </w:p>
        </w:tc>
        <w:tc>
          <w:tcPr>
            <w:tcW w:w="2254" w:type="dxa"/>
          </w:tcPr>
          <w:p w14:paraId="7605FFD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3000</w:t>
            </w:r>
          </w:p>
        </w:tc>
        <w:tc>
          <w:tcPr>
            <w:tcW w:w="2254" w:type="dxa"/>
          </w:tcPr>
          <w:p w14:paraId="5F3490F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3600</w:t>
            </w:r>
          </w:p>
        </w:tc>
        <w:tc>
          <w:tcPr>
            <w:tcW w:w="2872" w:type="dxa"/>
          </w:tcPr>
          <w:p w14:paraId="7EAAB7B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8</w:t>
            </w:r>
          </w:p>
        </w:tc>
      </w:tr>
      <w:tr w:rsidR="009A2C6B" w:rsidRPr="0049126A" w14:paraId="6C27A52B" w14:textId="77777777" w:rsidTr="00D4112B">
        <w:tc>
          <w:tcPr>
            <w:tcW w:w="9634" w:type="dxa"/>
            <w:gridSpan w:val="4"/>
          </w:tcPr>
          <w:p w14:paraId="1A37DD0B" w14:textId="77777777" w:rsidR="009A2C6B" w:rsidRPr="0049126A" w:rsidRDefault="009A2C6B" w:rsidP="00D4112B">
            <w:pPr>
              <w:spacing w:line="276" w:lineRule="auto"/>
              <w:ind w:hanging="113"/>
              <w:rPr>
                <w:rFonts w:ascii="Times New Roman" w:hAnsi="Times New Roman"/>
                <w:sz w:val="20"/>
                <w:szCs w:val="20"/>
              </w:rPr>
            </w:pPr>
            <w:r w:rsidRPr="0049126A">
              <w:rPr>
                <w:rFonts w:ascii="Times New Roman" w:hAnsi="Times New Roman"/>
                <w:sz w:val="20"/>
                <w:szCs w:val="20"/>
              </w:rPr>
              <w:t>*Prima doză de menținere se administrează la 2 săptămâni după doza de încărcare, iar ulterior următorele doze la interval de 8 săptămâni</w:t>
            </w:r>
          </w:p>
        </w:tc>
      </w:tr>
    </w:tbl>
    <w:p w14:paraId="47F848F9" w14:textId="77777777" w:rsidR="009A2C6B" w:rsidRPr="0049126A" w:rsidRDefault="009A2C6B" w:rsidP="009A2C6B">
      <w:pPr>
        <w:spacing w:line="276" w:lineRule="auto"/>
        <w:ind w:firstLine="567"/>
        <w:rPr>
          <w:rFonts w:ascii="Times New Roman" w:hAnsi="Times New Roman"/>
          <w:b/>
          <w:bCs/>
          <w:sz w:val="24"/>
          <w:szCs w:val="24"/>
        </w:rPr>
      </w:pPr>
    </w:p>
    <w:p w14:paraId="0DD9BF8D" w14:textId="77777777" w:rsidR="009A2C6B" w:rsidRPr="0049126A" w:rsidRDefault="009A2C6B" w:rsidP="00D4112B">
      <w:pPr>
        <w:spacing w:line="276" w:lineRule="auto"/>
        <w:jc w:val="both"/>
        <w:rPr>
          <w:rFonts w:ascii="Times New Roman" w:hAnsi="Times New Roman"/>
          <w:b/>
          <w:bCs/>
          <w:sz w:val="24"/>
          <w:szCs w:val="24"/>
        </w:rPr>
      </w:pPr>
      <w:r w:rsidRPr="0049126A">
        <w:rPr>
          <w:rFonts w:ascii="Times New Roman" w:hAnsi="Times New Roman"/>
          <w:b/>
          <w:bCs/>
          <w:sz w:val="24"/>
          <w:szCs w:val="24"/>
        </w:rPr>
        <w:t xml:space="preserve">Tabelul 4. Schema de doze recomandate pentru ravulizumab, în funcție de greutate, la copii și adolescenți  cu greutate corporală </w:t>
      </w:r>
      <w:r w:rsidRPr="0049126A">
        <w:rPr>
          <w:rFonts w:ascii="Times New Roman" w:hAnsi="Times New Roman"/>
          <w:b/>
          <w:bCs/>
          <w:i/>
          <w:iCs/>
          <w:sz w:val="24"/>
          <w:szCs w:val="24"/>
        </w:rPr>
        <w:t xml:space="preserve">≥ 10 kg  și </w:t>
      </w:r>
      <w:r w:rsidRPr="0049126A">
        <w:rPr>
          <w:rFonts w:ascii="Times New Roman" w:hAnsi="Times New Roman"/>
          <w:b/>
          <w:bCs/>
          <w:sz w:val="24"/>
          <w:szCs w:val="24"/>
        </w:rPr>
        <w:t>&lt; 40 kg</w:t>
      </w:r>
    </w:p>
    <w:tbl>
      <w:tblPr>
        <w:tblStyle w:val="TableGrid"/>
        <w:tblW w:w="9634" w:type="dxa"/>
        <w:tblLook w:val="04A0" w:firstRow="1" w:lastRow="0" w:firstColumn="1" w:lastColumn="0" w:noHBand="0" w:noVBand="1"/>
      </w:tblPr>
      <w:tblGrid>
        <w:gridCol w:w="2254"/>
        <w:gridCol w:w="2254"/>
        <w:gridCol w:w="2254"/>
        <w:gridCol w:w="2872"/>
      </w:tblGrid>
      <w:tr w:rsidR="0049126A" w:rsidRPr="0049126A" w14:paraId="18366250" w14:textId="77777777" w:rsidTr="00D4112B">
        <w:tc>
          <w:tcPr>
            <w:tcW w:w="2254" w:type="dxa"/>
          </w:tcPr>
          <w:p w14:paraId="75964422" w14:textId="77777777" w:rsidR="009A2C6B" w:rsidRPr="0049126A" w:rsidRDefault="009A2C6B" w:rsidP="009A2C6B">
            <w:pPr>
              <w:spacing w:line="276" w:lineRule="auto"/>
              <w:contextualSpacing/>
              <w:jc w:val="center"/>
              <w:rPr>
                <w:rFonts w:ascii="Times New Roman" w:hAnsi="Times New Roman"/>
                <w:sz w:val="20"/>
                <w:szCs w:val="20"/>
              </w:rPr>
            </w:pPr>
            <w:bookmarkStart w:id="9" w:name="_Hlk156905162"/>
            <w:r w:rsidRPr="0049126A">
              <w:rPr>
                <w:rFonts w:ascii="Times New Roman" w:hAnsi="Times New Roman"/>
                <w:sz w:val="20"/>
                <w:szCs w:val="20"/>
              </w:rPr>
              <w:t>Interval greutate corporală (kg)</w:t>
            </w:r>
          </w:p>
        </w:tc>
        <w:tc>
          <w:tcPr>
            <w:tcW w:w="2254" w:type="dxa"/>
          </w:tcPr>
          <w:p w14:paraId="20C0CA3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Doză de încărcare</w:t>
            </w:r>
          </w:p>
          <w:p w14:paraId="1F1B194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(mg)</w:t>
            </w:r>
          </w:p>
        </w:tc>
        <w:tc>
          <w:tcPr>
            <w:tcW w:w="2254" w:type="dxa"/>
          </w:tcPr>
          <w:p w14:paraId="6DA52BC1"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Doză de menținere</w:t>
            </w:r>
          </w:p>
          <w:p w14:paraId="748C7416"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(mg)*</w:t>
            </w:r>
          </w:p>
        </w:tc>
        <w:tc>
          <w:tcPr>
            <w:tcW w:w="2872" w:type="dxa"/>
          </w:tcPr>
          <w:p w14:paraId="4B4E5C4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Interval administrare doze menținere (săptămâni)</w:t>
            </w:r>
          </w:p>
        </w:tc>
      </w:tr>
      <w:tr w:rsidR="0049126A" w:rsidRPr="0049126A" w14:paraId="36BBA0D7" w14:textId="77777777" w:rsidTr="00D4112B">
        <w:tc>
          <w:tcPr>
            <w:tcW w:w="2254" w:type="dxa"/>
          </w:tcPr>
          <w:p w14:paraId="7966671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10 până la &lt; 20</w:t>
            </w:r>
          </w:p>
        </w:tc>
        <w:tc>
          <w:tcPr>
            <w:tcW w:w="2254" w:type="dxa"/>
          </w:tcPr>
          <w:p w14:paraId="688D9088"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600</w:t>
            </w:r>
          </w:p>
        </w:tc>
        <w:tc>
          <w:tcPr>
            <w:tcW w:w="2254" w:type="dxa"/>
          </w:tcPr>
          <w:p w14:paraId="19EE8DA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600</w:t>
            </w:r>
          </w:p>
        </w:tc>
        <w:tc>
          <w:tcPr>
            <w:tcW w:w="2872" w:type="dxa"/>
          </w:tcPr>
          <w:p w14:paraId="6FBCBD6B"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4</w:t>
            </w:r>
          </w:p>
        </w:tc>
      </w:tr>
      <w:tr w:rsidR="0049126A" w:rsidRPr="0049126A" w14:paraId="36907F7C" w14:textId="77777777" w:rsidTr="00D4112B">
        <w:tc>
          <w:tcPr>
            <w:tcW w:w="2254" w:type="dxa"/>
          </w:tcPr>
          <w:p w14:paraId="5716326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20 până la &lt; 30</w:t>
            </w:r>
          </w:p>
        </w:tc>
        <w:tc>
          <w:tcPr>
            <w:tcW w:w="2254" w:type="dxa"/>
          </w:tcPr>
          <w:p w14:paraId="099821D0"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900</w:t>
            </w:r>
          </w:p>
        </w:tc>
        <w:tc>
          <w:tcPr>
            <w:tcW w:w="2254" w:type="dxa"/>
          </w:tcPr>
          <w:p w14:paraId="2C55E93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2100</w:t>
            </w:r>
          </w:p>
        </w:tc>
        <w:tc>
          <w:tcPr>
            <w:tcW w:w="2872" w:type="dxa"/>
          </w:tcPr>
          <w:p w14:paraId="76E1268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8</w:t>
            </w:r>
          </w:p>
        </w:tc>
      </w:tr>
      <w:tr w:rsidR="0049126A" w:rsidRPr="0049126A" w14:paraId="3C4A0A10" w14:textId="77777777" w:rsidTr="00D4112B">
        <w:tc>
          <w:tcPr>
            <w:tcW w:w="2254" w:type="dxa"/>
          </w:tcPr>
          <w:p w14:paraId="60777B8E"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30 pană la &lt;40kg</w:t>
            </w:r>
          </w:p>
        </w:tc>
        <w:tc>
          <w:tcPr>
            <w:tcW w:w="2254" w:type="dxa"/>
          </w:tcPr>
          <w:p w14:paraId="62CBE9AD"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1200</w:t>
            </w:r>
          </w:p>
        </w:tc>
        <w:tc>
          <w:tcPr>
            <w:tcW w:w="2254" w:type="dxa"/>
          </w:tcPr>
          <w:p w14:paraId="43D06BB0"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2700</w:t>
            </w:r>
          </w:p>
        </w:tc>
        <w:tc>
          <w:tcPr>
            <w:tcW w:w="2872" w:type="dxa"/>
          </w:tcPr>
          <w:p w14:paraId="2DC0109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8</w:t>
            </w:r>
          </w:p>
        </w:tc>
      </w:tr>
      <w:tr w:rsidR="0049126A" w:rsidRPr="0049126A" w14:paraId="26D00963" w14:textId="77777777" w:rsidTr="00D4112B">
        <w:tc>
          <w:tcPr>
            <w:tcW w:w="9634" w:type="dxa"/>
            <w:gridSpan w:val="4"/>
          </w:tcPr>
          <w:p w14:paraId="7F70D609"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*Prima doză de menținere se administrează la 2 săptămâni după doza încărcare, iar ulterior următorele doze la interval de 8 săptămâni</w:t>
            </w:r>
          </w:p>
        </w:tc>
      </w:tr>
    </w:tbl>
    <w:bookmarkEnd w:id="9"/>
    <w:p w14:paraId="1604E705" w14:textId="77777777" w:rsidR="009A2C6B" w:rsidRPr="0049126A" w:rsidRDefault="009A2C6B" w:rsidP="009A2C6B">
      <w:pPr>
        <w:spacing w:line="276" w:lineRule="auto"/>
        <w:rPr>
          <w:rFonts w:ascii="Times New Roman" w:hAnsi="Times New Roman"/>
          <w:sz w:val="24"/>
          <w:szCs w:val="24"/>
        </w:rPr>
      </w:pPr>
      <w:r w:rsidRPr="0049126A">
        <w:rPr>
          <w:rFonts w:ascii="Times New Roman" w:hAnsi="Times New Roman"/>
          <w:sz w:val="24"/>
          <w:szCs w:val="24"/>
        </w:rPr>
        <w:t xml:space="preserve">                 </w:t>
      </w:r>
    </w:p>
    <w:p w14:paraId="551F6C4E" w14:textId="77777777" w:rsidR="009A2C6B" w:rsidRPr="0049126A" w:rsidRDefault="009A2C6B" w:rsidP="00367864">
      <w:pPr>
        <w:pStyle w:val="ListParagraph"/>
        <w:numPr>
          <w:ilvl w:val="0"/>
          <w:numId w:val="11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b/>
          <w:bCs/>
          <w:color w:val="auto"/>
        </w:rPr>
      </w:pPr>
      <w:r w:rsidRPr="0049126A">
        <w:rPr>
          <w:b/>
          <w:bCs/>
          <w:color w:val="auto"/>
        </w:rPr>
        <w:lastRenderedPageBreak/>
        <w:t>Dozajul suplimentar în urma tratamentului cu schimb de administrare de plasmă, plasmafereză sau imunoglobulină intravenoasă (Ig I.V.)</w:t>
      </w:r>
    </w:p>
    <w:p w14:paraId="318ABCBC" w14:textId="77777777" w:rsidR="009A2C6B" w:rsidRPr="0049126A" w:rsidRDefault="009A2C6B" w:rsidP="00D4112B">
      <w:pPr>
        <w:pStyle w:val="ListParagraph"/>
        <w:spacing w:line="276" w:lineRule="auto"/>
        <w:ind w:left="927"/>
        <w:jc w:val="both"/>
        <w:rPr>
          <w:color w:val="auto"/>
        </w:rPr>
      </w:pPr>
      <w:r w:rsidRPr="0049126A">
        <w:rPr>
          <w:color w:val="auto"/>
        </w:rPr>
        <w:t xml:space="preserve"> Este necesară o doză suplimentară de ravulizumab în cazul tratamentului cu plasmă, plasmafereză  sau Ig I.V. (Tabelul 5).</w:t>
      </w:r>
    </w:p>
    <w:p w14:paraId="32774E51" w14:textId="77777777" w:rsidR="009A2C6B" w:rsidRPr="0049126A" w:rsidRDefault="009A2C6B" w:rsidP="009A2C6B">
      <w:pPr>
        <w:pStyle w:val="ListParagraph"/>
        <w:spacing w:line="276" w:lineRule="auto"/>
        <w:ind w:left="927"/>
        <w:rPr>
          <w:color w:val="auto"/>
        </w:rPr>
      </w:pPr>
    </w:p>
    <w:p w14:paraId="260440FC" w14:textId="77777777" w:rsidR="009A2C6B" w:rsidRPr="0049126A" w:rsidRDefault="009A2C6B" w:rsidP="00D4112B">
      <w:pPr>
        <w:spacing w:line="276" w:lineRule="auto"/>
        <w:jc w:val="both"/>
        <w:rPr>
          <w:rFonts w:ascii="Times New Roman" w:hAnsi="Times New Roman"/>
          <w:b/>
          <w:bCs/>
          <w:sz w:val="24"/>
          <w:szCs w:val="24"/>
        </w:rPr>
      </w:pPr>
      <w:r w:rsidRPr="0049126A">
        <w:rPr>
          <w:rFonts w:ascii="Times New Roman" w:hAnsi="Times New Roman"/>
          <w:b/>
          <w:bCs/>
          <w:sz w:val="24"/>
          <w:szCs w:val="24"/>
        </w:rPr>
        <w:t>Tabelul 5. Doza suplimentară de ravulizumab după administrare de plasmă, plasmafereză sau administrare de Ig I.V.</w:t>
      </w:r>
    </w:p>
    <w:tbl>
      <w:tblPr>
        <w:tblStyle w:val="TableGrid"/>
        <w:tblW w:w="9634" w:type="dxa"/>
        <w:tblLook w:val="04A0" w:firstRow="1" w:lastRow="0" w:firstColumn="1" w:lastColumn="0" w:noHBand="0" w:noVBand="1"/>
      </w:tblPr>
      <w:tblGrid>
        <w:gridCol w:w="2254"/>
        <w:gridCol w:w="2254"/>
        <w:gridCol w:w="2254"/>
        <w:gridCol w:w="2872"/>
      </w:tblGrid>
      <w:tr w:rsidR="0049126A" w:rsidRPr="0049126A" w14:paraId="74D6B7AA" w14:textId="77777777" w:rsidTr="00D4112B">
        <w:tc>
          <w:tcPr>
            <w:tcW w:w="2254" w:type="dxa"/>
          </w:tcPr>
          <w:p w14:paraId="0C3DC8EF"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Interval greutate corporală (kg)</w:t>
            </w:r>
          </w:p>
        </w:tc>
        <w:tc>
          <w:tcPr>
            <w:tcW w:w="2254" w:type="dxa"/>
          </w:tcPr>
          <w:p w14:paraId="395233F2"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Ultima doză (cea mai recentă)</w:t>
            </w:r>
          </w:p>
          <w:p w14:paraId="219F8A7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(mg)</w:t>
            </w:r>
          </w:p>
        </w:tc>
        <w:tc>
          <w:tcPr>
            <w:tcW w:w="2254" w:type="dxa"/>
          </w:tcPr>
          <w:p w14:paraId="008F5F2F"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Doză suplimentară (mg) în urma fiecărei intervenții de administrare de plasmă/plasmafereză</w:t>
            </w:r>
          </w:p>
          <w:p w14:paraId="174335C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(mg)</w:t>
            </w:r>
          </w:p>
        </w:tc>
        <w:tc>
          <w:tcPr>
            <w:tcW w:w="2872" w:type="dxa"/>
          </w:tcPr>
          <w:p w14:paraId="0873443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Doză suplimentară (mg) în urma completării unui ciclu de Ig I.V.</w:t>
            </w:r>
          </w:p>
          <w:p w14:paraId="490C383F" w14:textId="77777777" w:rsidR="009A2C6B" w:rsidRPr="0049126A" w:rsidRDefault="009A2C6B" w:rsidP="009A2C6B">
            <w:pPr>
              <w:spacing w:line="276" w:lineRule="auto"/>
              <w:contextualSpacing/>
              <w:jc w:val="center"/>
              <w:rPr>
                <w:rFonts w:ascii="Times New Roman" w:hAnsi="Times New Roman"/>
                <w:sz w:val="20"/>
                <w:szCs w:val="20"/>
              </w:rPr>
            </w:pPr>
          </w:p>
        </w:tc>
      </w:tr>
      <w:tr w:rsidR="0049126A" w:rsidRPr="0049126A" w14:paraId="793CF4FE" w14:textId="77777777" w:rsidTr="00D4112B">
        <w:trPr>
          <w:trHeight w:val="200"/>
        </w:trPr>
        <w:tc>
          <w:tcPr>
            <w:tcW w:w="2254" w:type="dxa"/>
            <w:vMerge w:val="restart"/>
          </w:tcPr>
          <w:p w14:paraId="6C50F721"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40 până la &lt; 60</w:t>
            </w:r>
          </w:p>
        </w:tc>
        <w:tc>
          <w:tcPr>
            <w:tcW w:w="2254" w:type="dxa"/>
          </w:tcPr>
          <w:p w14:paraId="7925AF49"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2400</w:t>
            </w:r>
          </w:p>
        </w:tc>
        <w:tc>
          <w:tcPr>
            <w:tcW w:w="2254" w:type="dxa"/>
          </w:tcPr>
          <w:p w14:paraId="35C27EED"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1200</w:t>
            </w:r>
          </w:p>
        </w:tc>
        <w:tc>
          <w:tcPr>
            <w:tcW w:w="2872" w:type="dxa"/>
            <w:vMerge w:val="restart"/>
          </w:tcPr>
          <w:p w14:paraId="018C2A3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600</w:t>
            </w:r>
          </w:p>
        </w:tc>
      </w:tr>
      <w:tr w:rsidR="0049126A" w:rsidRPr="0049126A" w14:paraId="7D692715" w14:textId="77777777" w:rsidTr="00D4112B">
        <w:trPr>
          <w:trHeight w:val="199"/>
        </w:trPr>
        <w:tc>
          <w:tcPr>
            <w:tcW w:w="2254" w:type="dxa"/>
            <w:vMerge/>
          </w:tcPr>
          <w:p w14:paraId="328FB321" w14:textId="77777777" w:rsidR="009A2C6B" w:rsidRPr="0049126A" w:rsidRDefault="009A2C6B" w:rsidP="009A2C6B">
            <w:pPr>
              <w:spacing w:line="276" w:lineRule="auto"/>
              <w:contextualSpacing/>
              <w:jc w:val="center"/>
              <w:rPr>
                <w:rFonts w:ascii="Times New Roman" w:hAnsi="Times New Roman"/>
                <w:sz w:val="20"/>
                <w:szCs w:val="20"/>
              </w:rPr>
            </w:pPr>
          </w:p>
        </w:tc>
        <w:tc>
          <w:tcPr>
            <w:tcW w:w="2254" w:type="dxa"/>
          </w:tcPr>
          <w:p w14:paraId="4DD7CBEF"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3000</w:t>
            </w:r>
          </w:p>
        </w:tc>
        <w:tc>
          <w:tcPr>
            <w:tcW w:w="2254" w:type="dxa"/>
          </w:tcPr>
          <w:p w14:paraId="6AB76C9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1500</w:t>
            </w:r>
          </w:p>
        </w:tc>
        <w:tc>
          <w:tcPr>
            <w:tcW w:w="2872" w:type="dxa"/>
            <w:vMerge/>
          </w:tcPr>
          <w:p w14:paraId="19CD8B63" w14:textId="77777777" w:rsidR="009A2C6B" w:rsidRPr="0049126A" w:rsidRDefault="009A2C6B" w:rsidP="009A2C6B">
            <w:pPr>
              <w:spacing w:line="276" w:lineRule="auto"/>
              <w:contextualSpacing/>
              <w:jc w:val="center"/>
              <w:rPr>
                <w:rFonts w:ascii="Times New Roman" w:hAnsi="Times New Roman"/>
                <w:sz w:val="20"/>
                <w:szCs w:val="20"/>
              </w:rPr>
            </w:pPr>
          </w:p>
        </w:tc>
      </w:tr>
      <w:tr w:rsidR="0049126A" w:rsidRPr="0049126A" w14:paraId="3646F68E" w14:textId="77777777" w:rsidTr="00D4112B">
        <w:trPr>
          <w:trHeight w:val="200"/>
        </w:trPr>
        <w:tc>
          <w:tcPr>
            <w:tcW w:w="2254" w:type="dxa"/>
            <w:vMerge w:val="restart"/>
          </w:tcPr>
          <w:p w14:paraId="460D53D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60 până la &lt; 100</w:t>
            </w:r>
          </w:p>
        </w:tc>
        <w:tc>
          <w:tcPr>
            <w:tcW w:w="2254" w:type="dxa"/>
          </w:tcPr>
          <w:p w14:paraId="0855C7F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2700</w:t>
            </w:r>
          </w:p>
        </w:tc>
        <w:tc>
          <w:tcPr>
            <w:tcW w:w="2254" w:type="dxa"/>
          </w:tcPr>
          <w:p w14:paraId="5DE4B09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1500</w:t>
            </w:r>
          </w:p>
        </w:tc>
        <w:tc>
          <w:tcPr>
            <w:tcW w:w="2872" w:type="dxa"/>
            <w:vMerge w:val="restart"/>
          </w:tcPr>
          <w:p w14:paraId="295829C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600</w:t>
            </w:r>
          </w:p>
        </w:tc>
      </w:tr>
      <w:tr w:rsidR="0049126A" w:rsidRPr="0049126A" w14:paraId="03391D7F" w14:textId="77777777" w:rsidTr="00D4112B">
        <w:trPr>
          <w:trHeight w:val="199"/>
        </w:trPr>
        <w:tc>
          <w:tcPr>
            <w:tcW w:w="2254" w:type="dxa"/>
            <w:vMerge/>
          </w:tcPr>
          <w:p w14:paraId="5B6D81D2" w14:textId="77777777" w:rsidR="009A2C6B" w:rsidRPr="0049126A" w:rsidRDefault="009A2C6B" w:rsidP="009A2C6B">
            <w:pPr>
              <w:spacing w:line="276" w:lineRule="auto"/>
              <w:contextualSpacing/>
              <w:jc w:val="center"/>
              <w:rPr>
                <w:rFonts w:ascii="Times New Roman" w:hAnsi="Times New Roman"/>
                <w:sz w:val="20"/>
                <w:szCs w:val="20"/>
              </w:rPr>
            </w:pPr>
          </w:p>
        </w:tc>
        <w:tc>
          <w:tcPr>
            <w:tcW w:w="2254" w:type="dxa"/>
          </w:tcPr>
          <w:p w14:paraId="131A4622"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3300</w:t>
            </w:r>
          </w:p>
        </w:tc>
        <w:tc>
          <w:tcPr>
            <w:tcW w:w="2254" w:type="dxa"/>
          </w:tcPr>
          <w:p w14:paraId="72014EF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1800</w:t>
            </w:r>
          </w:p>
        </w:tc>
        <w:tc>
          <w:tcPr>
            <w:tcW w:w="2872" w:type="dxa"/>
            <w:vMerge/>
          </w:tcPr>
          <w:p w14:paraId="373EE738" w14:textId="77777777" w:rsidR="009A2C6B" w:rsidRPr="0049126A" w:rsidRDefault="009A2C6B" w:rsidP="009A2C6B">
            <w:pPr>
              <w:spacing w:line="276" w:lineRule="auto"/>
              <w:contextualSpacing/>
              <w:jc w:val="center"/>
              <w:rPr>
                <w:rFonts w:ascii="Times New Roman" w:hAnsi="Times New Roman"/>
                <w:sz w:val="20"/>
                <w:szCs w:val="20"/>
              </w:rPr>
            </w:pPr>
          </w:p>
        </w:tc>
      </w:tr>
      <w:tr w:rsidR="0049126A" w:rsidRPr="0049126A" w14:paraId="6097E78C" w14:textId="77777777" w:rsidTr="00D4112B">
        <w:trPr>
          <w:trHeight w:val="200"/>
        </w:trPr>
        <w:tc>
          <w:tcPr>
            <w:tcW w:w="2254" w:type="dxa"/>
            <w:vMerge w:val="restart"/>
          </w:tcPr>
          <w:p w14:paraId="412D55E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 100</w:t>
            </w:r>
          </w:p>
        </w:tc>
        <w:tc>
          <w:tcPr>
            <w:tcW w:w="2254" w:type="dxa"/>
          </w:tcPr>
          <w:p w14:paraId="03460ED7"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3000</w:t>
            </w:r>
          </w:p>
        </w:tc>
        <w:tc>
          <w:tcPr>
            <w:tcW w:w="2254" w:type="dxa"/>
          </w:tcPr>
          <w:p w14:paraId="31B3F8E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1500</w:t>
            </w:r>
          </w:p>
        </w:tc>
        <w:tc>
          <w:tcPr>
            <w:tcW w:w="2872" w:type="dxa"/>
            <w:vMerge w:val="restart"/>
          </w:tcPr>
          <w:p w14:paraId="606011CE"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600</w:t>
            </w:r>
          </w:p>
        </w:tc>
      </w:tr>
      <w:tr w:rsidR="0049126A" w:rsidRPr="0049126A" w14:paraId="71392AD3" w14:textId="77777777" w:rsidTr="00D4112B">
        <w:trPr>
          <w:trHeight w:val="199"/>
        </w:trPr>
        <w:tc>
          <w:tcPr>
            <w:tcW w:w="2254" w:type="dxa"/>
            <w:vMerge/>
          </w:tcPr>
          <w:p w14:paraId="3E9ACC49" w14:textId="77777777" w:rsidR="009A2C6B" w:rsidRPr="0049126A" w:rsidRDefault="009A2C6B" w:rsidP="009A2C6B">
            <w:pPr>
              <w:spacing w:line="276" w:lineRule="auto"/>
              <w:contextualSpacing/>
              <w:jc w:val="center"/>
              <w:rPr>
                <w:rFonts w:ascii="Times New Roman" w:hAnsi="Times New Roman"/>
                <w:sz w:val="20"/>
                <w:szCs w:val="20"/>
              </w:rPr>
            </w:pPr>
          </w:p>
        </w:tc>
        <w:tc>
          <w:tcPr>
            <w:tcW w:w="2254" w:type="dxa"/>
          </w:tcPr>
          <w:p w14:paraId="539BF1F9"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3600</w:t>
            </w:r>
          </w:p>
        </w:tc>
        <w:tc>
          <w:tcPr>
            <w:tcW w:w="2254" w:type="dxa"/>
          </w:tcPr>
          <w:p w14:paraId="209EB50D"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1800</w:t>
            </w:r>
          </w:p>
        </w:tc>
        <w:tc>
          <w:tcPr>
            <w:tcW w:w="2872" w:type="dxa"/>
            <w:vMerge/>
          </w:tcPr>
          <w:p w14:paraId="0394742A" w14:textId="77777777" w:rsidR="009A2C6B" w:rsidRPr="0049126A" w:rsidRDefault="009A2C6B" w:rsidP="009A2C6B">
            <w:pPr>
              <w:spacing w:line="276" w:lineRule="auto"/>
              <w:contextualSpacing/>
              <w:jc w:val="center"/>
              <w:rPr>
                <w:rFonts w:ascii="Times New Roman" w:hAnsi="Times New Roman"/>
                <w:sz w:val="20"/>
                <w:szCs w:val="20"/>
              </w:rPr>
            </w:pPr>
          </w:p>
        </w:tc>
      </w:tr>
      <w:tr w:rsidR="009A2C6B" w:rsidRPr="0049126A" w14:paraId="0ADAFDD2" w14:textId="77777777" w:rsidTr="00D4112B">
        <w:trPr>
          <w:trHeight w:val="199"/>
        </w:trPr>
        <w:tc>
          <w:tcPr>
            <w:tcW w:w="4508" w:type="dxa"/>
            <w:gridSpan w:val="2"/>
          </w:tcPr>
          <w:p w14:paraId="392CCA01"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Programarea administrării dozei suplimentare de ravulizumab</w:t>
            </w:r>
          </w:p>
        </w:tc>
        <w:tc>
          <w:tcPr>
            <w:tcW w:w="2254" w:type="dxa"/>
          </w:tcPr>
          <w:p w14:paraId="064E4AD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În decurs de 4h după efectuarea fiecărei ședințe de plasmafereză</w:t>
            </w:r>
          </w:p>
        </w:tc>
        <w:tc>
          <w:tcPr>
            <w:tcW w:w="2872" w:type="dxa"/>
          </w:tcPr>
          <w:p w14:paraId="04995EEB"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În decurs de 4h de la terminarea unui ciclu de Ig I.V.</w:t>
            </w:r>
          </w:p>
        </w:tc>
      </w:tr>
    </w:tbl>
    <w:p w14:paraId="0E48075B" w14:textId="77777777" w:rsidR="009A2C6B" w:rsidRPr="0049126A" w:rsidRDefault="009A2C6B" w:rsidP="009A2C6B">
      <w:pPr>
        <w:pStyle w:val="Heading4"/>
        <w:spacing w:before="0" w:line="276" w:lineRule="auto"/>
        <w:rPr>
          <w:rFonts w:ascii="Times New Roman" w:hAnsi="Times New Roman"/>
          <w:color w:val="auto"/>
          <w:sz w:val="24"/>
          <w:szCs w:val="24"/>
        </w:rPr>
      </w:pPr>
    </w:p>
    <w:p w14:paraId="7C4EEC05" w14:textId="1B5BADFF" w:rsidR="009A2C6B" w:rsidRPr="0049126A" w:rsidRDefault="009A2C6B" w:rsidP="009A2C6B">
      <w:pPr>
        <w:pStyle w:val="Heading4"/>
        <w:spacing w:before="0" w:line="276" w:lineRule="auto"/>
        <w:rPr>
          <w:rFonts w:ascii="Times New Roman" w:hAnsi="Times New Roman"/>
          <w:color w:val="auto"/>
          <w:sz w:val="24"/>
          <w:szCs w:val="24"/>
        </w:rPr>
      </w:pPr>
      <w:r w:rsidRPr="0049126A">
        <w:rPr>
          <w:rFonts w:ascii="Times New Roman" w:hAnsi="Times New Roman"/>
          <w:color w:val="auto"/>
          <w:sz w:val="24"/>
          <w:szCs w:val="24"/>
        </w:rPr>
        <w:t>Recomandări privind profilaxia recurenței SHUa post-transplant renal</w:t>
      </w:r>
    </w:p>
    <w:p w14:paraId="7AC18455" w14:textId="103A41C7" w:rsidR="009A2C6B" w:rsidRPr="0049126A" w:rsidRDefault="009A2C6B" w:rsidP="00367864">
      <w:pPr>
        <w:pStyle w:val="ListParagraph"/>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color w:val="auto"/>
        </w:rPr>
      </w:pPr>
      <w:r w:rsidRPr="0049126A">
        <w:rPr>
          <w:color w:val="auto"/>
        </w:rPr>
        <w:t xml:space="preserve">Se recomandă amânarea transplantului renal timp de cel puțin 6 luni după inițierea dializei, datorită șansei de recuperare a funcției renale în primele luni de la începerea tratamentului cu </w:t>
      </w:r>
      <w:r w:rsidR="00F52CC5" w:rsidRPr="0049126A">
        <w:rPr>
          <w:color w:val="auto"/>
        </w:rPr>
        <w:t>ravulizumab</w:t>
      </w:r>
      <w:r w:rsidRPr="0049126A">
        <w:rPr>
          <w:color w:val="auto"/>
        </w:rPr>
        <w:fldChar w:fldCharType="begin" w:fldLock="1"/>
      </w:r>
      <w:r w:rsidRPr="0049126A">
        <w:rPr>
          <w:color w:val="auto"/>
        </w:rPr>
        <w:instrText>ADDIN CSL_CITATION {"citationItems":[{"id":"ITEM-1","itemData":{"DOI":"10.1056/nejmoa1208981","ISSN":"0028-4793","abstract":"BACKGROUND Atypical hemolytic-uremic syndrome is a genetic, life-threatening, chronic disease of complement-mediated thrombotic microangiopathy. Plasma exchange or infusion may transiently maintain normal levels of hematologic measures but does not treat the underlying systemic disease. METHODS We conducted two prospective phase 2 trials in which patients with atypical hemolytic-uremic syndrome who were 12 years of age or older received eculizumab for 26 weeks and during long-term extension phases. Patients with low platelet counts and renal damage (in trial 1) and those with renal damage but no decrease in the platelet count of more than 25% for at least 8 weeks during plasma exchange or infusion (in trial 2) were recruited. The primary end points included a change in the platelet count (in trial 1) and thrombotic microangiopathy event-free status (no decrease in the platelet count of &gt;25%, no plasma exchange or infusion, and no initiation of dialysis) (in trial 2). RESULTS A total of 37 patients (17 in trial 1 and 20 in trial 2) received eculizumab for a median of 64 and 62 weeks, respectively. Eculizumab resulted in increases in the platelet count; in trial 1, the mean increase in the count from baseline to week 26 was 73×10(9) per liter (P&lt;0.001). In trial 2, 80% of the patients had thrombotic microangiopathy event-free status. Eculizumab was associated with significant improvement in all secondary end points, with continuous, time-dependent increases in the estimated glomerular filtration rate (GFR). In trial 1, dialysis was discontinued in 4 of 5 patients. Earlier intervention with eculizumab was associated with significantly greater improvement in the estimated GFR. Eculizumab was also associated with improvement in health-related quality of life. No cumulative toxicity of therapy or serious infection-related adverse events, including meningococcal infections, were observed through the extension period. CONCLUSIONS Eculizumab inhibited complement-mediated thrombotic microangiopathy and was associated with significant time-dependent improvement in renal function in patients with atypical hemolytic-uremic syndrome. (Funded by Alexion Pharmaceuticals; C08-002 ClinicalTrials.gov numbers, NCT00844545 [adults] and NCT00844844 [adolescents]; C08-003 ClinicalTrials.gov numbers, NCT00838513 [adults] and NCT00844428 [adolescents]).","author":[{"dropping-particle":"","family":"Legendre","given":"C.M.","non-dropping-particle":"","parse-names":false,"suffix":""},{"dropping-particle":"","family":"Licht","given":"C.","non-dropping-particle":"","parse-names":false,"suffix":""},{"dropping-particle":"","family":"Muus","given":"P.","non-dropping-particle":"","parse-names":false,"suffix":""},{"dropping-particle":"","family":"Greenbaum","given":"L.A.","non-dropping-particle":"","parse-names":false,"suffix":""},{"dropping-particle":"","family":"Babu","given":"S.","non-dropping-particle":"","parse-names":false,"suffix":""},{"dropping-particle":"","family":"Bedrosian","given":"C.","non-dropping-particle":"","parse-names":false,"suffix":""},{"dropping-particle":"","family":"Bingham","given":"C.","non-dropping-particle":"","parse-names":false,"suffix":""},{"dropping-particle":"","family":"Cohen","given":"D.J.","non-dropping-particle":"","parse-names":false,"suffix":""},{"dropping-particle":"","family":"Delmas","given":"Y.","non-dropping-particle":"","parse-names":false,"suffix":""},{"dropping-particle":"","family":"Douglas","given":"K.","non-dropping-particle":"","parse-names":false,"suffix":""},{"dropping-particle":"","family":"Eitner","given":"F.","non-dropping-particle":"","parse-names":false,"suffix":""},{"dropping-particle":"","family":"Feldkamp","given":"T.","non-dropping-particle":"","parse-names":false,"suffix":""},{"dropping-particle":"","family":"Fouque","given":"D.","non-dropping-particle":"","parse-names":false,"suffix":""},{"dropping-particle":"","family":"Furman","given":"R.R.","non-dropping-particle":"","parse-names":false,"suffix":""},{"dropping-particle":"","family":"Gaber","given":"O.","non-dropping-particle":"","parse-names":false,"suffix":""},{"dropping-particle":"","family":"Herthelius","given":"M.","non-dropping-particle":"","parse-names":false,"suffix":""},{"dropping-particle":"","family":"Hourmant","given":"M.","non-dropping-particle":"","parse-names":false,"suffix":""},{"dropping-particle":"","family":"Karpman","given":"D.","non-dropping-particle":"","parse-names":false,"suffix":""},{"dropping-particle":"","family":"Lebranchu","given":"Y.","non-dropping-particle":"","parse-names":false,"suffix":""},{"dropping-particle":"","family":"Mariat","given":"C.","non-dropping-particle":"","parse-names":false,"suffix":""},{"dropping-particle":"","family":"Menne","given":"J.","non-dropping-particle":"","parse-names":false,"suffix":""},{"dropping-particle":"","family":"Moulin","given":"B.","non-dropping-particle":"","parse-names":false,"suffix":""},{"dropping-particle":"","family":"Nürnberger","given":"J.","non-dropping-particle":"","parse-names":false,"suffix":""},{"dropping-particle":"","family":"Ogawa","given":"M.","non-dropping-particle":"","parse-names":false,"suffix":""},{"dropping-particle":"","family":"Remuzzi","given":"G.","non-dropping-particle":"","parse-names":false,"suffix":""},{"dropping-particle":"","family":"Richard","given":"T.","non-dropping-particle":"","parse-names":false,"suffix":""},{"dropping-particle":"","family":"Sberro-Soussan","given":"R.","non-dropping-particle":"","parse-names":false,"suffix":""},{"dropping-particle":"","family":"Severino","given":"B.","non-dropping-particle":"","parse-names":false,"suffix":""},{"dropping-particle":"","family":"Sheerin","given":"N.S.","non-dropping-particle":"","parse-names":false,"suffix":""},{"dropping-particle":"","family":"Trivelli","given":"A.","non-dropping-particle":"","parse-names":false,"suffix":""},{"dropping-particle":"","family":"Zimmerhackl","given":"L.B.","non-dropping-particle":"","parse-names":false,"suffix":""},{"dropping-particle":"","family":"Goodship","given":"T.","non-dropping-particle":"","parse-names":false,"suffix":""},{"dropping-particle":"","family":"Loirat","given":"C.","non-dropping-particle":"","parse-names":false,"suffix":""}],"container-title":"New England Journal of Medicine","id":"ITEM-1","issue":"23","issued":{"date-parts":[["2013"]]},"page":"2169-2181","title":"Terminal Complement Inhibitor Eculizumab in Atypical Hemolytic–Uremic Syndrome","type":"article-journal","volume":"368"},"uris":["http://www.mendeley.com/documents/?uuid=3b88e42e-d08b-4050-9f4a-3e31ad6a7a9c"]},{"id":"ITEM-2","itemData":{"DOI":"10.2215/CJN.00620117","ISSN":"1555905X","PMID":"29042465","abstract":"Thrombotic microangiopathy is a common renal pathologic finding, which is characterized by the presence of endothelial cell injury and microvascular thrombi. The spectrum of clinical diseases that are connected by a thrombotic microangiopathic injury may appear to be unrelated, but overactivation of the complement system is emerging as an important mechanism, especially in atypical hemolytic uremic syndrome, anti-phospholipid antibody syndrome, scleroderma renal crisis, and others. Although few pathologic findings enable the pathologist to establish the precise etiology of the microvascular injury, the kidney biopsy remains the gold standard for diagnosing renal thrombotic microangiopathy and excluding other potential causes of kidney injury. After this critical step, additional investigation of the clinical and laboratory data is necessary to establish the underlying etiology and guide subsequent therapeutic options. The salient clinical and pathologic features of common diseases that are associated with thrombotic microangiopathy will be discussed.","author":[{"dropping-particle":"","family":"Brocklebank","given":"Vicky","non-dropping-particle":"","parse-names":false,"suffix":""},{"dropping-particle":"","family":"Wood","given":"Katrina M.","non-dropping-particle":"","parse-names":false,"suffix":""},{"dropping-particle":"","family":"Kavanagh","given":"David","non-dropping-particle":"","parse-names":false,"suffix":""}],"container-title":"Clinical Journal of the American Society of Nephrology","id":"ITEM-2","issue":"2","issued":{"date-parts":[["2018"]]},"page":"300-317","title":"Thrombotic microangiopathy and the kidney","type":"article-journal","volume":"13"},"uris":["http://www.mendeley.com/documents/?uuid=0da3c921-0c07-42c1-b4f4-c3bd3c34906c","http://www.mendeley.com/documents/?uuid=ea1f6c1e-7457-41bf-ad3c-151b26b6dc29"]}],"mendeley":{"formattedCitation":"&lt;sup&gt;3,14&lt;/sup&gt;","plainTextFormattedCitation":"3,14","previouslyFormattedCitation":"&lt;sup&gt;3,14&lt;/sup&gt;"},"properties":{"noteIndex":0},"schema":"https://github.com/citation-style-language/schema/raw/master/csl-citation.json"}</w:instrText>
      </w:r>
      <w:r w:rsidRPr="0049126A">
        <w:rPr>
          <w:color w:val="auto"/>
        </w:rPr>
        <w:fldChar w:fldCharType="end"/>
      </w:r>
      <w:r w:rsidRPr="0049126A">
        <w:rPr>
          <w:color w:val="auto"/>
        </w:rPr>
        <w:t>.</w:t>
      </w:r>
    </w:p>
    <w:p w14:paraId="6CFEAF48" w14:textId="4C91EC92" w:rsidR="009A2C6B" w:rsidRPr="0049126A" w:rsidRDefault="009A2C6B" w:rsidP="00367864">
      <w:pPr>
        <w:pStyle w:val="ListParagraph"/>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color w:val="auto"/>
        </w:rPr>
      </w:pPr>
      <w:r w:rsidRPr="0049126A">
        <w:rPr>
          <w:color w:val="auto"/>
        </w:rPr>
        <w:t>Se recomandă efectuarea transplantului renal după remiterea fenomenelor de renale/extrarenale de MAT</w:t>
      </w:r>
      <w:r w:rsidRPr="0049126A">
        <w:rPr>
          <w:color w:val="auto"/>
        </w:rPr>
        <w:fldChar w:fldCharType="begin" w:fldLock="1"/>
      </w:r>
      <w:r w:rsidRPr="0049126A">
        <w:rPr>
          <w:color w:val="auto"/>
        </w:rPr>
        <w:instrText>ADDIN CSL_CITATION {"citationItems":[{"id":"ITEM-1","itemData":{"DOI":"10.1016/j.kint.2016.10.005","ISBN":"1523-1755 (Electronic) 0085-2538 (Linking)","ISSN":"15231755","PMID":"27989322","abstract":"In both atypical hemolytic uremic syndrome (aHUS) and C3 glomerulopathy (C3G) complement plays a primary role in disease pathogenesis. Herein we report the outcome of a 2015 Kidney Disease: Improving Global Outcomes (KDIGO) Controversies Conference where key issues in the management of these 2 diseases were considered by a global panel of experts. Areas addressed included renal pathology, clinical phenotype and assessment, genetic drivers of disease, acquired drivers of disease, and treatment strategies. In order to help guide clinicians who are caring for such patients, recommendations for best treatment strategies were discussed at length, providing the evidence base underpinning current treatment options. Knowledge gaps were identified and a prioritized research agenda was proposed to resolve outstanding controversial issues.","author":[{"dropping-particle":"","family":"Goodship","given":"Timothy H.J.","non-dropping-particle":"","parse-names":false,"suffix":""},{"dropping-particle":"","family":"Cook","given":"H. Terence","non-dropping-particle":"","parse-names":false,"suffix":""},{"dropping-particle":"","family":"Fakhouri","given":"Fadi","non-dropping-particle":"","parse-names":false,"suffix":""},{"dropping-particle":"","family":"Fervenza","given":"Fernando C.","non-dropping-particle":"","parse-names":false,"suffix":""},{"dropping-particle":"","family":"Frémeaux-Bacchi","given":"Véronique","non-dropping-particle":"","parse-names":false,"suffix":""},{"dropping-particle":"","family":"Kavanagh","given":"David","non-dropping-particle":"","parse-names":false,"suffix":""},{"dropping-particle":"","family":"Nester","given":"Carla M.","non-dropping-particle":"","parse-names":false,"suffix":""},{"dropping-particle":"","family":"Noris","given":"Marina","non-dropping-particle":"","parse-names":false,"suffix":""},{"dropping-particle":"","family":"Pickering","given":"Matthew C.","non-dropping-particle":"","parse-names":false,"suffix":""},{"dropping-particle":"","family":"Rodríguez de Córdoba","given":"Santiago","non-dropping-particle":"","parse-names":false,"suffix":""},{"dropping-particle":"","family":"Roumenina","given":"Lubka T.","non-dropping-particle":"","parse-names":false,"suffix":""},{"dropping-particle":"","family":"Sethi","given":"Sanjeev","non-dropping-particle":"","parse-names":false,"suffix":""},{"dropping-particle":"","family":"Smith","given":"Richard J.H.","non-dropping-particle":"","parse-names":false,"suffix":""},{"dropping-particle":"","family":"Alpers","given":"Charlie E.","non-dropping-particle":"","parse-names":false,"suffix":""},{"dropping-particle":"","family":"Appel","given":"Gerald B.","non-dropping-particle":"","parse-names":false,"suffix":""},{"dropping-particle":"","family":"Ardissino","given":"Gianluigi","non-dropping-particle":"","parse-names":false,"suffix":""},{"dropping-particle":"","family":"Ariceta","given":"Gema","non-dropping-particle":"","parse-names":false,"suffix":""},{"dropping-particle":"","family":"Arici","given":"Mustafa","non-dropping-particle":"","parse-names":false,"suffix":""},{"dropping-particle":"","family":"Bagga","given":"Arvind","non-dropping-particle":"","parse-names":false,"suffix":""},{"dropping-particle":"","family":"Bajema","given":"Ingeborg M.","non-dropping-particle":"","parse-names":false,"suffix":""},{"dropping-particle":"","family":"Blasco","given":"Miguel","non-dropping-particle":"","parse-names":false,"suffix":""},{"dropping-particle":"","family":"Burke","given":"Linda","non-dropping-particle":"","parse-names":false,"suffix":""},{"dropping-particle":"","family":"Cairns","given":"Thomas D.","non-dropping-particle":"","parse-names":false,"suffix":""},{"dropping-particle":"","family":"Carratala","given":"Mireya","non-dropping-particle":"","parse-names":false,"suffix":""},{"dropping-particle":"","family":"D'Agati","given":"Vivette D.","non-dropping-particle":"","parse-names":false,"suffix":""},{"dropping-particle":"","family":"Daha","given":"Mohamed R.","non-dropping-particle":"","parse-names":false,"suffix":""},{"dropping-particle":"","family":"Vriese","given":"An S.","non-dropping-particle":"De","parse-names":false,"suffix":""},{"dropping-particle":"","family":"Dragon-Durey","given":"Marie Agnès","non-dropping-particle":"","parse-names":false,"suffix":""},{"dropping-particle":"","family":"Fogo","given":"Agnes B.","non-dropping-particle":"","parse-names":false,"suffix":""},{"dropping-particle":"","family":"Galbusera","given":"Miriam","non-dropping-particle":"","parse-names":false,"suffix":""},{"dropping-particle":"","family":"Gale","given":"Daniel P.","non-dropping-particle":"","parse-names":false,"suffix":""},{"dropping-particle":"","family":"Haller","given":"Hermann","non-dropping-particle":"","parse-names":false,"suffix":""},{"dropping-particle":"","family":"Johnson","given":"Sally","non-dropping-particle":"","parse-names":false,"suffix":""},{"dropping-particle":"","family":"Józsi","given":"Mihály","non-dropping-particle":"","parse-names":false,"suffix":""},{"dropping-particle":"","family":"Karpman","given":"Diana","non-dropping-particle":"","parse-names":false,"suffix":""},{"dropping-particle":"","family":"Lanning","given":"Lynne","non-dropping-particle":"","parse-names":false,"suffix":""},{"dropping-particle":"","family":"Quintrec","given":"Moglie","non-dropping-particle":"Le","parse-names":false,"suffix":""},{"dropping-particle":"","family":"Licht","given":"Christoph","non-dropping-particle":"","parse-names":false,"suffix":""},{"dropping-particle":"","family":"Loirat","given":"Chantal","non-dropping-particle":"","parse-names":false,"suffix":""},{"dropping-particle":"","family":"Monfort","given":"Francisco","non-dropping-particle":"","parse-names":false,"suffix":""},{"dropping-particle":"","family":"Morgan","given":"B. Paul","non-dropping-particle":"","parse-names":false,"suffix":""},{"dropping-particle":"","family":"Noël","given":"Laure Hélène","non-dropping-particle":"","parse-names":false,"suffix":""},{"dropping-particle":"","family":"O'Shaughnessy","given":"Michelle M.","non-dropping-particle":"","parse-names":false,"suffix":""},{"dropping-particle":"","family":"Rabant","given":"Marion","non-dropping-particle":"","parse-names":false,"suffix":""},{"dropping-particle":"","family":"Rondeau","given":"Eric","non-dropping-particle":"","parse-names":false,"suffix":""},{"dropping-particle":"","family":"Ruggenenti","given":"Piero","non-dropping-particle":"","parse-names":false,"suffix":""},{"dropping-particle":"","family":"Sheerin","given":"Neil S.","non-dropping-particle":"","parse-names":false,"suffix":""},{"dropping-particle":"","family":"Smith","given":"Jenna","non-dropping-particle":"","parse-names":false,"suffix":""},{"dropping-particle":"","family":"Spoleti","given":"Fabrizio","non-dropping-particle":"","parse-names":false,"suffix":""},{"dropping-particle":"","family":"Thurman","given":"Joshua M.","non-dropping-particle":"","parse-names":false,"suffix":""},{"dropping-particle":"","family":"Kar","given":"Nicole C.A.J.","non-dropping-particle":"van de","parse-names":false,"suffix":""},{"dropping-particle":"","family":"Vivarelli","given":"Marina","non-dropping-particle":"","parse-names":false,"suffix":""},{"dropping-particle":"","family":"Zipfel","given":"Peter F.","non-dropping-particle":"","parse-names":false,"suffix":""}],"container-title":"Kidney International","id":"ITEM-1","issue":"3","issued":{"date-parts":[["2017"]]},"page":"539-551","title":"Atypical hemolytic uremic syndrome and C3 glomerulopathy: conclusions from a “Kidney Disease: Improving Global Outcomes” (KDIGO) Controversies Conference","type":"article-journal","volume":"91"},"uris":["http://www.mendeley.com/documents/?uuid=a4280c30-e65a-4130-b344-b82da8eda690","http://www.mendeley.com/documents/?uuid=87a45b5f-32bf-49b8-9327-20c40d294d43"]}],"mendeley":{"formattedCitation":"&lt;sup&gt;10&lt;/sup&gt;","plainTextFormattedCitation":"10","previouslyFormattedCitation":"&lt;sup&gt;10&lt;/sup&gt;"},"properties":{"noteIndex":0},"schema":"https://github.com/citation-style-language/schema/raw/master/csl-citation.json"}</w:instrText>
      </w:r>
      <w:r w:rsidRPr="0049126A">
        <w:rPr>
          <w:color w:val="auto"/>
        </w:rPr>
        <w:fldChar w:fldCharType="end"/>
      </w:r>
      <w:r w:rsidRPr="0049126A">
        <w:rPr>
          <w:color w:val="auto"/>
        </w:rPr>
        <w:t>.</w:t>
      </w:r>
    </w:p>
    <w:p w14:paraId="0197477C" w14:textId="77777777" w:rsidR="009A2C6B" w:rsidRPr="0049126A" w:rsidRDefault="009A2C6B" w:rsidP="00367864">
      <w:pPr>
        <w:pStyle w:val="ListParagraph"/>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color w:val="auto"/>
        </w:rPr>
      </w:pPr>
      <w:r w:rsidRPr="0049126A">
        <w:rPr>
          <w:color w:val="auto"/>
        </w:rPr>
        <w:t>Indicația de utilizare a tratamentului cu ravulizumab la pacienții transplantați renal se evaluează în funcție de riscul de recădere al bolii (necesită evaluarea genetică a cascadei complementului).</w:t>
      </w:r>
    </w:p>
    <w:p w14:paraId="239E09EF" w14:textId="54675604" w:rsidR="009A2C6B" w:rsidRPr="0049126A" w:rsidRDefault="009A2C6B" w:rsidP="00367864">
      <w:pPr>
        <w:pStyle w:val="ListParagraph"/>
        <w:numPr>
          <w:ilvl w:val="0"/>
          <w:numId w:val="11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color w:val="auto"/>
        </w:rPr>
      </w:pPr>
      <w:r w:rsidRPr="0049126A">
        <w:rPr>
          <w:color w:val="auto"/>
        </w:rPr>
        <w:t>Au fost raportate cazuri de conversie a tratamentului de pe eculizumab pe ravulizumab post-transplant renal, cu evoluție favorabilă</w:t>
      </w:r>
    </w:p>
    <w:p w14:paraId="00EFDDE9" w14:textId="77777777" w:rsidR="009A2C6B" w:rsidRPr="0049126A" w:rsidRDefault="009A2C6B" w:rsidP="009A2C6B">
      <w:pPr>
        <w:spacing w:line="276" w:lineRule="auto"/>
        <w:rPr>
          <w:rFonts w:ascii="Times New Roman" w:hAnsi="Times New Roman"/>
          <w:b/>
          <w:bCs/>
          <w:sz w:val="24"/>
          <w:szCs w:val="24"/>
        </w:rPr>
      </w:pPr>
      <w:r w:rsidRPr="0049126A">
        <w:rPr>
          <w:rFonts w:ascii="Times New Roman" w:hAnsi="Times New Roman"/>
          <w:b/>
          <w:bCs/>
          <w:sz w:val="24"/>
          <w:szCs w:val="24"/>
        </w:rPr>
        <w:t xml:space="preserve">Tabel 6. Profilaxia recăderii SHUa pe grefa renală </w:t>
      </w:r>
    </w:p>
    <w:tbl>
      <w:tblPr>
        <w:tblStyle w:val="TableGrid"/>
        <w:tblW w:w="9634" w:type="dxa"/>
        <w:tblLook w:val="04A0" w:firstRow="1" w:lastRow="0" w:firstColumn="1" w:lastColumn="0" w:noHBand="0" w:noVBand="1"/>
      </w:tblPr>
      <w:tblGrid>
        <w:gridCol w:w="6091"/>
        <w:gridCol w:w="3543"/>
      </w:tblGrid>
      <w:tr w:rsidR="0049126A" w:rsidRPr="0049126A" w14:paraId="60CA0395" w14:textId="77777777" w:rsidTr="00D4112B">
        <w:tc>
          <w:tcPr>
            <w:tcW w:w="6091" w:type="dxa"/>
          </w:tcPr>
          <w:p w14:paraId="0D20E896"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Riscul de recădere</w:t>
            </w:r>
          </w:p>
        </w:tc>
        <w:tc>
          <w:tcPr>
            <w:tcW w:w="3543" w:type="dxa"/>
          </w:tcPr>
          <w:p w14:paraId="42876F6A" w14:textId="77777777" w:rsidR="009A2C6B" w:rsidRPr="0049126A" w:rsidRDefault="009A2C6B" w:rsidP="009A2C6B">
            <w:pPr>
              <w:spacing w:line="276" w:lineRule="auto"/>
              <w:rPr>
                <w:rFonts w:ascii="Times New Roman" w:hAnsi="Times New Roman"/>
                <w:b/>
                <w:bCs/>
                <w:sz w:val="20"/>
                <w:szCs w:val="20"/>
              </w:rPr>
            </w:pPr>
            <w:r w:rsidRPr="0049126A">
              <w:rPr>
                <w:rFonts w:ascii="Times New Roman" w:hAnsi="Times New Roman"/>
                <w:b/>
                <w:bCs/>
                <w:sz w:val="20"/>
                <w:szCs w:val="20"/>
              </w:rPr>
              <w:t>Strategia de prevenție</w:t>
            </w:r>
          </w:p>
        </w:tc>
      </w:tr>
      <w:tr w:rsidR="0049126A" w:rsidRPr="0049126A" w14:paraId="0A22D9C8" w14:textId="77777777" w:rsidTr="00D4112B">
        <w:tc>
          <w:tcPr>
            <w:tcW w:w="6091" w:type="dxa"/>
          </w:tcPr>
          <w:p w14:paraId="40F84F4F"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Risc crescut (50-100%) (</w:t>
            </w:r>
            <w:r w:rsidRPr="0049126A">
              <w:rPr>
                <w:rFonts w:ascii="Times New Roman" w:hAnsi="Times New Roman"/>
                <w:b/>
                <w:bCs/>
                <w:sz w:val="20"/>
                <w:szCs w:val="20"/>
              </w:rPr>
              <w:t>Tabel 1 și 2, Figura 2</w:t>
            </w:r>
            <w:r w:rsidRPr="0049126A">
              <w:rPr>
                <w:rFonts w:ascii="Times New Roman" w:hAnsi="Times New Roman"/>
                <w:sz w:val="20"/>
                <w:szCs w:val="20"/>
              </w:rPr>
              <w:t>)</w:t>
            </w:r>
          </w:p>
          <w:p w14:paraId="11075DEC" w14:textId="77777777" w:rsidR="009A2C6B" w:rsidRPr="0049126A" w:rsidRDefault="009A2C6B" w:rsidP="00367864">
            <w:pPr>
              <w:pStyle w:val="ListParagraph"/>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Istoric de recădere precoce</w:t>
            </w:r>
          </w:p>
          <w:p w14:paraId="62AAE081" w14:textId="77777777" w:rsidR="009A2C6B" w:rsidRPr="0049126A" w:rsidRDefault="009A2C6B" w:rsidP="00367864">
            <w:pPr>
              <w:pStyle w:val="ListParagraph"/>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Prezența unei mutații patogenice</w:t>
            </w:r>
          </w:p>
          <w:p w14:paraId="5073906D" w14:textId="77777777" w:rsidR="009A2C6B" w:rsidRPr="0049126A" w:rsidRDefault="009A2C6B" w:rsidP="00367864">
            <w:pPr>
              <w:pStyle w:val="ListParagraph"/>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Prezența unei mutații de tip “</w:t>
            </w:r>
            <w:r w:rsidRPr="0049126A">
              <w:rPr>
                <w:i/>
                <w:iCs/>
                <w:color w:val="auto"/>
                <w:sz w:val="20"/>
                <w:szCs w:val="20"/>
              </w:rPr>
              <w:t>gain-of-function</w:t>
            </w:r>
            <w:r w:rsidRPr="0049126A">
              <w:rPr>
                <w:color w:val="auto"/>
                <w:sz w:val="20"/>
                <w:szCs w:val="20"/>
              </w:rPr>
              <w:t>”</w:t>
            </w:r>
          </w:p>
        </w:tc>
        <w:tc>
          <w:tcPr>
            <w:tcW w:w="3543" w:type="dxa"/>
          </w:tcPr>
          <w:p w14:paraId="7C787E16" w14:textId="77777777" w:rsidR="009A2C6B" w:rsidRPr="0049126A" w:rsidRDefault="009A2C6B" w:rsidP="00367864">
            <w:pPr>
              <w:pStyle w:val="ListParagraph"/>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75" w:hanging="142"/>
              <w:contextualSpacing/>
              <w:rPr>
                <w:color w:val="auto"/>
                <w:sz w:val="20"/>
                <w:szCs w:val="20"/>
              </w:rPr>
            </w:pPr>
            <w:r w:rsidRPr="0049126A">
              <w:rPr>
                <w:color w:val="auto"/>
                <w:sz w:val="20"/>
                <w:szCs w:val="20"/>
              </w:rPr>
              <w:t>Profilaxia cu ravulizumab este indicată</w:t>
            </w:r>
          </w:p>
          <w:p w14:paraId="3589FFB0" w14:textId="77777777" w:rsidR="009A2C6B" w:rsidRPr="0049126A" w:rsidRDefault="009A2C6B" w:rsidP="00367864">
            <w:pPr>
              <w:pStyle w:val="ListParagraph"/>
              <w:numPr>
                <w:ilvl w:val="0"/>
                <w:numId w:val="11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75" w:hanging="142"/>
              <w:contextualSpacing/>
              <w:rPr>
                <w:color w:val="auto"/>
                <w:sz w:val="20"/>
                <w:szCs w:val="20"/>
              </w:rPr>
            </w:pPr>
            <w:r w:rsidRPr="0049126A">
              <w:rPr>
                <w:color w:val="auto"/>
                <w:sz w:val="20"/>
                <w:szCs w:val="20"/>
              </w:rPr>
              <w:t>Profilaxia este indicată din momentul efectuării transplantului renal</w:t>
            </w:r>
          </w:p>
        </w:tc>
      </w:tr>
      <w:tr w:rsidR="0049126A" w:rsidRPr="0049126A" w14:paraId="7F9B852C" w14:textId="77777777" w:rsidTr="00D4112B">
        <w:tc>
          <w:tcPr>
            <w:tcW w:w="6091" w:type="dxa"/>
          </w:tcPr>
          <w:p w14:paraId="76099523"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Risc moderat</w:t>
            </w:r>
          </w:p>
          <w:p w14:paraId="68AB447E" w14:textId="77777777" w:rsidR="009A2C6B" w:rsidRPr="0049126A" w:rsidRDefault="009A2C6B" w:rsidP="00367864">
            <w:pPr>
              <w:pStyle w:val="ListParagraph"/>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Pacienți fără mutație identificată</w:t>
            </w:r>
          </w:p>
          <w:p w14:paraId="0D6F7B74" w14:textId="77777777" w:rsidR="009A2C6B" w:rsidRPr="0049126A" w:rsidRDefault="009A2C6B" w:rsidP="00367864">
            <w:pPr>
              <w:pStyle w:val="ListParagraph"/>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Pacienți cu mutații cu semnificație patogenică incertă</w:t>
            </w:r>
          </w:p>
          <w:p w14:paraId="08DFD747" w14:textId="77777777" w:rsidR="009A2C6B" w:rsidRPr="0049126A" w:rsidRDefault="009A2C6B" w:rsidP="00367864">
            <w:pPr>
              <w:pStyle w:val="ListParagraph"/>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Prezența unei mutații izolate a factorului I</w:t>
            </w:r>
          </w:p>
          <w:p w14:paraId="0E5272DF" w14:textId="77777777" w:rsidR="009A2C6B" w:rsidRPr="0049126A" w:rsidRDefault="009A2C6B" w:rsidP="00367864">
            <w:pPr>
              <w:pStyle w:val="ListParagraph"/>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Prezența unui titru persistent scăzut de anticorpi anti-factor H</w:t>
            </w:r>
          </w:p>
        </w:tc>
        <w:tc>
          <w:tcPr>
            <w:tcW w:w="3543" w:type="dxa"/>
          </w:tcPr>
          <w:p w14:paraId="0C0D91B5" w14:textId="77777777" w:rsidR="009A2C6B" w:rsidRPr="0049126A" w:rsidRDefault="009A2C6B" w:rsidP="00367864">
            <w:pPr>
              <w:pStyle w:val="ListParagraph"/>
              <w:numPr>
                <w:ilvl w:val="0"/>
                <w:numId w:val="114"/>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75" w:hanging="142"/>
              <w:contextualSpacing/>
              <w:rPr>
                <w:color w:val="auto"/>
                <w:sz w:val="20"/>
                <w:szCs w:val="20"/>
              </w:rPr>
            </w:pPr>
            <w:r w:rsidRPr="0049126A">
              <w:rPr>
                <w:color w:val="auto"/>
                <w:sz w:val="20"/>
                <w:szCs w:val="20"/>
              </w:rPr>
              <w:t>Profilaxia cu ravulizumab este indicată</w:t>
            </w:r>
          </w:p>
        </w:tc>
      </w:tr>
      <w:tr w:rsidR="0049126A" w:rsidRPr="0049126A" w14:paraId="7FF43F72" w14:textId="77777777" w:rsidTr="00D4112B">
        <w:tc>
          <w:tcPr>
            <w:tcW w:w="6091" w:type="dxa"/>
          </w:tcPr>
          <w:p w14:paraId="0C50E093" w14:textId="77777777" w:rsidR="009A2C6B" w:rsidRPr="0049126A" w:rsidRDefault="009A2C6B" w:rsidP="009A2C6B">
            <w:pPr>
              <w:spacing w:line="276" w:lineRule="auto"/>
              <w:rPr>
                <w:rFonts w:ascii="Times New Roman" w:hAnsi="Times New Roman"/>
                <w:sz w:val="20"/>
                <w:szCs w:val="20"/>
              </w:rPr>
            </w:pPr>
            <w:r w:rsidRPr="0049126A">
              <w:rPr>
                <w:rFonts w:ascii="Times New Roman" w:hAnsi="Times New Roman"/>
                <w:sz w:val="20"/>
                <w:szCs w:val="20"/>
              </w:rPr>
              <w:t>Risc scăzut</w:t>
            </w:r>
          </w:p>
          <w:p w14:paraId="15C416FC" w14:textId="77777777" w:rsidR="009A2C6B" w:rsidRPr="0049126A" w:rsidRDefault="009A2C6B" w:rsidP="00367864">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Mutație izolată a MCP</w:t>
            </w:r>
          </w:p>
          <w:p w14:paraId="1EB28223" w14:textId="77777777" w:rsidR="009A2C6B" w:rsidRPr="0049126A" w:rsidRDefault="009A2C6B" w:rsidP="00367864">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color w:val="auto"/>
                <w:sz w:val="20"/>
                <w:szCs w:val="20"/>
              </w:rPr>
            </w:pPr>
            <w:r w:rsidRPr="0049126A">
              <w:rPr>
                <w:color w:val="auto"/>
                <w:sz w:val="20"/>
                <w:szCs w:val="20"/>
              </w:rPr>
              <w:t>Istoric de titru pozitiv de anticorpi anti-factor H, dar titru negativ la ultima evaluare</w:t>
            </w:r>
          </w:p>
        </w:tc>
        <w:tc>
          <w:tcPr>
            <w:tcW w:w="3543" w:type="dxa"/>
          </w:tcPr>
          <w:p w14:paraId="41374238" w14:textId="77777777" w:rsidR="009A2C6B" w:rsidRPr="0049126A" w:rsidRDefault="009A2C6B" w:rsidP="00367864">
            <w:pPr>
              <w:pStyle w:val="ListParagraph"/>
              <w:numPr>
                <w:ilvl w:val="0"/>
                <w:numId w:val="11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175" w:hanging="175"/>
              <w:contextualSpacing/>
              <w:rPr>
                <w:color w:val="auto"/>
                <w:sz w:val="20"/>
                <w:szCs w:val="20"/>
              </w:rPr>
            </w:pPr>
            <w:r w:rsidRPr="0049126A">
              <w:rPr>
                <w:color w:val="auto"/>
                <w:sz w:val="20"/>
                <w:szCs w:val="20"/>
              </w:rPr>
              <w:t>Fără profilaxie</w:t>
            </w:r>
          </w:p>
        </w:tc>
      </w:tr>
    </w:tbl>
    <w:p w14:paraId="38CE7C3F" w14:textId="77777777" w:rsidR="009A2C6B" w:rsidRPr="0049126A" w:rsidRDefault="009A2C6B" w:rsidP="00D4112B">
      <w:pPr>
        <w:spacing w:line="276" w:lineRule="auto"/>
        <w:jc w:val="both"/>
        <w:rPr>
          <w:rFonts w:ascii="Times New Roman" w:hAnsi="Times New Roman" w:cs="Times New Roman"/>
          <w:sz w:val="24"/>
          <w:szCs w:val="24"/>
        </w:rPr>
      </w:pPr>
      <w:r w:rsidRPr="0049126A">
        <w:rPr>
          <w:rFonts w:ascii="Times New Roman" w:hAnsi="Times New Roman" w:cs="Times New Roman"/>
          <w:b/>
          <w:bCs/>
          <w:sz w:val="24"/>
          <w:szCs w:val="24"/>
        </w:rPr>
        <w:lastRenderedPageBreak/>
        <w:t>IV. Contraindicații</w:t>
      </w:r>
    </w:p>
    <w:p w14:paraId="6481500E" w14:textId="77777777" w:rsidR="009A2C6B" w:rsidRPr="0049126A" w:rsidRDefault="009A2C6B" w:rsidP="00367864">
      <w:pPr>
        <w:pStyle w:val="Default"/>
        <w:numPr>
          <w:ilvl w:val="0"/>
          <w:numId w:val="123"/>
        </w:numPr>
        <w:spacing w:after="66" w:line="276" w:lineRule="auto"/>
        <w:ind w:left="284" w:hanging="284"/>
        <w:jc w:val="both"/>
        <w:rPr>
          <w:rFonts w:ascii="Times New Roman" w:hAnsi="Times New Roman" w:cs="Times New Roman"/>
          <w:color w:val="auto"/>
        </w:rPr>
      </w:pPr>
      <w:r w:rsidRPr="0049126A">
        <w:rPr>
          <w:rFonts w:ascii="Times New Roman" w:hAnsi="Times New Roman" w:cs="Times New Roman"/>
          <w:color w:val="auto"/>
        </w:rPr>
        <w:t xml:space="preserve">Hipersensibilitate la ravulizumab, proteine murinice sau la oricare dintre excipienții produsului. </w:t>
      </w:r>
    </w:p>
    <w:p w14:paraId="4FE91AC0" w14:textId="77777777" w:rsidR="009A2C6B" w:rsidRPr="0049126A" w:rsidRDefault="009A2C6B" w:rsidP="00367864">
      <w:pPr>
        <w:pStyle w:val="Default"/>
        <w:numPr>
          <w:ilvl w:val="0"/>
          <w:numId w:val="123"/>
        </w:numPr>
        <w:spacing w:line="276" w:lineRule="auto"/>
        <w:ind w:left="284" w:hanging="284"/>
        <w:jc w:val="both"/>
        <w:rPr>
          <w:rFonts w:ascii="Times New Roman" w:hAnsi="Times New Roman" w:cs="Times New Roman"/>
          <w:color w:val="auto"/>
        </w:rPr>
      </w:pPr>
      <w:r w:rsidRPr="0049126A">
        <w:rPr>
          <w:rFonts w:ascii="Times New Roman" w:hAnsi="Times New Roman" w:cs="Times New Roman"/>
          <w:color w:val="auto"/>
        </w:rPr>
        <w:t xml:space="preserve">Tratamentul cu ravulizumab nu trebuie inițiat la pacienții: </w:t>
      </w:r>
    </w:p>
    <w:p w14:paraId="3CB426A5" w14:textId="77777777" w:rsidR="009A2C6B" w:rsidRPr="0049126A" w:rsidRDefault="009A2C6B" w:rsidP="00367864">
      <w:pPr>
        <w:pStyle w:val="Default"/>
        <w:numPr>
          <w:ilvl w:val="1"/>
          <w:numId w:val="124"/>
        </w:numPr>
        <w:spacing w:line="276" w:lineRule="auto"/>
        <w:ind w:left="709" w:hanging="283"/>
        <w:jc w:val="both"/>
        <w:rPr>
          <w:rFonts w:ascii="Times New Roman" w:hAnsi="Times New Roman" w:cs="Times New Roman"/>
          <w:color w:val="auto"/>
        </w:rPr>
      </w:pPr>
      <w:r w:rsidRPr="0049126A">
        <w:rPr>
          <w:rFonts w:ascii="Times New Roman" w:hAnsi="Times New Roman" w:cs="Times New Roman"/>
          <w:color w:val="auto"/>
        </w:rPr>
        <w:t xml:space="preserve">cu infecție netratată cu Neisseria meningitidis. </w:t>
      </w:r>
    </w:p>
    <w:p w14:paraId="663B5B2F" w14:textId="77777777" w:rsidR="009A2C6B" w:rsidRPr="0049126A" w:rsidRDefault="009A2C6B" w:rsidP="00367864">
      <w:pPr>
        <w:pStyle w:val="Default"/>
        <w:numPr>
          <w:ilvl w:val="1"/>
          <w:numId w:val="124"/>
        </w:numPr>
        <w:spacing w:line="276" w:lineRule="auto"/>
        <w:ind w:left="709" w:hanging="283"/>
        <w:jc w:val="both"/>
        <w:rPr>
          <w:rFonts w:ascii="Times New Roman" w:hAnsi="Times New Roman" w:cs="Times New Roman"/>
          <w:color w:val="auto"/>
        </w:rPr>
      </w:pPr>
      <w:r w:rsidRPr="0049126A">
        <w:rPr>
          <w:rFonts w:ascii="Times New Roman" w:hAnsi="Times New Roman" w:cs="Times New Roman"/>
          <w:color w:val="auto"/>
        </w:rPr>
        <w:t xml:space="preserve">nevaccinați recent împotriva Neisseria meningitidis, cu excepția cazului în care li se administrează tratament antibiotic profilactic adecvat timp de 2 săptămâni după vaccinare. </w:t>
      </w:r>
    </w:p>
    <w:p w14:paraId="0E2612B6" w14:textId="77777777" w:rsidR="009A2C6B" w:rsidRPr="0049126A" w:rsidRDefault="009A2C6B" w:rsidP="00D4112B">
      <w:pPr>
        <w:pStyle w:val="Default"/>
        <w:spacing w:line="276" w:lineRule="auto"/>
        <w:jc w:val="both"/>
        <w:rPr>
          <w:rFonts w:ascii="Times New Roman" w:hAnsi="Times New Roman" w:cs="Times New Roman"/>
          <w:color w:val="auto"/>
        </w:rPr>
      </w:pPr>
    </w:p>
    <w:p w14:paraId="0F56D2AB" w14:textId="77777777" w:rsidR="009A2C6B" w:rsidRPr="0049126A" w:rsidRDefault="009A2C6B" w:rsidP="00D4112B">
      <w:pPr>
        <w:pStyle w:val="Default"/>
        <w:spacing w:line="276" w:lineRule="auto"/>
        <w:jc w:val="both"/>
        <w:rPr>
          <w:rFonts w:ascii="Times New Roman" w:hAnsi="Times New Roman" w:cs="Times New Roman"/>
          <w:color w:val="auto"/>
        </w:rPr>
      </w:pPr>
    </w:p>
    <w:p w14:paraId="10DC9283" w14:textId="77777777" w:rsidR="009A2C6B" w:rsidRPr="0049126A" w:rsidRDefault="009A2C6B" w:rsidP="00D4112B">
      <w:pPr>
        <w:pStyle w:val="Default"/>
        <w:spacing w:line="276" w:lineRule="auto"/>
        <w:jc w:val="both"/>
        <w:rPr>
          <w:rFonts w:ascii="Times New Roman" w:hAnsi="Times New Roman" w:cs="Times New Roman"/>
          <w:b/>
          <w:bCs/>
          <w:color w:val="auto"/>
        </w:rPr>
      </w:pPr>
      <w:r w:rsidRPr="0049126A">
        <w:rPr>
          <w:rFonts w:ascii="Times New Roman" w:hAnsi="Times New Roman" w:cs="Times New Roman"/>
          <w:b/>
          <w:bCs/>
          <w:color w:val="auto"/>
        </w:rPr>
        <w:t>V. Atenționări și precauții speciale pentru monitorizare</w:t>
      </w:r>
    </w:p>
    <w:p w14:paraId="2317F385" w14:textId="77777777" w:rsidR="00D4112B" w:rsidRPr="0049126A" w:rsidRDefault="00D4112B" w:rsidP="00D4112B">
      <w:pPr>
        <w:pStyle w:val="Default"/>
        <w:spacing w:line="276" w:lineRule="auto"/>
        <w:jc w:val="both"/>
        <w:rPr>
          <w:rFonts w:ascii="Times New Roman" w:hAnsi="Times New Roman" w:cs="Times New Roman"/>
          <w:b/>
          <w:bCs/>
          <w:iCs/>
          <w:color w:val="auto"/>
        </w:rPr>
      </w:pPr>
    </w:p>
    <w:p w14:paraId="78ED5B64" w14:textId="77777777" w:rsidR="009A2C6B" w:rsidRPr="0049126A" w:rsidRDefault="009A2C6B" w:rsidP="00D4112B">
      <w:pPr>
        <w:pStyle w:val="Default"/>
        <w:spacing w:line="276" w:lineRule="auto"/>
        <w:jc w:val="both"/>
        <w:rPr>
          <w:rFonts w:ascii="Times New Roman" w:hAnsi="Times New Roman" w:cs="Times New Roman"/>
          <w:b/>
          <w:bCs/>
          <w:iCs/>
          <w:color w:val="auto"/>
        </w:rPr>
      </w:pPr>
      <w:r w:rsidRPr="0049126A">
        <w:rPr>
          <w:rFonts w:ascii="Times New Roman" w:hAnsi="Times New Roman" w:cs="Times New Roman"/>
          <w:b/>
          <w:bCs/>
          <w:iCs/>
          <w:color w:val="auto"/>
        </w:rPr>
        <w:t>Măsuri adjuvante</w:t>
      </w:r>
    </w:p>
    <w:p w14:paraId="44D8072F" w14:textId="28FEDCBF" w:rsidR="009A2C6B" w:rsidRPr="0049126A" w:rsidRDefault="009A2C6B" w:rsidP="00D4112B">
      <w:pPr>
        <w:pStyle w:val="Heading2"/>
        <w:spacing w:line="276" w:lineRule="auto"/>
        <w:ind w:left="0"/>
        <w:jc w:val="both"/>
        <w:rPr>
          <w:rFonts w:ascii="Times New Roman" w:hAnsi="Times New Roman" w:cs="Times New Roman"/>
          <w:i w:val="0"/>
        </w:rPr>
      </w:pPr>
      <w:r w:rsidRPr="0049126A">
        <w:rPr>
          <w:rFonts w:ascii="Times New Roman" w:hAnsi="Times New Roman" w:cs="Times New Roman"/>
          <w:i w:val="0"/>
        </w:rPr>
        <w:t xml:space="preserve">Vaccinare anti-meningogocică și antibioprofilaxie </w:t>
      </w:r>
    </w:p>
    <w:p w14:paraId="2E9879A8" w14:textId="28951126" w:rsidR="009A2C6B" w:rsidRPr="0049126A" w:rsidRDefault="009A2C6B" w:rsidP="00D4112B">
      <w:pPr>
        <w:spacing w:line="276" w:lineRule="auto"/>
        <w:jc w:val="both"/>
        <w:rPr>
          <w:rFonts w:ascii="Times New Roman" w:hAnsi="Times New Roman"/>
          <w:sz w:val="24"/>
          <w:szCs w:val="24"/>
        </w:rPr>
      </w:pPr>
      <w:r w:rsidRPr="0049126A">
        <w:rPr>
          <w:rFonts w:ascii="Times New Roman" w:hAnsi="Times New Roman"/>
          <w:sz w:val="24"/>
          <w:szCs w:val="24"/>
        </w:rPr>
        <w:t>Se recomandă profilaxia meningitei meningococice înaintea administrării tratamentului cu ravulizumab prin vaccinare pentru tulpinile A,</w:t>
      </w:r>
      <w:r w:rsidR="00D4112B" w:rsidRPr="0049126A">
        <w:rPr>
          <w:rFonts w:ascii="Times New Roman" w:hAnsi="Times New Roman"/>
          <w:sz w:val="24"/>
          <w:szCs w:val="24"/>
        </w:rPr>
        <w:t xml:space="preserve"> </w:t>
      </w:r>
      <w:r w:rsidRPr="0049126A">
        <w:rPr>
          <w:rFonts w:ascii="Times New Roman" w:hAnsi="Times New Roman"/>
          <w:sz w:val="24"/>
          <w:szCs w:val="24"/>
        </w:rPr>
        <w:t>B,</w:t>
      </w:r>
      <w:r w:rsidR="00D4112B" w:rsidRPr="0049126A">
        <w:rPr>
          <w:rFonts w:ascii="Times New Roman" w:hAnsi="Times New Roman"/>
          <w:sz w:val="24"/>
          <w:szCs w:val="24"/>
        </w:rPr>
        <w:t xml:space="preserve"> </w:t>
      </w:r>
      <w:r w:rsidRPr="0049126A">
        <w:rPr>
          <w:rFonts w:ascii="Times New Roman" w:hAnsi="Times New Roman"/>
          <w:sz w:val="24"/>
          <w:szCs w:val="24"/>
        </w:rPr>
        <w:t>C, W, Y:</w:t>
      </w:r>
    </w:p>
    <w:p w14:paraId="2A7FE4DE" w14:textId="77777777" w:rsidR="009A2C6B" w:rsidRPr="0049126A" w:rsidRDefault="009A2C6B" w:rsidP="00367864">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Pacienții trebuie vaccinați cu cel puțin 2 săptămâni înaintea administrării primei doze de ravulizumab;</w:t>
      </w:r>
    </w:p>
    <w:p w14:paraId="077BF364" w14:textId="77777777" w:rsidR="009A2C6B" w:rsidRPr="0049126A" w:rsidRDefault="009A2C6B" w:rsidP="00367864">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 xml:space="preserve">Dacă vaccinarea se produce cu mai puțin de 2 săptămâni înaintea administrării primei doze de ravulizumab, se recomandă profilaxia antibiotică în paralel. Se vor utiliza antibiotice cu activitate anti-meningogocică; </w:t>
      </w:r>
    </w:p>
    <w:p w14:paraId="3934F588" w14:textId="77777777" w:rsidR="009A2C6B" w:rsidRPr="0049126A" w:rsidRDefault="009A2C6B" w:rsidP="00367864">
      <w:pPr>
        <w:pStyle w:val="ListParagraph"/>
        <w:numPr>
          <w:ilvl w:val="0"/>
          <w:numId w:val="125"/>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În anumite situații, se recomandă continuarea profilaxiei antibiotice pe toată durata tratamentului cu ravulizumab până la 2-3 luni după oprirea acestuia.</w:t>
      </w:r>
    </w:p>
    <w:p w14:paraId="3FBC30B5" w14:textId="77777777" w:rsidR="009A2C6B" w:rsidRPr="0049126A" w:rsidRDefault="009A2C6B" w:rsidP="00D4112B">
      <w:pPr>
        <w:pStyle w:val="Default"/>
        <w:spacing w:line="276" w:lineRule="auto"/>
        <w:jc w:val="both"/>
        <w:rPr>
          <w:rFonts w:ascii="Times New Roman" w:hAnsi="Times New Roman" w:cs="Times New Roman"/>
          <w:color w:val="auto"/>
        </w:rPr>
      </w:pPr>
      <w:r w:rsidRPr="0049126A">
        <w:rPr>
          <w:rFonts w:ascii="Times New Roman" w:hAnsi="Times New Roman" w:cs="Times New Roman"/>
          <w:color w:val="auto"/>
        </w:rPr>
        <w:t>Deoarece vaccinarea anti-meningococică poate activa suplimentar complementul, pacienții cu boli mediate de complement, inclusiv HPN, SHUa, pot prezenta semne și simptome de activitate crescută a bolii subiacente, cum sunt hemoliza (HPN),microangiopatie trombotică (SHUa), de aceea aceștia trebuie monitorizați cu atenție pentru a depista aceste manifestări după vaccinarea recomandată.</w:t>
      </w:r>
    </w:p>
    <w:p w14:paraId="31A5627A" w14:textId="77777777" w:rsidR="009A2C6B" w:rsidRPr="0049126A" w:rsidRDefault="009A2C6B" w:rsidP="00D4112B">
      <w:pPr>
        <w:pStyle w:val="Default"/>
        <w:spacing w:line="276" w:lineRule="auto"/>
        <w:jc w:val="both"/>
        <w:rPr>
          <w:rFonts w:ascii="Times New Roman" w:hAnsi="Times New Roman" w:cs="Times New Roman"/>
          <w:color w:val="auto"/>
        </w:rPr>
      </w:pPr>
      <w:r w:rsidRPr="0049126A">
        <w:rPr>
          <w:rFonts w:ascii="Times New Roman" w:hAnsi="Times New Roman" w:cs="Times New Roman"/>
          <w:color w:val="auto"/>
        </w:rPr>
        <w:t>La copii este recomandată și vaccinarea pentru pneumococ și Haemophilus Influenzae.</w:t>
      </w:r>
    </w:p>
    <w:p w14:paraId="30BFAA2E" w14:textId="77777777" w:rsidR="009A2C6B" w:rsidRPr="0049126A" w:rsidRDefault="009A2C6B" w:rsidP="00D4112B">
      <w:pPr>
        <w:pStyle w:val="Default"/>
        <w:spacing w:line="276" w:lineRule="auto"/>
        <w:jc w:val="both"/>
        <w:rPr>
          <w:color w:val="auto"/>
        </w:rPr>
      </w:pPr>
    </w:p>
    <w:p w14:paraId="43F0619B" w14:textId="21A09849" w:rsidR="009A2C6B" w:rsidRPr="0049126A" w:rsidRDefault="009A2C6B" w:rsidP="00D4112B">
      <w:pPr>
        <w:pStyle w:val="Heading2"/>
        <w:spacing w:line="276" w:lineRule="auto"/>
        <w:ind w:hanging="115"/>
        <w:jc w:val="both"/>
        <w:rPr>
          <w:rFonts w:ascii="Times New Roman" w:hAnsi="Times New Roman"/>
          <w:i w:val="0"/>
          <w:u w:val="none"/>
        </w:rPr>
      </w:pPr>
      <w:r w:rsidRPr="0049126A">
        <w:rPr>
          <w:rFonts w:ascii="Times New Roman" w:hAnsi="Times New Roman"/>
          <w:i w:val="0"/>
          <w:iCs/>
          <w:u w:val="none"/>
        </w:rPr>
        <w:t>VI. Monitorizarea tratamentului</w:t>
      </w:r>
    </w:p>
    <w:p w14:paraId="77DD484E" w14:textId="77777777" w:rsidR="009A2C6B" w:rsidRPr="0049126A" w:rsidRDefault="009A2C6B" w:rsidP="009A2C6B">
      <w:pPr>
        <w:spacing w:after="0" w:line="276" w:lineRule="auto"/>
        <w:contextualSpacing/>
        <w:rPr>
          <w:rFonts w:ascii="Times New Roman" w:hAnsi="Times New Roman"/>
          <w:b/>
          <w:bCs/>
          <w:iCs/>
          <w:sz w:val="24"/>
          <w:szCs w:val="24"/>
        </w:rPr>
      </w:pPr>
    </w:p>
    <w:p w14:paraId="7F2BBFBC" w14:textId="77777777" w:rsidR="009A2C6B" w:rsidRPr="0049126A" w:rsidRDefault="009A2C6B" w:rsidP="009A2C6B">
      <w:pPr>
        <w:spacing w:line="276" w:lineRule="auto"/>
        <w:rPr>
          <w:rFonts w:ascii="Times New Roman" w:hAnsi="Times New Roman"/>
          <w:b/>
          <w:bCs/>
          <w:sz w:val="24"/>
          <w:szCs w:val="24"/>
        </w:rPr>
      </w:pPr>
      <w:r w:rsidRPr="0049126A">
        <w:rPr>
          <w:rFonts w:ascii="Times New Roman" w:hAnsi="Times New Roman"/>
          <w:b/>
          <w:bCs/>
          <w:sz w:val="24"/>
          <w:szCs w:val="24"/>
        </w:rPr>
        <w:t>Tabel 7. Monitorizare</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5244"/>
        <w:gridCol w:w="2719"/>
      </w:tblGrid>
      <w:tr w:rsidR="0049126A" w:rsidRPr="0049126A" w14:paraId="39CF901E" w14:textId="77777777" w:rsidTr="00D4112B">
        <w:tc>
          <w:tcPr>
            <w:tcW w:w="938" w:type="pct"/>
          </w:tcPr>
          <w:p w14:paraId="4C67829C" w14:textId="77777777" w:rsidR="009A2C6B" w:rsidRPr="0049126A" w:rsidRDefault="009A2C6B" w:rsidP="009A2C6B">
            <w:pPr>
              <w:spacing w:after="0" w:line="276" w:lineRule="auto"/>
              <w:contextualSpacing/>
              <w:rPr>
                <w:rFonts w:ascii="Times New Roman" w:hAnsi="Times New Roman"/>
                <w:b/>
                <w:sz w:val="20"/>
                <w:szCs w:val="20"/>
              </w:rPr>
            </w:pPr>
            <w:r w:rsidRPr="0049126A">
              <w:rPr>
                <w:rFonts w:ascii="Times New Roman" w:hAnsi="Times New Roman"/>
                <w:b/>
                <w:sz w:val="20"/>
                <w:szCs w:val="20"/>
              </w:rPr>
              <w:t>Evaluare</w:t>
            </w:r>
          </w:p>
        </w:tc>
        <w:tc>
          <w:tcPr>
            <w:tcW w:w="2675" w:type="pct"/>
          </w:tcPr>
          <w:p w14:paraId="3A0A897E" w14:textId="77777777" w:rsidR="009A2C6B" w:rsidRPr="0049126A" w:rsidRDefault="009A2C6B" w:rsidP="009A2C6B">
            <w:pPr>
              <w:spacing w:after="0" w:line="276" w:lineRule="auto"/>
              <w:contextualSpacing/>
              <w:rPr>
                <w:rFonts w:ascii="Times New Roman" w:hAnsi="Times New Roman"/>
                <w:b/>
                <w:sz w:val="20"/>
                <w:szCs w:val="20"/>
              </w:rPr>
            </w:pPr>
            <w:r w:rsidRPr="0049126A">
              <w:rPr>
                <w:rFonts w:ascii="Times New Roman" w:hAnsi="Times New Roman"/>
                <w:b/>
                <w:sz w:val="20"/>
                <w:szCs w:val="20"/>
              </w:rPr>
              <w:t>Obiective, criterii şi mijloace</w:t>
            </w:r>
          </w:p>
        </w:tc>
        <w:tc>
          <w:tcPr>
            <w:tcW w:w="1387" w:type="pct"/>
          </w:tcPr>
          <w:p w14:paraId="4149730D" w14:textId="77777777" w:rsidR="009A2C6B" w:rsidRPr="0049126A" w:rsidRDefault="009A2C6B" w:rsidP="009A2C6B">
            <w:pPr>
              <w:spacing w:after="0" w:line="276" w:lineRule="auto"/>
              <w:contextualSpacing/>
              <w:rPr>
                <w:rFonts w:ascii="Times New Roman" w:hAnsi="Times New Roman"/>
                <w:b/>
                <w:sz w:val="20"/>
                <w:szCs w:val="20"/>
              </w:rPr>
            </w:pPr>
            <w:r w:rsidRPr="0049126A">
              <w:rPr>
                <w:rFonts w:ascii="Times New Roman" w:hAnsi="Times New Roman"/>
                <w:b/>
                <w:sz w:val="20"/>
                <w:szCs w:val="20"/>
              </w:rPr>
              <w:t>Periodicitatea, recomandări</w:t>
            </w:r>
          </w:p>
        </w:tc>
      </w:tr>
      <w:tr w:rsidR="0049126A" w:rsidRPr="0049126A" w14:paraId="6046E428" w14:textId="77777777" w:rsidTr="00D4112B">
        <w:trPr>
          <w:trHeight w:val="345"/>
        </w:trPr>
        <w:tc>
          <w:tcPr>
            <w:tcW w:w="938" w:type="pct"/>
            <w:vMerge w:val="restart"/>
          </w:tcPr>
          <w:p w14:paraId="6AD892EE" w14:textId="77777777" w:rsidR="009A2C6B" w:rsidRPr="0049126A" w:rsidRDefault="009A2C6B" w:rsidP="009A2C6B">
            <w:pPr>
              <w:spacing w:after="0" w:line="276" w:lineRule="auto"/>
              <w:contextualSpacing/>
              <w:rPr>
                <w:rFonts w:ascii="Times New Roman" w:hAnsi="Times New Roman"/>
                <w:b/>
                <w:bCs/>
                <w:sz w:val="20"/>
                <w:szCs w:val="20"/>
              </w:rPr>
            </w:pPr>
            <w:r w:rsidRPr="0049126A">
              <w:rPr>
                <w:rFonts w:ascii="Times New Roman" w:hAnsi="Times New Roman"/>
                <w:b/>
                <w:bCs/>
                <w:sz w:val="20"/>
                <w:szCs w:val="20"/>
              </w:rPr>
              <w:t>Generală</w:t>
            </w:r>
          </w:p>
        </w:tc>
        <w:tc>
          <w:tcPr>
            <w:tcW w:w="2675" w:type="pct"/>
          </w:tcPr>
          <w:p w14:paraId="1189B1F8"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Date demografice</w:t>
            </w:r>
          </w:p>
        </w:tc>
        <w:tc>
          <w:tcPr>
            <w:tcW w:w="1387" w:type="pct"/>
            <w:shd w:val="clear" w:color="auto" w:fill="auto"/>
          </w:tcPr>
          <w:p w14:paraId="6A7D3428"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12DD0A32" w14:textId="77777777" w:rsidTr="00D4112B">
        <w:trPr>
          <w:trHeight w:val="342"/>
        </w:trPr>
        <w:tc>
          <w:tcPr>
            <w:tcW w:w="938" w:type="pct"/>
            <w:vMerge/>
          </w:tcPr>
          <w:p w14:paraId="1AABB584"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485F3A68"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Examen clinic complet</w:t>
            </w:r>
          </w:p>
        </w:tc>
        <w:tc>
          <w:tcPr>
            <w:tcW w:w="1387" w:type="pct"/>
            <w:shd w:val="clear" w:color="auto" w:fill="auto"/>
          </w:tcPr>
          <w:p w14:paraId="08507D21"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 ulterior la fiecare administrare a medicamentului</w:t>
            </w:r>
          </w:p>
        </w:tc>
      </w:tr>
      <w:tr w:rsidR="0049126A" w:rsidRPr="0049126A" w14:paraId="302F0AD2" w14:textId="77777777" w:rsidTr="00D4112B">
        <w:trPr>
          <w:trHeight w:val="342"/>
        </w:trPr>
        <w:tc>
          <w:tcPr>
            <w:tcW w:w="938" w:type="pct"/>
            <w:vMerge/>
          </w:tcPr>
          <w:p w14:paraId="44DCE446"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692E2F8A"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Monitorizarea eventualelor semne și simptome de MAT (tensiune arterială, peteșii, icter, fatigabilitate, oligurie, bandeletă urinară pentru monitorizarea proteinuriei și hematuriei), monitorizarea evenimentelor infecțioase</w:t>
            </w:r>
          </w:p>
        </w:tc>
        <w:tc>
          <w:tcPr>
            <w:tcW w:w="1387" w:type="pct"/>
            <w:shd w:val="clear" w:color="auto" w:fill="auto"/>
          </w:tcPr>
          <w:p w14:paraId="2BE2A05E"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Permanent la domiciliu</w:t>
            </w:r>
          </w:p>
        </w:tc>
      </w:tr>
      <w:tr w:rsidR="0049126A" w:rsidRPr="0049126A" w14:paraId="52F51AC9" w14:textId="77777777" w:rsidTr="00D4112B">
        <w:trPr>
          <w:trHeight w:val="342"/>
        </w:trPr>
        <w:tc>
          <w:tcPr>
            <w:tcW w:w="938" w:type="pct"/>
            <w:vMerge/>
          </w:tcPr>
          <w:p w14:paraId="17BED782"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0F5E5911"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Educarea pacienților pentru monitorizarea strictă a oricăror semne/simptome de meningită meningococică</w:t>
            </w:r>
          </w:p>
        </w:tc>
        <w:tc>
          <w:tcPr>
            <w:tcW w:w="1387" w:type="pct"/>
            <w:shd w:val="clear" w:color="auto" w:fill="auto"/>
          </w:tcPr>
          <w:p w14:paraId="318B958D"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Permanent</w:t>
            </w:r>
          </w:p>
        </w:tc>
      </w:tr>
      <w:tr w:rsidR="0049126A" w:rsidRPr="0049126A" w14:paraId="120C5A7E" w14:textId="77777777" w:rsidTr="00D4112B">
        <w:tc>
          <w:tcPr>
            <w:tcW w:w="938" w:type="pct"/>
            <w:vMerge w:val="restart"/>
          </w:tcPr>
          <w:p w14:paraId="201185AF" w14:textId="77777777" w:rsidR="009A2C6B" w:rsidRPr="0049126A" w:rsidRDefault="009A2C6B" w:rsidP="009A2C6B">
            <w:pPr>
              <w:spacing w:after="0" w:line="276" w:lineRule="auto"/>
              <w:contextualSpacing/>
              <w:rPr>
                <w:rFonts w:ascii="Times New Roman" w:hAnsi="Times New Roman"/>
                <w:b/>
                <w:bCs/>
                <w:sz w:val="20"/>
                <w:szCs w:val="20"/>
              </w:rPr>
            </w:pPr>
            <w:r w:rsidRPr="0049126A">
              <w:rPr>
                <w:rFonts w:ascii="Times New Roman" w:hAnsi="Times New Roman"/>
                <w:b/>
                <w:bCs/>
                <w:sz w:val="20"/>
                <w:szCs w:val="20"/>
              </w:rPr>
              <w:t>Renală</w:t>
            </w:r>
          </w:p>
        </w:tc>
        <w:tc>
          <w:tcPr>
            <w:tcW w:w="2675" w:type="pct"/>
          </w:tcPr>
          <w:p w14:paraId="5B425D4B"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Funcție renală (uree, creatinină serică, acid uric, rata filtrării glomerulare)</w:t>
            </w:r>
          </w:p>
        </w:tc>
        <w:tc>
          <w:tcPr>
            <w:tcW w:w="1387" w:type="pct"/>
            <w:vMerge w:val="restart"/>
          </w:tcPr>
          <w:p w14:paraId="1C01F478"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 ulterior la fiecare administrare a medicamentului</w:t>
            </w:r>
          </w:p>
        </w:tc>
      </w:tr>
      <w:tr w:rsidR="0049126A" w:rsidRPr="0049126A" w14:paraId="7D43A7EC" w14:textId="77777777" w:rsidTr="00D4112B">
        <w:tc>
          <w:tcPr>
            <w:tcW w:w="938" w:type="pct"/>
            <w:vMerge/>
          </w:tcPr>
          <w:p w14:paraId="7EF83E67"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147F032F"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 xml:space="preserve">Proteinurie/24 ore, hematurie </w:t>
            </w:r>
          </w:p>
        </w:tc>
        <w:tc>
          <w:tcPr>
            <w:tcW w:w="1387" w:type="pct"/>
            <w:vMerge/>
          </w:tcPr>
          <w:p w14:paraId="67A9EF06"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17577AA0" w14:textId="77777777" w:rsidTr="00D4112B">
        <w:tc>
          <w:tcPr>
            <w:tcW w:w="938" w:type="pct"/>
            <w:vMerge/>
          </w:tcPr>
          <w:p w14:paraId="278DF468"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0BE61460"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Tensiune arterială</w:t>
            </w:r>
          </w:p>
        </w:tc>
        <w:tc>
          <w:tcPr>
            <w:tcW w:w="1387" w:type="pct"/>
            <w:vMerge/>
          </w:tcPr>
          <w:p w14:paraId="14A84B25"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79A6A450" w14:textId="77777777" w:rsidTr="00D4112B">
        <w:tc>
          <w:tcPr>
            <w:tcW w:w="938" w:type="pct"/>
            <w:vMerge/>
          </w:tcPr>
          <w:p w14:paraId="1207F7BD"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56B7B632"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Diureza</w:t>
            </w:r>
          </w:p>
        </w:tc>
        <w:tc>
          <w:tcPr>
            <w:tcW w:w="1387" w:type="pct"/>
            <w:vMerge/>
          </w:tcPr>
          <w:p w14:paraId="60D58044"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569791E5" w14:textId="77777777" w:rsidTr="00D4112B">
        <w:trPr>
          <w:trHeight w:val="239"/>
        </w:trPr>
        <w:tc>
          <w:tcPr>
            <w:tcW w:w="938" w:type="pct"/>
            <w:vMerge w:val="restart"/>
          </w:tcPr>
          <w:p w14:paraId="08FA9BAF" w14:textId="77777777" w:rsidR="009A2C6B" w:rsidRPr="0049126A" w:rsidRDefault="009A2C6B" w:rsidP="009A2C6B">
            <w:pPr>
              <w:spacing w:after="0" w:line="276" w:lineRule="auto"/>
              <w:contextualSpacing/>
              <w:rPr>
                <w:rFonts w:ascii="Times New Roman" w:hAnsi="Times New Roman"/>
                <w:b/>
                <w:bCs/>
                <w:sz w:val="20"/>
                <w:szCs w:val="20"/>
              </w:rPr>
            </w:pPr>
            <w:r w:rsidRPr="0049126A">
              <w:rPr>
                <w:rFonts w:ascii="Times New Roman" w:hAnsi="Times New Roman"/>
                <w:b/>
                <w:bCs/>
                <w:sz w:val="20"/>
                <w:szCs w:val="20"/>
              </w:rPr>
              <w:t>Hematologică</w:t>
            </w:r>
          </w:p>
        </w:tc>
        <w:tc>
          <w:tcPr>
            <w:tcW w:w="2675" w:type="pct"/>
          </w:tcPr>
          <w:p w14:paraId="11333D8D"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Trombocite</w:t>
            </w:r>
          </w:p>
        </w:tc>
        <w:tc>
          <w:tcPr>
            <w:tcW w:w="1387" w:type="pct"/>
            <w:vMerge w:val="restart"/>
            <w:shd w:val="clear" w:color="auto" w:fill="auto"/>
          </w:tcPr>
          <w:p w14:paraId="75CD0DCE"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 ulterior la fiecare administrare a medicamentului</w:t>
            </w:r>
          </w:p>
        </w:tc>
      </w:tr>
      <w:tr w:rsidR="0049126A" w:rsidRPr="0049126A" w14:paraId="2A4AC8CF" w14:textId="77777777" w:rsidTr="00D4112B">
        <w:tc>
          <w:tcPr>
            <w:tcW w:w="938" w:type="pct"/>
            <w:vMerge/>
          </w:tcPr>
          <w:p w14:paraId="0FC4D3FD"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0D054391"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Hemoglobină</w:t>
            </w:r>
          </w:p>
        </w:tc>
        <w:tc>
          <w:tcPr>
            <w:tcW w:w="1387" w:type="pct"/>
            <w:vMerge/>
          </w:tcPr>
          <w:p w14:paraId="1DFDBD10"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5A71E437" w14:textId="77777777" w:rsidTr="00D4112B">
        <w:trPr>
          <w:trHeight w:val="199"/>
        </w:trPr>
        <w:tc>
          <w:tcPr>
            <w:tcW w:w="938" w:type="pct"/>
            <w:vMerge/>
          </w:tcPr>
          <w:p w14:paraId="1206774E"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1D1BB777"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Lactat dehidrogenaza</w:t>
            </w:r>
          </w:p>
        </w:tc>
        <w:tc>
          <w:tcPr>
            <w:tcW w:w="1387" w:type="pct"/>
            <w:vMerge/>
            <w:shd w:val="clear" w:color="auto" w:fill="auto"/>
          </w:tcPr>
          <w:p w14:paraId="4B5A18B0"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64497D5F" w14:textId="77777777" w:rsidTr="00D4112B">
        <w:trPr>
          <w:trHeight w:val="204"/>
        </w:trPr>
        <w:tc>
          <w:tcPr>
            <w:tcW w:w="938" w:type="pct"/>
            <w:vMerge/>
          </w:tcPr>
          <w:p w14:paraId="5E4CE85F"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477B6EE9"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Haptoglobina serică</w:t>
            </w:r>
          </w:p>
        </w:tc>
        <w:tc>
          <w:tcPr>
            <w:tcW w:w="1387" w:type="pct"/>
            <w:vMerge/>
            <w:shd w:val="clear" w:color="auto" w:fill="auto"/>
          </w:tcPr>
          <w:p w14:paraId="655AB7C9"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6134412B" w14:textId="77777777" w:rsidTr="00D4112B">
        <w:trPr>
          <w:trHeight w:val="193"/>
        </w:trPr>
        <w:tc>
          <w:tcPr>
            <w:tcW w:w="938" w:type="pct"/>
            <w:vMerge/>
          </w:tcPr>
          <w:p w14:paraId="725BA02B"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401C78B9"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Procentul de reticulocite</w:t>
            </w:r>
          </w:p>
        </w:tc>
        <w:tc>
          <w:tcPr>
            <w:tcW w:w="1387" w:type="pct"/>
            <w:vMerge/>
            <w:shd w:val="clear" w:color="auto" w:fill="auto"/>
          </w:tcPr>
          <w:p w14:paraId="1F5028A7"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7B90421B" w14:textId="77777777" w:rsidTr="00D4112B">
        <w:trPr>
          <w:trHeight w:val="184"/>
        </w:trPr>
        <w:tc>
          <w:tcPr>
            <w:tcW w:w="938" w:type="pct"/>
            <w:vMerge/>
          </w:tcPr>
          <w:p w14:paraId="2CB4F8CC"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35B96C59"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Prezența/absența schizocitelor pe frotiul sangvin periferic</w:t>
            </w:r>
          </w:p>
        </w:tc>
        <w:tc>
          <w:tcPr>
            <w:tcW w:w="1387" w:type="pct"/>
            <w:vMerge/>
            <w:shd w:val="clear" w:color="auto" w:fill="auto"/>
          </w:tcPr>
          <w:p w14:paraId="257E5BB0" w14:textId="77777777" w:rsidR="009A2C6B" w:rsidRPr="0049126A" w:rsidRDefault="009A2C6B" w:rsidP="009A2C6B">
            <w:pPr>
              <w:spacing w:after="0" w:line="276" w:lineRule="auto"/>
              <w:contextualSpacing/>
              <w:rPr>
                <w:rFonts w:ascii="Times New Roman" w:hAnsi="Times New Roman"/>
                <w:sz w:val="20"/>
                <w:szCs w:val="20"/>
              </w:rPr>
            </w:pPr>
          </w:p>
        </w:tc>
      </w:tr>
      <w:tr w:rsidR="0049126A" w:rsidRPr="0049126A" w14:paraId="53235436" w14:textId="77777777" w:rsidTr="00D4112B">
        <w:tc>
          <w:tcPr>
            <w:tcW w:w="938" w:type="pct"/>
          </w:tcPr>
          <w:p w14:paraId="6844F779" w14:textId="77777777" w:rsidR="009A2C6B" w:rsidRPr="0049126A" w:rsidRDefault="009A2C6B" w:rsidP="009A2C6B">
            <w:pPr>
              <w:spacing w:after="0" w:line="276" w:lineRule="auto"/>
              <w:contextualSpacing/>
              <w:rPr>
                <w:rFonts w:ascii="Times New Roman" w:hAnsi="Times New Roman"/>
                <w:b/>
                <w:bCs/>
                <w:sz w:val="20"/>
                <w:szCs w:val="20"/>
              </w:rPr>
            </w:pPr>
            <w:r w:rsidRPr="0049126A">
              <w:rPr>
                <w:rFonts w:ascii="Times New Roman" w:hAnsi="Times New Roman"/>
                <w:b/>
                <w:bCs/>
                <w:sz w:val="20"/>
                <w:szCs w:val="20"/>
              </w:rPr>
              <w:t>Afectare extrarenală</w:t>
            </w:r>
          </w:p>
        </w:tc>
        <w:tc>
          <w:tcPr>
            <w:tcW w:w="2675" w:type="pct"/>
          </w:tcPr>
          <w:p w14:paraId="38D6CBED"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 xml:space="preserve">Monitorizarea manifestărilor extrarenale clinic și paraclinic adaptată în funcție de organul afectat </w:t>
            </w:r>
          </w:p>
        </w:tc>
        <w:tc>
          <w:tcPr>
            <w:tcW w:w="1387" w:type="pct"/>
          </w:tcPr>
          <w:p w14:paraId="235A1D50"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 xml:space="preserve">Permanent </w:t>
            </w:r>
          </w:p>
        </w:tc>
      </w:tr>
      <w:tr w:rsidR="0049126A" w:rsidRPr="0049126A" w14:paraId="4A284DB9" w14:textId="77777777" w:rsidTr="00D4112B">
        <w:tc>
          <w:tcPr>
            <w:tcW w:w="938" w:type="pct"/>
            <w:vMerge w:val="restart"/>
          </w:tcPr>
          <w:p w14:paraId="0D6286C5" w14:textId="77777777" w:rsidR="009A2C6B" w:rsidRPr="0049126A" w:rsidRDefault="009A2C6B" w:rsidP="009A2C6B">
            <w:pPr>
              <w:spacing w:after="0" w:line="276" w:lineRule="auto"/>
              <w:contextualSpacing/>
              <w:rPr>
                <w:rFonts w:ascii="Times New Roman" w:hAnsi="Times New Roman"/>
                <w:b/>
                <w:bCs/>
                <w:sz w:val="20"/>
                <w:szCs w:val="20"/>
              </w:rPr>
            </w:pPr>
            <w:r w:rsidRPr="0049126A">
              <w:rPr>
                <w:rFonts w:ascii="Times New Roman" w:hAnsi="Times New Roman"/>
                <w:b/>
                <w:bCs/>
                <w:sz w:val="20"/>
                <w:szCs w:val="20"/>
              </w:rPr>
              <w:t>Documentarea dereglării activității cascadei complementului (conform tabel 2)</w:t>
            </w:r>
          </w:p>
        </w:tc>
        <w:tc>
          <w:tcPr>
            <w:tcW w:w="2675" w:type="pct"/>
          </w:tcPr>
          <w:p w14:paraId="17D8DD4E"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C3 și C4 seric</w:t>
            </w:r>
          </w:p>
        </w:tc>
        <w:tc>
          <w:tcPr>
            <w:tcW w:w="1387" w:type="pct"/>
          </w:tcPr>
          <w:p w14:paraId="75AEB37A"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0B344486" w14:textId="77777777" w:rsidTr="00D4112B">
        <w:tc>
          <w:tcPr>
            <w:tcW w:w="938" w:type="pct"/>
            <w:vMerge/>
          </w:tcPr>
          <w:p w14:paraId="073A9C89"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6E93DD94"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Determinarea cantitativă a factorul H,I, B, properdinei, MCP</w:t>
            </w:r>
          </w:p>
        </w:tc>
        <w:tc>
          <w:tcPr>
            <w:tcW w:w="1387" w:type="pct"/>
          </w:tcPr>
          <w:p w14:paraId="39A85E3E"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7D11B0C9" w14:textId="77777777" w:rsidTr="00D4112B">
        <w:tc>
          <w:tcPr>
            <w:tcW w:w="938" w:type="pct"/>
            <w:vMerge/>
          </w:tcPr>
          <w:p w14:paraId="6F356D8B"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6FB8556B"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Determinarea activității cascadei complementului prin CH50 și AP50</w:t>
            </w:r>
          </w:p>
        </w:tc>
        <w:tc>
          <w:tcPr>
            <w:tcW w:w="1387" w:type="pct"/>
          </w:tcPr>
          <w:p w14:paraId="0DB1E7AE"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7546EAE3" w14:textId="77777777" w:rsidTr="00D4112B">
        <w:tc>
          <w:tcPr>
            <w:tcW w:w="938" w:type="pct"/>
            <w:vMerge/>
          </w:tcPr>
          <w:p w14:paraId="2AB8002A"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6FEB0985"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Evaluarea prezenței autoanticorpilor anti-factor H și I</w:t>
            </w:r>
          </w:p>
        </w:tc>
        <w:tc>
          <w:tcPr>
            <w:tcW w:w="1387" w:type="pct"/>
          </w:tcPr>
          <w:p w14:paraId="26D93159"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55E54184" w14:textId="77777777" w:rsidTr="00D4112B">
        <w:tc>
          <w:tcPr>
            <w:tcW w:w="938" w:type="pct"/>
            <w:vMerge/>
          </w:tcPr>
          <w:p w14:paraId="3CADF236"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7831E33F"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Cuantificarea produșilor de degradare ai complementului (C3d, Bb și complexul de atac membranar sC5b-9)</w:t>
            </w:r>
          </w:p>
        </w:tc>
        <w:tc>
          <w:tcPr>
            <w:tcW w:w="1387" w:type="pct"/>
          </w:tcPr>
          <w:p w14:paraId="2CE7DBBA"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38794579" w14:textId="77777777" w:rsidTr="00D4112B">
        <w:tc>
          <w:tcPr>
            <w:tcW w:w="938" w:type="pct"/>
            <w:vMerge/>
          </w:tcPr>
          <w:p w14:paraId="570F41B7" w14:textId="77777777" w:rsidR="009A2C6B" w:rsidRPr="0049126A" w:rsidRDefault="009A2C6B" w:rsidP="009A2C6B">
            <w:pPr>
              <w:spacing w:after="0" w:line="276" w:lineRule="auto"/>
              <w:contextualSpacing/>
              <w:rPr>
                <w:rFonts w:ascii="Times New Roman" w:hAnsi="Times New Roman"/>
                <w:b/>
                <w:bCs/>
                <w:sz w:val="20"/>
                <w:szCs w:val="20"/>
              </w:rPr>
            </w:pPr>
          </w:p>
        </w:tc>
        <w:tc>
          <w:tcPr>
            <w:tcW w:w="2675" w:type="pct"/>
          </w:tcPr>
          <w:p w14:paraId="7F58DE5F"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Teste genetice</w:t>
            </w:r>
          </w:p>
        </w:tc>
        <w:tc>
          <w:tcPr>
            <w:tcW w:w="1387" w:type="pct"/>
          </w:tcPr>
          <w:p w14:paraId="0F57DB00"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w:t>
            </w:r>
          </w:p>
        </w:tc>
      </w:tr>
      <w:tr w:rsidR="0049126A" w:rsidRPr="0049126A" w14:paraId="0A745110" w14:textId="77777777" w:rsidTr="00D4112B">
        <w:trPr>
          <w:trHeight w:val="262"/>
        </w:trPr>
        <w:tc>
          <w:tcPr>
            <w:tcW w:w="938" w:type="pct"/>
            <w:vMerge w:val="restart"/>
          </w:tcPr>
          <w:p w14:paraId="1F6B0ED2" w14:textId="77777777" w:rsidR="009A2C6B" w:rsidRPr="0049126A" w:rsidRDefault="009A2C6B" w:rsidP="009A2C6B">
            <w:pPr>
              <w:spacing w:after="0" w:line="276" w:lineRule="auto"/>
              <w:contextualSpacing/>
              <w:rPr>
                <w:rFonts w:ascii="Times New Roman" w:hAnsi="Times New Roman"/>
                <w:b/>
                <w:bCs/>
                <w:sz w:val="20"/>
                <w:szCs w:val="20"/>
              </w:rPr>
            </w:pPr>
            <w:r w:rsidRPr="0049126A">
              <w:rPr>
                <w:rFonts w:ascii="Times New Roman" w:hAnsi="Times New Roman"/>
                <w:b/>
                <w:bCs/>
                <w:sz w:val="20"/>
                <w:szCs w:val="20"/>
              </w:rPr>
              <w:t>Monitorizarea eficacității terapiei cu ravulizumab</w:t>
            </w:r>
          </w:p>
        </w:tc>
        <w:tc>
          <w:tcPr>
            <w:tcW w:w="2675" w:type="pct"/>
          </w:tcPr>
          <w:p w14:paraId="69245C4A"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 xml:space="preserve">CH50 (țintă: </w:t>
            </w:r>
            <w:r w:rsidRPr="0049126A">
              <w:rPr>
                <w:rFonts w:ascii="Times New Roman" w:hAnsi="Times New Roman"/>
                <w:sz w:val="20"/>
                <w:szCs w:val="20"/>
                <w:lang w:val="en-US"/>
              </w:rPr>
              <w:t>&lt;10%</w:t>
            </w:r>
            <w:r w:rsidRPr="0049126A">
              <w:rPr>
                <w:rFonts w:ascii="Times New Roman" w:hAnsi="Times New Roman"/>
                <w:sz w:val="20"/>
                <w:szCs w:val="20"/>
              </w:rPr>
              <w:t>)</w:t>
            </w:r>
          </w:p>
        </w:tc>
        <w:tc>
          <w:tcPr>
            <w:tcW w:w="1387" w:type="pct"/>
            <w:shd w:val="clear" w:color="auto" w:fill="auto"/>
          </w:tcPr>
          <w:p w14:paraId="32F56018"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 lunar</w:t>
            </w:r>
          </w:p>
        </w:tc>
      </w:tr>
      <w:tr w:rsidR="0049126A" w:rsidRPr="0049126A" w14:paraId="73526B10" w14:textId="77777777" w:rsidTr="00D4112B">
        <w:trPr>
          <w:trHeight w:val="267"/>
        </w:trPr>
        <w:tc>
          <w:tcPr>
            <w:tcW w:w="938" w:type="pct"/>
            <w:vMerge/>
          </w:tcPr>
          <w:p w14:paraId="2B568C36" w14:textId="77777777" w:rsidR="009A2C6B" w:rsidRPr="0049126A" w:rsidRDefault="009A2C6B" w:rsidP="009A2C6B">
            <w:pPr>
              <w:spacing w:after="0" w:line="276" w:lineRule="auto"/>
              <w:contextualSpacing/>
              <w:rPr>
                <w:rFonts w:ascii="Times New Roman" w:hAnsi="Times New Roman"/>
                <w:sz w:val="20"/>
                <w:szCs w:val="20"/>
              </w:rPr>
            </w:pPr>
          </w:p>
        </w:tc>
        <w:tc>
          <w:tcPr>
            <w:tcW w:w="2675" w:type="pct"/>
          </w:tcPr>
          <w:p w14:paraId="324DAC57"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 xml:space="preserve">AP50 (țintă: </w:t>
            </w:r>
            <w:r w:rsidRPr="0049126A">
              <w:rPr>
                <w:rFonts w:ascii="Times New Roman" w:hAnsi="Times New Roman"/>
                <w:sz w:val="20"/>
                <w:szCs w:val="20"/>
                <w:lang w:val="en-US"/>
              </w:rPr>
              <w:t>&lt;10%</w:t>
            </w:r>
            <w:r w:rsidRPr="0049126A">
              <w:rPr>
                <w:rFonts w:ascii="Times New Roman" w:hAnsi="Times New Roman"/>
                <w:sz w:val="20"/>
                <w:szCs w:val="20"/>
              </w:rPr>
              <w:t>)</w:t>
            </w:r>
          </w:p>
        </w:tc>
        <w:tc>
          <w:tcPr>
            <w:tcW w:w="1387" w:type="pct"/>
            <w:shd w:val="clear" w:color="auto" w:fill="auto"/>
          </w:tcPr>
          <w:p w14:paraId="68D94C56"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 lunar</w:t>
            </w:r>
          </w:p>
        </w:tc>
      </w:tr>
      <w:tr w:rsidR="0049126A" w:rsidRPr="0049126A" w14:paraId="20DD3856" w14:textId="77777777" w:rsidTr="00D4112B">
        <w:trPr>
          <w:trHeight w:val="267"/>
        </w:trPr>
        <w:tc>
          <w:tcPr>
            <w:tcW w:w="938" w:type="pct"/>
          </w:tcPr>
          <w:p w14:paraId="3BE22D43" w14:textId="77777777" w:rsidR="009A2C6B" w:rsidRPr="0049126A" w:rsidRDefault="009A2C6B" w:rsidP="009A2C6B">
            <w:pPr>
              <w:spacing w:after="0" w:line="276" w:lineRule="auto"/>
              <w:contextualSpacing/>
              <w:rPr>
                <w:rFonts w:ascii="Times New Roman" w:hAnsi="Times New Roman"/>
                <w:sz w:val="20"/>
                <w:szCs w:val="20"/>
              </w:rPr>
            </w:pPr>
          </w:p>
        </w:tc>
        <w:tc>
          <w:tcPr>
            <w:tcW w:w="2675" w:type="pct"/>
          </w:tcPr>
          <w:p w14:paraId="6EEF4545" w14:textId="4430FCFA" w:rsidR="009A2C6B" w:rsidRPr="0049126A" w:rsidRDefault="009A2C6B" w:rsidP="00F52CC5">
            <w:pPr>
              <w:spacing w:after="0" w:line="276" w:lineRule="auto"/>
              <w:contextualSpacing/>
              <w:rPr>
                <w:rFonts w:ascii="Times New Roman" w:hAnsi="Times New Roman"/>
                <w:sz w:val="20"/>
                <w:szCs w:val="20"/>
              </w:rPr>
            </w:pPr>
            <w:r w:rsidRPr="0049126A">
              <w:rPr>
                <w:rFonts w:ascii="Times New Roman" w:hAnsi="Times New Roman"/>
                <w:sz w:val="20"/>
                <w:szCs w:val="20"/>
              </w:rPr>
              <w:t>Teste alternative (C3d, C3, C5, C5a, sC5b-9, testul de activare a complementului pe suprafața endoteliului)</w:t>
            </w:r>
          </w:p>
        </w:tc>
        <w:tc>
          <w:tcPr>
            <w:tcW w:w="1387" w:type="pct"/>
            <w:shd w:val="clear" w:color="auto" w:fill="auto"/>
          </w:tcPr>
          <w:p w14:paraId="6C41516A"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În funcție de disponibilitatea fiecărui centru în parte (teste în curs de validare)</w:t>
            </w:r>
          </w:p>
        </w:tc>
      </w:tr>
      <w:tr w:rsidR="009A2C6B" w:rsidRPr="0049126A" w14:paraId="511A715C" w14:textId="77777777" w:rsidTr="00D4112B">
        <w:trPr>
          <w:trHeight w:val="267"/>
        </w:trPr>
        <w:tc>
          <w:tcPr>
            <w:tcW w:w="938" w:type="pct"/>
          </w:tcPr>
          <w:p w14:paraId="61C6F336" w14:textId="77777777" w:rsidR="009A2C6B" w:rsidRPr="0049126A" w:rsidRDefault="009A2C6B" w:rsidP="009A2C6B">
            <w:pPr>
              <w:spacing w:after="0" w:line="276" w:lineRule="auto"/>
              <w:contextualSpacing/>
              <w:rPr>
                <w:rFonts w:ascii="Times New Roman" w:hAnsi="Times New Roman"/>
                <w:sz w:val="20"/>
                <w:szCs w:val="20"/>
              </w:rPr>
            </w:pPr>
          </w:p>
        </w:tc>
        <w:tc>
          <w:tcPr>
            <w:tcW w:w="2675" w:type="pct"/>
          </w:tcPr>
          <w:p w14:paraId="286D52C2"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Indicatori hematologici de MAT (trombocite, hemoglobină, LDH, haptoglobină, reticulocite, schizocite)</w:t>
            </w:r>
          </w:p>
        </w:tc>
        <w:tc>
          <w:tcPr>
            <w:tcW w:w="1387" w:type="pct"/>
            <w:shd w:val="clear" w:color="auto" w:fill="auto"/>
          </w:tcPr>
          <w:p w14:paraId="050CA4C9" w14:textId="77777777" w:rsidR="009A2C6B" w:rsidRPr="0049126A" w:rsidRDefault="009A2C6B" w:rsidP="009A2C6B">
            <w:pPr>
              <w:spacing w:after="0" w:line="276" w:lineRule="auto"/>
              <w:contextualSpacing/>
              <w:rPr>
                <w:rFonts w:ascii="Times New Roman" w:hAnsi="Times New Roman"/>
                <w:sz w:val="20"/>
                <w:szCs w:val="20"/>
              </w:rPr>
            </w:pPr>
            <w:r w:rsidRPr="0049126A">
              <w:rPr>
                <w:rFonts w:ascii="Times New Roman" w:hAnsi="Times New Roman"/>
                <w:sz w:val="20"/>
                <w:szCs w:val="20"/>
              </w:rPr>
              <w:t>Inițial, lunar</w:t>
            </w:r>
          </w:p>
        </w:tc>
      </w:tr>
    </w:tbl>
    <w:p w14:paraId="7E7BB50E" w14:textId="77777777" w:rsidR="009A2C6B" w:rsidRPr="0049126A" w:rsidRDefault="009A2C6B" w:rsidP="009A2C6B">
      <w:pPr>
        <w:spacing w:after="0" w:line="276" w:lineRule="auto"/>
        <w:contextualSpacing/>
        <w:rPr>
          <w:rFonts w:ascii="Times New Roman" w:hAnsi="Times New Roman"/>
          <w:b/>
          <w:bCs/>
          <w:iCs/>
          <w:sz w:val="24"/>
          <w:szCs w:val="24"/>
        </w:rPr>
      </w:pPr>
    </w:p>
    <w:p w14:paraId="6ADDC3BC" w14:textId="77777777" w:rsidR="009A2C6B" w:rsidRPr="0049126A" w:rsidRDefault="009A2C6B" w:rsidP="009A2C6B">
      <w:pPr>
        <w:spacing w:after="0" w:line="276" w:lineRule="auto"/>
        <w:contextualSpacing/>
        <w:rPr>
          <w:rFonts w:ascii="Times New Roman" w:hAnsi="Times New Roman"/>
          <w:b/>
          <w:bCs/>
          <w:iCs/>
          <w:sz w:val="24"/>
          <w:szCs w:val="24"/>
        </w:rPr>
      </w:pPr>
    </w:p>
    <w:p w14:paraId="58AAE1A1" w14:textId="77777777" w:rsidR="009A2C6B" w:rsidRPr="0049126A" w:rsidRDefault="009A2C6B" w:rsidP="009A2C6B">
      <w:pPr>
        <w:pStyle w:val="Heading4"/>
        <w:spacing w:before="0" w:line="276" w:lineRule="auto"/>
        <w:rPr>
          <w:rFonts w:ascii="Times New Roman" w:hAnsi="Times New Roman"/>
          <w:b/>
          <w:i w:val="0"/>
          <w:color w:val="auto"/>
          <w:sz w:val="24"/>
          <w:szCs w:val="24"/>
        </w:rPr>
      </w:pPr>
      <w:r w:rsidRPr="0049126A">
        <w:rPr>
          <w:rFonts w:ascii="Times New Roman" w:hAnsi="Times New Roman"/>
          <w:b/>
          <w:i w:val="0"/>
          <w:color w:val="auto"/>
          <w:sz w:val="24"/>
          <w:szCs w:val="24"/>
        </w:rPr>
        <w:t>VII. Criterii pentru întreruperea tratamentului</w:t>
      </w:r>
    </w:p>
    <w:p w14:paraId="37328602" w14:textId="77777777" w:rsidR="00D4112B" w:rsidRPr="0049126A" w:rsidRDefault="00D4112B" w:rsidP="00D4112B">
      <w:pPr>
        <w:pStyle w:val="Heading2"/>
        <w:spacing w:line="276" w:lineRule="auto"/>
        <w:ind w:left="0"/>
        <w:rPr>
          <w:rFonts w:ascii="Times New Roman" w:hAnsi="Times New Roman"/>
          <w:iCs/>
        </w:rPr>
      </w:pPr>
    </w:p>
    <w:p w14:paraId="2E9ED1B4" w14:textId="77777777" w:rsidR="009A2C6B" w:rsidRPr="0049126A" w:rsidRDefault="009A2C6B" w:rsidP="00F52CC5">
      <w:pPr>
        <w:pStyle w:val="Heading2"/>
        <w:spacing w:line="276" w:lineRule="auto"/>
        <w:ind w:left="0"/>
        <w:jc w:val="both"/>
        <w:rPr>
          <w:rFonts w:ascii="Times New Roman" w:hAnsi="Times New Roman"/>
          <w:i w:val="0"/>
          <w:iCs/>
          <w:u w:val="none"/>
        </w:rPr>
      </w:pPr>
      <w:r w:rsidRPr="0049126A">
        <w:rPr>
          <w:rFonts w:ascii="Times New Roman" w:hAnsi="Times New Roman"/>
          <w:i w:val="0"/>
          <w:iCs/>
          <w:u w:val="none"/>
        </w:rPr>
        <w:t>Indicații de întrerupere a tratamentului</w:t>
      </w:r>
    </w:p>
    <w:p w14:paraId="1DDFB5AB" w14:textId="77777777" w:rsidR="009A2C6B" w:rsidRPr="0049126A" w:rsidRDefault="009A2C6B" w:rsidP="00F52CC5">
      <w:pPr>
        <w:spacing w:after="0" w:line="276" w:lineRule="auto"/>
        <w:jc w:val="both"/>
        <w:rPr>
          <w:rFonts w:ascii="Times New Roman" w:hAnsi="Times New Roman"/>
          <w:sz w:val="24"/>
          <w:szCs w:val="24"/>
        </w:rPr>
      </w:pPr>
      <w:r w:rsidRPr="0049126A">
        <w:rPr>
          <w:rFonts w:ascii="Times New Roman" w:hAnsi="Times New Roman"/>
          <w:sz w:val="24"/>
          <w:szCs w:val="24"/>
        </w:rPr>
        <w:t xml:space="preserve">Deși nu există criterii clare de oprire a tratamentului cu ravulizumab, indicația poate fi personalizată în cazul fiecărui pacient în funcție de riscul de recădere, numărul de recăderi anterioare, răspunsul la tratament, tipul mutației și în absența oricăror manifestări clinice sau paraclinice ale microangiopatiei trombotice: </w:t>
      </w:r>
    </w:p>
    <w:p w14:paraId="2A491B58" w14:textId="77777777" w:rsidR="009A2C6B" w:rsidRPr="0049126A" w:rsidRDefault="009A2C6B" w:rsidP="00367864">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Lipsa de complianţă la tratament sau la evaluarea periodică;</w:t>
      </w:r>
    </w:p>
    <w:p w14:paraId="51AAB79D" w14:textId="77777777" w:rsidR="009A2C6B" w:rsidRPr="0049126A" w:rsidRDefault="009A2C6B" w:rsidP="00367864">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Reacţii adverse severe la medicament (complicații infecțioase);</w:t>
      </w:r>
    </w:p>
    <w:p w14:paraId="1D52E82A" w14:textId="77777777" w:rsidR="009A2C6B" w:rsidRPr="0049126A" w:rsidRDefault="009A2C6B" w:rsidP="00367864">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Comorbidități amenințătoare de viaţă, cu prognostic rezervat;</w:t>
      </w:r>
    </w:p>
    <w:p w14:paraId="10A15CD7" w14:textId="77777777" w:rsidR="009A2C6B" w:rsidRPr="0049126A" w:rsidRDefault="009A2C6B" w:rsidP="00367864">
      <w:pPr>
        <w:pStyle w:val="ListParagraph"/>
        <w:numPr>
          <w:ilvl w:val="0"/>
          <w:numId w:val="126"/>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284" w:hanging="284"/>
        <w:contextualSpacing/>
        <w:jc w:val="both"/>
        <w:rPr>
          <w:color w:val="auto"/>
        </w:rPr>
      </w:pPr>
      <w:r w:rsidRPr="0049126A">
        <w:rPr>
          <w:color w:val="auto"/>
        </w:rPr>
        <w:t>Dacă se decide oprirea medicamentului pacienții trebuie să fie monitorizați atent clinic și paraclinic timp de cel puțin 16 săptămâni pentru elemente sugestive de recădere a bolii.</w:t>
      </w:r>
    </w:p>
    <w:p w14:paraId="197365D2" w14:textId="77777777" w:rsidR="009A2C6B" w:rsidRPr="0049126A" w:rsidRDefault="009A2C6B" w:rsidP="00367864">
      <w:pPr>
        <w:pStyle w:val="ListParagraph"/>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09" w:hanging="283"/>
        <w:contextualSpacing/>
        <w:jc w:val="both"/>
        <w:rPr>
          <w:color w:val="auto"/>
        </w:rPr>
      </w:pPr>
      <w:r w:rsidRPr="0049126A">
        <w:rPr>
          <w:color w:val="auto"/>
        </w:rPr>
        <w:t>Clinic: afectare neurologică, convulsii, angină, tromboză sau creșterea tensiunii arteriale</w:t>
      </w:r>
    </w:p>
    <w:p w14:paraId="199C4874" w14:textId="77777777" w:rsidR="00D4112B" w:rsidRPr="0049126A" w:rsidRDefault="009A2C6B" w:rsidP="00367864">
      <w:pPr>
        <w:pStyle w:val="ListParagraph"/>
        <w:numPr>
          <w:ilvl w:val="0"/>
          <w:numId w:val="128"/>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09" w:hanging="283"/>
        <w:contextualSpacing/>
        <w:jc w:val="both"/>
        <w:rPr>
          <w:color w:val="auto"/>
        </w:rPr>
      </w:pPr>
      <w:r w:rsidRPr="0049126A">
        <w:rPr>
          <w:color w:val="auto"/>
        </w:rPr>
        <w:t>Paraclinic, prezența concomitentă a cel puțin 2 din următoarele: scăderea numărului de trombocite cu ≥25% din valoarea inițială sau din valoarea maximă atinsă în timpul tratamentului, creșterea creatininei cu ≥25% din valoarea inițială sau valoarea nadir din timpul tratamentului, creșterea LDH-ului cu ≥25% din valoarea inițială sau valoarea nadir din timpul tratamentului.</w:t>
      </w:r>
    </w:p>
    <w:p w14:paraId="127AE917" w14:textId="1B9442CA" w:rsidR="009A2C6B" w:rsidRPr="0049126A" w:rsidRDefault="009A2C6B" w:rsidP="00367864">
      <w:pPr>
        <w:pStyle w:val="ListParagraph"/>
        <w:numPr>
          <w:ilvl w:val="0"/>
          <w:numId w:val="127"/>
        </w:numPr>
        <w:spacing w:after="200" w:line="276" w:lineRule="auto"/>
        <w:ind w:left="284" w:hanging="284"/>
        <w:contextualSpacing/>
        <w:jc w:val="both"/>
        <w:rPr>
          <w:color w:val="auto"/>
        </w:rPr>
      </w:pPr>
      <w:r w:rsidRPr="0049126A">
        <w:rPr>
          <w:color w:val="auto"/>
        </w:rPr>
        <w:t>Dacă după oprirea tratamentului cu ravulizumab boala recade, se va lua în considerare reînceperea tratamentului cu ravulizumab sau măsuri suportive pentru tratamentul leziunilor specifice de organ.</w:t>
      </w:r>
    </w:p>
    <w:p w14:paraId="104CE01D" w14:textId="339CCE3C" w:rsidR="009A2C6B" w:rsidRPr="0049126A" w:rsidRDefault="009A2C6B" w:rsidP="009A2C6B">
      <w:pPr>
        <w:spacing w:line="276" w:lineRule="auto"/>
        <w:rPr>
          <w:rFonts w:ascii="Times New Roman" w:hAnsi="Times New Roman"/>
          <w:b/>
          <w:bCs/>
          <w:iCs/>
          <w:sz w:val="24"/>
          <w:szCs w:val="24"/>
          <w:vertAlign w:val="superscript"/>
        </w:rPr>
      </w:pPr>
      <w:r w:rsidRPr="0049126A">
        <w:rPr>
          <w:rFonts w:ascii="Times New Roman" w:hAnsi="Times New Roman"/>
          <w:b/>
          <w:bCs/>
          <w:iCs/>
          <w:sz w:val="24"/>
          <w:szCs w:val="24"/>
        </w:rPr>
        <w:t>Reacții adverse ale tratamentului cu Ravulizumab</w:t>
      </w:r>
    </w:p>
    <w:p w14:paraId="703E7A52" w14:textId="77777777" w:rsidR="009A2C6B" w:rsidRPr="0049126A" w:rsidRDefault="009A2C6B" w:rsidP="00D4112B">
      <w:pPr>
        <w:spacing w:line="276" w:lineRule="auto"/>
        <w:jc w:val="both"/>
        <w:rPr>
          <w:rFonts w:ascii="Times New Roman" w:hAnsi="Times New Roman"/>
          <w:sz w:val="24"/>
          <w:szCs w:val="24"/>
        </w:rPr>
      </w:pPr>
      <w:r w:rsidRPr="0049126A">
        <w:rPr>
          <w:rFonts w:ascii="Times New Roman" w:hAnsi="Times New Roman"/>
          <w:sz w:val="24"/>
          <w:szCs w:val="24"/>
        </w:rPr>
        <w:t>Reacțiile adverse asociate administrării de ravulizumab observate în studiile clinice și cele din experiența de după punerea pe piață a medicamentului sunt menționate în Tabelul 8.</w:t>
      </w:r>
    </w:p>
    <w:p w14:paraId="27E78810" w14:textId="77777777" w:rsidR="009A2C6B" w:rsidRPr="0049126A" w:rsidRDefault="009A2C6B" w:rsidP="009A2C6B">
      <w:pPr>
        <w:spacing w:line="276" w:lineRule="auto"/>
        <w:rPr>
          <w:rFonts w:ascii="Times New Roman" w:hAnsi="Times New Roman"/>
          <w:b/>
          <w:bCs/>
          <w:sz w:val="24"/>
          <w:szCs w:val="24"/>
        </w:rPr>
      </w:pPr>
      <w:r w:rsidRPr="0049126A">
        <w:rPr>
          <w:rFonts w:ascii="Times New Roman" w:hAnsi="Times New Roman"/>
          <w:b/>
          <w:bCs/>
          <w:sz w:val="24"/>
          <w:szCs w:val="24"/>
        </w:rPr>
        <w:lastRenderedPageBreak/>
        <w:t>Tabelul 8. Reacții adverse asociate administrării de ravulizumab</w:t>
      </w:r>
    </w:p>
    <w:tbl>
      <w:tblPr>
        <w:tblStyle w:val="TableGrid"/>
        <w:tblW w:w="9639" w:type="dxa"/>
        <w:tblInd w:w="-5" w:type="dxa"/>
        <w:tblLook w:val="04A0" w:firstRow="1" w:lastRow="0" w:firstColumn="1" w:lastColumn="0" w:noHBand="0" w:noVBand="1"/>
      </w:tblPr>
      <w:tblGrid>
        <w:gridCol w:w="2259"/>
        <w:gridCol w:w="2254"/>
        <w:gridCol w:w="2254"/>
        <w:gridCol w:w="2872"/>
      </w:tblGrid>
      <w:tr w:rsidR="0049126A" w:rsidRPr="0049126A" w14:paraId="70C9ED3C" w14:textId="77777777" w:rsidTr="00D4112B">
        <w:tc>
          <w:tcPr>
            <w:tcW w:w="2259" w:type="dxa"/>
          </w:tcPr>
          <w:p w14:paraId="785B936B" w14:textId="77777777" w:rsidR="009A2C6B" w:rsidRPr="0049126A" w:rsidRDefault="009A2C6B" w:rsidP="009A2C6B">
            <w:pPr>
              <w:spacing w:line="276" w:lineRule="auto"/>
              <w:contextualSpacing/>
              <w:jc w:val="center"/>
              <w:rPr>
                <w:rFonts w:ascii="Times New Roman" w:hAnsi="Times New Roman"/>
                <w:sz w:val="20"/>
                <w:szCs w:val="20"/>
              </w:rPr>
            </w:pPr>
          </w:p>
        </w:tc>
        <w:tc>
          <w:tcPr>
            <w:tcW w:w="2254" w:type="dxa"/>
          </w:tcPr>
          <w:p w14:paraId="6C336641"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Foarte frecvente</w:t>
            </w:r>
          </w:p>
          <w:p w14:paraId="0AE6CB8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(≥1/10)</w:t>
            </w:r>
          </w:p>
        </w:tc>
        <w:tc>
          <w:tcPr>
            <w:tcW w:w="2254" w:type="dxa"/>
          </w:tcPr>
          <w:p w14:paraId="531A6330"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Frecvente</w:t>
            </w:r>
          </w:p>
          <w:p w14:paraId="365C1948"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(≥1/100 și &lt;1/10)</w:t>
            </w:r>
          </w:p>
        </w:tc>
        <w:tc>
          <w:tcPr>
            <w:tcW w:w="2872" w:type="dxa"/>
          </w:tcPr>
          <w:p w14:paraId="0642A7C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Mai puțin frecvente</w:t>
            </w:r>
          </w:p>
          <w:p w14:paraId="462ABE0E"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(≥1/1000 și &lt;1/100)</w:t>
            </w:r>
          </w:p>
        </w:tc>
      </w:tr>
      <w:tr w:rsidR="0049126A" w:rsidRPr="0049126A" w14:paraId="61834F6A" w14:textId="77777777" w:rsidTr="00D4112B">
        <w:tc>
          <w:tcPr>
            <w:tcW w:w="2259" w:type="dxa"/>
          </w:tcPr>
          <w:p w14:paraId="0D9F01F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Tulburări generale și la nivelul locului de administrare</w:t>
            </w:r>
          </w:p>
        </w:tc>
        <w:tc>
          <w:tcPr>
            <w:tcW w:w="2254" w:type="dxa"/>
          </w:tcPr>
          <w:p w14:paraId="281A712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Fatigabilitate</w:t>
            </w:r>
          </w:p>
        </w:tc>
        <w:tc>
          <w:tcPr>
            <w:tcW w:w="2254" w:type="dxa"/>
          </w:tcPr>
          <w:p w14:paraId="19742057"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Astenie, febră, status pseudogripal</w:t>
            </w:r>
          </w:p>
        </w:tc>
        <w:tc>
          <w:tcPr>
            <w:tcW w:w="2872" w:type="dxa"/>
          </w:tcPr>
          <w:p w14:paraId="17097968"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Frisoane</w:t>
            </w:r>
          </w:p>
        </w:tc>
      </w:tr>
      <w:tr w:rsidR="0049126A" w:rsidRPr="0049126A" w14:paraId="5BEAE9AE" w14:textId="77777777" w:rsidTr="00D4112B">
        <w:tc>
          <w:tcPr>
            <w:tcW w:w="2259" w:type="dxa"/>
          </w:tcPr>
          <w:p w14:paraId="058A7E09"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Complicații legate de administrare</w:t>
            </w:r>
          </w:p>
        </w:tc>
        <w:tc>
          <w:tcPr>
            <w:tcW w:w="2254" w:type="dxa"/>
          </w:tcPr>
          <w:p w14:paraId="2D11E1A8"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c>
          <w:tcPr>
            <w:tcW w:w="2254" w:type="dxa"/>
          </w:tcPr>
          <w:p w14:paraId="220AC15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Reacție asociată perfuziei</w:t>
            </w:r>
          </w:p>
        </w:tc>
        <w:tc>
          <w:tcPr>
            <w:tcW w:w="2872" w:type="dxa"/>
          </w:tcPr>
          <w:p w14:paraId="11A7581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r>
      <w:tr w:rsidR="0049126A" w:rsidRPr="0049126A" w14:paraId="25AF1864" w14:textId="77777777" w:rsidTr="00D4112B">
        <w:tc>
          <w:tcPr>
            <w:tcW w:w="2259" w:type="dxa"/>
          </w:tcPr>
          <w:p w14:paraId="5E13A00F"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Afecțiuni cutanate și ale țesutului subcutanat</w:t>
            </w:r>
          </w:p>
        </w:tc>
        <w:tc>
          <w:tcPr>
            <w:tcW w:w="2254" w:type="dxa"/>
          </w:tcPr>
          <w:p w14:paraId="31F05636"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c>
          <w:tcPr>
            <w:tcW w:w="2254" w:type="dxa"/>
          </w:tcPr>
          <w:p w14:paraId="6C282BA2"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Urticarie, prurit, erupție cutanată tranzitorie</w:t>
            </w:r>
          </w:p>
        </w:tc>
        <w:tc>
          <w:tcPr>
            <w:tcW w:w="2872" w:type="dxa"/>
          </w:tcPr>
          <w:p w14:paraId="5C1ED3C5"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r>
      <w:tr w:rsidR="0049126A" w:rsidRPr="0049126A" w14:paraId="6BA7FCD4" w14:textId="77777777" w:rsidTr="00D4112B">
        <w:tc>
          <w:tcPr>
            <w:tcW w:w="2259" w:type="dxa"/>
          </w:tcPr>
          <w:p w14:paraId="4947766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Tulburări musculo-scheletale și ale țesutului conjunctiv</w:t>
            </w:r>
          </w:p>
        </w:tc>
        <w:tc>
          <w:tcPr>
            <w:tcW w:w="2254" w:type="dxa"/>
          </w:tcPr>
          <w:p w14:paraId="5596A24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c>
          <w:tcPr>
            <w:tcW w:w="2254" w:type="dxa"/>
          </w:tcPr>
          <w:p w14:paraId="0EDCCC4C"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Artralgii, mialgii, spasme musculare</w:t>
            </w:r>
          </w:p>
        </w:tc>
        <w:tc>
          <w:tcPr>
            <w:tcW w:w="2872" w:type="dxa"/>
          </w:tcPr>
          <w:p w14:paraId="47964A2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r>
      <w:tr w:rsidR="0049126A" w:rsidRPr="0049126A" w14:paraId="5DB1653E" w14:textId="77777777" w:rsidTr="00D4112B">
        <w:tc>
          <w:tcPr>
            <w:tcW w:w="2259" w:type="dxa"/>
          </w:tcPr>
          <w:p w14:paraId="269B4D79"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Tulburări ale sistemului imun</w:t>
            </w:r>
          </w:p>
        </w:tc>
        <w:tc>
          <w:tcPr>
            <w:tcW w:w="2254" w:type="dxa"/>
          </w:tcPr>
          <w:p w14:paraId="2EF7E98F"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c>
          <w:tcPr>
            <w:tcW w:w="2254" w:type="dxa"/>
          </w:tcPr>
          <w:p w14:paraId="77C7DB2D"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c>
          <w:tcPr>
            <w:tcW w:w="2872" w:type="dxa"/>
          </w:tcPr>
          <w:p w14:paraId="49305172"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Hipersensibilitate, anafilaxie</w:t>
            </w:r>
          </w:p>
        </w:tc>
      </w:tr>
      <w:tr w:rsidR="0049126A" w:rsidRPr="0049126A" w14:paraId="6DB1DFD7" w14:textId="77777777" w:rsidTr="00D4112B">
        <w:tc>
          <w:tcPr>
            <w:tcW w:w="2259" w:type="dxa"/>
          </w:tcPr>
          <w:p w14:paraId="7985EBC3"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Tulburări gastro-intestinale</w:t>
            </w:r>
          </w:p>
        </w:tc>
        <w:tc>
          <w:tcPr>
            <w:tcW w:w="2254" w:type="dxa"/>
          </w:tcPr>
          <w:p w14:paraId="21B29BC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Diaree, greață</w:t>
            </w:r>
          </w:p>
        </w:tc>
        <w:tc>
          <w:tcPr>
            <w:tcW w:w="2254" w:type="dxa"/>
          </w:tcPr>
          <w:p w14:paraId="5C0F6946"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Vărsături, dureri abdominale, dispepsie</w:t>
            </w:r>
          </w:p>
        </w:tc>
        <w:tc>
          <w:tcPr>
            <w:tcW w:w="2872" w:type="dxa"/>
          </w:tcPr>
          <w:p w14:paraId="56469AE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r>
      <w:tr w:rsidR="0049126A" w:rsidRPr="0049126A" w14:paraId="1445DA91" w14:textId="77777777" w:rsidTr="00D4112B">
        <w:tc>
          <w:tcPr>
            <w:tcW w:w="2259" w:type="dxa"/>
          </w:tcPr>
          <w:p w14:paraId="5BE53D54"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Tulburări ale sistemului nervos</w:t>
            </w:r>
          </w:p>
        </w:tc>
        <w:tc>
          <w:tcPr>
            <w:tcW w:w="2254" w:type="dxa"/>
          </w:tcPr>
          <w:p w14:paraId="046EB408"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Cefalee</w:t>
            </w:r>
          </w:p>
        </w:tc>
        <w:tc>
          <w:tcPr>
            <w:tcW w:w="2254" w:type="dxa"/>
          </w:tcPr>
          <w:p w14:paraId="25FD5BB1"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Amețeală</w:t>
            </w:r>
          </w:p>
        </w:tc>
        <w:tc>
          <w:tcPr>
            <w:tcW w:w="2872" w:type="dxa"/>
          </w:tcPr>
          <w:p w14:paraId="03B36567"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r>
      <w:tr w:rsidR="0049126A" w:rsidRPr="0049126A" w14:paraId="3FD08EAF" w14:textId="77777777" w:rsidTr="00D4112B">
        <w:tc>
          <w:tcPr>
            <w:tcW w:w="2259" w:type="dxa"/>
          </w:tcPr>
          <w:p w14:paraId="56DE9E5A"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Infecții</w:t>
            </w:r>
          </w:p>
        </w:tc>
        <w:tc>
          <w:tcPr>
            <w:tcW w:w="2254" w:type="dxa"/>
          </w:tcPr>
          <w:p w14:paraId="356DCCF2"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Infecție a tractului respirator superior</w:t>
            </w:r>
          </w:p>
        </w:tc>
        <w:tc>
          <w:tcPr>
            <w:tcW w:w="2254" w:type="dxa"/>
          </w:tcPr>
          <w:p w14:paraId="505C291E"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w:t>
            </w:r>
          </w:p>
        </w:tc>
        <w:tc>
          <w:tcPr>
            <w:tcW w:w="2872" w:type="dxa"/>
          </w:tcPr>
          <w:p w14:paraId="7AA24F7E" w14:textId="77777777" w:rsidR="009A2C6B" w:rsidRPr="0049126A" w:rsidRDefault="009A2C6B" w:rsidP="009A2C6B">
            <w:pPr>
              <w:spacing w:line="276" w:lineRule="auto"/>
              <w:contextualSpacing/>
              <w:jc w:val="center"/>
              <w:rPr>
                <w:rFonts w:ascii="Times New Roman" w:hAnsi="Times New Roman"/>
                <w:sz w:val="20"/>
                <w:szCs w:val="20"/>
              </w:rPr>
            </w:pPr>
            <w:r w:rsidRPr="0049126A">
              <w:rPr>
                <w:rFonts w:ascii="Times New Roman" w:hAnsi="Times New Roman"/>
                <w:sz w:val="20"/>
                <w:szCs w:val="20"/>
              </w:rPr>
              <w:t>Infecție meningococică, infecție gonococică</w:t>
            </w:r>
          </w:p>
        </w:tc>
      </w:tr>
    </w:tbl>
    <w:p w14:paraId="3EFE976E" w14:textId="77777777" w:rsidR="009A2C6B" w:rsidRPr="0049126A" w:rsidRDefault="009A2C6B" w:rsidP="009A2C6B">
      <w:pPr>
        <w:spacing w:line="276" w:lineRule="auto"/>
        <w:rPr>
          <w:rFonts w:ascii="Times New Roman" w:hAnsi="Times New Roman"/>
          <w:sz w:val="24"/>
          <w:szCs w:val="24"/>
        </w:rPr>
      </w:pPr>
    </w:p>
    <w:p w14:paraId="48043838" w14:textId="77777777" w:rsidR="009A2C6B" w:rsidRPr="0049126A" w:rsidRDefault="009A2C6B" w:rsidP="00D4112B">
      <w:pPr>
        <w:pStyle w:val="Heading2"/>
        <w:spacing w:line="276" w:lineRule="auto"/>
        <w:ind w:left="0"/>
        <w:rPr>
          <w:rFonts w:ascii="Times New Roman" w:hAnsi="Times New Roman"/>
          <w:i w:val="0"/>
          <w:u w:val="none"/>
        </w:rPr>
      </w:pPr>
      <w:r w:rsidRPr="0049126A">
        <w:rPr>
          <w:rFonts w:ascii="Times New Roman" w:hAnsi="Times New Roman"/>
          <w:i w:val="0"/>
          <w:u w:val="none"/>
        </w:rPr>
        <w:t>VIII. Prescriptori</w:t>
      </w:r>
    </w:p>
    <w:p w14:paraId="64ED8D57" w14:textId="4B375368" w:rsidR="009A2C6B" w:rsidRPr="0049126A" w:rsidRDefault="009A2C6B" w:rsidP="009A2C6B">
      <w:pPr>
        <w:spacing w:line="276" w:lineRule="auto"/>
        <w:rPr>
          <w:rFonts w:ascii="Times New Roman" w:hAnsi="Times New Roman"/>
          <w:b/>
          <w:bCs/>
          <w:sz w:val="24"/>
          <w:szCs w:val="24"/>
        </w:rPr>
      </w:pPr>
      <w:r w:rsidRPr="0049126A">
        <w:rPr>
          <w:rFonts w:ascii="Times New Roman" w:hAnsi="Times New Roman"/>
          <w:sz w:val="24"/>
          <w:szCs w:val="24"/>
        </w:rPr>
        <w:t>Medici din specialităţile nefrologie, nefrologie pediatrică, pediatrie, terapie intensivă,  hematologie și hemato-oncologie pediatrică</w:t>
      </w:r>
      <w:r w:rsidRPr="0049126A">
        <w:rPr>
          <w:rFonts w:ascii="Times New Roman" w:hAnsi="Times New Roman"/>
          <w:b/>
          <w:bCs/>
          <w:sz w:val="24"/>
          <w:szCs w:val="24"/>
        </w:rPr>
        <w:t xml:space="preserve"> din unitatile sanitare prin care se deruleaza programul.</w:t>
      </w:r>
      <w:r w:rsidR="00F52CC5" w:rsidRPr="0049126A">
        <w:rPr>
          <w:rFonts w:ascii="Times New Roman" w:hAnsi="Times New Roman"/>
          <w:b/>
          <w:bCs/>
          <w:sz w:val="24"/>
          <w:szCs w:val="24"/>
        </w:rPr>
        <w:t>”</w:t>
      </w:r>
    </w:p>
    <w:p w14:paraId="4AC6999B" w14:textId="77777777" w:rsidR="009A2C6B" w:rsidRPr="0049126A" w:rsidRDefault="009A2C6B" w:rsidP="009A2C6B">
      <w:pPr>
        <w:spacing w:line="276" w:lineRule="auto"/>
        <w:rPr>
          <w:rFonts w:ascii="Times New Roman" w:hAnsi="Times New Roman"/>
          <w:sz w:val="24"/>
          <w:szCs w:val="24"/>
          <w:shd w:val="clear" w:color="auto" w:fill="FFFFFF"/>
        </w:rPr>
      </w:pPr>
    </w:p>
    <w:p w14:paraId="6C490F34" w14:textId="77777777" w:rsidR="00896095" w:rsidRPr="0049126A" w:rsidRDefault="00896095" w:rsidP="00380B65">
      <w:pPr>
        <w:tabs>
          <w:tab w:val="left" w:pos="426"/>
        </w:tabs>
        <w:jc w:val="both"/>
        <w:rPr>
          <w:rFonts w:ascii="Times New Roman" w:eastAsia="Arial" w:hAnsi="Times New Roman" w:cs="Times New Roman"/>
          <w:b/>
          <w:bCs/>
          <w:sz w:val="24"/>
          <w:szCs w:val="24"/>
          <w:lang w:val="en-US"/>
        </w:rPr>
      </w:pPr>
    </w:p>
    <w:p w14:paraId="676C9171"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4B1480C1"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6C9C4ABF"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42EC6B09"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02D3169C"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77170615"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4951424D"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4D695951"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5D944DFE"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1D80F3C0"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7713C47E"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4C661B5F"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0434E042" w14:textId="77777777" w:rsidR="005D2C9E" w:rsidRPr="0049126A" w:rsidRDefault="005D2C9E" w:rsidP="00380B65">
      <w:pPr>
        <w:tabs>
          <w:tab w:val="left" w:pos="426"/>
        </w:tabs>
        <w:jc w:val="both"/>
        <w:rPr>
          <w:rFonts w:ascii="Times New Roman" w:eastAsia="Arial" w:hAnsi="Times New Roman" w:cs="Times New Roman"/>
          <w:b/>
          <w:bCs/>
          <w:sz w:val="24"/>
          <w:szCs w:val="24"/>
          <w:lang w:val="en-US"/>
        </w:rPr>
      </w:pPr>
    </w:p>
    <w:p w14:paraId="4C0374D3"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612FCC59" w14:textId="6561D32B" w:rsidR="00F73895" w:rsidRPr="00300738" w:rsidRDefault="00F73895" w:rsidP="00C26280">
      <w:pPr>
        <w:pStyle w:val="ListParagraph"/>
        <w:numPr>
          <w:ilvl w:val="0"/>
          <w:numId w:val="9"/>
        </w:numPr>
        <w:tabs>
          <w:tab w:val="left" w:pos="426"/>
        </w:tabs>
        <w:jc w:val="both"/>
        <w:rPr>
          <w:rFonts w:eastAsia="Arial"/>
          <w:b/>
          <w:bCs/>
          <w:color w:val="FF0000"/>
          <w:lang w:val="en-US"/>
        </w:rPr>
      </w:pPr>
      <w:r w:rsidRPr="00300738">
        <w:rPr>
          <w:rFonts w:eastAsia="Arial"/>
          <w:b/>
          <w:bCs/>
          <w:color w:val="FF0000"/>
          <w:lang w:val="en-US"/>
        </w:rPr>
        <w:lastRenderedPageBreak/>
        <w:t>La anexa nr. 1, după protocolul terapeutic corespunzător poziției cu nr. 359 se introduce protocolul terapeutic corespunzător poziției nr. 360 cod (</w:t>
      </w:r>
      <w:r w:rsidR="00896095" w:rsidRPr="00300738">
        <w:rPr>
          <w:rFonts w:eastAsia="Arial"/>
          <w:b/>
          <w:bCs/>
          <w:color w:val="FF0000"/>
          <w:lang w:val="en-US"/>
        </w:rPr>
        <w:t>L04AA43-HPN</w:t>
      </w:r>
      <w:r w:rsidRPr="00300738">
        <w:rPr>
          <w:rFonts w:eastAsia="Arial"/>
          <w:b/>
          <w:bCs/>
          <w:color w:val="FF0000"/>
          <w:lang w:val="en-US"/>
        </w:rPr>
        <w:t xml:space="preserve">): DCI </w:t>
      </w:r>
      <w:r w:rsidR="00896095" w:rsidRPr="00300738">
        <w:rPr>
          <w:rFonts w:eastAsia="Arial"/>
          <w:b/>
          <w:bCs/>
          <w:color w:val="FF0000"/>
          <w:lang w:val="en-US"/>
        </w:rPr>
        <w:t xml:space="preserve">RAVULIZUMABUM </w:t>
      </w:r>
      <w:r w:rsidRPr="00300738">
        <w:rPr>
          <w:rFonts w:eastAsia="Arial"/>
          <w:b/>
          <w:bCs/>
          <w:color w:val="FF0000"/>
          <w:lang w:val="en-US"/>
        </w:rPr>
        <w:t xml:space="preserve">cu următorul cuprins: </w:t>
      </w:r>
    </w:p>
    <w:p w14:paraId="01BF5DB5"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4CF7943C" w14:textId="77777777" w:rsidR="00896095"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”Protocol terapeutic corespunzător poziţiei nr</w:t>
      </w:r>
      <w:r w:rsidR="00896095" w:rsidRPr="0049126A">
        <w:rPr>
          <w:rFonts w:ascii="Times New Roman" w:eastAsia="Arial" w:hAnsi="Times New Roman" w:cs="Times New Roman"/>
          <w:b/>
          <w:bCs/>
          <w:sz w:val="24"/>
          <w:szCs w:val="24"/>
          <w:lang w:val="en-US"/>
        </w:rPr>
        <w:t xml:space="preserve">. 360 cod (L04AA43-HPN): DCI RAVULIZUMABUM </w:t>
      </w:r>
    </w:p>
    <w:p w14:paraId="7D2B4234" w14:textId="77777777" w:rsidR="00242A2F" w:rsidRPr="0049126A" w:rsidRDefault="00242A2F" w:rsidP="00380B65">
      <w:pPr>
        <w:tabs>
          <w:tab w:val="left" w:pos="426"/>
        </w:tabs>
        <w:jc w:val="both"/>
        <w:rPr>
          <w:rFonts w:ascii="Times New Roman" w:eastAsia="Arial" w:hAnsi="Times New Roman" w:cs="Times New Roman"/>
          <w:b/>
          <w:bCs/>
          <w:sz w:val="24"/>
          <w:szCs w:val="24"/>
          <w:lang w:val="en-US"/>
        </w:rPr>
      </w:pPr>
    </w:p>
    <w:p w14:paraId="7C237E78"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Hemoglobinuria paroxistică nocturnă (HPN) este o boală clonală a celulelor stem hematopoietice, caracterizata prin hemoliza nonimuna, care produce un sindrom anemic cronic, diferite deficiente de organ si complicatii trombotice. HPN este cauzata de mutații somatice la nivelul genei PIGA (Xp22.1), genă care codifică o proteină implicată în biosinteza glycosyl-phosphatidyl-inositol (GPI). Mutația implică o deficiență totală sau parțială a ansamblului de proteine (CD55 și CD59 în special), proteine care sunt atașate la suprafața membranei celulare prin ancora GPI, si au rol in legarea complementului. </w:t>
      </w:r>
    </w:p>
    <w:p w14:paraId="78B7B6DA" w14:textId="77777777" w:rsidR="00D2276C"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Ravulizumabul este un anticorp monoclonal umanizat, de tipul IgG2/4κ ( t -MAB), ce conține o regiune de complementaritate murină înclusă într-un cadru format din lanțuri grele și ușoare umane. Ravulizumabul este un inhibitor al cascadei complementului prin legarea cu o afinitate crescută pentru proteina C5, blocarea clivării acesteia în C5a și C5b și prevenirea formării complexului de atac al membranei ( MAC).</w:t>
      </w:r>
    </w:p>
    <w:p w14:paraId="6CCFDBAC" w14:textId="77777777" w:rsidR="00242A2F" w:rsidRPr="00300738" w:rsidRDefault="00242A2F" w:rsidP="00242A2F">
      <w:pPr>
        <w:jc w:val="both"/>
        <w:rPr>
          <w:rFonts w:ascii="Times New Roman" w:hAnsi="Times New Roman" w:cs="Times New Roman"/>
          <w:b/>
          <w:bCs/>
          <w:color w:val="FF0000"/>
          <w:sz w:val="24"/>
          <w:szCs w:val="24"/>
        </w:rPr>
      </w:pPr>
      <w:r w:rsidRPr="00300738">
        <w:rPr>
          <w:rFonts w:ascii="Times New Roman" w:hAnsi="Times New Roman" w:cs="Times New Roman"/>
          <w:b/>
          <w:bCs/>
          <w:color w:val="FF0000"/>
          <w:sz w:val="24"/>
          <w:szCs w:val="24"/>
        </w:rPr>
        <w:t>I. Indicații</w:t>
      </w:r>
    </w:p>
    <w:p w14:paraId="3C5CBEF0" w14:textId="386DD747" w:rsidR="00242A2F" w:rsidRPr="00300738" w:rsidRDefault="00300738" w:rsidP="00300738">
      <w:pPr>
        <w:spacing w:after="0" w:line="276" w:lineRule="auto"/>
        <w:jc w:val="both"/>
        <w:rPr>
          <w:rFonts w:ascii="Times New Roman" w:hAnsi="Times New Roman" w:cs="Times New Roman"/>
          <w:color w:val="FF0000"/>
          <w:sz w:val="24"/>
          <w:szCs w:val="24"/>
        </w:rPr>
      </w:pPr>
      <w:r w:rsidRPr="00300738">
        <w:rPr>
          <w:rFonts w:ascii="Times New Roman" w:hAnsi="Times New Roman" w:cs="Times New Roman"/>
          <w:color w:val="FF0000"/>
          <w:sz w:val="24"/>
          <w:szCs w:val="24"/>
        </w:rPr>
        <w:t>T</w:t>
      </w:r>
      <w:r w:rsidR="00242A2F" w:rsidRPr="00300738">
        <w:rPr>
          <w:rFonts w:ascii="Times New Roman" w:hAnsi="Times New Roman" w:cs="Times New Roman"/>
          <w:color w:val="FF0000"/>
          <w:sz w:val="24"/>
          <w:szCs w:val="24"/>
        </w:rPr>
        <w:t>ratamentul pacienților adulți, copii și adolescenți cu o greutate corporală de 10 kg sau mai mult, cu HPN:</w:t>
      </w:r>
    </w:p>
    <w:p w14:paraId="4D15D36E" w14:textId="4FB2D6BE" w:rsidR="00242A2F" w:rsidRPr="00300738" w:rsidRDefault="00242A2F" w:rsidP="002161CA">
      <w:pPr>
        <w:numPr>
          <w:ilvl w:val="0"/>
          <w:numId w:val="509"/>
        </w:numPr>
        <w:spacing w:after="0" w:line="276" w:lineRule="auto"/>
        <w:ind w:left="284" w:hanging="284"/>
        <w:jc w:val="both"/>
        <w:rPr>
          <w:rFonts w:ascii="Times New Roman" w:hAnsi="Times New Roman" w:cs="Times New Roman"/>
          <w:color w:val="FF0000"/>
          <w:sz w:val="24"/>
          <w:szCs w:val="24"/>
        </w:rPr>
      </w:pPr>
      <w:r w:rsidRPr="00300738">
        <w:rPr>
          <w:rFonts w:ascii="Times New Roman" w:hAnsi="Times New Roman" w:cs="Times New Roman"/>
          <w:color w:val="FF0000"/>
          <w:sz w:val="24"/>
          <w:szCs w:val="24"/>
        </w:rPr>
        <w:t>la pacienții cu hemoliză cu simptom(e) clinic(e) sugestiv(e) pent</w:t>
      </w:r>
      <w:r w:rsidR="00300738">
        <w:rPr>
          <w:rFonts w:ascii="Times New Roman" w:hAnsi="Times New Roman" w:cs="Times New Roman"/>
          <w:color w:val="FF0000"/>
          <w:sz w:val="24"/>
          <w:szCs w:val="24"/>
        </w:rPr>
        <w:t>ru activitatea crescută a bolii</w:t>
      </w:r>
    </w:p>
    <w:p w14:paraId="2867B4E7" w14:textId="61B0755A" w:rsidR="00242A2F" w:rsidRPr="00300738" w:rsidRDefault="00242A2F" w:rsidP="002161CA">
      <w:pPr>
        <w:numPr>
          <w:ilvl w:val="0"/>
          <w:numId w:val="509"/>
        </w:numPr>
        <w:spacing w:after="0" w:line="276" w:lineRule="auto"/>
        <w:ind w:left="284" w:hanging="284"/>
        <w:jc w:val="both"/>
        <w:rPr>
          <w:rFonts w:ascii="Times New Roman" w:hAnsi="Times New Roman" w:cs="Times New Roman"/>
          <w:color w:val="FF0000"/>
          <w:sz w:val="24"/>
          <w:szCs w:val="24"/>
        </w:rPr>
      </w:pPr>
      <w:r w:rsidRPr="00300738">
        <w:rPr>
          <w:rFonts w:ascii="Times New Roman" w:hAnsi="Times New Roman" w:cs="Times New Roman"/>
          <w:color w:val="FF0000"/>
          <w:sz w:val="24"/>
          <w:szCs w:val="24"/>
        </w:rPr>
        <w:t>la pacienții care sunt stabili clinic după ce au fost tratați cu eculizuma</w:t>
      </w:r>
      <w:r w:rsidR="00300738">
        <w:rPr>
          <w:rFonts w:ascii="Times New Roman" w:hAnsi="Times New Roman" w:cs="Times New Roman"/>
          <w:color w:val="FF0000"/>
          <w:sz w:val="24"/>
          <w:szCs w:val="24"/>
        </w:rPr>
        <w:t>b cel puțin în ultimele 6 luni</w:t>
      </w:r>
    </w:p>
    <w:p w14:paraId="0DA24337" w14:textId="77777777" w:rsidR="00242A2F" w:rsidRPr="00242A2F" w:rsidRDefault="00242A2F" w:rsidP="00242A2F">
      <w:pPr>
        <w:spacing w:after="0" w:line="276" w:lineRule="auto"/>
        <w:ind w:left="567"/>
        <w:jc w:val="both"/>
        <w:rPr>
          <w:rFonts w:ascii="Arial" w:hAnsi="Arial" w:cs="Arial"/>
          <w:i/>
        </w:rPr>
      </w:pPr>
    </w:p>
    <w:p w14:paraId="713F4B2F" w14:textId="15074C84"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II. Criterii pentru includerea unui pacient în tratament</w:t>
      </w:r>
    </w:p>
    <w:p w14:paraId="3AEED3BD"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1. Criterii de includere</w:t>
      </w:r>
    </w:p>
    <w:p w14:paraId="773DCDF4"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RAVULIZUMAB este indicat pentru tratarea adulților cu Hemoglobinurie paroxistică nocturnă (HPN).</w:t>
      </w:r>
    </w:p>
    <w:p w14:paraId="1912F0BF"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Nu se indica tratamentul cu ravulizumab pentru componenta aplastică a anemiei la pacienții cu HPN, în absența criteriilor de hemoliză.</w:t>
      </w:r>
    </w:p>
    <w:p w14:paraId="06AA8078"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Pacienții cu indicatie de tratament sunt definiti ca adulți, copii și adolescenți cu o greutate corporală de 10 kg sau mai mare, cu diagnostic de hemoglobinurie paroxistică nocturnă (HPN) cu hemoliză intravasculară mediată de defecte ale cascadei complementului dovedită prin toate cele trei criterii:</w:t>
      </w:r>
    </w:p>
    <w:p w14:paraId="560F2E18"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a) Hemoliză intravasculară semnificativă (creșterea LDH &gt; 1,5 x nivelul maxim normal, scăderea hemoglobinei, scăderea haptoglobinei, prezența reticulocitozei) cu evidențierea a cel puțin unuia din următoarele criterii:</w:t>
      </w:r>
    </w:p>
    <w:p w14:paraId="1F6838E5" w14:textId="514E5815" w:rsidR="00D2276C" w:rsidRPr="0049126A" w:rsidRDefault="00D2276C" w:rsidP="00367864">
      <w:pPr>
        <w:pStyle w:val="ListParagraph"/>
        <w:numPr>
          <w:ilvl w:val="0"/>
          <w:numId w:val="129"/>
        </w:numPr>
        <w:ind w:left="709" w:hanging="425"/>
        <w:jc w:val="both"/>
        <w:rPr>
          <w:color w:val="auto"/>
        </w:rPr>
      </w:pPr>
      <w:r w:rsidRPr="0049126A">
        <w:rPr>
          <w:color w:val="auto"/>
        </w:rPr>
        <w:t>Anemie hemolitica semnificativă cu sau fara dependență sau istoric de transfuzii</w:t>
      </w:r>
    </w:p>
    <w:p w14:paraId="7C5B6B6D" w14:textId="5E1136FA" w:rsidR="00D2276C" w:rsidRPr="0049126A" w:rsidRDefault="00D2276C" w:rsidP="00367864">
      <w:pPr>
        <w:pStyle w:val="ListParagraph"/>
        <w:numPr>
          <w:ilvl w:val="0"/>
          <w:numId w:val="129"/>
        </w:numPr>
        <w:ind w:left="709" w:hanging="425"/>
        <w:jc w:val="both"/>
        <w:rPr>
          <w:color w:val="auto"/>
        </w:rPr>
      </w:pPr>
      <w:r w:rsidRPr="0049126A">
        <w:rPr>
          <w:color w:val="auto"/>
        </w:rPr>
        <w:t>Tromboză venoasă sau arterială</w:t>
      </w:r>
    </w:p>
    <w:p w14:paraId="5A352451" w14:textId="504F5A0F" w:rsidR="00D2276C" w:rsidRPr="0049126A" w:rsidRDefault="00D2276C" w:rsidP="00367864">
      <w:pPr>
        <w:pStyle w:val="ListParagraph"/>
        <w:numPr>
          <w:ilvl w:val="0"/>
          <w:numId w:val="129"/>
        </w:numPr>
        <w:ind w:left="709" w:hanging="425"/>
        <w:jc w:val="both"/>
        <w:rPr>
          <w:color w:val="auto"/>
        </w:rPr>
      </w:pPr>
      <w:r w:rsidRPr="0049126A">
        <w:rPr>
          <w:color w:val="auto"/>
        </w:rPr>
        <w:t>Hipertensiune sau insuficiență pulmonară neexplicată de altă patologie</w:t>
      </w:r>
    </w:p>
    <w:p w14:paraId="43BF0AAC" w14:textId="3F4CEF0D" w:rsidR="00D2276C" w:rsidRPr="0049126A" w:rsidRDefault="00D2276C" w:rsidP="00367864">
      <w:pPr>
        <w:pStyle w:val="ListParagraph"/>
        <w:numPr>
          <w:ilvl w:val="0"/>
          <w:numId w:val="129"/>
        </w:numPr>
        <w:ind w:left="709" w:hanging="425"/>
        <w:jc w:val="both"/>
        <w:rPr>
          <w:color w:val="auto"/>
        </w:rPr>
      </w:pPr>
      <w:r w:rsidRPr="0049126A">
        <w:rPr>
          <w:color w:val="auto"/>
        </w:rPr>
        <w:t>Insuficiență renală neexplicată de altă patologie</w:t>
      </w:r>
    </w:p>
    <w:p w14:paraId="641FE8E2" w14:textId="03901B4A" w:rsidR="00D2276C" w:rsidRPr="0049126A" w:rsidRDefault="00D2276C" w:rsidP="00367864">
      <w:pPr>
        <w:pStyle w:val="ListParagraph"/>
        <w:numPr>
          <w:ilvl w:val="0"/>
          <w:numId w:val="129"/>
        </w:numPr>
        <w:ind w:left="709" w:hanging="425"/>
        <w:jc w:val="both"/>
        <w:rPr>
          <w:color w:val="auto"/>
        </w:rPr>
      </w:pPr>
      <w:r w:rsidRPr="0049126A">
        <w:rPr>
          <w:color w:val="auto"/>
        </w:rPr>
        <w:t>Durere abdominală recurentă sau disfagie care necesită spitalizare sau analgezie cu</w:t>
      </w:r>
      <w:r w:rsidR="007C56A3" w:rsidRPr="0049126A">
        <w:rPr>
          <w:color w:val="auto"/>
        </w:rPr>
        <w:t xml:space="preserve"> </w:t>
      </w:r>
      <w:r w:rsidRPr="0049126A">
        <w:rPr>
          <w:color w:val="auto"/>
        </w:rPr>
        <w:t>opiacee.</w:t>
      </w:r>
    </w:p>
    <w:p w14:paraId="4A73A1AD" w14:textId="77777777" w:rsidR="007C56A3" w:rsidRPr="0049126A" w:rsidRDefault="007C56A3" w:rsidP="007C56A3">
      <w:pPr>
        <w:spacing w:after="0"/>
        <w:jc w:val="both"/>
        <w:rPr>
          <w:rFonts w:ascii="Times New Roman" w:hAnsi="Times New Roman" w:cs="Times New Roman"/>
          <w:sz w:val="24"/>
          <w:szCs w:val="24"/>
        </w:rPr>
      </w:pPr>
    </w:p>
    <w:p w14:paraId="3736201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lastRenderedPageBreak/>
        <w:t xml:space="preserve">b) Prezența clonei majore leucocitare HPN ≥ 10% identificată prin imunofenotipare prin citometrie în flux conform ghidurilor internaționale (cel puțin două dintre liniile hematopoietice eritrocitară, granulocitară și monocitară utilizând cel puțin markerii FLAER, CD157 pentru monocite si granulocite (ambii markeri obligatoriu), CD59 (pentru eritrocite) cu recomandarea de gate conform ghidurilor. </w:t>
      </w:r>
    </w:p>
    <w:p w14:paraId="3279BABE"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c) Excluderea altor cauze de hemoliză intravasculară.</w:t>
      </w:r>
    </w:p>
    <w:p w14:paraId="02FDE132"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2. Criterii de excludere/contraindicatii :</w:t>
      </w:r>
    </w:p>
    <w:p w14:paraId="60B4EA4B" w14:textId="0B7F089D" w:rsidR="00D2276C" w:rsidRPr="0049126A" w:rsidRDefault="00D2276C" w:rsidP="00367864">
      <w:pPr>
        <w:pStyle w:val="ListParagraph"/>
        <w:numPr>
          <w:ilvl w:val="0"/>
          <w:numId w:val="130"/>
        </w:numPr>
        <w:jc w:val="both"/>
        <w:rPr>
          <w:color w:val="auto"/>
        </w:rPr>
      </w:pPr>
      <w:r w:rsidRPr="0049126A">
        <w:rPr>
          <w:color w:val="auto"/>
        </w:rPr>
        <w:t>Infirmarea HPN ca și cauză pentru hemoliza intravasculară</w:t>
      </w:r>
    </w:p>
    <w:p w14:paraId="178D22C2" w14:textId="22757D80" w:rsidR="00D2276C" w:rsidRPr="0049126A" w:rsidRDefault="00D2276C" w:rsidP="00367864">
      <w:pPr>
        <w:pStyle w:val="ListParagraph"/>
        <w:numPr>
          <w:ilvl w:val="0"/>
          <w:numId w:val="130"/>
        </w:numPr>
        <w:jc w:val="both"/>
        <w:rPr>
          <w:color w:val="auto"/>
        </w:rPr>
      </w:pPr>
      <w:r w:rsidRPr="0049126A">
        <w:rPr>
          <w:color w:val="auto"/>
        </w:rPr>
        <w:t>Lipsa criteriilor de anemie semnificativă cu deficit de organ si/sau istoric de transfuzii</w:t>
      </w:r>
    </w:p>
    <w:p w14:paraId="1C7B18FD" w14:textId="1ADA92B8" w:rsidR="00D2276C" w:rsidRPr="0049126A" w:rsidRDefault="00D2276C" w:rsidP="00367864">
      <w:pPr>
        <w:pStyle w:val="ListParagraph"/>
        <w:numPr>
          <w:ilvl w:val="0"/>
          <w:numId w:val="130"/>
        </w:numPr>
        <w:jc w:val="both"/>
        <w:rPr>
          <w:color w:val="auto"/>
        </w:rPr>
      </w:pPr>
      <w:r w:rsidRPr="0049126A">
        <w:rPr>
          <w:color w:val="auto"/>
        </w:rPr>
        <w:t>Clona majoră HPN sub 10% (evaluată prin imunofenotipare prin citometrie în flux</w:t>
      </w:r>
    </w:p>
    <w:p w14:paraId="397A5157" w14:textId="77777777" w:rsidR="00D2276C" w:rsidRPr="0049126A" w:rsidRDefault="00D2276C" w:rsidP="00367864">
      <w:pPr>
        <w:pStyle w:val="ListParagraph"/>
        <w:numPr>
          <w:ilvl w:val="0"/>
          <w:numId w:val="130"/>
        </w:numPr>
        <w:jc w:val="both"/>
        <w:rPr>
          <w:color w:val="auto"/>
        </w:rPr>
      </w:pPr>
      <w:r w:rsidRPr="0049126A">
        <w:rPr>
          <w:color w:val="auto"/>
        </w:rPr>
        <w:t>conform ghidurilor internaționale menționate la criteriile de includere)</w:t>
      </w:r>
    </w:p>
    <w:p w14:paraId="248F4F9F" w14:textId="16A1F886" w:rsidR="00D2276C" w:rsidRPr="0049126A" w:rsidRDefault="00D2276C" w:rsidP="00367864">
      <w:pPr>
        <w:pStyle w:val="ListParagraph"/>
        <w:numPr>
          <w:ilvl w:val="0"/>
          <w:numId w:val="130"/>
        </w:numPr>
        <w:jc w:val="both"/>
        <w:rPr>
          <w:color w:val="auto"/>
        </w:rPr>
      </w:pPr>
      <w:r w:rsidRPr="0049126A">
        <w:rPr>
          <w:color w:val="auto"/>
        </w:rPr>
        <w:t>Hipersensibilitate la ravulizumab, proteine murinice sau la oricare dintre excipienții</w:t>
      </w:r>
    </w:p>
    <w:p w14:paraId="28EE5883" w14:textId="77777777" w:rsidR="00D2276C" w:rsidRPr="0049126A" w:rsidRDefault="00D2276C" w:rsidP="00367864">
      <w:pPr>
        <w:pStyle w:val="ListParagraph"/>
        <w:numPr>
          <w:ilvl w:val="0"/>
          <w:numId w:val="130"/>
        </w:numPr>
        <w:jc w:val="both"/>
        <w:rPr>
          <w:color w:val="auto"/>
        </w:rPr>
      </w:pPr>
      <w:r w:rsidRPr="0049126A">
        <w:rPr>
          <w:color w:val="auto"/>
        </w:rPr>
        <w:t>produsului.</w:t>
      </w:r>
    </w:p>
    <w:p w14:paraId="5AC65395" w14:textId="23FEF145" w:rsidR="00D2276C" w:rsidRPr="0049126A" w:rsidRDefault="00D2276C" w:rsidP="00367864">
      <w:pPr>
        <w:pStyle w:val="ListParagraph"/>
        <w:numPr>
          <w:ilvl w:val="0"/>
          <w:numId w:val="130"/>
        </w:numPr>
        <w:jc w:val="both"/>
        <w:rPr>
          <w:color w:val="auto"/>
        </w:rPr>
      </w:pPr>
      <w:r w:rsidRPr="0049126A">
        <w:rPr>
          <w:color w:val="auto"/>
        </w:rPr>
        <w:t>Refuzul vaccinării împotriva Neisseria meningitidis</w:t>
      </w:r>
    </w:p>
    <w:p w14:paraId="05816B9A" w14:textId="0C34C804" w:rsidR="00D2276C" w:rsidRPr="0049126A" w:rsidRDefault="00D2276C" w:rsidP="00367864">
      <w:pPr>
        <w:pStyle w:val="ListParagraph"/>
        <w:numPr>
          <w:ilvl w:val="0"/>
          <w:numId w:val="130"/>
        </w:numPr>
        <w:jc w:val="both"/>
        <w:rPr>
          <w:color w:val="auto"/>
        </w:rPr>
      </w:pPr>
      <w:r w:rsidRPr="0049126A">
        <w:rPr>
          <w:color w:val="auto"/>
        </w:rPr>
        <w:t>Tratamentul cu Ravulizumab nu trebuie inițiat la pacienții:</w:t>
      </w:r>
    </w:p>
    <w:p w14:paraId="510998B5" w14:textId="6AF9465D" w:rsidR="00D2276C" w:rsidRPr="0049126A" w:rsidRDefault="00D2276C" w:rsidP="00367864">
      <w:pPr>
        <w:pStyle w:val="ListParagraph"/>
        <w:numPr>
          <w:ilvl w:val="1"/>
          <w:numId w:val="131"/>
        </w:numPr>
        <w:ind w:left="993" w:hanging="284"/>
        <w:jc w:val="both"/>
        <w:rPr>
          <w:color w:val="auto"/>
        </w:rPr>
      </w:pPr>
      <w:r w:rsidRPr="0049126A">
        <w:rPr>
          <w:color w:val="auto"/>
        </w:rPr>
        <w:t>cu infecție netratată cu Neisseria meningitidis.</w:t>
      </w:r>
    </w:p>
    <w:p w14:paraId="78344692" w14:textId="161DE657" w:rsidR="00D2276C" w:rsidRPr="0049126A" w:rsidRDefault="00D2276C" w:rsidP="00367864">
      <w:pPr>
        <w:pStyle w:val="ListParagraph"/>
        <w:numPr>
          <w:ilvl w:val="1"/>
          <w:numId w:val="131"/>
        </w:numPr>
        <w:ind w:left="993" w:hanging="284"/>
        <w:jc w:val="both"/>
        <w:rPr>
          <w:color w:val="auto"/>
        </w:rPr>
      </w:pPr>
      <w:r w:rsidRPr="0049126A">
        <w:rPr>
          <w:color w:val="auto"/>
        </w:rPr>
        <w:t>nevaccinați recent împotriva Neisseria meningitidis, cu excepția cazului în care li se administrează tratament antibiotic profilactic adecvat timp de 2 săptămâni după vaccinare</w:t>
      </w:r>
    </w:p>
    <w:p w14:paraId="036AC770" w14:textId="77777777" w:rsidR="007C56A3" w:rsidRPr="0049126A" w:rsidRDefault="007C56A3" w:rsidP="00D2276C">
      <w:pPr>
        <w:jc w:val="both"/>
        <w:rPr>
          <w:rFonts w:ascii="Times New Roman" w:hAnsi="Times New Roman" w:cs="Times New Roman"/>
          <w:b/>
          <w:bCs/>
          <w:sz w:val="24"/>
          <w:szCs w:val="24"/>
        </w:rPr>
      </w:pPr>
    </w:p>
    <w:p w14:paraId="088441AF" w14:textId="77777777" w:rsidR="00D2276C" w:rsidRPr="0049126A" w:rsidRDefault="00D2276C" w:rsidP="007C56A3">
      <w:pPr>
        <w:spacing w:after="0"/>
        <w:jc w:val="both"/>
        <w:rPr>
          <w:rFonts w:ascii="Times New Roman" w:hAnsi="Times New Roman" w:cs="Times New Roman"/>
          <w:b/>
          <w:bCs/>
          <w:sz w:val="24"/>
          <w:szCs w:val="24"/>
        </w:rPr>
      </w:pPr>
      <w:r w:rsidRPr="0049126A">
        <w:rPr>
          <w:rFonts w:ascii="Times New Roman" w:hAnsi="Times New Roman" w:cs="Times New Roman"/>
          <w:b/>
          <w:bCs/>
          <w:sz w:val="24"/>
          <w:szCs w:val="24"/>
        </w:rPr>
        <w:t>III. Tratament</w:t>
      </w:r>
    </w:p>
    <w:p w14:paraId="54D886C1" w14:textId="77777777" w:rsidR="00D2276C" w:rsidRPr="0049126A" w:rsidRDefault="00D2276C" w:rsidP="007C56A3">
      <w:pPr>
        <w:spacing w:after="0"/>
        <w:jc w:val="both"/>
        <w:rPr>
          <w:rFonts w:ascii="Times New Roman" w:hAnsi="Times New Roman" w:cs="Times New Roman"/>
          <w:sz w:val="24"/>
          <w:szCs w:val="24"/>
        </w:rPr>
      </w:pPr>
      <w:r w:rsidRPr="0049126A">
        <w:rPr>
          <w:rFonts w:ascii="Times New Roman" w:hAnsi="Times New Roman" w:cs="Times New Roman"/>
          <w:sz w:val="24"/>
          <w:szCs w:val="24"/>
        </w:rPr>
        <w:t>Obiectivele tratamentului</w:t>
      </w:r>
    </w:p>
    <w:p w14:paraId="11B66C17" w14:textId="16686EB9" w:rsidR="00D2276C" w:rsidRPr="0049126A" w:rsidRDefault="00D2276C" w:rsidP="00367864">
      <w:pPr>
        <w:pStyle w:val="ListParagraph"/>
        <w:numPr>
          <w:ilvl w:val="0"/>
          <w:numId w:val="132"/>
        </w:numPr>
        <w:jc w:val="both"/>
        <w:rPr>
          <w:color w:val="auto"/>
        </w:rPr>
      </w:pPr>
      <w:r w:rsidRPr="0049126A">
        <w:rPr>
          <w:color w:val="auto"/>
        </w:rPr>
        <w:t>Normalizarea parametrilor hematologici (normalizarea LDH/haptoglobinei, normalizarea trombocitelor, corectarea hemoglobinei).</w:t>
      </w:r>
    </w:p>
    <w:p w14:paraId="1863F964" w14:textId="470BA84A" w:rsidR="007C56A3" w:rsidRPr="0049126A" w:rsidRDefault="00D2276C" w:rsidP="00367864">
      <w:pPr>
        <w:pStyle w:val="ListParagraph"/>
        <w:numPr>
          <w:ilvl w:val="0"/>
          <w:numId w:val="132"/>
        </w:numPr>
        <w:jc w:val="both"/>
        <w:rPr>
          <w:color w:val="auto"/>
        </w:rPr>
      </w:pPr>
      <w:r w:rsidRPr="0049126A">
        <w:rPr>
          <w:color w:val="auto"/>
        </w:rPr>
        <w:t>Prevenirea recăderilor, crizelor de hemoliză, necesarului transfuzional</w:t>
      </w:r>
    </w:p>
    <w:p w14:paraId="319242AE" w14:textId="2F973F40" w:rsidR="007C56A3"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La iniţierea tratamentului consimţământul informat al pacientului</w:t>
      </w:r>
      <w:r w:rsidR="007C56A3" w:rsidRPr="0049126A">
        <w:rPr>
          <w:rFonts w:ascii="Times New Roman" w:hAnsi="Times New Roman" w:cs="Times New Roman"/>
          <w:sz w:val="24"/>
          <w:szCs w:val="24"/>
        </w:rPr>
        <w:t xml:space="preserve"> (anexa nr 1) este obligatoriu.</w:t>
      </w:r>
    </w:p>
    <w:p w14:paraId="61233A13" w14:textId="77777777" w:rsidR="00D2276C" w:rsidRPr="0049126A" w:rsidRDefault="00D2276C" w:rsidP="007C56A3">
      <w:pPr>
        <w:spacing w:after="0"/>
        <w:jc w:val="both"/>
        <w:rPr>
          <w:rFonts w:ascii="Times New Roman" w:hAnsi="Times New Roman" w:cs="Times New Roman"/>
          <w:b/>
          <w:bCs/>
          <w:sz w:val="24"/>
          <w:szCs w:val="24"/>
        </w:rPr>
      </w:pPr>
      <w:r w:rsidRPr="0049126A">
        <w:rPr>
          <w:rFonts w:ascii="Times New Roman" w:hAnsi="Times New Roman" w:cs="Times New Roman"/>
          <w:b/>
          <w:bCs/>
          <w:sz w:val="24"/>
          <w:szCs w:val="24"/>
        </w:rPr>
        <w:t>Doze si Mod de administrare.</w:t>
      </w:r>
    </w:p>
    <w:p w14:paraId="1F77CF3C"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Doze</w:t>
      </w:r>
    </w:p>
    <w:p w14:paraId="5255EC97"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Ravulizumab trebuie administrat de către personalul medical și sub supravegherea unui medic specializat în abordarea terapeutică a pacienților cu tulburări hematologice, renale, neuromusculare sau neuroinflamatorii. La pacienții care au prezentat o bună toleranță a perfuziilor la clinică, poate fi luată în considerare administrarea perfuziilor la domiciliu. Administrarea perfuziilor la domiciliu trebuie luată în urma evaluării și recomandării medicului curant. Perfuziile la domiciliu trebuie administrate de către un profesionist calificat din domeniul sănătății.</w:t>
      </w:r>
    </w:p>
    <w:p w14:paraId="59765600" w14:textId="77777777" w:rsidR="007C56A3" w:rsidRPr="0049126A" w:rsidRDefault="007C56A3" w:rsidP="00D2276C">
      <w:pPr>
        <w:pStyle w:val="Default"/>
        <w:jc w:val="both"/>
        <w:rPr>
          <w:rFonts w:ascii="Times New Roman" w:hAnsi="Times New Roman" w:cs="Times New Roman"/>
          <w:color w:val="auto"/>
        </w:rPr>
      </w:pPr>
    </w:p>
    <w:p w14:paraId="456234BF"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 xml:space="preserve">Pentru administrare numai prin perfuzie intravenoasă. Acest medicament trebuie administrat prin intermediul unui filtru de 0,2 μm și nu trebuie administrat sub formă de injecție intravenoasă rapidă sau în bolus.  Ravulizumab 300 mg/30 ml concentrat pentru soluție perfuzabilă nu trebuie amestecat cu Ravulizumab 300 mg/3 ml sau 1100 mg/11 ml concentrate pentru soluție perfuzabilă. </w:t>
      </w:r>
    </w:p>
    <w:p w14:paraId="2BCE264D" w14:textId="77777777" w:rsidR="007C56A3" w:rsidRPr="0049126A" w:rsidRDefault="007C56A3" w:rsidP="00D2276C">
      <w:pPr>
        <w:pStyle w:val="Default"/>
        <w:jc w:val="both"/>
        <w:rPr>
          <w:rFonts w:ascii="Times New Roman" w:hAnsi="Times New Roman" w:cs="Times New Roman"/>
          <w:color w:val="auto"/>
        </w:rPr>
      </w:pPr>
    </w:p>
    <w:p w14:paraId="638E5FB2"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 xml:space="preserve">Schema terapeutică recomandată constă într-o doză de încărcare, urmată de doze de întreținere, administrata sub formă de perfuzie intravenoasă. Dozele administrate se bazează pe greutatea corporală a pacientului, așa cum se arată în Tabelul 1. Pentru pacienții adulți (vârsta ≥ 18 ani), dozele de întreținere trebuie administrate la intervale de 8 săptămâni, începând de la 2 săptămâni după administrarea dozei de încărcare. </w:t>
      </w:r>
    </w:p>
    <w:p w14:paraId="1EA02BD2" w14:textId="77777777" w:rsidR="007C56A3" w:rsidRPr="0049126A" w:rsidRDefault="007C56A3" w:rsidP="00D2276C">
      <w:pPr>
        <w:pStyle w:val="Default"/>
        <w:jc w:val="both"/>
        <w:rPr>
          <w:rFonts w:ascii="Times New Roman" w:hAnsi="Times New Roman" w:cs="Times New Roman"/>
          <w:color w:val="auto"/>
        </w:rPr>
      </w:pPr>
    </w:p>
    <w:p w14:paraId="67FA2779"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În cadrul schemei terapeutice, este permisă o modificare a momentului administrării cu ± 7 zile față de ziua programată a perfuziei (cu excepția primei doze de întreținere cu ravulizumab), dar doza ulterioară trebuie administrată conform schemei originale.</w:t>
      </w:r>
    </w:p>
    <w:p w14:paraId="02C937CF" w14:textId="77777777" w:rsidR="00D2276C" w:rsidRPr="0049126A" w:rsidRDefault="00D2276C" w:rsidP="00D2276C">
      <w:pPr>
        <w:pStyle w:val="Default"/>
        <w:jc w:val="both"/>
        <w:rPr>
          <w:rFonts w:ascii="Times New Roman" w:hAnsi="Times New Roman" w:cs="Times New Roman"/>
          <w:color w:val="auto"/>
        </w:rPr>
      </w:pPr>
    </w:p>
    <w:p w14:paraId="3E0C843B" w14:textId="1D74263B"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b/>
          <w:color w:val="auto"/>
        </w:rPr>
        <w:lastRenderedPageBreak/>
        <w:t>Tabelul 1</w:t>
      </w:r>
      <w:r w:rsidRPr="0049126A">
        <w:rPr>
          <w:rFonts w:ascii="Times New Roman" w:hAnsi="Times New Roman" w:cs="Times New Roman"/>
          <w:color w:val="auto"/>
        </w:rPr>
        <w:t>: Schema de doze recomandate pentru ravulizumab, dozele fiind bazate pe greutate pentru pacienți adulți cu greutate corporală mai mare sau egală cu 40 kg Interval greutate corporală (kg)</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6"/>
        <w:gridCol w:w="2259"/>
        <w:gridCol w:w="2259"/>
        <w:gridCol w:w="3025"/>
      </w:tblGrid>
      <w:tr w:rsidR="0049126A" w:rsidRPr="0049126A" w14:paraId="438BFF7C" w14:textId="77777777" w:rsidTr="007C56A3">
        <w:trPr>
          <w:trHeight w:val="253"/>
        </w:trPr>
        <w:tc>
          <w:tcPr>
            <w:tcW w:w="2096" w:type="dxa"/>
          </w:tcPr>
          <w:p w14:paraId="013992B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color w:val="auto"/>
                <w:sz w:val="20"/>
                <w:szCs w:val="20"/>
              </w:rPr>
              <w:t>Interval greutate</w:t>
            </w:r>
            <w:r w:rsidRPr="0049126A">
              <w:rPr>
                <w:rFonts w:ascii="Times New Roman" w:hAnsi="Times New Roman" w:cs="Times New Roman"/>
                <w:b/>
                <w:color w:val="auto"/>
                <w:spacing w:val="-47"/>
                <w:sz w:val="20"/>
                <w:szCs w:val="20"/>
              </w:rPr>
              <w:t xml:space="preserve"> </w:t>
            </w:r>
            <w:r w:rsidRPr="0049126A">
              <w:rPr>
                <w:rFonts w:ascii="Times New Roman" w:hAnsi="Times New Roman" w:cs="Times New Roman"/>
                <w:b/>
                <w:color w:val="auto"/>
                <w:sz w:val="20"/>
                <w:szCs w:val="20"/>
              </w:rPr>
              <w:t>corporală</w:t>
            </w:r>
            <w:r w:rsidRPr="0049126A">
              <w:rPr>
                <w:rFonts w:ascii="Times New Roman" w:hAnsi="Times New Roman" w:cs="Times New Roman"/>
                <w:b/>
                <w:color w:val="auto"/>
                <w:spacing w:val="-3"/>
                <w:sz w:val="20"/>
                <w:szCs w:val="20"/>
              </w:rPr>
              <w:t xml:space="preserve"> </w:t>
            </w:r>
            <w:r w:rsidRPr="0049126A">
              <w:rPr>
                <w:rFonts w:ascii="Times New Roman" w:hAnsi="Times New Roman" w:cs="Times New Roman"/>
                <w:b/>
                <w:color w:val="auto"/>
                <w:sz w:val="20"/>
                <w:szCs w:val="20"/>
              </w:rPr>
              <w:t>(kg)</w:t>
            </w:r>
          </w:p>
        </w:tc>
        <w:tc>
          <w:tcPr>
            <w:tcW w:w="2259" w:type="dxa"/>
          </w:tcPr>
          <w:p w14:paraId="18BD602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Doză de încărcare (mg)</w:t>
            </w:r>
          </w:p>
        </w:tc>
        <w:tc>
          <w:tcPr>
            <w:tcW w:w="2259" w:type="dxa"/>
          </w:tcPr>
          <w:p w14:paraId="341F69F4"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Doză de întreținere (mg)</w:t>
            </w:r>
            <w:r w:rsidRPr="0049126A">
              <w:rPr>
                <w:rFonts w:ascii="Times New Roman" w:hAnsi="Times New Roman" w:cs="Times New Roman"/>
                <w:color w:val="auto"/>
                <w:sz w:val="20"/>
                <w:szCs w:val="20"/>
              </w:rPr>
              <w:t>*</w:t>
            </w:r>
          </w:p>
        </w:tc>
        <w:tc>
          <w:tcPr>
            <w:tcW w:w="3025" w:type="dxa"/>
          </w:tcPr>
          <w:p w14:paraId="34307F2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Interval de dozare</w:t>
            </w:r>
          </w:p>
        </w:tc>
      </w:tr>
      <w:tr w:rsidR="0049126A" w:rsidRPr="0049126A" w14:paraId="7444918F" w14:textId="77777777" w:rsidTr="007C56A3">
        <w:trPr>
          <w:trHeight w:val="134"/>
        </w:trPr>
        <w:tc>
          <w:tcPr>
            <w:tcW w:w="2096" w:type="dxa"/>
          </w:tcPr>
          <w:p w14:paraId="6CD50C3A"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40 până la &lt; 60 </w:t>
            </w:r>
          </w:p>
        </w:tc>
        <w:tc>
          <w:tcPr>
            <w:tcW w:w="2259" w:type="dxa"/>
          </w:tcPr>
          <w:p w14:paraId="4442FCD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2400 </w:t>
            </w:r>
          </w:p>
        </w:tc>
        <w:tc>
          <w:tcPr>
            <w:tcW w:w="2259" w:type="dxa"/>
          </w:tcPr>
          <w:p w14:paraId="58EB846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3000 </w:t>
            </w:r>
          </w:p>
        </w:tc>
        <w:tc>
          <w:tcPr>
            <w:tcW w:w="3025" w:type="dxa"/>
          </w:tcPr>
          <w:p w14:paraId="5E4410C7"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La interval de 8 săptămâni </w:t>
            </w:r>
          </w:p>
        </w:tc>
      </w:tr>
      <w:tr w:rsidR="0049126A" w:rsidRPr="0049126A" w14:paraId="2F4697B9" w14:textId="77777777" w:rsidTr="007C56A3">
        <w:trPr>
          <w:trHeight w:val="134"/>
        </w:trPr>
        <w:tc>
          <w:tcPr>
            <w:tcW w:w="2096" w:type="dxa"/>
          </w:tcPr>
          <w:p w14:paraId="0591110A"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60 până la &lt; 100 </w:t>
            </w:r>
          </w:p>
        </w:tc>
        <w:tc>
          <w:tcPr>
            <w:tcW w:w="2259" w:type="dxa"/>
          </w:tcPr>
          <w:p w14:paraId="29476A4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2700 </w:t>
            </w:r>
          </w:p>
        </w:tc>
        <w:tc>
          <w:tcPr>
            <w:tcW w:w="2259" w:type="dxa"/>
          </w:tcPr>
          <w:p w14:paraId="33C5D24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3300 </w:t>
            </w:r>
          </w:p>
        </w:tc>
        <w:tc>
          <w:tcPr>
            <w:tcW w:w="3025" w:type="dxa"/>
          </w:tcPr>
          <w:p w14:paraId="471FEFF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La interval de 8 săptămâni </w:t>
            </w:r>
          </w:p>
        </w:tc>
      </w:tr>
      <w:tr w:rsidR="0049126A" w:rsidRPr="0049126A" w14:paraId="5C1BEA89" w14:textId="77777777" w:rsidTr="007C56A3">
        <w:trPr>
          <w:trHeight w:val="134"/>
        </w:trPr>
        <w:tc>
          <w:tcPr>
            <w:tcW w:w="2096" w:type="dxa"/>
          </w:tcPr>
          <w:p w14:paraId="423773B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100 </w:t>
            </w:r>
          </w:p>
        </w:tc>
        <w:tc>
          <w:tcPr>
            <w:tcW w:w="2259" w:type="dxa"/>
          </w:tcPr>
          <w:p w14:paraId="64600A33"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3000 </w:t>
            </w:r>
          </w:p>
        </w:tc>
        <w:tc>
          <w:tcPr>
            <w:tcW w:w="2259" w:type="dxa"/>
          </w:tcPr>
          <w:p w14:paraId="53743FF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3600 </w:t>
            </w:r>
          </w:p>
        </w:tc>
        <w:tc>
          <w:tcPr>
            <w:tcW w:w="3025" w:type="dxa"/>
          </w:tcPr>
          <w:p w14:paraId="2DC7913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La interval de 8 săptămâni </w:t>
            </w:r>
          </w:p>
        </w:tc>
      </w:tr>
    </w:tbl>
    <w:p w14:paraId="36018301" w14:textId="77777777" w:rsidR="00D2276C" w:rsidRPr="0049126A" w:rsidRDefault="00D2276C" w:rsidP="00D2276C">
      <w:pPr>
        <w:jc w:val="both"/>
        <w:rPr>
          <w:rFonts w:ascii="Times New Roman" w:hAnsi="Times New Roman" w:cs="Times New Roman"/>
          <w:sz w:val="20"/>
          <w:szCs w:val="20"/>
        </w:rPr>
      </w:pPr>
      <w:r w:rsidRPr="0049126A">
        <w:rPr>
          <w:rFonts w:ascii="Times New Roman" w:hAnsi="Times New Roman" w:cs="Times New Roman"/>
          <w:sz w:val="20"/>
          <w:szCs w:val="20"/>
        </w:rPr>
        <w:t>*Prima doză de întreținere este administrată la 2 săptămâni după doza de încărcare</w:t>
      </w:r>
    </w:p>
    <w:p w14:paraId="730B9327"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Instrucțiunile privind începerea tratamentului la pacienții cărora nu li s-a administrat tratament cu inhibitor al complementului sunt prezentate în Tabelul 2.</w:t>
      </w:r>
    </w:p>
    <w:p w14:paraId="4981529B" w14:textId="77777777" w:rsidR="00D2276C" w:rsidRPr="0049126A" w:rsidRDefault="00D2276C" w:rsidP="00D2276C">
      <w:pPr>
        <w:pStyle w:val="Default"/>
        <w:jc w:val="both"/>
        <w:rPr>
          <w:rFonts w:ascii="Times New Roman" w:hAnsi="Times New Roman" w:cs="Times New Roman"/>
          <w:color w:val="auto"/>
        </w:rPr>
      </w:pPr>
    </w:p>
    <w:p w14:paraId="31333E3A" w14:textId="62A14791"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b/>
          <w:color w:val="auto"/>
        </w:rPr>
        <w:t>Tabelul 2</w:t>
      </w:r>
      <w:r w:rsidRPr="0049126A">
        <w:rPr>
          <w:rFonts w:ascii="Times New Roman" w:hAnsi="Times New Roman" w:cs="Times New Roman"/>
          <w:color w:val="auto"/>
        </w:rPr>
        <w:t>: Instrucțiuni privind începerea tratamentului cu ravulizumab</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8"/>
        <w:gridCol w:w="3081"/>
        <w:gridCol w:w="3640"/>
      </w:tblGrid>
      <w:tr w:rsidR="0049126A" w:rsidRPr="0049126A" w14:paraId="689CC139" w14:textId="77777777" w:rsidTr="007C56A3">
        <w:trPr>
          <w:trHeight w:val="398"/>
        </w:trPr>
        <w:tc>
          <w:tcPr>
            <w:tcW w:w="2918" w:type="dxa"/>
          </w:tcPr>
          <w:p w14:paraId="15E70334"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 xml:space="preserve">Grupă de pacienți </w:t>
            </w:r>
          </w:p>
        </w:tc>
        <w:tc>
          <w:tcPr>
            <w:tcW w:w="3081" w:type="dxa"/>
          </w:tcPr>
          <w:p w14:paraId="5A728F7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 xml:space="preserve">Doza de încărcare de ravulizumab intravenos, bazată pe greutate </w:t>
            </w:r>
          </w:p>
        </w:tc>
        <w:tc>
          <w:tcPr>
            <w:tcW w:w="3640" w:type="dxa"/>
          </w:tcPr>
          <w:p w14:paraId="77F762F8"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 xml:space="preserve">Timpul până la prima doză de întreținere de ravulizumab intravenos, bazată pe greutate </w:t>
            </w:r>
          </w:p>
        </w:tc>
      </w:tr>
      <w:tr w:rsidR="0049126A" w:rsidRPr="0049126A" w14:paraId="61A14718" w14:textId="77777777" w:rsidTr="007C56A3">
        <w:trPr>
          <w:trHeight w:val="395"/>
        </w:trPr>
        <w:tc>
          <w:tcPr>
            <w:tcW w:w="2918" w:type="dxa"/>
          </w:tcPr>
          <w:p w14:paraId="60AD8EBB"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În prezent, nu urmează tratament cu ravulizumab sau eculizumab </w:t>
            </w:r>
          </w:p>
        </w:tc>
        <w:tc>
          <w:tcPr>
            <w:tcW w:w="3081" w:type="dxa"/>
          </w:tcPr>
          <w:p w14:paraId="7D4992C4"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La începutul tratamentului </w:t>
            </w:r>
          </w:p>
        </w:tc>
        <w:tc>
          <w:tcPr>
            <w:tcW w:w="3640" w:type="dxa"/>
          </w:tcPr>
          <w:p w14:paraId="0A906C8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 săptămâni după doza de încărcare de ravulizumab intravenos </w:t>
            </w:r>
          </w:p>
        </w:tc>
      </w:tr>
    </w:tbl>
    <w:p w14:paraId="033156D0" w14:textId="77777777" w:rsidR="00D2276C" w:rsidRPr="0049126A" w:rsidRDefault="00D2276C" w:rsidP="00D2276C">
      <w:pPr>
        <w:pStyle w:val="Default"/>
        <w:jc w:val="both"/>
        <w:rPr>
          <w:rFonts w:ascii="Times New Roman" w:hAnsi="Times New Roman" w:cs="Times New Roman"/>
          <w:b/>
          <w:bCs/>
          <w:color w:val="auto"/>
        </w:rPr>
      </w:pPr>
    </w:p>
    <w:p w14:paraId="16DC1D0B" w14:textId="77777777" w:rsidR="00D2276C" w:rsidRPr="0049126A" w:rsidRDefault="00D2276C" w:rsidP="00D2276C">
      <w:pPr>
        <w:pStyle w:val="Default"/>
        <w:jc w:val="both"/>
        <w:rPr>
          <w:rFonts w:ascii="Times New Roman" w:hAnsi="Times New Roman" w:cs="Times New Roman"/>
          <w:b/>
          <w:bCs/>
          <w:color w:val="auto"/>
        </w:rPr>
      </w:pPr>
      <w:r w:rsidRPr="0049126A">
        <w:rPr>
          <w:rFonts w:ascii="Times New Roman" w:hAnsi="Times New Roman" w:cs="Times New Roman"/>
          <w:b/>
          <w:bCs/>
          <w:color w:val="auto"/>
        </w:rPr>
        <w:t xml:space="preserve">Dozajul suplimentar în urma tratamentului cu schimb de plasmă (SP), plasmafereză (PF) sau imunoglobulină intravenoasă (Ig i.v.) </w:t>
      </w:r>
    </w:p>
    <w:p w14:paraId="1552DA4F"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S-a demonstrat că tratamentul cu schimb de plasmă (SP), plasmafereză (PF) și imunoglobulină intravenoasă (Ig i.v.) scade concentrațiile serice de ravulizumab. Este necesară o doză suplimentară de ravulizumab în cazul tratamentului cu SP, PF sau Ig i.v. (Tabelul 3).</w:t>
      </w:r>
    </w:p>
    <w:p w14:paraId="268DD2BB" w14:textId="77777777" w:rsidR="00D2276C" w:rsidRPr="0049126A" w:rsidRDefault="00D2276C" w:rsidP="00D2276C">
      <w:pPr>
        <w:pStyle w:val="Default"/>
        <w:jc w:val="both"/>
        <w:rPr>
          <w:rFonts w:ascii="Times New Roman" w:hAnsi="Times New Roman" w:cs="Times New Roman"/>
          <w:color w:val="auto"/>
        </w:rPr>
      </w:pPr>
    </w:p>
    <w:p w14:paraId="780AA845" w14:textId="60437EFC" w:rsidR="007C56A3"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b/>
          <w:color w:val="auto"/>
        </w:rPr>
        <w:t>Tabelul 3</w:t>
      </w:r>
      <w:r w:rsidRPr="0049126A">
        <w:rPr>
          <w:rFonts w:ascii="Times New Roman" w:hAnsi="Times New Roman" w:cs="Times New Roman"/>
          <w:color w:val="auto"/>
        </w:rPr>
        <w:t>: Doza suplimentară de ravulizumab după SP, PF sau Ig i.v.</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1"/>
        <w:gridCol w:w="2162"/>
        <w:gridCol w:w="2333"/>
        <w:gridCol w:w="2803"/>
      </w:tblGrid>
      <w:tr w:rsidR="0049126A" w:rsidRPr="0049126A" w14:paraId="6F55E721" w14:textId="77777777" w:rsidTr="007C56A3">
        <w:trPr>
          <w:trHeight w:val="360"/>
        </w:trPr>
        <w:tc>
          <w:tcPr>
            <w:tcW w:w="2341" w:type="dxa"/>
          </w:tcPr>
          <w:p w14:paraId="2E68064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Interval de greutate corporală (kg)a</w:t>
            </w:r>
          </w:p>
        </w:tc>
        <w:tc>
          <w:tcPr>
            <w:tcW w:w="2162" w:type="dxa"/>
          </w:tcPr>
          <w:p w14:paraId="67C65D8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Doza de ravulizumab cea mai recenta (mg)</w:t>
            </w:r>
          </w:p>
        </w:tc>
        <w:tc>
          <w:tcPr>
            <w:tcW w:w="2333" w:type="dxa"/>
          </w:tcPr>
          <w:p w14:paraId="3FFE4481"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Doza suplimentara (mg) in urma fiecarei interventii SP sau PF</w:t>
            </w:r>
          </w:p>
        </w:tc>
        <w:tc>
          <w:tcPr>
            <w:tcW w:w="2803" w:type="dxa"/>
          </w:tcPr>
          <w:p w14:paraId="1896E18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Doza suplimentara (mg) in urma completarii unui ciclu de Ig i.v.</w:t>
            </w:r>
          </w:p>
        </w:tc>
      </w:tr>
      <w:tr w:rsidR="0049126A" w:rsidRPr="0049126A" w14:paraId="71EC5AC5" w14:textId="77777777" w:rsidTr="007C56A3">
        <w:trPr>
          <w:trHeight w:val="131"/>
        </w:trPr>
        <w:tc>
          <w:tcPr>
            <w:tcW w:w="2341" w:type="dxa"/>
            <w:vMerge w:val="restart"/>
          </w:tcPr>
          <w:p w14:paraId="4D90D1F3"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40 până la &lt; 60</w:t>
            </w:r>
          </w:p>
          <w:p w14:paraId="47D345F2" w14:textId="77777777" w:rsidR="00D2276C" w:rsidRPr="0049126A" w:rsidRDefault="00D2276C" w:rsidP="00D2276C">
            <w:pPr>
              <w:pStyle w:val="Default"/>
              <w:jc w:val="both"/>
              <w:rPr>
                <w:rFonts w:ascii="Times New Roman" w:hAnsi="Times New Roman" w:cs="Times New Roman"/>
                <w:color w:val="auto"/>
                <w:sz w:val="20"/>
                <w:szCs w:val="20"/>
              </w:rPr>
            </w:pPr>
          </w:p>
        </w:tc>
        <w:tc>
          <w:tcPr>
            <w:tcW w:w="2162" w:type="dxa"/>
          </w:tcPr>
          <w:p w14:paraId="0F2F399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2400</w:t>
            </w:r>
          </w:p>
        </w:tc>
        <w:tc>
          <w:tcPr>
            <w:tcW w:w="2333" w:type="dxa"/>
          </w:tcPr>
          <w:p w14:paraId="21C24109"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1200</w:t>
            </w:r>
          </w:p>
        </w:tc>
        <w:tc>
          <w:tcPr>
            <w:tcW w:w="2803" w:type="dxa"/>
            <w:vMerge w:val="restart"/>
          </w:tcPr>
          <w:p w14:paraId="3445B98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600</w:t>
            </w:r>
          </w:p>
        </w:tc>
      </w:tr>
      <w:tr w:rsidR="0049126A" w:rsidRPr="0049126A" w14:paraId="36E12C7D" w14:textId="77777777" w:rsidTr="007C56A3">
        <w:trPr>
          <w:trHeight w:val="131"/>
        </w:trPr>
        <w:tc>
          <w:tcPr>
            <w:tcW w:w="2341" w:type="dxa"/>
            <w:vMerge/>
          </w:tcPr>
          <w:p w14:paraId="13631DC6" w14:textId="77777777" w:rsidR="00D2276C" w:rsidRPr="0049126A" w:rsidRDefault="00D2276C" w:rsidP="00D2276C">
            <w:pPr>
              <w:pStyle w:val="Default"/>
              <w:jc w:val="both"/>
              <w:rPr>
                <w:rFonts w:ascii="Times New Roman" w:hAnsi="Times New Roman" w:cs="Times New Roman"/>
                <w:color w:val="auto"/>
                <w:sz w:val="20"/>
                <w:szCs w:val="20"/>
              </w:rPr>
            </w:pPr>
          </w:p>
        </w:tc>
        <w:tc>
          <w:tcPr>
            <w:tcW w:w="2162" w:type="dxa"/>
          </w:tcPr>
          <w:p w14:paraId="5C79DF1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3000</w:t>
            </w:r>
          </w:p>
        </w:tc>
        <w:tc>
          <w:tcPr>
            <w:tcW w:w="2333" w:type="dxa"/>
          </w:tcPr>
          <w:p w14:paraId="4A713F7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1500</w:t>
            </w:r>
          </w:p>
        </w:tc>
        <w:tc>
          <w:tcPr>
            <w:tcW w:w="2803" w:type="dxa"/>
            <w:vMerge/>
          </w:tcPr>
          <w:p w14:paraId="759D8416" w14:textId="77777777" w:rsidR="00D2276C" w:rsidRPr="0049126A" w:rsidRDefault="00D2276C" w:rsidP="00D2276C">
            <w:pPr>
              <w:pStyle w:val="Default"/>
              <w:jc w:val="both"/>
              <w:rPr>
                <w:rFonts w:ascii="Times New Roman" w:hAnsi="Times New Roman" w:cs="Times New Roman"/>
                <w:color w:val="auto"/>
                <w:sz w:val="20"/>
                <w:szCs w:val="20"/>
              </w:rPr>
            </w:pPr>
          </w:p>
        </w:tc>
      </w:tr>
      <w:tr w:rsidR="0049126A" w:rsidRPr="0049126A" w14:paraId="668332AE" w14:textId="77777777" w:rsidTr="007C56A3">
        <w:trPr>
          <w:trHeight w:val="131"/>
        </w:trPr>
        <w:tc>
          <w:tcPr>
            <w:tcW w:w="2341" w:type="dxa"/>
            <w:vMerge w:val="restart"/>
          </w:tcPr>
          <w:p w14:paraId="777491D8"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60 până la &lt; 100</w:t>
            </w:r>
          </w:p>
        </w:tc>
        <w:tc>
          <w:tcPr>
            <w:tcW w:w="2162" w:type="dxa"/>
          </w:tcPr>
          <w:p w14:paraId="4E0C14E3"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2700</w:t>
            </w:r>
          </w:p>
        </w:tc>
        <w:tc>
          <w:tcPr>
            <w:tcW w:w="2333" w:type="dxa"/>
          </w:tcPr>
          <w:p w14:paraId="408A2766"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1500</w:t>
            </w:r>
          </w:p>
        </w:tc>
        <w:tc>
          <w:tcPr>
            <w:tcW w:w="2803" w:type="dxa"/>
            <w:vMerge w:val="restart"/>
          </w:tcPr>
          <w:p w14:paraId="0F165338"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600</w:t>
            </w:r>
          </w:p>
        </w:tc>
      </w:tr>
      <w:tr w:rsidR="0049126A" w:rsidRPr="0049126A" w14:paraId="5B04FE93" w14:textId="77777777" w:rsidTr="007C56A3">
        <w:trPr>
          <w:trHeight w:val="131"/>
        </w:trPr>
        <w:tc>
          <w:tcPr>
            <w:tcW w:w="2341" w:type="dxa"/>
            <w:vMerge/>
          </w:tcPr>
          <w:p w14:paraId="523C24E9" w14:textId="77777777" w:rsidR="00D2276C" w:rsidRPr="0049126A" w:rsidRDefault="00D2276C" w:rsidP="00D2276C">
            <w:pPr>
              <w:pStyle w:val="Default"/>
              <w:jc w:val="both"/>
              <w:rPr>
                <w:rFonts w:ascii="Times New Roman" w:hAnsi="Times New Roman" w:cs="Times New Roman"/>
                <w:color w:val="auto"/>
                <w:sz w:val="20"/>
                <w:szCs w:val="20"/>
              </w:rPr>
            </w:pPr>
          </w:p>
        </w:tc>
        <w:tc>
          <w:tcPr>
            <w:tcW w:w="2162" w:type="dxa"/>
          </w:tcPr>
          <w:p w14:paraId="6860E778"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3300</w:t>
            </w:r>
          </w:p>
        </w:tc>
        <w:tc>
          <w:tcPr>
            <w:tcW w:w="2333" w:type="dxa"/>
          </w:tcPr>
          <w:p w14:paraId="689CC4DA"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1800</w:t>
            </w:r>
          </w:p>
        </w:tc>
        <w:tc>
          <w:tcPr>
            <w:tcW w:w="2803" w:type="dxa"/>
            <w:vMerge/>
          </w:tcPr>
          <w:p w14:paraId="6138CC5D" w14:textId="77777777" w:rsidR="00D2276C" w:rsidRPr="0049126A" w:rsidRDefault="00D2276C" w:rsidP="00D2276C">
            <w:pPr>
              <w:pStyle w:val="Default"/>
              <w:jc w:val="both"/>
              <w:rPr>
                <w:rFonts w:ascii="Times New Roman" w:hAnsi="Times New Roman" w:cs="Times New Roman"/>
                <w:color w:val="auto"/>
                <w:sz w:val="20"/>
                <w:szCs w:val="20"/>
              </w:rPr>
            </w:pPr>
          </w:p>
        </w:tc>
      </w:tr>
      <w:tr w:rsidR="0049126A" w:rsidRPr="0049126A" w14:paraId="194B11FA" w14:textId="77777777" w:rsidTr="007C56A3">
        <w:trPr>
          <w:trHeight w:val="131"/>
        </w:trPr>
        <w:tc>
          <w:tcPr>
            <w:tcW w:w="2341" w:type="dxa"/>
            <w:vMerge w:val="restart"/>
          </w:tcPr>
          <w:p w14:paraId="69A731BB"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100</w:t>
            </w:r>
          </w:p>
        </w:tc>
        <w:tc>
          <w:tcPr>
            <w:tcW w:w="2162" w:type="dxa"/>
          </w:tcPr>
          <w:p w14:paraId="4E2BB517"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3000</w:t>
            </w:r>
          </w:p>
        </w:tc>
        <w:tc>
          <w:tcPr>
            <w:tcW w:w="2333" w:type="dxa"/>
          </w:tcPr>
          <w:p w14:paraId="7DCF0B3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1500</w:t>
            </w:r>
          </w:p>
        </w:tc>
        <w:tc>
          <w:tcPr>
            <w:tcW w:w="2803" w:type="dxa"/>
            <w:vMerge w:val="restart"/>
          </w:tcPr>
          <w:p w14:paraId="0AEF4C34"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600</w:t>
            </w:r>
          </w:p>
        </w:tc>
      </w:tr>
      <w:tr w:rsidR="0049126A" w:rsidRPr="0049126A" w14:paraId="7AAD8A65" w14:textId="77777777" w:rsidTr="007C56A3">
        <w:trPr>
          <w:trHeight w:val="131"/>
        </w:trPr>
        <w:tc>
          <w:tcPr>
            <w:tcW w:w="2341" w:type="dxa"/>
            <w:vMerge/>
          </w:tcPr>
          <w:p w14:paraId="6FFD684D" w14:textId="77777777" w:rsidR="00D2276C" w:rsidRPr="0049126A" w:rsidRDefault="00D2276C" w:rsidP="00D2276C">
            <w:pPr>
              <w:pStyle w:val="Default"/>
              <w:jc w:val="both"/>
              <w:rPr>
                <w:rFonts w:ascii="Times New Roman" w:hAnsi="Times New Roman" w:cs="Times New Roman"/>
                <w:color w:val="auto"/>
                <w:sz w:val="20"/>
                <w:szCs w:val="20"/>
              </w:rPr>
            </w:pPr>
          </w:p>
        </w:tc>
        <w:tc>
          <w:tcPr>
            <w:tcW w:w="2162" w:type="dxa"/>
          </w:tcPr>
          <w:p w14:paraId="679752E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3600</w:t>
            </w:r>
          </w:p>
        </w:tc>
        <w:tc>
          <w:tcPr>
            <w:tcW w:w="2333" w:type="dxa"/>
          </w:tcPr>
          <w:p w14:paraId="335518C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1800</w:t>
            </w:r>
          </w:p>
        </w:tc>
        <w:tc>
          <w:tcPr>
            <w:tcW w:w="2803" w:type="dxa"/>
            <w:vMerge/>
          </w:tcPr>
          <w:p w14:paraId="62A54DFB" w14:textId="77777777" w:rsidR="00D2276C" w:rsidRPr="0049126A" w:rsidRDefault="00D2276C" w:rsidP="00D2276C">
            <w:pPr>
              <w:pStyle w:val="Default"/>
              <w:jc w:val="both"/>
              <w:rPr>
                <w:rFonts w:ascii="Times New Roman" w:hAnsi="Times New Roman" w:cs="Times New Roman"/>
                <w:color w:val="auto"/>
                <w:sz w:val="20"/>
                <w:szCs w:val="20"/>
              </w:rPr>
            </w:pPr>
          </w:p>
        </w:tc>
      </w:tr>
      <w:tr w:rsidR="0049126A" w:rsidRPr="0049126A" w14:paraId="1D770323" w14:textId="77777777" w:rsidTr="007C56A3">
        <w:trPr>
          <w:trHeight w:val="131"/>
        </w:trPr>
        <w:tc>
          <w:tcPr>
            <w:tcW w:w="4503" w:type="dxa"/>
            <w:gridSpan w:val="2"/>
          </w:tcPr>
          <w:p w14:paraId="6EA33A54"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Programarea administrării dozei suplimentare de ravulizumab</w:t>
            </w:r>
          </w:p>
        </w:tc>
        <w:tc>
          <w:tcPr>
            <w:tcW w:w="2333" w:type="dxa"/>
          </w:tcPr>
          <w:p w14:paraId="07018940"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În decurs de 4 ore după fiecare intervenție de SP sau PF</w:t>
            </w:r>
          </w:p>
        </w:tc>
        <w:tc>
          <w:tcPr>
            <w:tcW w:w="2803" w:type="dxa"/>
          </w:tcPr>
          <w:p w14:paraId="60FB22E8"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În decurs de 4 ore în urma terminării unui ciclu de Ig .i.v.</w:t>
            </w:r>
          </w:p>
        </w:tc>
      </w:tr>
    </w:tbl>
    <w:p w14:paraId="79C01BEB"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Abrevieri: Ig i.v. = imunoglobulină intravenoasă, kg = kilogram, SP = schimb de plasmă, PF = plasmafereză</w:t>
      </w:r>
    </w:p>
    <w:p w14:paraId="59FC0E24" w14:textId="77777777" w:rsidR="00D2276C" w:rsidRPr="0049126A" w:rsidRDefault="00D2276C" w:rsidP="00D2276C">
      <w:pPr>
        <w:pStyle w:val="Default"/>
        <w:jc w:val="both"/>
        <w:rPr>
          <w:rFonts w:ascii="Times New Roman" w:hAnsi="Times New Roman" w:cs="Times New Roman"/>
          <w:b/>
          <w:bCs/>
          <w:color w:val="auto"/>
        </w:rPr>
      </w:pPr>
    </w:p>
    <w:p w14:paraId="35B75A03" w14:textId="77777777" w:rsidR="00D2276C" w:rsidRPr="0049126A" w:rsidRDefault="00D2276C" w:rsidP="007C56A3">
      <w:pPr>
        <w:spacing w:after="0"/>
        <w:jc w:val="both"/>
        <w:rPr>
          <w:rFonts w:ascii="Times New Roman" w:hAnsi="Times New Roman" w:cs="Times New Roman"/>
          <w:b/>
          <w:bCs/>
          <w:sz w:val="24"/>
          <w:szCs w:val="24"/>
        </w:rPr>
      </w:pPr>
      <w:r w:rsidRPr="0049126A">
        <w:rPr>
          <w:rFonts w:ascii="Times New Roman" w:hAnsi="Times New Roman" w:cs="Times New Roman"/>
          <w:b/>
          <w:bCs/>
          <w:sz w:val="24"/>
          <w:szCs w:val="24"/>
        </w:rPr>
        <w:t>Mod de administrare.</w:t>
      </w:r>
    </w:p>
    <w:p w14:paraId="5605043F" w14:textId="77777777"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color w:val="auto"/>
        </w:rPr>
        <w:t>Ravulizumab concentrat pentru soluție perfuzabilă se prezintă sub formă de flacoane de 3 ml și 11 ml (100 mg/ml) și trebuie diluat până la o concentrație finală de 50 mg/ml. După diluare, Ravulizumab trebuie administrat intravenos cu pompă de tip seringă sau cu pompă de perfuzie pe o perioadă minimă cuprinsă între 0,17 și 1,3 ore (10 și 75 minute), în funcție de greutatea corporală (vezi Tabelul 4 de mai jos).</w:t>
      </w:r>
    </w:p>
    <w:p w14:paraId="1980D8F4" w14:textId="77777777" w:rsidR="00D2276C" w:rsidRPr="0049126A" w:rsidRDefault="00D2276C" w:rsidP="00D2276C">
      <w:pPr>
        <w:pStyle w:val="Default"/>
        <w:jc w:val="both"/>
        <w:rPr>
          <w:rFonts w:ascii="Times New Roman" w:hAnsi="Times New Roman" w:cs="Times New Roman"/>
          <w:color w:val="auto"/>
        </w:rPr>
      </w:pPr>
    </w:p>
    <w:p w14:paraId="1BC464A6" w14:textId="186B6650" w:rsidR="00D2276C" w:rsidRPr="0049126A" w:rsidRDefault="00D2276C" w:rsidP="00D2276C">
      <w:pPr>
        <w:pStyle w:val="Default"/>
        <w:jc w:val="both"/>
        <w:rPr>
          <w:rFonts w:ascii="Times New Roman" w:hAnsi="Times New Roman" w:cs="Times New Roman"/>
          <w:color w:val="auto"/>
        </w:rPr>
      </w:pPr>
      <w:r w:rsidRPr="0049126A">
        <w:rPr>
          <w:rFonts w:ascii="Times New Roman" w:hAnsi="Times New Roman" w:cs="Times New Roman"/>
          <w:b/>
          <w:color w:val="auto"/>
        </w:rPr>
        <w:t>Tabelul 4</w:t>
      </w:r>
      <w:r w:rsidRPr="0049126A">
        <w:rPr>
          <w:rFonts w:ascii="Times New Roman" w:hAnsi="Times New Roman" w:cs="Times New Roman"/>
          <w:color w:val="auto"/>
        </w:rPr>
        <w:t>: Rata de administrare a dozei în cazul Ultomiris 300 mg/3 ml și 1100 mg/11 ml concentrate pentru soluție perfuzabilă</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559"/>
        <w:gridCol w:w="2126"/>
        <w:gridCol w:w="1701"/>
        <w:gridCol w:w="2268"/>
      </w:tblGrid>
      <w:tr w:rsidR="0049126A" w:rsidRPr="0049126A" w14:paraId="25D32784" w14:textId="77777777" w:rsidTr="007C56A3">
        <w:trPr>
          <w:trHeight w:val="368"/>
        </w:trPr>
        <w:tc>
          <w:tcPr>
            <w:tcW w:w="1985" w:type="dxa"/>
          </w:tcPr>
          <w:p w14:paraId="5855EC46"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Interval de greutate corporală (kg)a</w:t>
            </w:r>
          </w:p>
        </w:tc>
        <w:tc>
          <w:tcPr>
            <w:tcW w:w="1559" w:type="dxa"/>
          </w:tcPr>
          <w:p w14:paraId="73562D91"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Doza de încărcare (mg)</w:t>
            </w:r>
          </w:p>
        </w:tc>
        <w:tc>
          <w:tcPr>
            <w:tcW w:w="2126" w:type="dxa"/>
          </w:tcPr>
          <w:p w14:paraId="5CA9CEBF" w14:textId="3F88EBDE"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Durata minimă a perfuziei</w:t>
            </w:r>
            <w:r w:rsidR="007C56A3" w:rsidRPr="0049126A">
              <w:rPr>
                <w:rFonts w:ascii="Times New Roman" w:hAnsi="Times New Roman" w:cs="Times New Roman"/>
                <w:color w:val="auto"/>
                <w:sz w:val="20"/>
                <w:szCs w:val="20"/>
              </w:rPr>
              <w:t xml:space="preserve"> </w:t>
            </w:r>
            <w:r w:rsidRPr="0049126A">
              <w:rPr>
                <w:rFonts w:ascii="Times New Roman" w:hAnsi="Times New Roman" w:cs="Times New Roman"/>
                <w:b/>
                <w:bCs/>
                <w:color w:val="auto"/>
                <w:sz w:val="20"/>
                <w:szCs w:val="20"/>
              </w:rPr>
              <w:t>minute (ore)</w:t>
            </w:r>
          </w:p>
        </w:tc>
        <w:tc>
          <w:tcPr>
            <w:tcW w:w="1701" w:type="dxa"/>
          </w:tcPr>
          <w:p w14:paraId="796D5AF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Doza de întreținere (mg)</w:t>
            </w:r>
          </w:p>
        </w:tc>
        <w:tc>
          <w:tcPr>
            <w:tcW w:w="2268" w:type="dxa"/>
          </w:tcPr>
          <w:p w14:paraId="3F9A8453" w14:textId="00E6442F"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b/>
                <w:bCs/>
                <w:color w:val="auto"/>
                <w:sz w:val="20"/>
                <w:szCs w:val="20"/>
              </w:rPr>
              <w:t>Durata minimă a perfuziei</w:t>
            </w:r>
            <w:r w:rsidR="007C56A3" w:rsidRPr="0049126A">
              <w:rPr>
                <w:rFonts w:ascii="Times New Roman" w:hAnsi="Times New Roman" w:cs="Times New Roman"/>
                <w:color w:val="auto"/>
                <w:sz w:val="20"/>
                <w:szCs w:val="20"/>
              </w:rPr>
              <w:t xml:space="preserve"> </w:t>
            </w:r>
            <w:r w:rsidRPr="0049126A">
              <w:rPr>
                <w:rFonts w:ascii="Times New Roman" w:hAnsi="Times New Roman" w:cs="Times New Roman"/>
                <w:b/>
                <w:bCs/>
                <w:color w:val="auto"/>
                <w:sz w:val="20"/>
                <w:szCs w:val="20"/>
              </w:rPr>
              <w:t>minute (ore)</w:t>
            </w:r>
          </w:p>
        </w:tc>
      </w:tr>
      <w:tr w:rsidR="0049126A" w:rsidRPr="0049126A" w14:paraId="607747B6" w14:textId="77777777" w:rsidTr="007C56A3">
        <w:trPr>
          <w:trHeight w:val="134"/>
        </w:trPr>
        <w:tc>
          <w:tcPr>
            <w:tcW w:w="1985" w:type="dxa"/>
          </w:tcPr>
          <w:p w14:paraId="309FB1B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10 până la &lt; 20b </w:t>
            </w:r>
          </w:p>
        </w:tc>
        <w:tc>
          <w:tcPr>
            <w:tcW w:w="1559" w:type="dxa"/>
          </w:tcPr>
          <w:p w14:paraId="7972A81A"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600 </w:t>
            </w:r>
          </w:p>
        </w:tc>
        <w:tc>
          <w:tcPr>
            <w:tcW w:w="2126" w:type="dxa"/>
          </w:tcPr>
          <w:p w14:paraId="3EA7E4BB"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45 (0,8) </w:t>
            </w:r>
          </w:p>
        </w:tc>
        <w:tc>
          <w:tcPr>
            <w:tcW w:w="1701" w:type="dxa"/>
          </w:tcPr>
          <w:p w14:paraId="49FEBA5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600 </w:t>
            </w:r>
          </w:p>
        </w:tc>
        <w:tc>
          <w:tcPr>
            <w:tcW w:w="2268" w:type="dxa"/>
          </w:tcPr>
          <w:p w14:paraId="4C407938"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45 (0,8) </w:t>
            </w:r>
          </w:p>
        </w:tc>
      </w:tr>
      <w:tr w:rsidR="0049126A" w:rsidRPr="0049126A" w14:paraId="38ADE228" w14:textId="77777777" w:rsidTr="007C56A3">
        <w:trPr>
          <w:trHeight w:val="134"/>
        </w:trPr>
        <w:tc>
          <w:tcPr>
            <w:tcW w:w="1985" w:type="dxa"/>
          </w:tcPr>
          <w:p w14:paraId="5B07004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20 până la &lt; 30b </w:t>
            </w:r>
          </w:p>
        </w:tc>
        <w:tc>
          <w:tcPr>
            <w:tcW w:w="1559" w:type="dxa"/>
          </w:tcPr>
          <w:p w14:paraId="36A3C5D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900 </w:t>
            </w:r>
          </w:p>
        </w:tc>
        <w:tc>
          <w:tcPr>
            <w:tcW w:w="2126" w:type="dxa"/>
          </w:tcPr>
          <w:p w14:paraId="43E8CB14"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35 (0,6) </w:t>
            </w:r>
          </w:p>
        </w:tc>
        <w:tc>
          <w:tcPr>
            <w:tcW w:w="1701" w:type="dxa"/>
          </w:tcPr>
          <w:p w14:paraId="54C3842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2100 </w:t>
            </w:r>
          </w:p>
        </w:tc>
        <w:tc>
          <w:tcPr>
            <w:tcW w:w="2268" w:type="dxa"/>
          </w:tcPr>
          <w:p w14:paraId="6BB277E1"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75 (1,3) </w:t>
            </w:r>
          </w:p>
        </w:tc>
      </w:tr>
      <w:tr w:rsidR="0049126A" w:rsidRPr="0049126A" w14:paraId="221A8E65" w14:textId="77777777" w:rsidTr="007C56A3">
        <w:trPr>
          <w:trHeight w:val="134"/>
        </w:trPr>
        <w:tc>
          <w:tcPr>
            <w:tcW w:w="1985" w:type="dxa"/>
          </w:tcPr>
          <w:p w14:paraId="01C9F645"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30 până la &lt; 40b </w:t>
            </w:r>
          </w:p>
        </w:tc>
        <w:tc>
          <w:tcPr>
            <w:tcW w:w="1559" w:type="dxa"/>
          </w:tcPr>
          <w:p w14:paraId="3BF97176"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1200 </w:t>
            </w:r>
          </w:p>
        </w:tc>
        <w:tc>
          <w:tcPr>
            <w:tcW w:w="2126" w:type="dxa"/>
          </w:tcPr>
          <w:p w14:paraId="6B827EC7"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31 (0,5) </w:t>
            </w:r>
          </w:p>
        </w:tc>
        <w:tc>
          <w:tcPr>
            <w:tcW w:w="1701" w:type="dxa"/>
          </w:tcPr>
          <w:p w14:paraId="0846910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2700 </w:t>
            </w:r>
          </w:p>
        </w:tc>
        <w:tc>
          <w:tcPr>
            <w:tcW w:w="2268" w:type="dxa"/>
          </w:tcPr>
          <w:p w14:paraId="16359ED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65 (1,1) </w:t>
            </w:r>
          </w:p>
        </w:tc>
      </w:tr>
      <w:tr w:rsidR="0049126A" w:rsidRPr="0049126A" w14:paraId="4D4F3E67" w14:textId="77777777" w:rsidTr="007C56A3">
        <w:trPr>
          <w:trHeight w:val="134"/>
        </w:trPr>
        <w:tc>
          <w:tcPr>
            <w:tcW w:w="1985" w:type="dxa"/>
          </w:tcPr>
          <w:p w14:paraId="6FD583B1"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40 până la &lt; 60 </w:t>
            </w:r>
          </w:p>
        </w:tc>
        <w:tc>
          <w:tcPr>
            <w:tcW w:w="1559" w:type="dxa"/>
          </w:tcPr>
          <w:p w14:paraId="6D2A16A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2400 </w:t>
            </w:r>
          </w:p>
        </w:tc>
        <w:tc>
          <w:tcPr>
            <w:tcW w:w="2126" w:type="dxa"/>
          </w:tcPr>
          <w:p w14:paraId="02B51B4F"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45 (0,8) </w:t>
            </w:r>
          </w:p>
        </w:tc>
        <w:tc>
          <w:tcPr>
            <w:tcW w:w="1701" w:type="dxa"/>
          </w:tcPr>
          <w:p w14:paraId="78E5502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3000 </w:t>
            </w:r>
          </w:p>
        </w:tc>
        <w:tc>
          <w:tcPr>
            <w:tcW w:w="2268" w:type="dxa"/>
          </w:tcPr>
          <w:p w14:paraId="1041F48B"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55 (0,9) </w:t>
            </w:r>
          </w:p>
        </w:tc>
      </w:tr>
      <w:tr w:rsidR="0049126A" w:rsidRPr="0049126A" w14:paraId="19E299C4" w14:textId="77777777" w:rsidTr="007C56A3">
        <w:trPr>
          <w:trHeight w:val="134"/>
        </w:trPr>
        <w:tc>
          <w:tcPr>
            <w:tcW w:w="1985" w:type="dxa"/>
          </w:tcPr>
          <w:p w14:paraId="7419E150"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60 până la &lt; 100 </w:t>
            </w:r>
          </w:p>
        </w:tc>
        <w:tc>
          <w:tcPr>
            <w:tcW w:w="1559" w:type="dxa"/>
          </w:tcPr>
          <w:p w14:paraId="1FE5A97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2700 </w:t>
            </w:r>
          </w:p>
        </w:tc>
        <w:tc>
          <w:tcPr>
            <w:tcW w:w="2126" w:type="dxa"/>
          </w:tcPr>
          <w:p w14:paraId="48A3B16B"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35 (0,6) </w:t>
            </w:r>
          </w:p>
        </w:tc>
        <w:tc>
          <w:tcPr>
            <w:tcW w:w="1701" w:type="dxa"/>
          </w:tcPr>
          <w:p w14:paraId="4ADA38A0"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3300 </w:t>
            </w:r>
          </w:p>
        </w:tc>
        <w:tc>
          <w:tcPr>
            <w:tcW w:w="2268" w:type="dxa"/>
          </w:tcPr>
          <w:p w14:paraId="30BB3B67"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40 (0,7) </w:t>
            </w:r>
          </w:p>
        </w:tc>
      </w:tr>
      <w:tr w:rsidR="0049126A" w:rsidRPr="0049126A" w14:paraId="7B3F91B7" w14:textId="77777777" w:rsidTr="007C56A3">
        <w:trPr>
          <w:trHeight w:val="134"/>
        </w:trPr>
        <w:tc>
          <w:tcPr>
            <w:tcW w:w="1985" w:type="dxa"/>
          </w:tcPr>
          <w:p w14:paraId="2531A249"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 100 </w:t>
            </w:r>
          </w:p>
        </w:tc>
        <w:tc>
          <w:tcPr>
            <w:tcW w:w="1559" w:type="dxa"/>
          </w:tcPr>
          <w:p w14:paraId="7C2B9931"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3000 </w:t>
            </w:r>
          </w:p>
        </w:tc>
        <w:tc>
          <w:tcPr>
            <w:tcW w:w="2126" w:type="dxa"/>
          </w:tcPr>
          <w:p w14:paraId="2FA0E25D"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25 (0,4) </w:t>
            </w:r>
          </w:p>
        </w:tc>
        <w:tc>
          <w:tcPr>
            <w:tcW w:w="1701" w:type="dxa"/>
          </w:tcPr>
          <w:p w14:paraId="4A18E379"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3600 </w:t>
            </w:r>
          </w:p>
        </w:tc>
        <w:tc>
          <w:tcPr>
            <w:tcW w:w="2268" w:type="dxa"/>
          </w:tcPr>
          <w:p w14:paraId="37DB830E"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t xml:space="preserve">30 (0,5) </w:t>
            </w:r>
          </w:p>
        </w:tc>
      </w:tr>
    </w:tbl>
    <w:p w14:paraId="50C60D52"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vertAlign w:val="superscript"/>
        </w:rPr>
        <w:t>a</w:t>
      </w:r>
      <w:r w:rsidRPr="0049126A">
        <w:rPr>
          <w:rFonts w:ascii="Times New Roman" w:hAnsi="Times New Roman" w:cs="Times New Roman"/>
          <w:color w:val="auto"/>
          <w:sz w:val="20"/>
          <w:szCs w:val="20"/>
        </w:rPr>
        <w:t xml:space="preserve"> Greutatea corporală la momentul tratamentului</w:t>
      </w:r>
    </w:p>
    <w:p w14:paraId="58F9D5BC" w14:textId="77777777" w:rsidR="00D2276C" w:rsidRPr="0049126A" w:rsidRDefault="00D2276C" w:rsidP="00D2276C">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vertAlign w:val="superscript"/>
        </w:rPr>
        <w:t>b</w:t>
      </w:r>
      <w:r w:rsidRPr="0049126A">
        <w:rPr>
          <w:rFonts w:ascii="Times New Roman" w:hAnsi="Times New Roman" w:cs="Times New Roman"/>
          <w:color w:val="auto"/>
          <w:sz w:val="20"/>
          <w:szCs w:val="20"/>
        </w:rPr>
        <w:t xml:space="preserve"> Numai pentru indicațiile HPN și SHUa.</w:t>
      </w:r>
    </w:p>
    <w:p w14:paraId="75673793" w14:textId="4992DE6D" w:rsidR="007C56A3" w:rsidRPr="00300738" w:rsidRDefault="00D2276C" w:rsidP="00300738">
      <w:pPr>
        <w:pStyle w:val="Default"/>
        <w:jc w:val="both"/>
        <w:rPr>
          <w:rFonts w:ascii="Times New Roman" w:hAnsi="Times New Roman" w:cs="Times New Roman"/>
          <w:color w:val="auto"/>
          <w:sz w:val="20"/>
          <w:szCs w:val="20"/>
        </w:rPr>
      </w:pPr>
      <w:r w:rsidRPr="0049126A">
        <w:rPr>
          <w:rFonts w:ascii="Times New Roman" w:hAnsi="Times New Roman" w:cs="Times New Roman"/>
          <w:color w:val="auto"/>
          <w:sz w:val="20"/>
          <w:szCs w:val="20"/>
        </w:rPr>
        <w:lastRenderedPageBreak/>
        <w:t>HPN este o boală cronică și se recomandă continuarea tratamentului cu ravulizumab pe toată durata  vieții pacientului, cu excepția cazului în care încetarea tratamentului cu ravulizumab este indicată clinic.</w:t>
      </w:r>
    </w:p>
    <w:p w14:paraId="17334F9E" w14:textId="77777777" w:rsidR="007C56A3" w:rsidRPr="0049126A" w:rsidRDefault="007C56A3" w:rsidP="00D2276C">
      <w:pPr>
        <w:jc w:val="both"/>
        <w:rPr>
          <w:rFonts w:ascii="Times New Roman" w:hAnsi="Times New Roman" w:cs="Times New Roman"/>
          <w:b/>
          <w:bCs/>
          <w:sz w:val="24"/>
          <w:szCs w:val="24"/>
        </w:rPr>
      </w:pPr>
    </w:p>
    <w:p w14:paraId="49B69658"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IV. Atenționări și precauții speciale pentru utilizare</w:t>
      </w:r>
    </w:p>
    <w:p w14:paraId="7CB28016" w14:textId="77777777" w:rsidR="00D2276C" w:rsidRPr="0049126A" w:rsidRDefault="00D2276C" w:rsidP="00300738">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Vârstnici</w:t>
      </w:r>
    </w:p>
    <w:p w14:paraId="66E8CF31"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Nu este necesară ajustarea dozei pentru pacienții cu HPN cu vârsta de 65 ani și peste. Nu există dovezi care să indice necesitatea precauțiilor speciale pentru tratamentul pacienților vârstnici – deși experiența privind utilizarea ravulizumab la pacienții vârstnici cu HPN în studiile clinice este limitată.</w:t>
      </w:r>
    </w:p>
    <w:p w14:paraId="0C6166BE" w14:textId="77777777" w:rsidR="00D2276C" w:rsidRPr="0049126A" w:rsidRDefault="00D2276C" w:rsidP="00300738">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Insuficiență renală</w:t>
      </w:r>
    </w:p>
    <w:p w14:paraId="0FAF35A2"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Nu este necesară ajustarea dozei pentru pacienții cu insuficiență renală </w:t>
      </w:r>
    </w:p>
    <w:p w14:paraId="4FA93A94" w14:textId="77777777" w:rsidR="00D2276C" w:rsidRPr="0049126A" w:rsidRDefault="00D2276C" w:rsidP="00300738">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Insuficiență hepatică</w:t>
      </w:r>
    </w:p>
    <w:p w14:paraId="2A39187B"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Siguranța și eficacitatea ravulizumabului nu au fost studiate la pacienții cu insuficiență hepatică, însă datele farmacocinetice sugerează că nu este necesară ajustarea dozei la pacienții cu insuficiență hepatică.</w:t>
      </w:r>
    </w:p>
    <w:p w14:paraId="6B6D02EB" w14:textId="77777777" w:rsidR="00D2276C" w:rsidRPr="0049126A" w:rsidRDefault="00D2276C" w:rsidP="00300738">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Infecție meningococică gravă</w:t>
      </w:r>
    </w:p>
    <w:p w14:paraId="5015E23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Din cauza mecanismului său de acțiune, utilizarea ravulizumabului crește susceptibilitatea pacientului la infecție meningococică/sepsis cu meningococ (Neisseria meningitidis). Poate să apară boală meningococică cauzată de orice serogrup. Pentru a reduce acest risc de infecție, toți pacienții trebuie vaccinați împotriva infecțiilor meningococice cu cel puțin două săptămâni înainte de începerea tratamentului cu ravulizumab, cu excepția cazului în care riscul de întârziere a terapiei cu ravulizumab depășește riscul de dezvoltare a unei infecții meningococice. Pacienții care încep tratamentul cu ravulizumab mai devreme de 2 săptămâni după administrarea unui vaccin meningococic trebuie să urmeze tratament profilactic antibiotic adecvat în decurs de 2 săptămâni după vaccinare. Vaccinurile împotriva serogrupurilor A, C, Y, W135 și B, dacă sunt disponibile, sunt recomandate pentru prevenirea infecțiilor cu cele mai frecvente serogrupuri meningococice patogene. Pacienții trebuie vaccinați sau revaccinați conform ghidurilor naționale actuale privind vaccinarea. Dacă un pacient trece de la tratamentul cu eculizumab, medicii trebuie să verifice dacă vaccinarea meningococică este la zi, conform ghidurilor naționale privind vaccinarea.</w:t>
      </w:r>
    </w:p>
    <w:p w14:paraId="729420BC"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Vaccinarea poate să nu fie suficientă pentru prevenirea infecției meningococice. Trebuie să se ia în considerare îndrumările oficiale cu privire la utilizarea corespunzătoare a medicamentelor antibacteriene. Au fost raportate cazuri grave sau letale de infecții meningococice/sepsis meningococic la pacienții tratați cu ravulizumab și la pacienții tratați cu alți inhibitori ai complementului terminal. Toți pacienții trebuie să fie monitorizați pentru semne precoce ale infecției meningococice și sepsisului cu meningococ, evaluați imediat ce infecția este suspectată și tratați cu antibiotice adecvate. Pacienții trebuie informați cu privire la aceste semne și simptome și trebuie luate măsuri pentru solicitarea imediată a asistenței medicale. Medicii trebuie să furnizeze pacienților o broșură de informare a pacientului și un card pentru pacient.</w:t>
      </w:r>
    </w:p>
    <w:p w14:paraId="37B8B473" w14:textId="77777777" w:rsidR="00D2276C" w:rsidRPr="0049126A" w:rsidRDefault="00D2276C" w:rsidP="00300738">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Imunizare</w:t>
      </w:r>
    </w:p>
    <w:p w14:paraId="43EF65D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Înaintea începerii tratamentului cu ravulizumab, este recomandat ca pacienții să înceapă imunizările în conformitate cu ghidurile actuale privind imunizarea.</w:t>
      </w:r>
    </w:p>
    <w:p w14:paraId="5222963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Vaccinarea poate activa suplimentar complementul. Ca rezultat, pacienții cu boli mediate de complement pot manifesta o accentuare a semnelor și simptomelor bolii de fond. Prin urmare, pacienții trebuie monitorizați îndeaproape pentru simptome ale bolii după vaccinarea recomandată.</w:t>
      </w:r>
    </w:p>
    <w:p w14:paraId="13E97CCC"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Pacienții cu vârsta sub 18 ani trebuie vaccinați împotriva infecțiilor cu Haemophilus influenzae și pneumococi și trebuie să respecte strict recomandările naționale privind vaccinarea pentru această grupă de vârstă.</w:t>
      </w:r>
    </w:p>
    <w:p w14:paraId="7F655627" w14:textId="77777777" w:rsidR="00D2276C" w:rsidRPr="0049126A" w:rsidRDefault="00D2276C" w:rsidP="00300738">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lastRenderedPageBreak/>
        <w:t>Alte infecții sistemice</w:t>
      </w:r>
    </w:p>
    <w:p w14:paraId="6DA7114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Tratamentul cu ravulizumab trebuie administrat cu precauție la pacienții cu infecții sistemice active. Ravulizumabul blochează activarea complementului terminal; prin urmare, pacienții pot avea o susceptibilitate crescută la infecții cauzate de specia Neisseria și de bacteriile încapsulate. Au fost raportate infecții grave cu specia Neisseria (exceptând Neisseria meningitidis), inclusiv infecții gonococice diseminate.</w:t>
      </w:r>
    </w:p>
    <w:p w14:paraId="3D4E950E"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Pacienților trebuie să le fie furnizate informațiile din Prospect pentru a le spori gradul de conștientizare privind posibilele infecții grave și semnele și simptomele acestora. Medicii trebuie să sfătuiască pacienții cu privire la prevenirea gonoreei.</w:t>
      </w:r>
    </w:p>
    <w:p w14:paraId="0AB8FFD9" w14:textId="77777777" w:rsidR="00D2276C" w:rsidRPr="0049126A" w:rsidRDefault="00D2276C" w:rsidP="00300738">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Femeile aflate la vârsta fertilă</w:t>
      </w:r>
    </w:p>
    <w:p w14:paraId="763BDF6D"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Femeile aflate la vârsta fertilă trebuie să utilizeze măsuri contraceptive eficace în timpul și până la 8 luni după tratament.</w:t>
      </w:r>
    </w:p>
    <w:p w14:paraId="71F75041" w14:textId="77777777" w:rsidR="00D2276C" w:rsidRPr="0049126A" w:rsidRDefault="00D2276C" w:rsidP="00300738">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Sarcina</w:t>
      </w:r>
    </w:p>
    <w:p w14:paraId="37CED0F7"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Datele clinice provenite din utilizarea ravulizumabului la femeile gravide sunt inexistente.</w:t>
      </w:r>
    </w:p>
    <w:p w14:paraId="1433573E"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Nu s-au efectuat studii non-clinice cu ravulizumab privind toxicitatea asupra funcției de reproducere. Au fost desfășurate studii privind toxicitatea asupra funcției de reproducere la șoareci, utilizând molecula surogat murină BB5.1, care au evaluat efectul blocadei C5 asupra aparatului reproducător. În aceste studii nu au fost identificate toxicități asupra funcției de reproducere specifice în asociere cu nicio substanță testată. Este cunoscut faptul că IgG umane traversează bariera placentară umană și, astfel, este posibil ca ravulizumab să cauzeze inhibarea complementului terminal la nivelul circulației fetale.</w:t>
      </w:r>
    </w:p>
    <w:p w14:paraId="10A6B241"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Studiile la animale sunt insuficiente pentru evidențierea efectelor toxice asupra funcției de reproducere. </w:t>
      </w:r>
    </w:p>
    <w:p w14:paraId="66111B1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La femeile gravide, utilizarea ravulizumabului poate fi luată în considerare după evaluarea riscurilor și beneficiilor.</w:t>
      </w:r>
    </w:p>
    <w:p w14:paraId="39491307" w14:textId="77777777" w:rsidR="00D2276C" w:rsidRPr="0049126A" w:rsidRDefault="00D2276C" w:rsidP="00300738">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Alăptarea</w:t>
      </w:r>
    </w:p>
    <w:p w14:paraId="436BCCEF"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Nu se cunoaște dacă ravulizumab se excretă în laptele uman. Studiile non-clinice privind toxicitatea asupra funcției de reproducere desfășurate la șoareci cu molecula surogat murină BB5.1 nu au identificat nicio reacție adversă pentru pui, ca urmare a consumării laptelui provenit de la femelele tratate.</w:t>
      </w:r>
    </w:p>
    <w:p w14:paraId="19A1BB0D"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Nu se poate exclude un risc pentru sugari.</w:t>
      </w:r>
    </w:p>
    <w:p w14:paraId="6C91AD79"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Întrucât multe medicamente și imunoglobuline se excretă în laptele uman și din cauza posibilității apariției reacțiilor adverse grave la sugarii alăptați, alăptarea trebuie întreruptă în timpul tratamentului cu ravulizumab și timp de până la 8 luni după tratament.</w:t>
      </w:r>
    </w:p>
    <w:p w14:paraId="2BB8ED4D" w14:textId="77777777" w:rsidR="00D2276C" w:rsidRPr="0049126A" w:rsidRDefault="00D2276C" w:rsidP="00300738">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Fertilitatea</w:t>
      </w:r>
    </w:p>
    <w:p w14:paraId="70745DA4"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Nu s-au efectuat studii non-clinice specifice cu ravulizumab privind fertilitatea.</w:t>
      </w:r>
    </w:p>
    <w:p w14:paraId="20C4FA62" w14:textId="3FC64BEE" w:rsidR="00300738"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Studiile non-clinice privind toxicitatea asupra funcției de reproducere desfășurate la șoareci cu molecula surogat murină (BB5.1) nu au identificat nicio reacție adversă asupra fertilității fe</w:t>
      </w:r>
      <w:r w:rsidR="007C56A3" w:rsidRPr="0049126A">
        <w:rPr>
          <w:rFonts w:ascii="Times New Roman" w:hAnsi="Times New Roman" w:cs="Times New Roman"/>
          <w:sz w:val="24"/>
          <w:szCs w:val="24"/>
        </w:rPr>
        <w:t>melelor sau masculilor tratați.</w:t>
      </w:r>
    </w:p>
    <w:p w14:paraId="355BCA7E" w14:textId="77777777" w:rsidR="00300738" w:rsidRPr="00300738" w:rsidRDefault="00300738" w:rsidP="00D2276C">
      <w:pPr>
        <w:jc w:val="both"/>
        <w:rPr>
          <w:rFonts w:ascii="Times New Roman" w:hAnsi="Times New Roman" w:cs="Times New Roman"/>
          <w:sz w:val="24"/>
          <w:szCs w:val="24"/>
        </w:rPr>
      </w:pPr>
    </w:p>
    <w:p w14:paraId="1E3409D3"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V. Monitorizarea tratamentului</w:t>
      </w:r>
    </w:p>
    <w:p w14:paraId="4D69970D"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Se recomandă continuarea tratamentului cu Ravulizumab pe toată durata vieții pacientului, cu excepția cazului în care condițiile clinice impun întreruperea tratamentului cu Ravulizumab. Pacienții </w:t>
      </w:r>
      <w:r w:rsidRPr="0049126A">
        <w:rPr>
          <w:rFonts w:ascii="Times New Roman" w:hAnsi="Times New Roman" w:cs="Times New Roman"/>
          <w:sz w:val="24"/>
          <w:szCs w:val="24"/>
        </w:rPr>
        <w:lastRenderedPageBreak/>
        <w:t>cu HPN trebuie monitorizați pentru depistarea semnelor și simptomelor hemolizei intravasculare, inclusiv prin valorile serice de lactat dehidrogenază (LDH). În cazul unei doze omise, reluați programul regulat cât mai curând posibil. Programul de dozare poate varia ocazional cu ± 7 zile față de ziua programată pentru infuzie (cu excepția primei doze de întreținere a Ravulizumab), dar doza ulterioară ar trebui administrată conform programului original.</w:t>
      </w:r>
    </w:p>
    <w:p w14:paraId="66D4BECA"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Inainte de initierea tratamentului necesita screening viral pt VHB, VHC, HIV </w:t>
      </w:r>
    </w:p>
    <w:p w14:paraId="0AA828E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Inainte de fiecare administrare a tratamentului este necesara evaluarea hemoleucogramei serice, nivelul Reticulocitelor, CRP, LDH, haptoglobina serica, Test Coombs direct si indirect, functia hepatica, functia renala , bilirubina Totala si bilirubina indirecta.</w:t>
      </w:r>
    </w:p>
    <w:p w14:paraId="7035A70A"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VI. Indicații de întrerupere a tratamentului</w:t>
      </w:r>
    </w:p>
    <w:p w14:paraId="55562045" w14:textId="77777777" w:rsidR="00D2276C" w:rsidRPr="0049126A" w:rsidRDefault="00D2276C" w:rsidP="007C56A3">
      <w:pPr>
        <w:spacing w:after="0"/>
        <w:jc w:val="both"/>
        <w:rPr>
          <w:rFonts w:ascii="Times New Roman" w:hAnsi="Times New Roman" w:cs="Times New Roman"/>
          <w:sz w:val="24"/>
          <w:szCs w:val="24"/>
        </w:rPr>
      </w:pPr>
      <w:r w:rsidRPr="0049126A">
        <w:rPr>
          <w:rFonts w:ascii="Times New Roman" w:hAnsi="Times New Roman" w:cs="Times New Roman"/>
          <w:sz w:val="24"/>
          <w:szCs w:val="24"/>
        </w:rPr>
        <w:t>PNH este o boală cronică și se recomandă continuarea tratamentului cu Ravulizumab pe parcursul vieții pacientului. Dacă pacienții cu PNH trebuie să întrerupă tratamentul cu Ravulizumab, aceștia ar trebui să fie monitorizați atent pentru semne și simptome de hemoliză, identificate prin creșterea LDH, scăderea bruscă a hemoglobinei, sau reapariția simptomelor cum ar fi oboseala, hemoglobinuria, durerile abdominale, dificultăți de respirație (dispnee), evenimente vasculare adverse majore (inclusiv tromboză), disfagie sau disfuncție erectilă. Monitorizați orice pacient care trebuie să întrerupă Ravulizumab timp de cel puțin 16 săptămâni pentru a detecta hemoliza și alte reacții. Dacă apar semne și simptome de hemoliză după întreruperea tratamentului, inclusiv LDH crescut, luați în considerare reluarea tratamentului cu Ravulizumab.</w:t>
      </w:r>
    </w:p>
    <w:p w14:paraId="6420D7CC" w14:textId="240F6578" w:rsidR="00D2276C" w:rsidRPr="0049126A" w:rsidRDefault="00D2276C" w:rsidP="00367864">
      <w:pPr>
        <w:pStyle w:val="ListParagraph"/>
        <w:numPr>
          <w:ilvl w:val="0"/>
          <w:numId w:val="133"/>
        </w:numPr>
        <w:ind w:left="284" w:hanging="284"/>
        <w:jc w:val="both"/>
        <w:rPr>
          <w:color w:val="auto"/>
        </w:rPr>
      </w:pPr>
      <w:r w:rsidRPr="0049126A">
        <w:rPr>
          <w:color w:val="auto"/>
        </w:rPr>
        <w:t>Lipsa de complianţă la tratament sau la evaluarea periodică;</w:t>
      </w:r>
    </w:p>
    <w:p w14:paraId="5B039A0E" w14:textId="33E2B7ED" w:rsidR="00D2276C" w:rsidRPr="0049126A" w:rsidRDefault="00D2276C" w:rsidP="00367864">
      <w:pPr>
        <w:pStyle w:val="ListParagraph"/>
        <w:numPr>
          <w:ilvl w:val="0"/>
          <w:numId w:val="133"/>
        </w:numPr>
        <w:ind w:left="284" w:hanging="284"/>
        <w:jc w:val="both"/>
        <w:rPr>
          <w:color w:val="auto"/>
        </w:rPr>
      </w:pPr>
      <w:r w:rsidRPr="0049126A">
        <w:rPr>
          <w:color w:val="auto"/>
        </w:rPr>
        <w:t>Reacţii adverse severe la medicament (complicații infecțioase)</w:t>
      </w:r>
    </w:p>
    <w:p w14:paraId="3439E8F9" w14:textId="64491DAE" w:rsidR="00D2276C" w:rsidRPr="0049126A" w:rsidRDefault="00D2276C" w:rsidP="00367864">
      <w:pPr>
        <w:pStyle w:val="ListParagraph"/>
        <w:numPr>
          <w:ilvl w:val="0"/>
          <w:numId w:val="133"/>
        </w:numPr>
        <w:ind w:left="284" w:hanging="284"/>
        <w:jc w:val="both"/>
        <w:rPr>
          <w:color w:val="auto"/>
        </w:rPr>
      </w:pPr>
      <w:r w:rsidRPr="0049126A">
        <w:rPr>
          <w:color w:val="auto"/>
        </w:rPr>
        <w:t>Comorbidităţi ameninţătoare de viaţă, cu prognostic rezervat;</w:t>
      </w:r>
    </w:p>
    <w:p w14:paraId="2CAB62CA" w14:textId="22C7A7CF" w:rsidR="00D2276C" w:rsidRPr="0049126A" w:rsidRDefault="00D2276C" w:rsidP="00367864">
      <w:pPr>
        <w:pStyle w:val="ListParagraph"/>
        <w:numPr>
          <w:ilvl w:val="0"/>
          <w:numId w:val="133"/>
        </w:numPr>
        <w:ind w:left="284" w:hanging="284"/>
        <w:jc w:val="both"/>
        <w:rPr>
          <w:color w:val="auto"/>
        </w:rPr>
      </w:pPr>
      <w:r w:rsidRPr="0049126A">
        <w:rPr>
          <w:color w:val="auto"/>
        </w:rPr>
        <w:t>Decizia medicului curant, impreuna cu pacientul, de a opri terapia</w:t>
      </w:r>
    </w:p>
    <w:p w14:paraId="45F99A0D" w14:textId="54014DD9" w:rsidR="00D2276C" w:rsidRPr="0049126A" w:rsidRDefault="00D2276C" w:rsidP="00367864">
      <w:pPr>
        <w:pStyle w:val="ListParagraph"/>
        <w:numPr>
          <w:ilvl w:val="0"/>
          <w:numId w:val="133"/>
        </w:numPr>
        <w:ind w:left="284" w:hanging="284"/>
        <w:jc w:val="both"/>
        <w:rPr>
          <w:color w:val="auto"/>
        </w:rPr>
      </w:pPr>
      <w:r w:rsidRPr="0049126A">
        <w:rPr>
          <w:color w:val="auto"/>
        </w:rPr>
        <w:t>Decizia unilaterala a pacientului de a opri terapia</w:t>
      </w:r>
    </w:p>
    <w:p w14:paraId="7D1AE217" w14:textId="0A48879D" w:rsidR="007C56A3" w:rsidRPr="0049126A" w:rsidRDefault="00D2276C" w:rsidP="00367864">
      <w:pPr>
        <w:pStyle w:val="ListParagraph"/>
        <w:numPr>
          <w:ilvl w:val="0"/>
          <w:numId w:val="133"/>
        </w:numPr>
        <w:ind w:left="284" w:hanging="284"/>
        <w:jc w:val="both"/>
        <w:rPr>
          <w:color w:val="auto"/>
        </w:rPr>
      </w:pPr>
      <w:r w:rsidRPr="0049126A">
        <w:rPr>
          <w:color w:val="auto"/>
        </w:rPr>
        <w:t>Deși nu există criterii clare de oprire a tratamentului cu ravulizumab, indicația poate fi personalizată în cazul fiecărui pacient în funcție de riscul de recădere, numărul de recăderi anterioare, răspunsul la tratament.</w:t>
      </w:r>
    </w:p>
    <w:p w14:paraId="1B874FA1" w14:textId="77777777" w:rsidR="007C56A3" w:rsidRPr="0049126A" w:rsidRDefault="007C56A3" w:rsidP="007C56A3">
      <w:pPr>
        <w:pStyle w:val="ListParagraph"/>
        <w:ind w:left="284"/>
        <w:jc w:val="both"/>
        <w:rPr>
          <w:color w:val="auto"/>
        </w:rPr>
      </w:pPr>
    </w:p>
    <w:p w14:paraId="40C0FD1D" w14:textId="77777777" w:rsidR="00D2276C" w:rsidRPr="0049126A" w:rsidRDefault="00D2276C" w:rsidP="007C56A3">
      <w:pPr>
        <w:spacing w:after="0"/>
        <w:jc w:val="both"/>
        <w:rPr>
          <w:rFonts w:ascii="Times New Roman" w:hAnsi="Times New Roman" w:cs="Times New Roman"/>
          <w:sz w:val="24"/>
          <w:szCs w:val="24"/>
        </w:rPr>
      </w:pPr>
      <w:r w:rsidRPr="0049126A">
        <w:rPr>
          <w:rFonts w:ascii="Times New Roman" w:hAnsi="Times New Roman" w:cs="Times New Roman"/>
          <w:sz w:val="24"/>
          <w:szCs w:val="24"/>
        </w:rPr>
        <w:t>Atentionari legate de intreruperea tratamentului:</w:t>
      </w:r>
    </w:p>
    <w:p w14:paraId="46BB0D5D" w14:textId="421F7CF0" w:rsidR="00D2276C" w:rsidRPr="0049126A" w:rsidRDefault="00D2276C" w:rsidP="00367864">
      <w:pPr>
        <w:pStyle w:val="ListParagraph"/>
        <w:numPr>
          <w:ilvl w:val="0"/>
          <w:numId w:val="134"/>
        </w:numPr>
        <w:ind w:left="284" w:hanging="284"/>
        <w:jc w:val="both"/>
        <w:rPr>
          <w:color w:val="auto"/>
        </w:rPr>
      </w:pPr>
      <w:r w:rsidRPr="0049126A">
        <w:rPr>
          <w:color w:val="auto"/>
        </w:rPr>
        <w:t>Dacă pacienții cu HPN întrerup tratamentul cu Ravulizumab, aceștia trebuie monitorizați îndeaproape pentru depistarea semnelor și simptomelor hemolizei intravasculare grave. Hemoliza gravă se identifică prin valori serice de LDH mai mari decât valorile anterioare tratamentului, asociate cu oricare dintre următoarele elemente: o scădere absolută mai mare de 25% a mărimii clonei de HPN (în absența diluției datorate transfuziei) în interval de o săptămână sau mai scurt; o valoare a hemoglobinei de &lt;5 g/dl sau o scădere de &gt;4 g/dl în interval de o săptămână sau mai scurt; angină; modificări ale stării mintale; o creștere de 50% a creatininei; sau tromboză.</w:t>
      </w:r>
    </w:p>
    <w:p w14:paraId="10FC7BBC" w14:textId="412052C3" w:rsidR="00D2276C" w:rsidRPr="0049126A" w:rsidRDefault="00D2276C" w:rsidP="00367864">
      <w:pPr>
        <w:pStyle w:val="ListParagraph"/>
        <w:numPr>
          <w:ilvl w:val="0"/>
          <w:numId w:val="134"/>
        </w:numPr>
        <w:ind w:left="284" w:hanging="284"/>
        <w:jc w:val="both"/>
        <w:rPr>
          <w:color w:val="auto"/>
        </w:rPr>
      </w:pPr>
      <w:r w:rsidRPr="0049126A">
        <w:rPr>
          <w:color w:val="auto"/>
        </w:rPr>
        <w:t>Pacienții care întrerup tratamentul cu Ravulizumab trebuie monitorizați timp de minimum 8 săptămâni pentru a se detecta hemoliza gravă sau alte reacții.</w:t>
      </w:r>
    </w:p>
    <w:p w14:paraId="412391B2" w14:textId="7ECAC3DE" w:rsidR="00D2276C" w:rsidRPr="0049126A" w:rsidRDefault="00D2276C" w:rsidP="00367864">
      <w:pPr>
        <w:pStyle w:val="ListParagraph"/>
        <w:numPr>
          <w:ilvl w:val="0"/>
          <w:numId w:val="134"/>
        </w:numPr>
        <w:ind w:left="284" w:hanging="284"/>
        <w:jc w:val="both"/>
        <w:rPr>
          <w:color w:val="auto"/>
        </w:rPr>
      </w:pPr>
      <w:r w:rsidRPr="0049126A">
        <w:rPr>
          <w:color w:val="auto"/>
        </w:rPr>
        <w:t xml:space="preserve">În cazul în care se produce o hemoliză gravă ca urmare a întreruperii tratamentului cu Ravulizuamb, se vor avea în vedere următoarele proceduri/tratamente: transfuzie (masă eritrocitară) sau exsanguinotransfuzie dacă eritrocitele HPN reprezintă &gt;50% din totalul eritrocitelor măsurate prin citometrie în flux; tratament anticoagulant; corticosteroizi; sau reluarea tratamentului cu Ravulizumab. </w:t>
      </w:r>
    </w:p>
    <w:p w14:paraId="310692CE" w14:textId="77777777" w:rsidR="007C56A3" w:rsidRPr="0049126A" w:rsidRDefault="007C56A3" w:rsidP="007C56A3">
      <w:pPr>
        <w:spacing w:after="0"/>
        <w:jc w:val="both"/>
        <w:rPr>
          <w:rFonts w:ascii="Times New Roman" w:hAnsi="Times New Roman" w:cs="Times New Roman"/>
          <w:b/>
          <w:bCs/>
          <w:sz w:val="24"/>
          <w:szCs w:val="24"/>
        </w:rPr>
      </w:pPr>
    </w:p>
    <w:p w14:paraId="1CBD4611" w14:textId="77777777" w:rsidR="007C56A3" w:rsidRPr="0049126A" w:rsidRDefault="00D2276C" w:rsidP="007C56A3">
      <w:pPr>
        <w:spacing w:after="0"/>
        <w:jc w:val="both"/>
        <w:rPr>
          <w:rFonts w:ascii="Times New Roman" w:hAnsi="Times New Roman" w:cs="Times New Roman"/>
          <w:b/>
          <w:bCs/>
          <w:sz w:val="24"/>
          <w:szCs w:val="24"/>
        </w:rPr>
      </w:pPr>
      <w:r w:rsidRPr="0049126A">
        <w:rPr>
          <w:rFonts w:ascii="Times New Roman" w:hAnsi="Times New Roman" w:cs="Times New Roman"/>
          <w:b/>
          <w:bCs/>
          <w:sz w:val="24"/>
          <w:szCs w:val="24"/>
        </w:rPr>
        <w:t>VIII. Prescriptori</w:t>
      </w:r>
    </w:p>
    <w:p w14:paraId="6D3E287D" w14:textId="1572BB0C" w:rsidR="00D2276C" w:rsidRPr="0049126A" w:rsidRDefault="00D2276C" w:rsidP="007C56A3">
      <w:pPr>
        <w:spacing w:after="0"/>
        <w:jc w:val="both"/>
        <w:rPr>
          <w:rFonts w:ascii="Times New Roman" w:hAnsi="Times New Roman" w:cs="Times New Roman"/>
          <w:b/>
          <w:bCs/>
          <w:sz w:val="24"/>
          <w:szCs w:val="24"/>
        </w:rPr>
      </w:pPr>
      <w:r w:rsidRPr="0049126A">
        <w:rPr>
          <w:rFonts w:ascii="Times New Roman" w:hAnsi="Times New Roman" w:cs="Times New Roman"/>
          <w:sz w:val="24"/>
          <w:szCs w:val="24"/>
        </w:rPr>
        <w:t>Medici din specialitatea hematologie si pediatrie.</w:t>
      </w:r>
      <w:r w:rsidR="007C56A3" w:rsidRPr="0049126A">
        <w:rPr>
          <w:rFonts w:ascii="Times New Roman" w:hAnsi="Times New Roman" w:cs="Times New Roman"/>
          <w:sz w:val="24"/>
          <w:szCs w:val="24"/>
        </w:rPr>
        <w:t>”</w:t>
      </w:r>
    </w:p>
    <w:p w14:paraId="233D8D71" w14:textId="77777777" w:rsidR="00300738" w:rsidRDefault="00300738" w:rsidP="00D2276C">
      <w:pPr>
        <w:jc w:val="both"/>
        <w:rPr>
          <w:rFonts w:ascii="Times New Roman" w:hAnsi="Times New Roman" w:cs="Times New Roman"/>
          <w:b/>
          <w:sz w:val="24"/>
          <w:szCs w:val="24"/>
        </w:rPr>
      </w:pPr>
    </w:p>
    <w:p w14:paraId="0B67E678" w14:textId="77777777" w:rsidR="00300738" w:rsidRDefault="00300738" w:rsidP="00D2276C">
      <w:pPr>
        <w:jc w:val="both"/>
        <w:rPr>
          <w:rFonts w:ascii="Times New Roman" w:hAnsi="Times New Roman" w:cs="Times New Roman"/>
          <w:b/>
          <w:sz w:val="24"/>
          <w:szCs w:val="24"/>
        </w:rPr>
      </w:pPr>
    </w:p>
    <w:p w14:paraId="04A42BCA" w14:textId="6D7E72BB" w:rsidR="00D2276C" w:rsidRPr="0049126A" w:rsidRDefault="00D2276C" w:rsidP="00D2276C">
      <w:pPr>
        <w:jc w:val="both"/>
        <w:rPr>
          <w:rFonts w:ascii="Times New Roman" w:hAnsi="Times New Roman" w:cs="Times New Roman"/>
          <w:b/>
          <w:sz w:val="24"/>
          <w:szCs w:val="24"/>
        </w:rPr>
      </w:pPr>
      <w:r w:rsidRPr="0049126A">
        <w:rPr>
          <w:rFonts w:ascii="Times New Roman" w:hAnsi="Times New Roman" w:cs="Times New Roman"/>
          <w:b/>
          <w:sz w:val="24"/>
          <w:szCs w:val="24"/>
        </w:rPr>
        <w:lastRenderedPageBreak/>
        <w:t>Anexa nr</w:t>
      </w:r>
      <w:r w:rsidR="007C56A3" w:rsidRPr="0049126A">
        <w:rPr>
          <w:rFonts w:ascii="Times New Roman" w:hAnsi="Times New Roman" w:cs="Times New Roman"/>
          <w:b/>
          <w:sz w:val="24"/>
          <w:szCs w:val="24"/>
        </w:rPr>
        <w:t>.</w:t>
      </w:r>
      <w:r w:rsidRPr="0049126A">
        <w:rPr>
          <w:rFonts w:ascii="Times New Roman" w:hAnsi="Times New Roman" w:cs="Times New Roman"/>
          <w:b/>
          <w:sz w:val="24"/>
          <w:szCs w:val="24"/>
        </w:rPr>
        <w:t xml:space="preserve"> 1</w:t>
      </w:r>
    </w:p>
    <w:p w14:paraId="293098E9" w14:textId="77777777" w:rsidR="00D2276C" w:rsidRPr="0049126A" w:rsidRDefault="00D2276C" w:rsidP="007C56A3">
      <w:pPr>
        <w:jc w:val="center"/>
        <w:rPr>
          <w:rFonts w:ascii="Times New Roman" w:hAnsi="Times New Roman" w:cs="Times New Roman"/>
          <w:b/>
          <w:sz w:val="24"/>
          <w:szCs w:val="24"/>
        </w:rPr>
      </w:pPr>
      <w:r w:rsidRPr="0049126A">
        <w:rPr>
          <w:rFonts w:ascii="Times New Roman" w:hAnsi="Times New Roman" w:cs="Times New Roman"/>
          <w:b/>
          <w:sz w:val="24"/>
          <w:szCs w:val="24"/>
        </w:rPr>
        <w:t>CONSIMTAMANT INFORMAT PENTRU ADMINISTRAREA TERAPIEI BIOLOGICE DE BLOCARE A COMPLEMENTULUI (RAVULIZUMAB)</w:t>
      </w:r>
    </w:p>
    <w:p w14:paraId="270452B1" w14:textId="77777777" w:rsidR="007C56A3" w:rsidRPr="0049126A" w:rsidRDefault="007C56A3" w:rsidP="00D2276C">
      <w:pPr>
        <w:jc w:val="both"/>
        <w:rPr>
          <w:rFonts w:ascii="Times New Roman" w:hAnsi="Times New Roman" w:cs="Times New Roman"/>
          <w:sz w:val="24"/>
          <w:szCs w:val="24"/>
        </w:rPr>
      </w:pPr>
    </w:p>
    <w:p w14:paraId="4866E2C8" w14:textId="77777777" w:rsidR="00D2276C" w:rsidRPr="0049126A" w:rsidRDefault="00D2276C" w:rsidP="00D2276C">
      <w:pPr>
        <w:jc w:val="both"/>
        <w:rPr>
          <w:rFonts w:ascii="Times New Roman" w:hAnsi="Times New Roman" w:cs="Times New Roman"/>
          <w:b/>
          <w:sz w:val="24"/>
          <w:szCs w:val="24"/>
        </w:rPr>
      </w:pPr>
      <w:r w:rsidRPr="0049126A">
        <w:rPr>
          <w:rFonts w:ascii="Times New Roman" w:hAnsi="Times New Roman" w:cs="Times New Roman"/>
          <w:b/>
          <w:sz w:val="24"/>
          <w:szCs w:val="24"/>
        </w:rPr>
        <w:t>INTRODUCERE</w:t>
      </w:r>
    </w:p>
    <w:p w14:paraId="2E16FF14"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Acest consimtamant este adresat adultilor care sufera de Hemoglobinurie paroxistica nocturna(HPN). Documentul ofera informatii despre Ravulizumab, cum va fi administrat si informatii importante de siguranta pe care trebuie cunoscute.</w:t>
      </w:r>
    </w:p>
    <w:p w14:paraId="434475BC" w14:textId="77777777" w:rsidR="00D2276C" w:rsidRPr="0049126A" w:rsidRDefault="00D2276C" w:rsidP="00D2276C">
      <w:pPr>
        <w:jc w:val="both"/>
        <w:rPr>
          <w:rFonts w:ascii="Times New Roman" w:hAnsi="Times New Roman" w:cs="Times New Roman"/>
          <w:b/>
          <w:sz w:val="24"/>
          <w:szCs w:val="24"/>
        </w:rPr>
      </w:pPr>
      <w:r w:rsidRPr="0049126A">
        <w:rPr>
          <w:rFonts w:ascii="Times New Roman" w:hAnsi="Times New Roman" w:cs="Times New Roman"/>
          <w:b/>
          <w:sz w:val="24"/>
          <w:szCs w:val="24"/>
        </w:rPr>
        <w:t>CE ESTE RAVULIZUMAB?</w:t>
      </w:r>
    </w:p>
    <w:p w14:paraId="34659479"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Ravulizumab este un medicament folosit pentru a trata pacientii cu hemoglobinurie paroxistica nocturna in care sistemul imun al complementului are un rol central. Este un tip de anticorp monoclonal uman. Anticorpii sunt substante care in sange pot lega tinte specifice. Uman se refera la faptul ca au fost fabricati pentru a fi cat mai asemanatori cu anticorpii umani. Monoclonal inseamna ca toata medicatia provine dintr-o singura clona de anticorp si toate moleculele produse sunt identice.</w:t>
      </w:r>
    </w:p>
    <w:p w14:paraId="37FDC45E"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Hemoglobinuria paroxistică nocturnă (HPN) este o boală clonală a celulelor stem hematopoietice, caracterizata prin hemoliza nonimuna, care produce un sindrom anemic cronic, diferite deficiente de organ si complicatii trombotice. Manifestările clinice sunt variabile și includ anemie hemolitică, tromboze ale vaselor de calibru mare și mediu (vene hepatice, abdominale, creier și piele), precum și un deficit moderat până la sever al hematopoiezei, care poate duce la pancitopenie.</w:t>
      </w:r>
    </w:p>
    <w:p w14:paraId="1D631EE5"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În general, anemia se manifestă prin paloare, oboseală și dispnee. Datorita hemolizei intravasculare cronice, se caracterizeaza prin hemoglobinurie care este evidențiată prin producția de urină închisă la culoare din timpul nopții și dimineața, chiar hemoragică, context in care pacienții pot prezenta si fenomene de insuficiență renală, sindrom icteric. Pacienții prezintă frecvent spasme esofagiene (disfagie) care crează dureri și un disconfort permanent, împiedicând alimentarea și hidratarea, dureri lombare, dispnee ca urmare a sindromului anemic si afectarii pulmonare, iar prin creșterea bilirubinei, crize de litiază biliară.</w:t>
      </w:r>
    </w:p>
    <w:p w14:paraId="7EA4FB5F"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Ravuliziumab este un anticorp care leaga una din partile sistemului complementului si o face inactiva. Asadar Ravulizumab previne/reduce distrugerea vaselor de sange mici si formarea cheagurilor de sange, reduce simptomatologia si distrugerea de organe in cadrul acestei afectiuni. Cum HPN este o boala cronica, Ravulizumab este prevazut ca tratament pentru termen-lung.</w:t>
      </w:r>
    </w:p>
    <w:p w14:paraId="1A4C76F5"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Intrebari frecvente</w:t>
      </w:r>
    </w:p>
    <w:p w14:paraId="027C49D5"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Care sunt datele de siguranta referitoare la Ravulizuamb?</w:t>
      </w:r>
    </w:p>
    <w:p w14:paraId="75292606" w14:textId="77777777" w:rsidR="00D2276C" w:rsidRPr="0049126A" w:rsidRDefault="00D2276C" w:rsidP="00D2276C">
      <w:pPr>
        <w:jc w:val="both"/>
        <w:rPr>
          <w:rFonts w:ascii="Times New Roman" w:hAnsi="Times New Roman" w:cs="Times New Roman"/>
          <w:b/>
          <w:sz w:val="24"/>
          <w:szCs w:val="24"/>
        </w:rPr>
      </w:pPr>
      <w:r w:rsidRPr="0049126A">
        <w:rPr>
          <w:rFonts w:ascii="Times New Roman" w:hAnsi="Times New Roman" w:cs="Times New Roman"/>
          <w:b/>
          <w:sz w:val="24"/>
          <w:szCs w:val="24"/>
        </w:rPr>
        <w:t>INFORMATII DE SIGURANTA IMPORTANTE</w:t>
      </w:r>
    </w:p>
    <w:p w14:paraId="46A4B67B"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Cum Ravulizumab blocheaza o parte a sistemului imun, creste riscul infectiei cu un tip de bacterie, numita Neisseria meningitidis. Aceasta poate cauza meningita care este o inflamare puternica a creierului sau infectie severa a sangelui. Aceste infectii necesita ingrijire de specialitate urgenta, deoarece poat fi rapid fatale sau amenintatoare de viata sau pot fi urmate de dizabilitati majore.</w:t>
      </w:r>
    </w:p>
    <w:p w14:paraId="7896950D" w14:textId="5BDEE38A"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Este important sa intelegeti masurile de precautie care trebuiesc luate pentru a reduce riscul acestor infectii si ceea ce trebuie facut daca sunteti ingrijorati ca ati putea avea aceasta i</w:t>
      </w:r>
      <w:r w:rsidR="009D71ED" w:rsidRPr="0049126A">
        <w:rPr>
          <w:rFonts w:ascii="Times New Roman" w:hAnsi="Times New Roman" w:cs="Times New Roman"/>
          <w:sz w:val="24"/>
          <w:szCs w:val="24"/>
        </w:rPr>
        <w:t>nfectie (vezi mai jos).</w:t>
      </w:r>
    </w:p>
    <w:p w14:paraId="43E113A0"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Inainte de a incepe tratamentul cu Ravulizumab trebuie sa fiti vaccinati impotriva infectiei meningococice sau sa fiti pe tratament profilactic antibiotic . In unele cazuri poate fi necesar </w:t>
      </w:r>
      <w:r w:rsidRPr="0049126A">
        <w:rPr>
          <w:rFonts w:ascii="Times New Roman" w:hAnsi="Times New Roman" w:cs="Times New Roman"/>
          <w:sz w:val="24"/>
          <w:szCs w:val="24"/>
        </w:rPr>
        <w:lastRenderedPageBreak/>
        <w:t>tratratamentul antibiotic profilactic de lunga durata pentru a reduce riscul infectiei cu Neisseria meningitides, pana cand vaccinul va avea timp sa își faca efectul.</w:t>
      </w:r>
    </w:p>
    <w:p w14:paraId="2CBABD5D"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Medicul dumneavoastra curant sau asistenta vor avea grija sa primiti vaccinarea anti-meningoocica cu cel putin 2 saptamani inaintea primei administrari intravenoase, sau daca nu e posibil, veti primi un antibiotic pentru cel putin 2 saptamani, pentru a reduce riscul infectiei pe durata tratamentului.</w:t>
      </w:r>
    </w:p>
    <w:p w14:paraId="12FF6344"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Care sunt simptomele care ar trebui sa ma alerteze in timpul tratamentului?</w:t>
      </w:r>
    </w:p>
    <w:p w14:paraId="6A8FF04E"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Vaccinarea reduce riscul de a devolta infectia, dar nu elimina riscul complet.</w:t>
      </w:r>
    </w:p>
    <w:p w14:paraId="2F02E0EA"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Va trebui sa fiti constienti de semnele si simptomele infectiei si sa informati imediat medicul dumneavoastra curant, daca aveti una din urmatoarele simptome: durei de cap cu greata si varsaturi, dureri de cap cu gat sau ceafa intepenita, febra, eruptie, confuzie, dureri musculare severe combinate cu simptome de gripa.</w:t>
      </w:r>
    </w:p>
    <w:p w14:paraId="1C7B3F29"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Daca nu puteti contacta medicul dumneavoastra, mergeti la departamentul de Urgente si descrieti sutiatia medicala si terapia primita.</w:t>
      </w:r>
    </w:p>
    <w:p w14:paraId="3F32CCAE"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Care sunt pasii pe care ar trebui sa-I urmez inainte de a incepe tratamentul?</w:t>
      </w:r>
    </w:p>
    <w:p w14:paraId="1AE2FF50"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Inainte inceperii tratamentului cu Ravulizumab, medicul curant va discuta importanta urmatoarelor aspecte:</w:t>
      </w:r>
    </w:p>
    <w:p w14:paraId="11695A36" w14:textId="020A5F6D" w:rsidR="00D2276C" w:rsidRPr="0049126A" w:rsidRDefault="00D2276C" w:rsidP="00367864">
      <w:pPr>
        <w:pStyle w:val="ListParagraph"/>
        <w:numPr>
          <w:ilvl w:val="0"/>
          <w:numId w:val="137"/>
        </w:numPr>
        <w:jc w:val="both"/>
        <w:rPr>
          <w:color w:val="auto"/>
        </w:rPr>
      </w:pPr>
      <w:r w:rsidRPr="0049126A">
        <w:rPr>
          <w:color w:val="auto"/>
        </w:rPr>
        <w:t>Primirea vaccinului impotriva meningitei pentru a reduce riscul infectiei cu bacteria Neisseria meningitidis</w:t>
      </w:r>
    </w:p>
    <w:p w14:paraId="11B67B4C" w14:textId="71867610" w:rsidR="00D2276C" w:rsidRPr="0049126A" w:rsidRDefault="00D2276C" w:rsidP="00367864">
      <w:pPr>
        <w:pStyle w:val="ListParagraph"/>
        <w:numPr>
          <w:ilvl w:val="0"/>
          <w:numId w:val="137"/>
        </w:numPr>
        <w:jc w:val="both"/>
        <w:rPr>
          <w:color w:val="auto"/>
        </w:rPr>
      </w:pPr>
      <w:r w:rsidRPr="0049126A">
        <w:rPr>
          <w:color w:val="auto"/>
        </w:rPr>
        <w:t>Intelegerea simptomelor asociate acestei infectii si ceea ce trebuie facut daca sunt prezente simptome</w:t>
      </w:r>
    </w:p>
    <w:p w14:paraId="20A4D67F" w14:textId="77D8D1F4" w:rsidR="00D2276C" w:rsidRPr="0049126A" w:rsidRDefault="00D2276C" w:rsidP="00367864">
      <w:pPr>
        <w:pStyle w:val="ListParagraph"/>
        <w:numPr>
          <w:ilvl w:val="0"/>
          <w:numId w:val="137"/>
        </w:numPr>
        <w:jc w:val="both"/>
        <w:rPr>
          <w:color w:val="auto"/>
        </w:rPr>
      </w:pPr>
      <w:r w:rsidRPr="0049126A">
        <w:rPr>
          <w:color w:val="auto"/>
        </w:rPr>
        <w:t>Continuarea si intreruperea tratamentului cu Ravulizumab trebuie sa fie monitorizata cu grija de catre medicul curant</w:t>
      </w:r>
    </w:p>
    <w:p w14:paraId="6EC58F57"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In plus, veti fi monitorizati cu grija, pentru depistarea infectiei meningococice si a altor infectii, pe durata tratamentului.</w:t>
      </w:r>
    </w:p>
    <w:p w14:paraId="2C18E834"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Cum incep terapia cu Ravulizumab?</w:t>
      </w:r>
    </w:p>
    <w:p w14:paraId="5290E66F"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Ravulizumab trebuie prescris de catre un medic.</w:t>
      </w:r>
    </w:p>
    <w:p w14:paraId="1BE51E79"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Veti primi un pachet de inceput care contine:</w:t>
      </w:r>
    </w:p>
    <w:p w14:paraId="3FCEBBE2" w14:textId="673A70D2" w:rsidR="00D2276C" w:rsidRPr="0049126A" w:rsidRDefault="00D2276C" w:rsidP="00367864">
      <w:pPr>
        <w:pStyle w:val="ListParagraph"/>
        <w:numPr>
          <w:ilvl w:val="0"/>
          <w:numId w:val="135"/>
        </w:numPr>
        <w:jc w:val="both"/>
        <w:rPr>
          <w:color w:val="auto"/>
        </w:rPr>
      </w:pPr>
      <w:r w:rsidRPr="0049126A">
        <w:rPr>
          <w:color w:val="auto"/>
        </w:rPr>
        <w:t>Cardul de siguranta al pacientului: este foarte importanta identificarea rapida si tratarea anumitor tipuri de infectie la pacientii care primesc Ravulizumab; asadar veti primi un Card de siguranta care contine simptomele specifice pe care dumneavoastra trebuie intotdeauna sa le urmariti. Purtati cu dumneavoastra intotdeauna acest card si aratati-l oricarui reprezentatnt al sitemului medical.</w:t>
      </w:r>
    </w:p>
    <w:p w14:paraId="790AA238" w14:textId="63468A6A" w:rsidR="00D2276C" w:rsidRPr="0049126A" w:rsidRDefault="00D2276C" w:rsidP="00367864">
      <w:pPr>
        <w:pStyle w:val="ListParagraph"/>
        <w:numPr>
          <w:ilvl w:val="0"/>
          <w:numId w:val="135"/>
        </w:numPr>
        <w:jc w:val="both"/>
        <w:rPr>
          <w:color w:val="auto"/>
        </w:rPr>
      </w:pPr>
      <w:r w:rsidRPr="0049126A">
        <w:rPr>
          <w:color w:val="auto"/>
        </w:rPr>
        <w:t>Brosura de informare a pacientului cu HPN</w:t>
      </w:r>
    </w:p>
    <w:p w14:paraId="27FE255F" w14:textId="1B1EE029" w:rsidR="00D2276C" w:rsidRPr="0049126A" w:rsidRDefault="00D2276C" w:rsidP="00367864">
      <w:pPr>
        <w:pStyle w:val="ListParagraph"/>
        <w:numPr>
          <w:ilvl w:val="0"/>
          <w:numId w:val="135"/>
        </w:numPr>
        <w:jc w:val="both"/>
        <w:rPr>
          <w:color w:val="auto"/>
        </w:rPr>
      </w:pPr>
      <w:r w:rsidRPr="0049126A">
        <w:rPr>
          <w:color w:val="auto"/>
        </w:rPr>
        <w:t>Medicul dumneavoastra va va oferi participarea in Registrul HPN</w:t>
      </w:r>
    </w:p>
    <w:p w14:paraId="5BEC7E0F"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Cum se administreaza Ravulizumab ?</w:t>
      </w:r>
    </w:p>
    <w:p w14:paraId="1AACE968"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Ravulizumab este administrat prin injectare intravenoasa, sub forma de perfuzie intravenoasa care dureaza intre 10 si 75 minute. Trebuie preparata si administrata de catre medic sau alta persoana calificata (asistenta medicala) in domeniul sanatatii. Asa cum se intampla cu toate medicamentele administrate intravenos, Ravulizumab poate cauza reactii adverse imediate sau intarziate. Va rugam, contactati medicul daca aceasta se intampla.</w:t>
      </w:r>
    </w:p>
    <w:p w14:paraId="7682FA18"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Medicul sau asistenta vor avea grija sa primiti vaccinul impotriva infectiei meningococice cu 2 saptamani inaintea primei administrari si in unele cazuri administrarea unui antibiotic specific pentru a reduce riscul infectiei cu Neisseria meningitides.</w:t>
      </w:r>
    </w:p>
    <w:p w14:paraId="19C15738"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lastRenderedPageBreak/>
        <w:t>Dupa fiecare injectare veti fi monitorizati pentru o ora. Veti observa cu atentie instructiunile date de medicul dumneavoastra.</w:t>
      </w:r>
    </w:p>
    <w:p w14:paraId="293BB36C"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Care sunt dozele de Ravulizumab folosite?</w:t>
      </w:r>
    </w:p>
    <w:p w14:paraId="725EF2EC"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Este foarte important sa nu lipsiti sau amanati oricare dintre programarile de administrare a tratamentului, in vederea continuarii blocarii eficiente a activarii complementului si a prevenirii/reducerii distrugerii vaselor de sange mici si formarii cheagurilor de sange.</w:t>
      </w:r>
    </w:p>
    <w:p w14:paraId="3F9A4CE2"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Cat timp trebuie sa iau Ravulizuamb?</w:t>
      </w:r>
    </w:p>
    <w:p w14:paraId="1D844B67"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Deoarece HPN este o boala cronica Ravulizumab este prevazut ca un tratament de durata.</w:t>
      </w:r>
    </w:p>
    <w:p w14:paraId="774D64F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Pacientii care au inceput tratamentul cu Ravulizumab trebuie sa continue sa primeasca aceasta terapie, chiar daca se simt mai bine.</w:t>
      </w:r>
    </w:p>
    <w:p w14:paraId="6F273A8F"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Intreruperea sau incheierea tratamentului cu Ravulizuamb poate cauza revenirea simptomelor HPN, dupa oprirea tratamentului cu Ravulizuamb.</w:t>
      </w:r>
    </w:p>
    <w:p w14:paraId="4EFE7044"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Toti pacientii care au intrerupt tratamentul cu Ravulizuamb au prezentat revenirea semnelor si simptomelor HPN. Nu trebuie sa intrerupeti tratamentul cu Ravulizuamb fara sa discutati aceasta cu medicul dumneavoastra.</w:t>
      </w:r>
    </w:p>
    <w:p w14:paraId="1225C556"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Schema terapeutică recomandată constă într-o doză de încărcare, urmată de doze de întreținere, administrate sub formă de perfuzie intravenoasă. Dozele administrate se bazează pe greutatea corporală a pacientului. Pentru pacienții adulți (vârsta ≥ 18 ani), dozele de întreținere trebuie administrate la intervale de 8 săptămâni, începând de la 2 săptămâni după administrarea dozei de încărcare.</w:t>
      </w:r>
    </w:p>
    <w:p w14:paraId="4E10258B"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 xml:space="preserve">În cadrul schemei terapeutice, este permisă o modificare a momentului administrării cu ± 7 zile față de ziua programată a perfuziei (cu excepția primei doze de întreținere cu ravulizumab), dar doza ulterioară trebuie administrată conform schemei originale. </w:t>
      </w:r>
    </w:p>
    <w:p w14:paraId="5C7D3344"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Daca planuiti sa opriti tratamentul cu Ravulizuamb, inainte trebuie sa vorbiti cu medicul dumneavoastra despre posibilele efecte secundare si riscuri .</w:t>
      </w:r>
    </w:p>
    <w:p w14:paraId="4A249583"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Aceastea pot fi:</w:t>
      </w:r>
    </w:p>
    <w:p w14:paraId="7888AC4F" w14:textId="1D8088F8" w:rsidR="00D2276C" w:rsidRPr="0049126A" w:rsidRDefault="00D2276C" w:rsidP="00367864">
      <w:pPr>
        <w:pStyle w:val="ListParagraph"/>
        <w:numPr>
          <w:ilvl w:val="1"/>
          <w:numId w:val="136"/>
        </w:numPr>
        <w:ind w:left="284" w:hanging="284"/>
        <w:jc w:val="both"/>
        <w:rPr>
          <w:color w:val="auto"/>
        </w:rPr>
      </w:pPr>
      <w:r w:rsidRPr="0049126A">
        <w:rPr>
          <w:color w:val="auto"/>
        </w:rPr>
        <w:t>Urinare scazuta (probleme cu rinichii),</w:t>
      </w:r>
    </w:p>
    <w:p w14:paraId="2E475E38" w14:textId="26EF208E" w:rsidR="00D2276C" w:rsidRPr="0049126A" w:rsidRDefault="00D2276C" w:rsidP="00367864">
      <w:pPr>
        <w:pStyle w:val="ListParagraph"/>
        <w:numPr>
          <w:ilvl w:val="1"/>
          <w:numId w:val="136"/>
        </w:numPr>
        <w:ind w:left="284" w:hanging="284"/>
        <w:jc w:val="both"/>
        <w:rPr>
          <w:color w:val="auto"/>
        </w:rPr>
      </w:pPr>
      <w:r w:rsidRPr="0049126A">
        <w:rPr>
          <w:color w:val="auto"/>
        </w:rPr>
        <w:t>Confuzie sau schimbare in starea dumneavoastra de alerta.</w:t>
      </w:r>
    </w:p>
    <w:p w14:paraId="02F64637" w14:textId="2C0AFFA8" w:rsidR="00D2276C" w:rsidRPr="0049126A" w:rsidRDefault="00D2276C" w:rsidP="00367864">
      <w:pPr>
        <w:pStyle w:val="ListParagraph"/>
        <w:numPr>
          <w:ilvl w:val="1"/>
          <w:numId w:val="136"/>
        </w:numPr>
        <w:ind w:left="284" w:hanging="284"/>
        <w:jc w:val="both"/>
        <w:rPr>
          <w:color w:val="auto"/>
        </w:rPr>
      </w:pPr>
      <w:r w:rsidRPr="0049126A">
        <w:rPr>
          <w:color w:val="auto"/>
        </w:rPr>
        <w:t>Modificare ale testelor de sange: o scadere semnificativa a numarului de trombocite, deoarece ele sunt folosite in formarea cheagurilor de sange, o crestere semnificativa a distrugerii celulelor rosii, sau o crestre a nivelului seric de creatinina (afectare renala acuta)</w:t>
      </w:r>
    </w:p>
    <w:p w14:paraId="3CF0647A" w14:textId="74D52AF4" w:rsidR="00D2276C" w:rsidRPr="0049126A" w:rsidRDefault="00D2276C" w:rsidP="00367864">
      <w:pPr>
        <w:pStyle w:val="ListParagraph"/>
        <w:numPr>
          <w:ilvl w:val="1"/>
          <w:numId w:val="136"/>
        </w:numPr>
        <w:ind w:left="284" w:hanging="284"/>
        <w:jc w:val="both"/>
        <w:rPr>
          <w:color w:val="auto"/>
        </w:rPr>
      </w:pPr>
      <w:r w:rsidRPr="0049126A">
        <w:rPr>
          <w:color w:val="auto"/>
        </w:rPr>
        <w:t>Dureri de piept sau angina, scurtarea respiratiei</w:t>
      </w:r>
    </w:p>
    <w:p w14:paraId="6689B851" w14:textId="77777777" w:rsidR="009D71ED" w:rsidRPr="0049126A" w:rsidRDefault="009D71ED" w:rsidP="00D2276C">
      <w:pPr>
        <w:jc w:val="both"/>
        <w:rPr>
          <w:rFonts w:ascii="Times New Roman" w:hAnsi="Times New Roman" w:cs="Times New Roman"/>
          <w:b/>
          <w:bCs/>
          <w:sz w:val="24"/>
          <w:szCs w:val="24"/>
        </w:rPr>
      </w:pPr>
    </w:p>
    <w:p w14:paraId="6D4B7483" w14:textId="77777777" w:rsidR="00D2276C" w:rsidRPr="0049126A" w:rsidRDefault="00D2276C" w:rsidP="00D2276C">
      <w:pPr>
        <w:jc w:val="both"/>
        <w:rPr>
          <w:rFonts w:ascii="Times New Roman" w:hAnsi="Times New Roman" w:cs="Times New Roman"/>
          <w:b/>
          <w:bCs/>
          <w:sz w:val="24"/>
          <w:szCs w:val="24"/>
        </w:rPr>
      </w:pPr>
      <w:r w:rsidRPr="0049126A">
        <w:rPr>
          <w:rFonts w:ascii="Times New Roman" w:hAnsi="Times New Roman" w:cs="Times New Roman"/>
          <w:b/>
          <w:bCs/>
          <w:sz w:val="24"/>
          <w:szCs w:val="24"/>
        </w:rPr>
        <w:t>Sunt si alte consideratii pe care trebuie sa le am in vedere cat primesc Ravulizumab?</w:t>
      </w:r>
    </w:p>
    <w:p w14:paraId="02C1AE6B"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Riscurile infectioase</w:t>
      </w:r>
    </w:p>
    <w:p w14:paraId="5B4CF6D7"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Datorita modului in care Ravulizuamab actioneaza in organismul dumneavoastra, acesta trebuie administrat cu precautie, daca aveti o infectie sistemica</w:t>
      </w:r>
    </w:p>
    <w:p w14:paraId="32A68A3F"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Reactii alergice</w:t>
      </w:r>
    </w:p>
    <w:p w14:paraId="3A127232"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Ravulizumab contine o proteina care pot cauza reactii alergice la anumiti oameni. Daca prezentati semne si simptome dupa ce ati primit Ravulizumab, adresati-va unui medic. Cu toate acestea, reactiile alergice raportate au fost extrem de rare.</w:t>
      </w:r>
    </w:p>
    <w:p w14:paraId="70B3C3CC"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Alte medicatii</w:t>
      </w:r>
    </w:p>
    <w:p w14:paraId="3B6B6EEF"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lastRenderedPageBreak/>
        <w:t>Este important sa intelegeti ca anumite medicamente pe care le primiti nu trebuie schimbate fara a va consulta medicul. Va rugam, fiti siguri ca medicul dumneavoastra stie toate medicamentele pe care le luati.</w:t>
      </w:r>
    </w:p>
    <w:p w14:paraId="238B8A30"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Disfunctii Renale (rinichi) si Hepatice (ficat)</w:t>
      </w:r>
    </w:p>
    <w:p w14:paraId="3B41123A"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Daca suferiti de insuficienta renala sau hepatica, va rog sa informati medicul inainte de tratament.</w:t>
      </w:r>
    </w:p>
    <w:p w14:paraId="4A651D27"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Sarcina</w:t>
      </w:r>
    </w:p>
    <w:p w14:paraId="241C3218"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Spuneti medicului inaintea inceperii tratamentului cu Ravulizumab daca sunteti insarcinata sau planuiti sa ramaneti insarcinata. Ravulizumab strabate placenta si poate fi regasit in sangele fatului sau nou-nascutului. Femeile aflate la vârsta fertilă trebuie să utilizeze măsuri contraceptive eficace în timpul și până la 8 luni după tratament</w:t>
      </w:r>
    </w:p>
    <w:p w14:paraId="68BA7CC9"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Alaptarea</w:t>
      </w:r>
    </w:p>
    <w:p w14:paraId="55522274"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Nu se cunoaște dacă ravulizumab se excretă în laptele uman, înastfel ca nu poate fi exclusă posibilitatea ca ravulizumab să treacă in laptele pe care copilul dumneavoastra il primeste si nu se poate exclude un risc pentru sugari.</w:t>
      </w:r>
    </w:p>
    <w:p w14:paraId="4B00AA82"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Întrucât multe medicamente și imunoglobuline se excretă în laptele uman și din cauza posibilității apariției reacțiilor adverse grave la sugarii alăptați, alăptarea trebuie întreruptă în timpul tratamentului cu ravulizumab și timp de până la 8 luni după tratament.</w:t>
      </w:r>
    </w:p>
    <w:p w14:paraId="739A2C6B" w14:textId="77777777" w:rsidR="00D2276C" w:rsidRPr="0049126A" w:rsidRDefault="00D2276C" w:rsidP="009D71ED">
      <w:pPr>
        <w:spacing w:after="0"/>
        <w:jc w:val="both"/>
        <w:rPr>
          <w:rFonts w:ascii="Times New Roman" w:hAnsi="Times New Roman" w:cs="Times New Roman"/>
          <w:sz w:val="24"/>
          <w:szCs w:val="24"/>
          <w:u w:val="single"/>
        </w:rPr>
      </w:pPr>
      <w:r w:rsidRPr="0049126A">
        <w:rPr>
          <w:rFonts w:ascii="Times New Roman" w:hAnsi="Times New Roman" w:cs="Times New Roman"/>
          <w:sz w:val="24"/>
          <w:szCs w:val="24"/>
          <w:u w:val="single"/>
        </w:rPr>
        <w:t>Persoanele varstnice</w:t>
      </w:r>
    </w:p>
    <w:p w14:paraId="7CA6F3FD"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Nu exista date care sa sugereze ca sunt necesare precautii speciale la persoanele varstnice- desi experienta administrarii de ravulizumab la aceasta grupa de varsta este inca limitata.</w:t>
      </w:r>
    </w:p>
    <w:p w14:paraId="7F7912C1" w14:textId="77777777" w:rsidR="009D71ED" w:rsidRPr="0049126A" w:rsidRDefault="009D71ED" w:rsidP="009D71ED">
      <w:pPr>
        <w:spacing w:after="0"/>
        <w:jc w:val="both"/>
        <w:rPr>
          <w:rFonts w:ascii="Times New Roman" w:hAnsi="Times New Roman" w:cs="Times New Roman"/>
          <w:b/>
          <w:bCs/>
          <w:sz w:val="24"/>
          <w:szCs w:val="24"/>
        </w:rPr>
      </w:pPr>
    </w:p>
    <w:p w14:paraId="2BEB1923" w14:textId="77777777" w:rsidR="00D2276C" w:rsidRPr="0049126A" w:rsidRDefault="00D2276C" w:rsidP="009D71ED">
      <w:pPr>
        <w:spacing w:after="0"/>
        <w:jc w:val="both"/>
        <w:rPr>
          <w:rFonts w:ascii="Times New Roman" w:hAnsi="Times New Roman" w:cs="Times New Roman"/>
          <w:b/>
          <w:bCs/>
          <w:sz w:val="24"/>
          <w:szCs w:val="24"/>
        </w:rPr>
      </w:pPr>
      <w:r w:rsidRPr="0049126A">
        <w:rPr>
          <w:rFonts w:ascii="Times New Roman" w:hAnsi="Times New Roman" w:cs="Times New Roman"/>
          <w:b/>
          <w:bCs/>
          <w:sz w:val="24"/>
          <w:szCs w:val="24"/>
        </w:rPr>
        <w:t>Efecte adverse</w:t>
      </w:r>
    </w:p>
    <w:p w14:paraId="753020AA" w14:textId="77777777" w:rsidR="00D2276C" w:rsidRPr="0049126A" w:rsidRDefault="00D2276C" w:rsidP="009D71ED">
      <w:pPr>
        <w:spacing w:after="0"/>
        <w:jc w:val="both"/>
        <w:rPr>
          <w:rFonts w:ascii="Times New Roman" w:hAnsi="Times New Roman" w:cs="Times New Roman"/>
          <w:sz w:val="24"/>
          <w:szCs w:val="24"/>
        </w:rPr>
      </w:pPr>
      <w:r w:rsidRPr="0049126A">
        <w:rPr>
          <w:rFonts w:ascii="Times New Roman" w:hAnsi="Times New Roman" w:cs="Times New Roman"/>
          <w:sz w:val="24"/>
          <w:szCs w:val="24"/>
        </w:rPr>
        <w:t>Ravulizumab este in general bine tolerat. Cele mai comune reactii adverse raportate in studiile clinice au fost: dureri de cap, ameteala, greata, febra (pirexie) si infectii la nivelul tractului respirator superior, rinofaringita. Durerile de cap frecvent sunt moderate si nu persista dupa faza initiala de administrare a medicamentului.</w:t>
      </w:r>
    </w:p>
    <w:p w14:paraId="52620880"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Subsemnatul ………………………………………………………………………………................., in calitate de pacient diagnosticat cu HPN, internat in sectia …………………………………………………………………., in urma parcurgerii acestor informatii despre produs (DCI: Ravulizumab) precum si a informatiilor medicale oferite de medicul curant in Hemoglobinuria paroxistica nocturna, declar pe propria raspundere ca sunt de acord cu administrarea acestui medicament.</w:t>
      </w:r>
    </w:p>
    <w:p w14:paraId="15ED0253"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Mentionez ca mi s-au explicat si am inteles riscurile evolutiei in absenta acestui tratament, precum si cele legate de administrarea lui, inclusiv efectele lui adverse, conform rezumatului caracteristicilor produsului Ravulizumab.</w:t>
      </w:r>
    </w:p>
    <w:p w14:paraId="407EEC3D"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Mentionez, de asemenea, ca mi s-a raspuns la toate intrebarile legate de boala si de schema terapeutica si nu am neclaritati.</w:t>
      </w:r>
    </w:p>
    <w:p w14:paraId="6039C1F1" w14:textId="77777777" w:rsidR="00D2276C" w:rsidRPr="0049126A" w:rsidRDefault="00D2276C" w:rsidP="00D2276C">
      <w:pPr>
        <w:jc w:val="both"/>
        <w:rPr>
          <w:rFonts w:ascii="Times New Roman" w:hAnsi="Times New Roman" w:cs="Times New Roman"/>
          <w:sz w:val="24"/>
          <w:szCs w:val="24"/>
        </w:rPr>
      </w:pPr>
      <w:r w:rsidRPr="0049126A">
        <w:rPr>
          <w:rFonts w:ascii="Times New Roman" w:hAnsi="Times New Roman" w:cs="Times New Roman"/>
          <w:sz w:val="24"/>
          <w:szCs w:val="24"/>
        </w:rPr>
        <w:t>Am fost informat/a de obligativitatea imunizarii impotriva infectiei meningococice si sunt de acord cu procurarea si efectuarea acestuia in cel mai scurt timp.</w:t>
      </w:r>
    </w:p>
    <w:p w14:paraId="22D215F7" w14:textId="77777777" w:rsidR="00D2276C" w:rsidRPr="0049126A" w:rsidRDefault="00D2276C" w:rsidP="00D2276C">
      <w:pPr>
        <w:jc w:val="both"/>
        <w:rPr>
          <w:rFonts w:ascii="Times New Roman" w:hAnsi="Times New Roman" w:cs="Times New Roman"/>
          <w:sz w:val="24"/>
          <w:szCs w:val="24"/>
        </w:rPr>
      </w:pPr>
    </w:p>
    <w:p w14:paraId="70A16F48" w14:textId="4F3DD964" w:rsidR="00D2276C" w:rsidRPr="0049126A" w:rsidRDefault="00D2276C" w:rsidP="009D71ED">
      <w:pPr>
        <w:spacing w:after="0" w:line="240" w:lineRule="auto"/>
        <w:jc w:val="both"/>
        <w:rPr>
          <w:rFonts w:ascii="Times New Roman" w:hAnsi="Times New Roman" w:cs="Times New Roman"/>
          <w:sz w:val="24"/>
          <w:szCs w:val="24"/>
        </w:rPr>
      </w:pPr>
      <w:r w:rsidRPr="0049126A">
        <w:rPr>
          <w:rFonts w:ascii="Times New Roman" w:hAnsi="Times New Roman" w:cs="Times New Roman"/>
          <w:sz w:val="24"/>
          <w:szCs w:val="24"/>
        </w:rPr>
        <w:t>Nume și prenume pacient …………..………………………… .................</w:t>
      </w:r>
      <w:r w:rsidR="009D71ED" w:rsidRPr="0049126A">
        <w:rPr>
          <w:rFonts w:ascii="Times New Roman" w:hAnsi="Times New Roman" w:cs="Times New Roman"/>
          <w:sz w:val="24"/>
          <w:szCs w:val="24"/>
        </w:rPr>
        <w:t xml:space="preserve">..... </w:t>
      </w:r>
      <w:r w:rsidRPr="0049126A">
        <w:rPr>
          <w:rFonts w:ascii="Times New Roman" w:hAnsi="Times New Roman" w:cs="Times New Roman"/>
          <w:sz w:val="24"/>
          <w:szCs w:val="24"/>
        </w:rPr>
        <w:t>Data …………………</w:t>
      </w:r>
    </w:p>
    <w:p w14:paraId="7C371317" w14:textId="77777777" w:rsidR="00D2276C" w:rsidRPr="0049126A" w:rsidRDefault="00D2276C" w:rsidP="009D71ED">
      <w:pPr>
        <w:spacing w:after="0" w:line="240" w:lineRule="auto"/>
        <w:jc w:val="both"/>
        <w:rPr>
          <w:rFonts w:ascii="Times New Roman" w:hAnsi="Times New Roman" w:cs="Times New Roman"/>
          <w:sz w:val="24"/>
          <w:szCs w:val="24"/>
        </w:rPr>
      </w:pPr>
      <w:r w:rsidRPr="0049126A">
        <w:rPr>
          <w:rFonts w:ascii="Times New Roman" w:hAnsi="Times New Roman" w:cs="Times New Roman"/>
          <w:sz w:val="24"/>
          <w:szCs w:val="24"/>
        </w:rPr>
        <w:t>Semnatură pacient …………..…………………………</w:t>
      </w:r>
    </w:p>
    <w:p w14:paraId="67E455F6" w14:textId="77777777" w:rsidR="00D2276C" w:rsidRPr="0049126A" w:rsidRDefault="00D2276C" w:rsidP="009D71ED">
      <w:pPr>
        <w:spacing w:after="0" w:line="240" w:lineRule="auto"/>
        <w:jc w:val="both"/>
        <w:rPr>
          <w:rFonts w:ascii="Times New Roman" w:hAnsi="Times New Roman" w:cs="Times New Roman"/>
          <w:sz w:val="24"/>
          <w:szCs w:val="24"/>
        </w:rPr>
      </w:pPr>
    </w:p>
    <w:p w14:paraId="3DC29AE7" w14:textId="77777777" w:rsidR="00D2276C" w:rsidRPr="0049126A" w:rsidRDefault="00D2276C" w:rsidP="009D71ED">
      <w:pPr>
        <w:spacing w:after="0" w:line="240" w:lineRule="auto"/>
        <w:jc w:val="both"/>
        <w:rPr>
          <w:rFonts w:ascii="Times New Roman" w:hAnsi="Times New Roman" w:cs="Times New Roman"/>
          <w:sz w:val="24"/>
          <w:szCs w:val="24"/>
        </w:rPr>
      </w:pPr>
    </w:p>
    <w:p w14:paraId="6DBD7644" w14:textId="12C9A806" w:rsidR="00D2276C" w:rsidRPr="0049126A" w:rsidRDefault="00D2276C" w:rsidP="009D71ED">
      <w:pPr>
        <w:tabs>
          <w:tab w:val="left" w:pos="7655"/>
        </w:tabs>
        <w:spacing w:after="0" w:line="240" w:lineRule="auto"/>
        <w:jc w:val="both"/>
        <w:rPr>
          <w:rFonts w:ascii="Times New Roman" w:hAnsi="Times New Roman" w:cs="Times New Roman"/>
          <w:sz w:val="24"/>
          <w:szCs w:val="24"/>
        </w:rPr>
      </w:pPr>
      <w:r w:rsidRPr="0049126A">
        <w:rPr>
          <w:rFonts w:ascii="Times New Roman" w:hAnsi="Times New Roman" w:cs="Times New Roman"/>
          <w:sz w:val="24"/>
          <w:szCs w:val="24"/>
        </w:rPr>
        <w:t>Nume și prenume medic …..………..…………………………. ...............</w:t>
      </w:r>
      <w:r w:rsidR="009D71ED" w:rsidRPr="0049126A">
        <w:rPr>
          <w:rFonts w:ascii="Times New Roman" w:hAnsi="Times New Roman" w:cs="Times New Roman"/>
          <w:sz w:val="24"/>
          <w:szCs w:val="24"/>
        </w:rPr>
        <w:t xml:space="preserve">...... </w:t>
      </w:r>
      <w:r w:rsidRPr="0049126A">
        <w:rPr>
          <w:rFonts w:ascii="Times New Roman" w:hAnsi="Times New Roman" w:cs="Times New Roman"/>
          <w:sz w:val="24"/>
          <w:szCs w:val="24"/>
        </w:rPr>
        <w:t>Data ….……………</w:t>
      </w:r>
    </w:p>
    <w:p w14:paraId="186F138E" w14:textId="62D178C9" w:rsidR="00D2276C" w:rsidRPr="0049126A" w:rsidRDefault="00D2276C" w:rsidP="009D71ED">
      <w:pPr>
        <w:spacing w:after="0" w:line="240" w:lineRule="auto"/>
        <w:jc w:val="both"/>
        <w:rPr>
          <w:rFonts w:ascii="Times New Roman" w:hAnsi="Times New Roman" w:cs="Times New Roman"/>
          <w:sz w:val="24"/>
          <w:szCs w:val="24"/>
        </w:rPr>
      </w:pPr>
      <w:r w:rsidRPr="0049126A">
        <w:rPr>
          <w:rFonts w:ascii="Times New Roman" w:hAnsi="Times New Roman" w:cs="Times New Roman"/>
          <w:sz w:val="24"/>
          <w:szCs w:val="24"/>
        </w:rPr>
        <w:t>Semnatură medic …..………..…………………………</w:t>
      </w:r>
      <w:r w:rsidR="009D71ED" w:rsidRPr="0049126A">
        <w:rPr>
          <w:rFonts w:ascii="Times New Roman" w:hAnsi="Times New Roman" w:cs="Times New Roman"/>
          <w:sz w:val="24"/>
          <w:szCs w:val="24"/>
        </w:rPr>
        <w:t>”</w:t>
      </w:r>
    </w:p>
    <w:p w14:paraId="550BEF5B" w14:textId="77777777" w:rsidR="00896095" w:rsidRPr="0049126A" w:rsidRDefault="00896095" w:rsidP="009D71ED">
      <w:pPr>
        <w:tabs>
          <w:tab w:val="left" w:pos="426"/>
        </w:tabs>
        <w:spacing w:after="0" w:line="240" w:lineRule="auto"/>
        <w:jc w:val="both"/>
        <w:rPr>
          <w:rFonts w:ascii="Times New Roman" w:eastAsia="Arial" w:hAnsi="Times New Roman" w:cs="Times New Roman"/>
          <w:b/>
          <w:bCs/>
          <w:sz w:val="24"/>
          <w:szCs w:val="24"/>
          <w:lang w:val="en-US"/>
        </w:rPr>
      </w:pPr>
    </w:p>
    <w:p w14:paraId="178559F9" w14:textId="77777777" w:rsidR="00532457" w:rsidRPr="0049126A" w:rsidRDefault="00532457" w:rsidP="00380B65">
      <w:pPr>
        <w:tabs>
          <w:tab w:val="left" w:pos="426"/>
        </w:tabs>
        <w:jc w:val="both"/>
        <w:rPr>
          <w:rFonts w:ascii="Times New Roman" w:eastAsia="Arial" w:hAnsi="Times New Roman" w:cs="Times New Roman"/>
          <w:b/>
          <w:bCs/>
          <w:sz w:val="24"/>
          <w:szCs w:val="24"/>
          <w:lang w:val="en-US"/>
        </w:rPr>
      </w:pPr>
    </w:p>
    <w:p w14:paraId="017CF094" w14:textId="61118A05" w:rsidR="00F73895" w:rsidRPr="0049126A" w:rsidRDefault="00F73895" w:rsidP="00C26280">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1, după protocolul terapeutic c</w:t>
      </w:r>
      <w:r w:rsidR="00AB1D4D" w:rsidRPr="0049126A">
        <w:rPr>
          <w:rFonts w:eastAsia="Arial"/>
          <w:b/>
          <w:bCs/>
          <w:color w:val="auto"/>
          <w:lang w:val="en-US"/>
        </w:rPr>
        <w:t>orespunzător poziției cu nr. 360</w:t>
      </w:r>
      <w:r w:rsidRPr="0049126A">
        <w:rPr>
          <w:rFonts w:eastAsia="Arial"/>
          <w:b/>
          <w:bCs/>
          <w:color w:val="auto"/>
          <w:lang w:val="en-US"/>
        </w:rPr>
        <w:t xml:space="preserve"> se introduce protocolul terapeuti</w:t>
      </w:r>
      <w:r w:rsidR="00AB1D4D" w:rsidRPr="0049126A">
        <w:rPr>
          <w:rFonts w:eastAsia="Arial"/>
          <w:b/>
          <w:bCs/>
          <w:color w:val="auto"/>
          <w:lang w:val="en-US"/>
        </w:rPr>
        <w:t>c corespunzător poziției nr. 361</w:t>
      </w:r>
      <w:r w:rsidRPr="0049126A">
        <w:rPr>
          <w:rFonts w:eastAsia="Arial"/>
          <w:b/>
          <w:bCs/>
          <w:color w:val="auto"/>
          <w:lang w:val="en-US"/>
        </w:rPr>
        <w:t xml:space="preserve"> cod (</w:t>
      </w:r>
      <w:r w:rsidR="00896095" w:rsidRPr="0049126A">
        <w:rPr>
          <w:rFonts w:eastAsia="Arial"/>
          <w:b/>
          <w:bCs/>
          <w:color w:val="auto"/>
          <w:lang w:val="en-US"/>
        </w:rPr>
        <w:t>S01LA04</w:t>
      </w:r>
      <w:r w:rsidRPr="0049126A">
        <w:rPr>
          <w:rFonts w:eastAsia="Arial"/>
          <w:b/>
          <w:bCs/>
          <w:color w:val="auto"/>
          <w:lang w:val="en-US"/>
        </w:rPr>
        <w:t xml:space="preserve">): DCI </w:t>
      </w:r>
      <w:r w:rsidR="00896095" w:rsidRPr="0049126A">
        <w:rPr>
          <w:rFonts w:eastAsia="Arial"/>
          <w:b/>
          <w:bCs/>
          <w:color w:val="auto"/>
          <w:lang w:val="en-US"/>
        </w:rPr>
        <w:t>RANIBIZUMABUM</w:t>
      </w:r>
      <w:r w:rsidRPr="0049126A">
        <w:rPr>
          <w:rFonts w:eastAsia="Arial"/>
          <w:b/>
          <w:bCs/>
          <w:color w:val="auto"/>
          <w:lang w:val="en-US"/>
        </w:rPr>
        <w:t xml:space="preserve"> cu următorul cuprins: </w:t>
      </w:r>
    </w:p>
    <w:p w14:paraId="1B5F357C"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3F2E1F49" w14:textId="14C9FE51" w:rsidR="00F73895"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”Protocol terapeutic corespunzător poziţiei nr</w:t>
      </w:r>
      <w:r w:rsidR="00896095" w:rsidRPr="0049126A">
        <w:rPr>
          <w:rFonts w:ascii="Times New Roman" w:eastAsia="Arial" w:hAnsi="Times New Roman" w:cs="Times New Roman"/>
          <w:b/>
          <w:bCs/>
          <w:sz w:val="24"/>
          <w:szCs w:val="24"/>
          <w:lang w:val="en-US"/>
        </w:rPr>
        <w:t xml:space="preserve">. </w:t>
      </w:r>
      <w:r w:rsidR="00AB1D4D" w:rsidRPr="0049126A">
        <w:rPr>
          <w:rFonts w:ascii="Times New Roman" w:eastAsia="Arial" w:hAnsi="Times New Roman" w:cs="Times New Roman"/>
          <w:b/>
          <w:bCs/>
          <w:sz w:val="24"/>
          <w:szCs w:val="24"/>
          <w:lang w:val="en-US"/>
        </w:rPr>
        <w:t>361</w:t>
      </w:r>
      <w:r w:rsidR="00896095" w:rsidRPr="0049126A">
        <w:rPr>
          <w:rFonts w:ascii="Times New Roman" w:eastAsia="Arial" w:hAnsi="Times New Roman" w:cs="Times New Roman"/>
          <w:b/>
          <w:bCs/>
          <w:sz w:val="24"/>
          <w:szCs w:val="24"/>
          <w:lang w:val="en-US"/>
        </w:rPr>
        <w:t xml:space="preserve"> cod (S01LA04): DCI RANIBIZUMABUM</w:t>
      </w:r>
    </w:p>
    <w:p w14:paraId="2E691E8C" w14:textId="77777777" w:rsidR="00896095" w:rsidRPr="0049126A" w:rsidRDefault="00896095" w:rsidP="00380B65">
      <w:pPr>
        <w:tabs>
          <w:tab w:val="left" w:pos="426"/>
        </w:tabs>
        <w:jc w:val="both"/>
        <w:rPr>
          <w:rFonts w:ascii="Times New Roman" w:eastAsia="Arial" w:hAnsi="Times New Roman" w:cs="Times New Roman"/>
          <w:b/>
          <w:bCs/>
          <w:sz w:val="24"/>
          <w:szCs w:val="24"/>
          <w:lang w:val="en-US"/>
        </w:rPr>
      </w:pPr>
    </w:p>
    <w:p w14:paraId="4CD8356E"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Ranibizumab este un fragment de anticorp monoclonal umanizat produs pe celule de Escherichia coli prin tehnologie de recombinare a ADN-ului. Ranibizumabul este un fragment de anticorp monoclonal recombinant umanizat care acţionează împotriva factorului A de creştere a endoteliului vascular uman (FECV-A). Acesta se leagă cu afinitate mare de izoformele FECV-A (de exemplu FECV110, FECV121 şi FECV165), prevenind astfel legarea FECV-A de receptorii săi RFECV-1 şi RFECV-2. Legarea FECV-A de receptorii săi duce la proliferarea celulelor endoteliale şi la neovascularizaţie, precum şi la creşterea permeabilităţii vasculare, considerându-se că toţi aceşti factori contribuie la afectarea vizuală cauzată de edemul macular diabetic.</w:t>
      </w:r>
    </w:p>
    <w:p w14:paraId="1D86923B" w14:textId="77777777" w:rsidR="001729A3" w:rsidRPr="0049126A" w:rsidRDefault="001729A3" w:rsidP="001729A3">
      <w:pPr>
        <w:spacing w:after="0" w:line="276" w:lineRule="auto"/>
        <w:jc w:val="both"/>
        <w:rPr>
          <w:rFonts w:ascii="Times New Roman" w:eastAsia="Calibri" w:hAnsi="Times New Roman" w:cs="Times New Roman"/>
          <w:b/>
          <w:sz w:val="24"/>
          <w:szCs w:val="24"/>
        </w:rPr>
      </w:pPr>
    </w:p>
    <w:p w14:paraId="4EA4B008" w14:textId="6B1A68B1"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I. Indicaţii terapeutice</w:t>
      </w:r>
    </w:p>
    <w:p w14:paraId="1F021181"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 Ranibizumab este indicat la adulţi pentru:</w:t>
      </w:r>
    </w:p>
    <w:p w14:paraId="2D66393D"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      </w:t>
      </w:r>
      <w:r w:rsidRPr="0049126A">
        <w:rPr>
          <w:rFonts w:ascii="Times New Roman" w:eastAsia="Calibri" w:hAnsi="Times New Roman" w:cs="Times New Roman"/>
          <w:sz w:val="24"/>
          <w:szCs w:val="24"/>
        </w:rPr>
        <w:sym w:font="Symbol" w:char="F0B7"/>
      </w:r>
      <w:r w:rsidRPr="0049126A">
        <w:rPr>
          <w:rFonts w:ascii="Times New Roman" w:eastAsia="Calibri" w:hAnsi="Times New Roman" w:cs="Times New Roman"/>
          <w:sz w:val="24"/>
          <w:szCs w:val="24"/>
        </w:rPr>
        <w:t xml:space="preserve"> Tratamentul afectării acuităţii vizuale determinate de edem macular diabetic (EMD)</w:t>
      </w:r>
    </w:p>
    <w:p w14:paraId="45AE958D" w14:textId="77777777" w:rsidR="001729A3" w:rsidRPr="0049126A" w:rsidRDefault="001729A3" w:rsidP="00367864">
      <w:pPr>
        <w:numPr>
          <w:ilvl w:val="0"/>
          <w:numId w:val="138"/>
        </w:numPr>
        <w:spacing w:after="0" w:line="276" w:lineRule="auto"/>
        <w:contextualSpacing/>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Tratamentul neovascularizaţiei (forma umedă) din cadrul degenerescenţei maculare legată de vârstă (DMLV)</w:t>
      </w:r>
    </w:p>
    <w:p w14:paraId="022D7695" w14:textId="77777777" w:rsidR="001729A3" w:rsidRPr="0049126A" w:rsidRDefault="001729A3" w:rsidP="001729A3">
      <w:pPr>
        <w:spacing w:after="0" w:line="276" w:lineRule="auto"/>
        <w:jc w:val="both"/>
        <w:rPr>
          <w:rFonts w:ascii="Times New Roman" w:eastAsia="Calibri" w:hAnsi="Times New Roman" w:cs="Times New Roman"/>
          <w:b/>
          <w:sz w:val="24"/>
          <w:szCs w:val="24"/>
        </w:rPr>
      </w:pPr>
    </w:p>
    <w:p w14:paraId="55AC2B7F"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II. Criterii pentru includerea unui pacient în tratament</w:t>
      </w:r>
    </w:p>
    <w:p w14:paraId="490D88D8" w14:textId="5C9ED11A"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1. Criterii de includere</w:t>
      </w:r>
    </w:p>
    <w:p w14:paraId="27479AEA" w14:textId="77777777" w:rsidR="001729A3" w:rsidRPr="0049126A" w:rsidRDefault="001729A3" w:rsidP="00367864">
      <w:pPr>
        <w:pStyle w:val="ListParagraph"/>
        <w:numPr>
          <w:ilvl w:val="0"/>
          <w:numId w:val="139"/>
        </w:numPr>
        <w:spacing w:line="276" w:lineRule="auto"/>
        <w:ind w:left="567" w:hanging="283"/>
        <w:jc w:val="both"/>
        <w:rPr>
          <w:rFonts w:eastAsia="Calibri"/>
          <w:color w:val="auto"/>
        </w:rPr>
      </w:pPr>
      <w:r w:rsidRPr="0049126A">
        <w:rPr>
          <w:rFonts w:eastAsia="Calibri"/>
          <w:color w:val="auto"/>
        </w:rPr>
        <w:t>Pacienţi  adulţi cu afectarea acuităţii vizuale determinate de edemul macular diabetic</w:t>
      </w:r>
    </w:p>
    <w:p w14:paraId="6799C281" w14:textId="6FE2D29A" w:rsidR="001729A3" w:rsidRPr="0049126A" w:rsidRDefault="001729A3" w:rsidP="00367864">
      <w:pPr>
        <w:pStyle w:val="ListParagraph"/>
        <w:numPr>
          <w:ilvl w:val="0"/>
          <w:numId w:val="139"/>
        </w:numPr>
        <w:spacing w:line="276" w:lineRule="auto"/>
        <w:ind w:left="567" w:hanging="283"/>
        <w:jc w:val="both"/>
        <w:rPr>
          <w:rFonts w:eastAsia="Calibri"/>
          <w:color w:val="auto"/>
        </w:rPr>
      </w:pPr>
      <w:r w:rsidRPr="0049126A">
        <w:rPr>
          <w:rFonts w:eastAsia="Calibri"/>
          <w:color w:val="auto"/>
        </w:rPr>
        <w:t>Pacienţi adulti cu afectarea acuităţii vizuale determinate de neovascularizaţia maculară din DMLV</w:t>
      </w:r>
    </w:p>
    <w:p w14:paraId="6BB64A97" w14:textId="77777777" w:rsidR="001729A3" w:rsidRPr="0049126A" w:rsidRDefault="001729A3" w:rsidP="001729A3">
      <w:pPr>
        <w:pStyle w:val="ListParagraph"/>
        <w:spacing w:line="276" w:lineRule="auto"/>
        <w:ind w:left="567"/>
        <w:jc w:val="both"/>
        <w:rPr>
          <w:rFonts w:eastAsia="Calibri"/>
          <w:color w:val="auto"/>
        </w:rPr>
      </w:pPr>
    </w:p>
    <w:p w14:paraId="7777868B"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2. Criterii de excludere</w:t>
      </w:r>
    </w:p>
    <w:p w14:paraId="3F717121" w14:textId="77777777" w:rsidR="001729A3" w:rsidRPr="0049126A" w:rsidRDefault="001729A3" w:rsidP="00367864">
      <w:pPr>
        <w:pStyle w:val="ListParagraph"/>
        <w:numPr>
          <w:ilvl w:val="0"/>
          <w:numId w:val="140"/>
        </w:numPr>
        <w:spacing w:line="276" w:lineRule="auto"/>
        <w:jc w:val="both"/>
        <w:rPr>
          <w:rFonts w:eastAsia="Calibri"/>
          <w:color w:val="auto"/>
        </w:rPr>
      </w:pPr>
      <w:r w:rsidRPr="0049126A">
        <w:rPr>
          <w:rFonts w:eastAsia="Calibri"/>
          <w:color w:val="auto"/>
        </w:rPr>
        <w:t>Pacienţi cu hipersensibilitate la unul din componenţii medicamentului.</w:t>
      </w:r>
    </w:p>
    <w:p w14:paraId="7E0DCD23" w14:textId="77777777" w:rsidR="001729A3" w:rsidRPr="0049126A" w:rsidRDefault="001729A3" w:rsidP="00367864">
      <w:pPr>
        <w:pStyle w:val="ListParagraph"/>
        <w:numPr>
          <w:ilvl w:val="0"/>
          <w:numId w:val="140"/>
        </w:numPr>
        <w:spacing w:line="276" w:lineRule="auto"/>
        <w:jc w:val="both"/>
        <w:rPr>
          <w:rFonts w:eastAsia="Calibri"/>
          <w:color w:val="auto"/>
        </w:rPr>
      </w:pPr>
      <w:r w:rsidRPr="0049126A">
        <w:rPr>
          <w:rFonts w:eastAsia="Calibri"/>
          <w:color w:val="auto"/>
        </w:rPr>
        <w:t>Copii şi adolescenţi cu vârsta sub 18 ani</w:t>
      </w:r>
    </w:p>
    <w:p w14:paraId="7283A2DC"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F0BC889"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III. Tratament</w:t>
      </w:r>
    </w:p>
    <w:p w14:paraId="4218F7ED" w14:textId="769B259C"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 xml:space="preserve">1. Doze </w:t>
      </w:r>
    </w:p>
    <w:p w14:paraId="52EC15DD"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Ranibizumab trebuie administrat de un oftalmolog cu experienţă în injectarea intravitreană.</w:t>
      </w:r>
    </w:p>
    <w:p w14:paraId="460FA629"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Doza recomandată de la adulți, pentru ambele indicatii,  este de 0,5 mg administrată ca injecţie unică intravitreană. Aceasta corespunde unui volum de injectare de 0,05 ml. Intervalul de timp dintre două doze injectate în acelaşi ochi trebuie să fie de minimum patru săptămâni.</w:t>
      </w:r>
    </w:p>
    <w:p w14:paraId="61665BCB"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2EDC5FFA"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2. Mod de administrare</w:t>
      </w:r>
    </w:p>
    <w:p w14:paraId="575ABC81"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Flacon de unică folosinţă, exclusiv pentru administrare intravitreană.</w:t>
      </w:r>
    </w:p>
    <w:p w14:paraId="4EFE9407" w14:textId="4B5EB112"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Deoarece volumul conținut de flacon (0,23 ml) este mai mare decât doza recomandată (0,05 ml pentru adulți), o parte din volumul conținut de flacon trebuie eliminată înainte de administrare.</w:t>
      </w:r>
    </w:p>
    <w:p w14:paraId="2A248ED4"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781B15A"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Flaconul trebuie inspectat vizual înainte de administrare pentru a detecta eventualele particule şi modificări de culoare.</w:t>
      </w:r>
    </w:p>
    <w:p w14:paraId="1A1C5111"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657D973E" w14:textId="4B586B61"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b/>
          <w:sz w:val="24"/>
          <w:szCs w:val="24"/>
        </w:rPr>
        <w:lastRenderedPageBreak/>
        <w:t>Procedura de injectare</w:t>
      </w:r>
      <w:r w:rsidRPr="0049126A">
        <w:rPr>
          <w:rFonts w:ascii="Times New Roman" w:eastAsia="Calibri" w:hAnsi="Times New Roman" w:cs="Times New Roman"/>
          <w:sz w:val="24"/>
          <w:szCs w:val="24"/>
        </w:rPr>
        <w:t xml:space="preserve"> trebuie să aibă loc în condiţii aseptice, ceea ce presupune utilizarea unui dezinfectant chirurgical pentru mâini, utilizarea de mănuşi sterile, a unui câmp steril şi a unui blefarostat steril (sau un echivalent) şi disponibilitatea de a efectua o paracenteză sterilă (dacă este cazul). Antecedentele medicale ale pacientului privind reacţiile de hipersensibilitate trebuie evaluate cu atenţie înainte de efectuarea procedurii intravitroase. </w:t>
      </w:r>
    </w:p>
    <w:p w14:paraId="578816CF"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E2025A7"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Înainte de injectare trebuie să se administreze un anestezic adecvat şi un bactericid topic cu spectru larg pentru a dezinfecta tegumentul periocular, suprafaţa pleoapelor şi suprafaţa oculară, în conformitate cu practica locală.</w:t>
      </w:r>
    </w:p>
    <w:p w14:paraId="1ADFDB18"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5251425F" w14:textId="0ABBECB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La adulți, pentru injectare, acul trebuie introdus la 3,5-4,0 mm în spatele limbului, în cavitatea vitreană, evitându-se meridianul orizontal şi ţintind spre centrul globului ocular. Apoi se administrează volumul de injectat de 0,05 ml; pentru următoarele injectări trebuie utilizată o altă zonă sclerală.</w:t>
      </w:r>
    </w:p>
    <w:p w14:paraId="126C1406"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5748F807"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3. Perioada de tratament</w:t>
      </w:r>
    </w:p>
    <w:p w14:paraId="25601A2F" w14:textId="18E4DDAB"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Tratamentul la adulți este început cu o injecţie pe lună până când se atinge acuitatea vizuală maximă şi/sau nu există semne de evoluţie a bolii, şi anume acuitatea vizuală a pacientului este stabilă şi nu apar modificări ale altor semne şi simptome ale bolii în timpul continuării tratamentului. </w:t>
      </w:r>
    </w:p>
    <w:p w14:paraId="1F18BA92"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72D9374A"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În continuare, intervalele de monitorizare şi tratament trebuie stabilite de medic şi trebuie să fie în funcţie de evoluţia bolii, conform evaluării parametrilor acuităţii vizuale şi/sau anatomici. Dacă, în opinia medicului, parametrii vizuali şi anatomici indică faptul că pacientul nu are beneficii în urma tratamentului continuu, administrarea ranibizumab trebuie întreruptă. </w:t>
      </w:r>
    </w:p>
    <w:p w14:paraId="12BA3787"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22B1742"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Monitorizarea evoluţiei bolii poate include examinarea clinică, testarea funcţională sau tehnici de imagistică medicală (de exemplu, tomografie în coerenţă optică maculară sau angiografie cu fluoresceină).</w:t>
      </w:r>
    </w:p>
    <w:p w14:paraId="115823B3"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A27FEBE" w14:textId="0CF0EA45"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Dacă pacienţii sunt trataţi conform schemei de tratament cu posibilitate de prelungire, odată ce este obţinută acuitatea vizuală maximă şi/sau nu există semne de evoluţie a bolii, intervalele de administrare a tratamentului pot fi prelungite treptat până când reapar semnele de evoluţie a bolii sau acuitatea vizuală este afectată. </w:t>
      </w:r>
    </w:p>
    <w:p w14:paraId="7D5E3A34"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0B64889B"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Intervalul de administrare a tratamentului trebuie prelungit cu maximum până la o lună o dată pentru EMD. </w:t>
      </w:r>
    </w:p>
    <w:p w14:paraId="2AD96406"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Intervalul de administrare a tratamentului trebuie prelungit cu maximum două săptămâni o dată pentru DMLV, forma umedă.</w:t>
      </w:r>
    </w:p>
    <w:p w14:paraId="70DEF91E"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Dacă reapare evoluţia bolii, intervalul de administrare a tratamentului trebuie scurtat în consecinţă.</w:t>
      </w:r>
    </w:p>
    <w:p w14:paraId="3507E3EB"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0ABF7721"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Ranibizumab şi fotocoagularea cu laser în cazul EMD </w:t>
      </w:r>
    </w:p>
    <w:p w14:paraId="6E49EEC6"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Există o oarecare experienţă privind ranibizumab administrat concomitent cu fotocoagulare cu laser. Atunci când se administrează în aceeaşi zi, ranibizumab trebuie administrat la cel puţin 30 minute după fotocoaguarea cu laser. Ranibizumab poate fi administrat si pacienţilor cărora li </w:t>
      </w:r>
    </w:p>
    <w:p w14:paraId="255A0E34"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s-a administrat anterior fotocoagulare cu laser.</w:t>
      </w:r>
    </w:p>
    <w:p w14:paraId="0ADFA681"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22EBD53A" w14:textId="77777777" w:rsidR="001729A3" w:rsidRPr="0049126A" w:rsidRDefault="001729A3" w:rsidP="001729A3">
      <w:pPr>
        <w:spacing w:after="0" w:line="276" w:lineRule="auto"/>
        <w:jc w:val="both"/>
        <w:rPr>
          <w:rFonts w:ascii="Times New Roman" w:eastAsia="Calibri" w:hAnsi="Times New Roman" w:cs="Times New Roman"/>
          <w:b/>
          <w:sz w:val="24"/>
          <w:szCs w:val="24"/>
        </w:rPr>
      </w:pPr>
    </w:p>
    <w:p w14:paraId="41034C86"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lastRenderedPageBreak/>
        <w:t>4. Ajustare doze</w:t>
      </w:r>
    </w:p>
    <w:p w14:paraId="369B8A38" w14:textId="22AA4CAB" w:rsidR="001729A3" w:rsidRPr="0049126A" w:rsidRDefault="001729A3" w:rsidP="00367864">
      <w:pPr>
        <w:pStyle w:val="ListParagraph"/>
        <w:numPr>
          <w:ilvl w:val="0"/>
          <w:numId w:val="141"/>
        </w:numPr>
        <w:spacing w:line="276" w:lineRule="auto"/>
        <w:jc w:val="both"/>
        <w:rPr>
          <w:rFonts w:eastAsia="Calibri"/>
          <w:color w:val="auto"/>
        </w:rPr>
      </w:pPr>
      <w:r w:rsidRPr="0049126A">
        <w:rPr>
          <w:rFonts w:eastAsia="Calibri"/>
          <w:color w:val="auto"/>
        </w:rPr>
        <w:t>Vârstnici</w:t>
      </w:r>
    </w:p>
    <w:p w14:paraId="08126282" w14:textId="6AA3946F" w:rsidR="001729A3" w:rsidRPr="0049126A" w:rsidRDefault="001729A3" w:rsidP="00367864">
      <w:pPr>
        <w:pStyle w:val="ListParagraph"/>
        <w:numPr>
          <w:ilvl w:val="0"/>
          <w:numId w:val="142"/>
        </w:numPr>
        <w:spacing w:line="276" w:lineRule="auto"/>
        <w:ind w:left="1134"/>
        <w:jc w:val="both"/>
        <w:rPr>
          <w:rFonts w:eastAsia="Calibri"/>
          <w:color w:val="auto"/>
        </w:rPr>
      </w:pPr>
      <w:r w:rsidRPr="0049126A">
        <w:rPr>
          <w:rFonts w:eastAsia="Calibri"/>
          <w:color w:val="auto"/>
        </w:rPr>
        <w:t>Nu este necesară ajustarea dozei la vârstnici. Există experienţă limitată la pacienţii cu EMD/DMLV, cu vârsta peste 75 ani.</w:t>
      </w:r>
    </w:p>
    <w:p w14:paraId="4459D8BD" w14:textId="68EBC400" w:rsidR="001729A3" w:rsidRPr="0049126A" w:rsidRDefault="001729A3" w:rsidP="00367864">
      <w:pPr>
        <w:pStyle w:val="ListParagraph"/>
        <w:numPr>
          <w:ilvl w:val="0"/>
          <w:numId w:val="141"/>
        </w:numPr>
        <w:spacing w:line="276" w:lineRule="auto"/>
        <w:jc w:val="both"/>
        <w:rPr>
          <w:rFonts w:eastAsia="Calibri"/>
          <w:color w:val="auto"/>
        </w:rPr>
      </w:pPr>
      <w:r w:rsidRPr="0049126A">
        <w:rPr>
          <w:rFonts w:eastAsia="Calibri"/>
          <w:color w:val="auto"/>
        </w:rPr>
        <w:t>Insuficienţă renală</w:t>
      </w:r>
    </w:p>
    <w:p w14:paraId="45DC9763" w14:textId="660A4287" w:rsidR="001729A3" w:rsidRPr="0049126A" w:rsidRDefault="001729A3" w:rsidP="00367864">
      <w:pPr>
        <w:pStyle w:val="ListParagraph"/>
        <w:numPr>
          <w:ilvl w:val="0"/>
          <w:numId w:val="142"/>
        </w:numPr>
        <w:spacing w:line="276" w:lineRule="auto"/>
        <w:ind w:left="1134"/>
        <w:jc w:val="both"/>
        <w:rPr>
          <w:rFonts w:eastAsia="Calibri"/>
          <w:color w:val="auto"/>
        </w:rPr>
      </w:pPr>
      <w:r w:rsidRPr="0049126A">
        <w:rPr>
          <w:rFonts w:eastAsia="Calibri"/>
          <w:color w:val="auto"/>
        </w:rPr>
        <w:t>Nu este necesară ajustarea dozei la pacienţii cu insuficienţă renală.</w:t>
      </w:r>
    </w:p>
    <w:p w14:paraId="3AA88ACE" w14:textId="7A4BEEC5" w:rsidR="001729A3" w:rsidRPr="0049126A" w:rsidRDefault="001729A3" w:rsidP="00367864">
      <w:pPr>
        <w:pStyle w:val="ListParagraph"/>
        <w:numPr>
          <w:ilvl w:val="0"/>
          <w:numId w:val="141"/>
        </w:numPr>
        <w:spacing w:line="276" w:lineRule="auto"/>
        <w:jc w:val="both"/>
        <w:rPr>
          <w:rFonts w:eastAsia="Calibri"/>
          <w:color w:val="auto"/>
        </w:rPr>
      </w:pPr>
      <w:r w:rsidRPr="0049126A">
        <w:rPr>
          <w:rFonts w:eastAsia="Calibri"/>
          <w:color w:val="auto"/>
        </w:rPr>
        <w:t>Insuficienţă hepatică</w:t>
      </w:r>
    </w:p>
    <w:p w14:paraId="6EE1D281" w14:textId="27CAEA17" w:rsidR="001729A3" w:rsidRPr="0049126A" w:rsidRDefault="001729A3" w:rsidP="00367864">
      <w:pPr>
        <w:pStyle w:val="ListParagraph"/>
        <w:numPr>
          <w:ilvl w:val="0"/>
          <w:numId w:val="142"/>
        </w:numPr>
        <w:spacing w:line="276" w:lineRule="auto"/>
        <w:ind w:left="1134"/>
        <w:jc w:val="both"/>
        <w:rPr>
          <w:rFonts w:eastAsia="Calibri"/>
          <w:color w:val="auto"/>
        </w:rPr>
      </w:pPr>
      <w:r w:rsidRPr="0049126A">
        <w:rPr>
          <w:rFonts w:eastAsia="Calibri"/>
          <w:color w:val="auto"/>
        </w:rPr>
        <w:t>Ranibizumab nu a fost studiat la pacienţii cu insuficienţă hepatică. Cu toate acestea, nu sunt necesare precauţii speciale la această grupă de pacienţi.</w:t>
      </w:r>
    </w:p>
    <w:p w14:paraId="68559E9D"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7B2E1B3" w14:textId="7DF87B3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IV. Contraindicaţii</w:t>
      </w:r>
    </w:p>
    <w:p w14:paraId="648962BF" w14:textId="25F0BBEA" w:rsidR="001729A3" w:rsidRPr="0049126A" w:rsidRDefault="001729A3" w:rsidP="00367864">
      <w:pPr>
        <w:pStyle w:val="ListParagraph"/>
        <w:numPr>
          <w:ilvl w:val="0"/>
          <w:numId w:val="144"/>
        </w:numPr>
        <w:spacing w:line="276" w:lineRule="auto"/>
        <w:jc w:val="both"/>
        <w:rPr>
          <w:rFonts w:eastAsia="Calibri"/>
          <w:color w:val="auto"/>
        </w:rPr>
      </w:pPr>
      <w:r w:rsidRPr="0049126A">
        <w:rPr>
          <w:rFonts w:eastAsia="Calibri"/>
          <w:color w:val="auto"/>
        </w:rPr>
        <w:t>Pacienţii cu infecţii oculare sau perioculare active sau suspectate.</w:t>
      </w:r>
    </w:p>
    <w:p w14:paraId="059E279C" w14:textId="6868451E" w:rsidR="001729A3" w:rsidRPr="0049126A" w:rsidRDefault="001729A3" w:rsidP="00367864">
      <w:pPr>
        <w:pStyle w:val="ListParagraph"/>
        <w:numPr>
          <w:ilvl w:val="0"/>
          <w:numId w:val="144"/>
        </w:numPr>
        <w:spacing w:line="276" w:lineRule="auto"/>
        <w:jc w:val="both"/>
        <w:rPr>
          <w:rFonts w:eastAsia="Calibri"/>
          <w:color w:val="auto"/>
        </w:rPr>
      </w:pPr>
      <w:r w:rsidRPr="0049126A">
        <w:rPr>
          <w:rFonts w:eastAsia="Calibri"/>
          <w:color w:val="auto"/>
        </w:rPr>
        <w:t>Pacienţii cu inflamaţii intraoculare active severe.</w:t>
      </w:r>
    </w:p>
    <w:p w14:paraId="1F624691"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839F9AD" w14:textId="409BEEE8"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V. Reacţii adverse</w:t>
      </w:r>
    </w:p>
    <w:p w14:paraId="032C22E4"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Majoritatea reacţiilor adverse raportate după administrarea ranibizumab sunt legate de procedura de injectare intravitroasă ( a se consulta RCP produs)</w:t>
      </w:r>
    </w:p>
    <w:p w14:paraId="4F432B6A"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5EE57041"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VI. Atenţionări şi precauţii speciale pentru utilizare</w:t>
      </w:r>
    </w:p>
    <w:p w14:paraId="231049ED" w14:textId="39291E50"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 xml:space="preserve">Trasabilitate </w:t>
      </w:r>
    </w:p>
    <w:p w14:paraId="42F0DA8B"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Pentru a avea sub control trasabilitatea medicamentelor biologice, numele și numărul lotului medicamentului administrat trebuie înregistrate cu atenție în registrul de la sala de operaţii sau sala de tratament unde s-a efectuat injectarea.</w:t>
      </w:r>
    </w:p>
    <w:p w14:paraId="3E797D58" w14:textId="77777777" w:rsidR="001729A3" w:rsidRPr="0049126A" w:rsidRDefault="001729A3" w:rsidP="001729A3">
      <w:pPr>
        <w:spacing w:after="0" w:line="276" w:lineRule="auto"/>
        <w:jc w:val="both"/>
        <w:rPr>
          <w:rFonts w:ascii="Times New Roman" w:eastAsia="Calibri" w:hAnsi="Times New Roman" w:cs="Times New Roman"/>
          <w:sz w:val="24"/>
          <w:szCs w:val="24"/>
          <w:u w:val="single"/>
        </w:rPr>
      </w:pPr>
    </w:p>
    <w:p w14:paraId="2CFCF158" w14:textId="797CA958"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Reacţii aferente injectării intravitreene</w:t>
      </w:r>
    </w:p>
    <w:p w14:paraId="7EC3978E"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 Injectările intravitreene, inclusiv cele cu ranibizumab, s-au asociat cu endoftalmită, inflamaţii intraoculare, dezlipire regmatogenă de retină, ruptură retiniană şi cataractă traumatică iatrogenă. Atunci când se administrează ranibizumab, trebuie întotdeauna să se folosească tehnici adecvate de injectare aseptică. Suplimentar, pacienţii trebuie monitorizaţi în timpul săptămânii ulterioare injectării, pentru a permite tratamentul precoce în cazul apariţiei unei infecţii. Pacienţii trebuie atenţionaţi să raporteze fără întârziere oricare simptome care indică endoftalmita sau oricare dintre evenimentele menţionate mai sus.</w:t>
      </w:r>
    </w:p>
    <w:p w14:paraId="52CB7F0F"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09A1394" w14:textId="55CA73DB"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Creşteri ale presiunii intraoculare</w:t>
      </w:r>
    </w:p>
    <w:p w14:paraId="034731C8" w14:textId="59DCF502"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 La adulți, s-au observat creşteri tranzitorii ale presiunii intraoculare (PIO) după 60 minute de la injectarea ranibizumab. De asemenea, au fost identificate creşteri susţinute ale PIO. Atât presiunea intraoculară, cât şi perfuzarea nervului optic trebuie monitorizate şi menţinute la valori corespunzătoare. Pacienţii trebuie informaţi cu privire la simptomele acestor reacţii adverse posibile şi trebuie sfătuiţi să se adreseze medicului curant dacă prezintă aceste semne, cum sunt durere oculară sau senzaţie accentuată de disconfort, agravare a înroşirii ochilor, vedere înceţoşată sau reducerea acuităţii vizuale, intensificare a senzaţiei de corp străin în ochi sau sensibilitate accentuată la lumină.</w:t>
      </w:r>
    </w:p>
    <w:p w14:paraId="005DBCD5"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F6907AC" w14:textId="5D4D7A68"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 xml:space="preserve">Tratament bilateral </w:t>
      </w:r>
    </w:p>
    <w:p w14:paraId="3B582062"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Datele limitate privind utilizarea bilaterală a ranibizumab (inclusiv administrarea în aceeaşi zi) nu sugerează un risc crescut de apariţie a evenimentelor adverse sistemice comparativ cu tratamentul unilateral.</w:t>
      </w:r>
    </w:p>
    <w:p w14:paraId="5F9C984F"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EDF33B5" w14:textId="0CB0398D"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lastRenderedPageBreak/>
        <w:t>Imunogenitate</w:t>
      </w:r>
    </w:p>
    <w:p w14:paraId="13CF7402" w14:textId="158BF07C"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Ranibizumab prezintă un potenţial de imunogenitate. pacienţii trebuie atenţionaţi să raporteze creşterea severităţii oricărei inflamaţii intraoculare, care poate fi un simptom clinic pus pe seama formării de anticorpi intraoculari.</w:t>
      </w:r>
    </w:p>
    <w:p w14:paraId="31B66E19"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8A22E9F" w14:textId="34957A19"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u w:val="single"/>
        </w:rPr>
        <w:t>Utilizarea concomitentă a altor anti-FECV</w:t>
      </w:r>
      <w:r w:rsidRPr="0049126A">
        <w:rPr>
          <w:rFonts w:ascii="Times New Roman" w:eastAsia="Calibri" w:hAnsi="Times New Roman" w:cs="Times New Roman"/>
          <w:sz w:val="24"/>
          <w:szCs w:val="24"/>
        </w:rPr>
        <w:t xml:space="preserve"> (factor endotelial de creştere vasculară)</w:t>
      </w:r>
    </w:p>
    <w:p w14:paraId="20E33E97" w14:textId="3EAA7093"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Ranibizumab nu trebuie administrat concomitent cu alte medicamente anti-FECV (sistemice sau oculare).</w:t>
      </w:r>
    </w:p>
    <w:p w14:paraId="3DF17A74"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48E4DC81" w14:textId="7F92DB34"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Fertilitatea</w:t>
      </w:r>
    </w:p>
    <w:p w14:paraId="1319B972" w14:textId="73F38416"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Femeile aflate la vârsta fertilă trebuie să utilizeze măsuri contraceptive eficace în timpul tratamentului. Nu există date disponibile privind fertilitatea.</w:t>
      </w:r>
    </w:p>
    <w:p w14:paraId="601F38ED"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5CEBFD24" w14:textId="77777777"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Sarcina</w:t>
      </w:r>
    </w:p>
    <w:p w14:paraId="645B26CB"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Expunerea sistemică la ranibizumab este scăzută după administrarea oculară, dar din cauza mecanismului său de acţiune, ranibizumabul trebuie considerat ca fiind potenţial teratogen şi embrio-/fetotoxic. Astfel, ranibizumabul nu trebuie utilizat în timpul sarcinii decât dacă beneficiul anticipat depăşeşte riscul potenţial pentru făt. Femeilor care doresc să rămână gravide şi au fost tratate cu ranibizumab li se recomandă să aştepte ce puţin 3 luni de la administrarea ultimei doze de ranibizumab înainte de a concepe un copil. </w:t>
      </w:r>
    </w:p>
    <w:p w14:paraId="28D7BC88"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17EC15FC" w14:textId="77777777"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Alăptarea</w:t>
      </w:r>
    </w:p>
    <w:p w14:paraId="57142F06"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Nu se recomandă alăptarea în timpul utilizării ranibizumab. </w:t>
      </w:r>
    </w:p>
    <w:p w14:paraId="013BEDCD"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C5CE826" w14:textId="3FF0500E"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Efecte asupra capacităţii de a conduce vehicule şi de a folosi utilaje</w:t>
      </w:r>
    </w:p>
    <w:p w14:paraId="5342D404"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 xml:space="preserve"> Procedura de administrare a tratamentului poate determina tulburări de vedere temporare, care pot afecta capacitatea de a conduce vehicule sau de a folosi utilaje. Pacienţii care prezintă aceste simptome nu trebuie să conducă vehicule sau să folosească utilaje până când aceste tulburări de vedere temporare nu dispar.</w:t>
      </w:r>
    </w:p>
    <w:p w14:paraId="725E2CCA"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45CC91F7" w14:textId="731E743D" w:rsidR="001729A3" w:rsidRPr="0049126A" w:rsidRDefault="001729A3" w:rsidP="001729A3">
      <w:pPr>
        <w:spacing w:after="0" w:line="276" w:lineRule="auto"/>
        <w:jc w:val="both"/>
        <w:rPr>
          <w:rFonts w:ascii="Times New Roman" w:eastAsia="Calibri" w:hAnsi="Times New Roman" w:cs="Times New Roman"/>
          <w:sz w:val="24"/>
          <w:szCs w:val="24"/>
          <w:u w:val="single"/>
        </w:rPr>
      </w:pPr>
      <w:r w:rsidRPr="0049126A">
        <w:rPr>
          <w:rFonts w:ascii="Times New Roman" w:eastAsia="Calibri" w:hAnsi="Times New Roman" w:cs="Times New Roman"/>
          <w:sz w:val="24"/>
          <w:szCs w:val="24"/>
          <w:u w:val="single"/>
        </w:rPr>
        <w:t>Pacienţii cu antecedente de accident vascular cerebral</w:t>
      </w:r>
    </w:p>
    <w:p w14:paraId="54089BE1"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Există date limitate privind siguranţa tratamentului pentru EMD/DMLV, la pacienţii cu antecedente de accident vascular cerebral sau accidente vasculare ischemice tranzitorii. Este necesară precauţie în cazul tratamentului acestor pacienţi.</w:t>
      </w:r>
    </w:p>
    <w:p w14:paraId="5D4EB040" w14:textId="77777777" w:rsidR="001729A3" w:rsidRPr="0049126A" w:rsidRDefault="001729A3" w:rsidP="001729A3">
      <w:pPr>
        <w:spacing w:after="0" w:line="276" w:lineRule="auto"/>
        <w:jc w:val="both"/>
        <w:rPr>
          <w:rFonts w:ascii="Times New Roman" w:eastAsia="Calibri" w:hAnsi="Times New Roman" w:cs="Times New Roman"/>
          <w:b/>
          <w:sz w:val="24"/>
          <w:szCs w:val="24"/>
        </w:rPr>
      </w:pPr>
    </w:p>
    <w:p w14:paraId="2ECC5F4B"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VII. Monitorizarea tratamentului/criterii de evaluare a eficacităţii terapeutice</w:t>
      </w:r>
    </w:p>
    <w:p w14:paraId="71708421"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Monitorizarea evoluţiei bolii după tratament şi evaluarea eficacităţii acestuia include examinarea clinică, testarea funcţională (acuitatea vizuală) sau tehnici de imagistică medicală (de exemplu, tomografie în coerenţă optică maculară sau angiografie cu fluoresceină) pentru măsurarea grosimii maculei la o lună postinjecţie.</w:t>
      </w:r>
    </w:p>
    <w:p w14:paraId="0489D58F" w14:textId="77777777" w:rsidR="001729A3" w:rsidRPr="0049126A" w:rsidRDefault="001729A3" w:rsidP="001729A3">
      <w:pPr>
        <w:spacing w:after="0" w:line="276" w:lineRule="auto"/>
        <w:jc w:val="both"/>
        <w:rPr>
          <w:rFonts w:ascii="Times New Roman" w:eastAsia="Calibri" w:hAnsi="Times New Roman" w:cs="Times New Roman"/>
          <w:sz w:val="24"/>
          <w:szCs w:val="24"/>
        </w:rPr>
      </w:pPr>
    </w:p>
    <w:p w14:paraId="36D29442" w14:textId="07F5FB33"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VIII. Întreruperea tratamentului</w:t>
      </w:r>
    </w:p>
    <w:p w14:paraId="478E827D" w14:textId="77777777"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Situaţiile de întrerupere definitivă sunt :</w:t>
      </w:r>
    </w:p>
    <w:p w14:paraId="4130DF6F" w14:textId="405F1991" w:rsidR="001729A3" w:rsidRPr="0049126A" w:rsidRDefault="001729A3" w:rsidP="00367864">
      <w:pPr>
        <w:pStyle w:val="ListParagraph"/>
        <w:numPr>
          <w:ilvl w:val="0"/>
          <w:numId w:val="143"/>
        </w:numPr>
        <w:spacing w:line="276" w:lineRule="auto"/>
        <w:jc w:val="both"/>
        <w:rPr>
          <w:rFonts w:eastAsia="Calibri"/>
          <w:color w:val="auto"/>
        </w:rPr>
      </w:pPr>
      <w:r w:rsidRPr="0049126A">
        <w:rPr>
          <w:rFonts w:eastAsia="Calibri"/>
          <w:color w:val="auto"/>
        </w:rPr>
        <w:t>refuzul pacientului de a mai continua tratamentul;</w:t>
      </w:r>
    </w:p>
    <w:p w14:paraId="0AF87FFE" w14:textId="46A2101F" w:rsidR="001729A3" w:rsidRPr="0049126A" w:rsidRDefault="001729A3" w:rsidP="00367864">
      <w:pPr>
        <w:pStyle w:val="ListParagraph"/>
        <w:numPr>
          <w:ilvl w:val="0"/>
          <w:numId w:val="143"/>
        </w:numPr>
        <w:spacing w:line="276" w:lineRule="auto"/>
        <w:jc w:val="both"/>
        <w:rPr>
          <w:rFonts w:eastAsia="Calibri"/>
          <w:color w:val="auto"/>
        </w:rPr>
      </w:pPr>
      <w:r w:rsidRPr="0049126A">
        <w:rPr>
          <w:rFonts w:eastAsia="Calibri"/>
          <w:color w:val="auto"/>
        </w:rPr>
        <w:t xml:space="preserve">parametrii vizuali şi anatomici indică faptul că pacientul nu are beneficii în urma tratamentului continuu, cu o deteriorare  persistentă a acuităţii vizuale şi identificarea modificărilor anatomice care sugerează răspuns neadecvat la terapie. Aceste evidenţe include creşterea </w:t>
      </w:r>
      <w:r w:rsidRPr="0049126A">
        <w:rPr>
          <w:rFonts w:eastAsia="Calibri"/>
          <w:color w:val="auto"/>
        </w:rPr>
        <w:lastRenderedPageBreak/>
        <w:t xml:space="preserve">progresivă în dimensiuni a leziunii confirmată prin angiofluorografie, înrăutăţirea parametrilor OCT indicatori ai neovascularizaţiei coroidiene sau alte evidenţe care demonstrează progresia bolii ( hemoragii noi semnificative sau exudate) în ciuda tratamentului optim la 3 vizite consecutive;  </w:t>
      </w:r>
    </w:p>
    <w:p w14:paraId="7A52DE81" w14:textId="4A2C6EBB" w:rsidR="001729A3" w:rsidRPr="0049126A" w:rsidRDefault="001729A3" w:rsidP="00367864">
      <w:pPr>
        <w:pStyle w:val="ListParagraph"/>
        <w:numPr>
          <w:ilvl w:val="0"/>
          <w:numId w:val="143"/>
        </w:numPr>
        <w:spacing w:line="276" w:lineRule="auto"/>
        <w:jc w:val="both"/>
        <w:rPr>
          <w:rFonts w:eastAsia="Calibri"/>
          <w:color w:val="auto"/>
        </w:rPr>
      </w:pPr>
      <w:r w:rsidRPr="0049126A">
        <w:rPr>
          <w:rFonts w:eastAsia="Calibri"/>
          <w:color w:val="auto"/>
        </w:rPr>
        <w:t>hipersensibilitate stabilită sau suspicionată la unul din componentele medicamentului;</w:t>
      </w:r>
    </w:p>
    <w:p w14:paraId="582EF3A6" w14:textId="44827FE8" w:rsidR="001729A3" w:rsidRPr="0049126A" w:rsidRDefault="001729A3" w:rsidP="00367864">
      <w:pPr>
        <w:pStyle w:val="ListParagraph"/>
        <w:numPr>
          <w:ilvl w:val="0"/>
          <w:numId w:val="143"/>
        </w:numPr>
        <w:spacing w:line="276" w:lineRule="auto"/>
        <w:jc w:val="both"/>
        <w:rPr>
          <w:rFonts w:eastAsia="Calibri"/>
          <w:color w:val="auto"/>
        </w:rPr>
      </w:pPr>
      <w:r w:rsidRPr="0049126A">
        <w:rPr>
          <w:rFonts w:eastAsia="Calibri"/>
          <w:color w:val="auto"/>
        </w:rPr>
        <w:t>scăderea acuităţii vizuale cu cea mai bună corecţie în ochiul tratat la mai puţin de 15 litere (absolute) la 2 vizite consecutive ale ochiului tratat atribuibile DMLV, în absenţa altei patologii;</w:t>
      </w:r>
    </w:p>
    <w:p w14:paraId="1C45F9A7" w14:textId="3128E75E" w:rsidR="001729A3" w:rsidRPr="0049126A" w:rsidRDefault="001729A3" w:rsidP="00367864">
      <w:pPr>
        <w:pStyle w:val="ListParagraph"/>
        <w:numPr>
          <w:ilvl w:val="0"/>
          <w:numId w:val="143"/>
        </w:numPr>
        <w:spacing w:line="276" w:lineRule="auto"/>
        <w:jc w:val="both"/>
        <w:rPr>
          <w:rFonts w:eastAsia="Calibri"/>
          <w:color w:val="auto"/>
        </w:rPr>
      </w:pPr>
      <w:r w:rsidRPr="0049126A">
        <w:rPr>
          <w:rFonts w:eastAsia="Calibri"/>
          <w:color w:val="auto"/>
        </w:rPr>
        <w:t xml:space="preserve">scăderea acuităţii vizuale cu cea mai bună corecţie în ochiul tratat cu &gt; de 30 de litere comparativ cu vizita baseline sau cu valoarea cea mai bună a acuităţii vizuale obţinută de la vizita baseline , indicând fie un efect slab al tratamentului, fie un efect advers; </w:t>
      </w:r>
    </w:p>
    <w:p w14:paraId="021D885A" w14:textId="77777777" w:rsidR="00937483" w:rsidRPr="0049126A" w:rsidRDefault="00937483" w:rsidP="001729A3">
      <w:pPr>
        <w:spacing w:after="0" w:line="276" w:lineRule="auto"/>
        <w:jc w:val="both"/>
        <w:rPr>
          <w:rFonts w:ascii="Times New Roman" w:eastAsia="Calibri" w:hAnsi="Times New Roman" w:cs="Times New Roman"/>
          <w:sz w:val="24"/>
          <w:szCs w:val="24"/>
        </w:rPr>
      </w:pPr>
    </w:p>
    <w:p w14:paraId="4387470C"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Situaţiile de întrerupere temporară includ:</w:t>
      </w:r>
    </w:p>
    <w:p w14:paraId="37BD66DC" w14:textId="709243E1" w:rsidR="001729A3" w:rsidRPr="0049126A" w:rsidRDefault="00937483" w:rsidP="00937483">
      <w:pPr>
        <w:spacing w:after="0" w:line="276" w:lineRule="auto"/>
        <w:contextualSpacing/>
        <w:jc w:val="both"/>
        <w:rPr>
          <w:rFonts w:ascii="Times New Roman" w:eastAsia="Calibri" w:hAnsi="Times New Roman" w:cs="Times New Roman"/>
          <w:b/>
          <w:sz w:val="24"/>
          <w:szCs w:val="24"/>
        </w:rPr>
      </w:pPr>
      <w:r w:rsidRPr="0049126A">
        <w:rPr>
          <w:rFonts w:ascii="Times New Roman" w:eastAsia="Times New Roman" w:hAnsi="Times New Roman" w:cs="Times New Roman"/>
          <w:b/>
          <w:bCs/>
          <w:sz w:val="24"/>
          <w:szCs w:val="24"/>
        </w:rPr>
        <w:t xml:space="preserve">1. </w:t>
      </w:r>
      <w:r w:rsidR="001729A3" w:rsidRPr="0049126A">
        <w:rPr>
          <w:rFonts w:ascii="Times New Roman" w:eastAsia="Times New Roman" w:hAnsi="Times New Roman" w:cs="Times New Roman"/>
          <w:b/>
          <w:bCs/>
          <w:sz w:val="24"/>
          <w:szCs w:val="24"/>
        </w:rPr>
        <w:t xml:space="preserve">Inactivarea bolii </w:t>
      </w:r>
    </w:p>
    <w:p w14:paraId="781FD50B" w14:textId="77777777" w:rsidR="001729A3" w:rsidRPr="0049126A" w:rsidRDefault="001729A3" w:rsidP="00937483">
      <w:pPr>
        <w:spacing w:after="0" w:line="276" w:lineRule="auto"/>
        <w:contextualSpacing/>
        <w:jc w:val="both"/>
        <w:rPr>
          <w:rFonts w:ascii="Times New Roman" w:eastAsia="Times New Roman" w:hAnsi="Times New Roman" w:cs="Times New Roman"/>
          <w:bCs/>
          <w:sz w:val="24"/>
          <w:szCs w:val="24"/>
        </w:rPr>
      </w:pPr>
      <w:r w:rsidRPr="0049126A">
        <w:rPr>
          <w:rFonts w:ascii="Times New Roman" w:eastAsia="Times New Roman" w:hAnsi="Times New Roman" w:cs="Times New Roman"/>
          <w:bCs/>
          <w:sz w:val="24"/>
          <w:szCs w:val="24"/>
        </w:rPr>
        <w:t>Boala se consideră inactivă când:</w:t>
      </w:r>
    </w:p>
    <w:p w14:paraId="783D0001" w14:textId="53B8877E" w:rsidR="001729A3" w:rsidRPr="0049126A" w:rsidRDefault="001729A3" w:rsidP="00367864">
      <w:pPr>
        <w:pStyle w:val="ListParagraph"/>
        <w:numPr>
          <w:ilvl w:val="0"/>
          <w:numId w:val="145"/>
        </w:numPr>
        <w:spacing w:line="276" w:lineRule="auto"/>
        <w:ind w:left="567" w:hanging="283"/>
        <w:contextualSpacing/>
        <w:jc w:val="both"/>
        <w:rPr>
          <w:bCs/>
          <w:color w:val="auto"/>
        </w:rPr>
      </w:pPr>
      <w:r w:rsidRPr="0049126A">
        <w:rPr>
          <w:bCs/>
          <w:color w:val="auto"/>
        </w:rPr>
        <w:t>fluid persistent în absenţa leakage-ului demonstrat de angiofluorografie sau alte evidenţe care să sugereze lipsa de creştere în dimensiune a leziunii, lipsa de noi hemoragii sau exudate;</w:t>
      </w:r>
    </w:p>
    <w:p w14:paraId="57360DB0" w14:textId="6932C1BD" w:rsidR="001729A3" w:rsidRPr="0049126A" w:rsidRDefault="001729A3" w:rsidP="00367864">
      <w:pPr>
        <w:pStyle w:val="ListParagraph"/>
        <w:numPr>
          <w:ilvl w:val="0"/>
          <w:numId w:val="145"/>
        </w:numPr>
        <w:spacing w:line="276" w:lineRule="auto"/>
        <w:ind w:left="567" w:hanging="283"/>
        <w:contextualSpacing/>
        <w:jc w:val="both"/>
        <w:rPr>
          <w:bCs/>
          <w:color w:val="auto"/>
        </w:rPr>
      </w:pPr>
      <w:r w:rsidRPr="0049126A">
        <w:rPr>
          <w:bCs/>
          <w:color w:val="auto"/>
        </w:rPr>
        <w:t>lipsa de înrăutăţire a indicatorilor OCT privind activitatea neovascularizaţiei coroidiene după discontinuitatea recentă a tratamentului;</w:t>
      </w:r>
    </w:p>
    <w:p w14:paraId="4FB8055C" w14:textId="5B3F6F1D" w:rsidR="001729A3" w:rsidRPr="0049126A" w:rsidRDefault="001729A3" w:rsidP="00367864">
      <w:pPr>
        <w:pStyle w:val="ListParagraph"/>
        <w:numPr>
          <w:ilvl w:val="0"/>
          <w:numId w:val="145"/>
        </w:numPr>
        <w:spacing w:line="276" w:lineRule="auto"/>
        <w:ind w:left="567" w:hanging="283"/>
        <w:contextualSpacing/>
        <w:jc w:val="both"/>
        <w:rPr>
          <w:bCs/>
          <w:color w:val="auto"/>
        </w:rPr>
      </w:pPr>
      <w:r w:rsidRPr="0049126A">
        <w:rPr>
          <w:bCs/>
          <w:color w:val="auto"/>
        </w:rPr>
        <w:t>lipsa creşterii leziunii după discontinuitatea recentă a tratamentului;</w:t>
      </w:r>
    </w:p>
    <w:p w14:paraId="61B26DE4" w14:textId="0AF21893" w:rsidR="001729A3" w:rsidRPr="0049126A" w:rsidRDefault="001729A3" w:rsidP="00367864">
      <w:pPr>
        <w:pStyle w:val="ListParagraph"/>
        <w:numPr>
          <w:ilvl w:val="0"/>
          <w:numId w:val="145"/>
        </w:numPr>
        <w:spacing w:line="276" w:lineRule="auto"/>
        <w:ind w:left="567" w:hanging="283"/>
        <w:contextualSpacing/>
        <w:jc w:val="both"/>
        <w:rPr>
          <w:rFonts w:eastAsia="Calibri"/>
          <w:color w:val="auto"/>
        </w:rPr>
      </w:pPr>
      <w:r w:rsidRPr="0049126A">
        <w:rPr>
          <w:bCs/>
          <w:color w:val="auto"/>
        </w:rPr>
        <w:t>lipsa deteriorării vederii atribuită activităţii neovascularizaţiei coroidiene.</w:t>
      </w:r>
    </w:p>
    <w:p w14:paraId="152EAB02" w14:textId="2F22C283" w:rsidR="001729A3" w:rsidRPr="0049126A" w:rsidRDefault="001729A3" w:rsidP="001729A3">
      <w:pPr>
        <w:spacing w:before="100" w:beforeAutospacing="1" w:after="100" w:afterAutospacing="1" w:line="276" w:lineRule="auto"/>
        <w:jc w:val="both"/>
        <w:rPr>
          <w:rFonts w:ascii="Times New Roman" w:eastAsia="Times New Roman" w:hAnsi="Times New Roman" w:cs="Times New Roman"/>
          <w:b/>
          <w:sz w:val="24"/>
          <w:szCs w:val="24"/>
        </w:rPr>
      </w:pPr>
      <w:r w:rsidRPr="0049126A">
        <w:rPr>
          <w:rFonts w:ascii="Times New Roman" w:eastAsia="Times New Roman" w:hAnsi="Times New Roman" w:cs="Times New Roman"/>
          <w:b/>
          <w:sz w:val="24"/>
          <w:szCs w:val="24"/>
        </w:rPr>
        <w:t>2. Prezenţa efectelor adverse legate de medicament sau procedura de injectare:</w:t>
      </w:r>
    </w:p>
    <w:p w14:paraId="3A6323C6" w14:textId="26F5B56D"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endoftalmita</w:t>
      </w:r>
    </w:p>
    <w:p w14:paraId="086037AD" w14:textId="2CD28902"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 xml:space="preserve">dezlipirea de retină </w:t>
      </w:r>
    </w:p>
    <w:p w14:paraId="6E44AC08" w14:textId="03837302"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uveită severă</w:t>
      </w:r>
    </w:p>
    <w:p w14:paraId="5B8893FC" w14:textId="77777777"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severe uncontrolled uveitis</w:t>
      </w:r>
    </w:p>
    <w:p w14:paraId="21A205BD" w14:textId="77777777"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d.infecţie perioculară în derulare</w:t>
      </w:r>
    </w:p>
    <w:p w14:paraId="5FC2D94F" w14:textId="73CD2DA0"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alte complicaţii oculare atribuite ranibizumab sau procedurii de injectare</w:t>
      </w:r>
    </w:p>
    <w:p w14:paraId="0EBB4D30" w14:textId="52FD6BFF" w:rsidR="001729A3" w:rsidRPr="0049126A" w:rsidRDefault="001729A3" w:rsidP="00367864">
      <w:pPr>
        <w:pStyle w:val="ListParagraph"/>
        <w:numPr>
          <w:ilvl w:val="0"/>
          <w:numId w:val="146"/>
        </w:numPr>
        <w:spacing w:before="100" w:beforeAutospacing="1" w:after="100" w:afterAutospacing="1" w:line="276" w:lineRule="auto"/>
        <w:ind w:left="567" w:hanging="283"/>
        <w:jc w:val="both"/>
        <w:rPr>
          <w:color w:val="auto"/>
        </w:rPr>
      </w:pPr>
      <w:r w:rsidRPr="0049126A">
        <w:rPr>
          <w:color w:val="auto"/>
        </w:rPr>
        <w:t xml:space="preserve">fenomene trombembolice, incluzând infarctul miocardic sau accidentele vasculare cerebrale în primele 3 luni după tratament sau fenomene trombembolice recurente în legătură cu tratamentul cu ranicizumab </w:t>
      </w:r>
    </w:p>
    <w:p w14:paraId="428CDD2A" w14:textId="77777777" w:rsidR="001729A3" w:rsidRPr="0049126A" w:rsidRDefault="001729A3" w:rsidP="001729A3">
      <w:pPr>
        <w:spacing w:after="0" w:line="276" w:lineRule="auto"/>
        <w:jc w:val="both"/>
        <w:rPr>
          <w:rFonts w:ascii="Times New Roman" w:eastAsia="Calibri" w:hAnsi="Times New Roman" w:cs="Times New Roman"/>
          <w:b/>
          <w:sz w:val="24"/>
          <w:szCs w:val="24"/>
        </w:rPr>
      </w:pPr>
      <w:r w:rsidRPr="0049126A">
        <w:rPr>
          <w:rFonts w:ascii="Times New Roman" w:eastAsia="Calibri" w:hAnsi="Times New Roman" w:cs="Times New Roman"/>
          <w:b/>
          <w:sz w:val="24"/>
          <w:szCs w:val="24"/>
        </w:rPr>
        <w:t>IX. Prescriptori</w:t>
      </w:r>
    </w:p>
    <w:p w14:paraId="310D6CF9" w14:textId="260CB81E" w:rsidR="001729A3" w:rsidRPr="0049126A" w:rsidRDefault="001729A3" w:rsidP="001729A3">
      <w:pPr>
        <w:spacing w:after="0" w:line="276" w:lineRule="auto"/>
        <w:jc w:val="both"/>
        <w:rPr>
          <w:rFonts w:ascii="Times New Roman" w:eastAsia="Calibri" w:hAnsi="Times New Roman" w:cs="Times New Roman"/>
          <w:sz w:val="24"/>
          <w:szCs w:val="24"/>
        </w:rPr>
      </w:pPr>
      <w:r w:rsidRPr="0049126A">
        <w:rPr>
          <w:rFonts w:ascii="Times New Roman" w:eastAsia="Calibri" w:hAnsi="Times New Roman" w:cs="Times New Roman"/>
          <w:sz w:val="24"/>
          <w:szCs w:val="24"/>
        </w:rPr>
        <w:t>Medici din specialitatea de oftalmologie</w:t>
      </w:r>
      <w:r w:rsidR="00937483" w:rsidRPr="0049126A">
        <w:rPr>
          <w:rFonts w:ascii="Times New Roman" w:eastAsia="Calibri" w:hAnsi="Times New Roman" w:cs="Times New Roman"/>
          <w:sz w:val="24"/>
          <w:szCs w:val="24"/>
        </w:rPr>
        <w:t>.”</w:t>
      </w:r>
    </w:p>
    <w:p w14:paraId="001492A3"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304A1D5B"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2654F0FF"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23AE2BF3"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6BD8BD6D"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74E7E89E"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7FD3F67F" w14:textId="77777777" w:rsidR="001729A3" w:rsidRPr="0049126A" w:rsidRDefault="001729A3" w:rsidP="00380B65">
      <w:pPr>
        <w:tabs>
          <w:tab w:val="left" w:pos="426"/>
        </w:tabs>
        <w:jc w:val="both"/>
        <w:rPr>
          <w:rFonts w:ascii="Times New Roman" w:eastAsia="Arial" w:hAnsi="Times New Roman" w:cs="Times New Roman"/>
          <w:b/>
          <w:bCs/>
          <w:sz w:val="24"/>
          <w:szCs w:val="24"/>
          <w:lang w:val="en-US"/>
        </w:rPr>
      </w:pPr>
    </w:p>
    <w:p w14:paraId="67730796"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7A34056E" w14:textId="15A6799C" w:rsidR="00F73895" w:rsidRPr="0049126A" w:rsidRDefault="00F73895" w:rsidP="00C26280">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1, după protocolul terapeutic c</w:t>
      </w:r>
      <w:r w:rsidR="00AB1D4D" w:rsidRPr="0049126A">
        <w:rPr>
          <w:rFonts w:eastAsia="Arial"/>
          <w:b/>
          <w:bCs/>
          <w:color w:val="auto"/>
          <w:lang w:val="en-US"/>
        </w:rPr>
        <w:t>orespunzător poziției cu nr. 361</w:t>
      </w:r>
      <w:r w:rsidRPr="0049126A">
        <w:rPr>
          <w:rFonts w:eastAsia="Arial"/>
          <w:b/>
          <w:bCs/>
          <w:color w:val="auto"/>
          <w:lang w:val="en-US"/>
        </w:rPr>
        <w:t xml:space="preserve"> se introduce protocolul terapeutic corespunzător</w:t>
      </w:r>
      <w:r w:rsidR="00AB1D4D" w:rsidRPr="0049126A">
        <w:rPr>
          <w:rFonts w:eastAsia="Arial"/>
          <w:b/>
          <w:bCs/>
          <w:color w:val="auto"/>
          <w:lang w:val="en-US"/>
        </w:rPr>
        <w:t xml:space="preserve"> poziției nr. 362</w:t>
      </w:r>
      <w:r w:rsidRPr="0049126A">
        <w:rPr>
          <w:rFonts w:eastAsia="Arial"/>
          <w:b/>
          <w:bCs/>
          <w:color w:val="auto"/>
          <w:lang w:val="en-US"/>
        </w:rPr>
        <w:t xml:space="preserve"> cod (</w:t>
      </w:r>
      <w:r w:rsidR="00896095" w:rsidRPr="0049126A">
        <w:rPr>
          <w:rFonts w:eastAsia="Arial"/>
          <w:b/>
          <w:bCs/>
          <w:color w:val="auto"/>
          <w:lang w:val="en-US"/>
        </w:rPr>
        <w:t>S01XA18</w:t>
      </w:r>
      <w:r w:rsidRPr="0049126A">
        <w:rPr>
          <w:rFonts w:eastAsia="Arial"/>
          <w:b/>
          <w:bCs/>
          <w:color w:val="auto"/>
          <w:lang w:val="en-US"/>
        </w:rPr>
        <w:t xml:space="preserve">): DCI </w:t>
      </w:r>
      <w:r w:rsidR="00896095" w:rsidRPr="0049126A">
        <w:rPr>
          <w:rFonts w:eastAsia="Arial"/>
          <w:b/>
          <w:bCs/>
          <w:color w:val="auto"/>
          <w:lang w:val="en-US"/>
        </w:rPr>
        <w:t>CICLOSPORINUM</w:t>
      </w:r>
      <w:r w:rsidRPr="0049126A">
        <w:rPr>
          <w:rFonts w:eastAsia="Arial"/>
          <w:b/>
          <w:bCs/>
          <w:color w:val="auto"/>
          <w:lang w:val="en-US"/>
        </w:rPr>
        <w:t xml:space="preserve"> cu următorul cuprins: </w:t>
      </w:r>
    </w:p>
    <w:p w14:paraId="6A471B2D"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7404E0E1" w14:textId="7FA00EF0" w:rsidR="00F73895"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 xml:space="preserve">”Protocol terapeutic corespunzător poziţiei nr. </w:t>
      </w:r>
      <w:r w:rsidR="00AB1D4D" w:rsidRPr="0049126A">
        <w:rPr>
          <w:rFonts w:ascii="Times New Roman" w:eastAsia="Arial" w:hAnsi="Times New Roman" w:cs="Times New Roman"/>
          <w:b/>
          <w:bCs/>
          <w:sz w:val="24"/>
          <w:szCs w:val="24"/>
          <w:lang w:val="en-US"/>
        </w:rPr>
        <w:t>362</w:t>
      </w:r>
      <w:r w:rsidR="00896095" w:rsidRPr="0049126A">
        <w:rPr>
          <w:rFonts w:ascii="Times New Roman" w:eastAsia="Arial" w:hAnsi="Times New Roman" w:cs="Times New Roman"/>
          <w:b/>
          <w:bCs/>
          <w:sz w:val="24"/>
          <w:szCs w:val="24"/>
          <w:lang w:val="en-US"/>
        </w:rPr>
        <w:t xml:space="preserve"> cod (S01XA18): DCI CICLOSPORINUM</w:t>
      </w:r>
    </w:p>
    <w:p w14:paraId="0B77CB40" w14:textId="77777777" w:rsidR="00896095" w:rsidRPr="0049126A" w:rsidRDefault="00896095" w:rsidP="00380B65">
      <w:pPr>
        <w:tabs>
          <w:tab w:val="left" w:pos="426"/>
        </w:tabs>
        <w:jc w:val="both"/>
        <w:rPr>
          <w:rFonts w:ascii="Times New Roman" w:eastAsia="Arial" w:hAnsi="Times New Roman" w:cs="Times New Roman"/>
          <w:b/>
          <w:bCs/>
          <w:sz w:val="24"/>
          <w:szCs w:val="24"/>
          <w:lang w:val="en-US"/>
        </w:rPr>
      </w:pPr>
    </w:p>
    <w:p w14:paraId="0A919AB1" w14:textId="77777777" w:rsidR="00257BFB" w:rsidRPr="0049126A" w:rsidRDefault="00257BFB" w:rsidP="00257BFB">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Boala ochiului uscat (DED) sau keratoconjunctivita sicca este una dintre cele mai frecvente patotogii care afecteaza pacientii din intreaga lume.  Anomaliile  filmului lacrimal se caracterizează prin compoziţia sa anormală sau deficientă. Ochiul uscat a fost definit de International Dry Eye Workshop (DEWS) ca o boală multifactorială a lacrimilor şi a suprafeţei oculare care are ca rezultat simptome  de disconfort, tulburări vizuale şi instabilitate a filmului lacrimal, cu potenţiale leziuni ale suprafeţei oculare. Este însoţită de osmolaritatea crescută a filmului lacrimal şi inflamaţia suprafeţei oculare.</w:t>
      </w:r>
    </w:p>
    <w:p w14:paraId="0EE82915" w14:textId="77777777" w:rsidR="00257BFB" w:rsidRPr="0049126A" w:rsidRDefault="00257BFB" w:rsidP="00257BFB">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Comitetul DEWS (The Dry Eye Workshop) a propus 4 grade de severitate a sindromului de ochi uscat:</w:t>
      </w:r>
    </w:p>
    <w:p w14:paraId="7B7CC79E" w14:textId="77777777" w:rsidR="00257BFB" w:rsidRPr="0049126A" w:rsidRDefault="00257BFB" w:rsidP="00257BFB">
      <w:pPr>
        <w:pStyle w:val="ListParagraph"/>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jc w:val="both"/>
        <w:rPr>
          <w:color w:val="auto"/>
        </w:rPr>
      </w:pPr>
      <w:r w:rsidRPr="0049126A">
        <w:rPr>
          <w:color w:val="auto"/>
        </w:rPr>
        <w:t>Gradul 1: disconfort usor si/sau episodic, simptomele vizuale sunt absente sau reprezentate de o uşoară oboseală vizuală ce poate fi episodică, afectarea corneei şi a conjunctivei este absentă sau uşoară.</w:t>
      </w:r>
    </w:p>
    <w:p w14:paraId="7D02F30D" w14:textId="77777777" w:rsidR="00257BFB" w:rsidRPr="0049126A" w:rsidRDefault="00257BFB" w:rsidP="00257BFB">
      <w:pPr>
        <w:pStyle w:val="ListParagraph"/>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jc w:val="both"/>
        <w:rPr>
          <w:color w:val="auto"/>
        </w:rPr>
      </w:pPr>
      <w:r w:rsidRPr="0049126A">
        <w:rPr>
          <w:color w:val="auto"/>
        </w:rPr>
        <w:t>Gradul 2: disconfort moderat, episodic sau cronic, simptomele vizuale sunt deranjante şi/ sau limitează temporar activitatea, conjunctiva şi corneea  sunt uşor afectate.</w:t>
      </w:r>
    </w:p>
    <w:p w14:paraId="75334742" w14:textId="77777777" w:rsidR="00257BFB" w:rsidRPr="0049126A" w:rsidRDefault="00257BFB" w:rsidP="00257BFB">
      <w:pPr>
        <w:pStyle w:val="ListParagraph"/>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jc w:val="both"/>
        <w:rPr>
          <w:color w:val="auto"/>
        </w:rPr>
      </w:pPr>
      <w:r w:rsidRPr="0049126A">
        <w:rPr>
          <w:color w:val="auto"/>
        </w:rPr>
        <w:t>Gradul 3: disconfort sever, frecvent sau constant, simptomele vizuale sunt deranjante, cronice şi/sau constante, limitând activitatea, conjunctiva şi corneea sunt moderat sau marcat afectate.</w:t>
      </w:r>
    </w:p>
    <w:p w14:paraId="4B41B3D3" w14:textId="77777777" w:rsidR="00257BFB" w:rsidRPr="0049126A" w:rsidRDefault="00257BFB" w:rsidP="00257BFB">
      <w:pPr>
        <w:pStyle w:val="ListParagraph"/>
        <w:numPr>
          <w:ilvl w:val="0"/>
          <w:numId w:val="150"/>
        </w:numPr>
        <w:pBdr>
          <w:top w:val="none" w:sz="0" w:space="0" w:color="auto"/>
          <w:left w:val="none" w:sz="0" w:space="0" w:color="auto"/>
          <w:bottom w:val="none" w:sz="0" w:space="0" w:color="auto"/>
          <w:right w:val="none" w:sz="0" w:space="0" w:color="auto"/>
          <w:between w:val="none" w:sz="0" w:space="0" w:color="auto"/>
          <w:bar w:val="none" w:sz="0" w:color="auto"/>
        </w:pBdr>
        <w:spacing w:after="160" w:line="276" w:lineRule="auto"/>
        <w:contextualSpacing/>
        <w:jc w:val="both"/>
        <w:rPr>
          <w:color w:val="auto"/>
        </w:rPr>
      </w:pPr>
      <w:r w:rsidRPr="0049126A">
        <w:rPr>
          <w:color w:val="auto"/>
        </w:rPr>
        <w:t>Gradul 4: disconfort sever şi/sau debilitant şi constant, simptomele vizuale sunt constante şi/sau debilitante, conjunctiva şi corneea sunt sever afectate, cu apariţia eroziunilor punctate corneene severe.</w:t>
      </w:r>
    </w:p>
    <w:p w14:paraId="329C8171" w14:textId="77777777" w:rsidR="00257BFB" w:rsidRPr="0049126A" w:rsidRDefault="00257BFB" w:rsidP="00257BFB">
      <w:pPr>
        <w:pStyle w:val="ListParagraph"/>
        <w:spacing w:line="276" w:lineRule="auto"/>
        <w:jc w:val="both"/>
        <w:rPr>
          <w:color w:val="auto"/>
        </w:rPr>
      </w:pPr>
      <w:r w:rsidRPr="0049126A">
        <w:rPr>
          <w:color w:val="auto"/>
        </w:rPr>
        <w:t>In forma sa severă, sindromul de ochi uscat este caracterizat de un nivel mai crescut al osmolarităţii, precum şi al inflamaţiei, iar aceste mecanisme duc la deteriorarea tisulară, cu potenţiale urmări  debilitante (eroziuni punctate corneene severe, keratita filamentoasă, ulceraţii corneene).</w:t>
      </w:r>
      <w:r w:rsidRPr="0049126A">
        <w:rPr>
          <w:b/>
          <w:bCs/>
          <w:color w:val="auto"/>
        </w:rPr>
        <w:t xml:space="preserve"> </w:t>
      </w:r>
    </w:p>
    <w:p w14:paraId="391E9315" w14:textId="77777777" w:rsidR="00257BFB" w:rsidRPr="0049126A" w:rsidRDefault="00257BFB" w:rsidP="00257BFB">
      <w:pPr>
        <w:spacing w:line="276" w:lineRule="auto"/>
        <w:jc w:val="both"/>
        <w:rPr>
          <w:rFonts w:ascii="Times New Roman" w:hAnsi="Times New Roman" w:cs="Times New Roman"/>
          <w:b/>
          <w:sz w:val="24"/>
          <w:szCs w:val="24"/>
        </w:rPr>
      </w:pPr>
    </w:p>
    <w:p w14:paraId="69704E55" w14:textId="1EFD1BFD" w:rsidR="00257BFB" w:rsidRPr="0049126A" w:rsidRDefault="00257BFB" w:rsidP="00257BFB">
      <w:pPr>
        <w:autoSpaceDE w:val="0"/>
        <w:autoSpaceDN w:val="0"/>
        <w:adjustRightInd w:val="0"/>
        <w:spacing w:after="0" w:line="276" w:lineRule="auto"/>
        <w:jc w:val="both"/>
        <w:rPr>
          <w:rFonts w:ascii="Times New Roman" w:hAnsi="Times New Roman" w:cs="Times New Roman"/>
          <w:b/>
          <w:bCs/>
          <w:sz w:val="24"/>
          <w:szCs w:val="24"/>
        </w:rPr>
      </w:pPr>
      <w:r w:rsidRPr="0049126A">
        <w:rPr>
          <w:rFonts w:ascii="Times New Roman" w:hAnsi="Times New Roman" w:cs="Times New Roman"/>
          <w:b/>
          <w:bCs/>
          <w:sz w:val="24"/>
          <w:szCs w:val="24"/>
        </w:rPr>
        <w:t>I. Indicaţii terapeutice (face obiectul unui contract cost volum)</w:t>
      </w:r>
    </w:p>
    <w:p w14:paraId="25E55039" w14:textId="300AA6CC" w:rsidR="00257BFB" w:rsidRPr="0049126A" w:rsidRDefault="00257BFB" w:rsidP="00257BFB">
      <w:pPr>
        <w:spacing w:line="276" w:lineRule="auto"/>
        <w:jc w:val="both"/>
        <w:rPr>
          <w:rFonts w:ascii="Times New Roman" w:hAnsi="Times New Roman" w:cs="Times New Roman"/>
          <w:i/>
          <w:sz w:val="24"/>
          <w:szCs w:val="24"/>
        </w:rPr>
      </w:pPr>
      <w:r w:rsidRPr="0049126A">
        <w:rPr>
          <w:rFonts w:ascii="Times New Roman" w:hAnsi="Times New Roman" w:cs="Times New Roman"/>
          <w:sz w:val="24"/>
          <w:szCs w:val="24"/>
        </w:rPr>
        <w:t xml:space="preserve">Tratamentul cheratitei severe la pacienţii adulţi cu xeroftalmie, care nu s-a ameliorat în pofida tratamentului cu substitute lacrimale, </w:t>
      </w:r>
      <w:r w:rsidRPr="0049126A">
        <w:rPr>
          <w:rFonts w:ascii="Times New Roman" w:hAnsi="Times New Roman" w:cs="Times New Roman"/>
          <w:b/>
          <w:sz w:val="24"/>
          <w:szCs w:val="24"/>
        </w:rPr>
        <w:t>cu adresabilitate către pacienţii diagnosticaţi cu cheratită severă de origine imunologică din cadrul sindromului Sjögren primar</w:t>
      </w:r>
      <w:r w:rsidRPr="0049126A">
        <w:rPr>
          <w:rFonts w:ascii="Times New Roman" w:hAnsi="Times New Roman" w:cs="Times New Roman"/>
          <w:sz w:val="24"/>
          <w:szCs w:val="24"/>
        </w:rPr>
        <w:t>.</w:t>
      </w:r>
    </w:p>
    <w:p w14:paraId="23ADB90D" w14:textId="77777777" w:rsidR="00257BFB" w:rsidRPr="0049126A" w:rsidRDefault="00257BFB" w:rsidP="00257BFB">
      <w:pPr>
        <w:autoSpaceDE w:val="0"/>
        <w:autoSpaceDN w:val="0"/>
        <w:adjustRightInd w:val="0"/>
        <w:spacing w:after="0" w:line="276" w:lineRule="auto"/>
        <w:jc w:val="both"/>
        <w:rPr>
          <w:rFonts w:ascii="Times New Roman" w:eastAsia="TimesNewRomanPSMT" w:hAnsi="Times New Roman" w:cs="Times New Roman"/>
          <w:b/>
          <w:sz w:val="24"/>
          <w:szCs w:val="24"/>
        </w:rPr>
      </w:pPr>
    </w:p>
    <w:p w14:paraId="58B614BE" w14:textId="041F0CC0" w:rsidR="00257BFB" w:rsidRPr="0049126A" w:rsidRDefault="00257BFB" w:rsidP="00257BFB">
      <w:pPr>
        <w:autoSpaceDE w:val="0"/>
        <w:autoSpaceDN w:val="0"/>
        <w:adjustRightInd w:val="0"/>
        <w:spacing w:after="0" w:line="276" w:lineRule="auto"/>
        <w:jc w:val="both"/>
        <w:rPr>
          <w:rFonts w:ascii="Times New Roman" w:eastAsia="TimesNewRomanPSMT" w:hAnsi="Times New Roman" w:cs="Times New Roman"/>
          <w:b/>
          <w:sz w:val="24"/>
          <w:szCs w:val="24"/>
        </w:rPr>
      </w:pPr>
      <w:r w:rsidRPr="0049126A">
        <w:rPr>
          <w:rFonts w:ascii="Times New Roman" w:eastAsia="TimesNewRomanPSMT" w:hAnsi="Times New Roman" w:cs="Times New Roman"/>
          <w:b/>
          <w:sz w:val="24"/>
          <w:szCs w:val="24"/>
        </w:rPr>
        <w:t xml:space="preserve">II. Criterii de includere </w:t>
      </w:r>
    </w:p>
    <w:p w14:paraId="1B782990" w14:textId="3638DE71" w:rsidR="00257BFB" w:rsidRPr="0049126A" w:rsidRDefault="00257BFB" w:rsidP="00257BFB">
      <w:pPr>
        <w:autoSpaceDE w:val="0"/>
        <w:autoSpaceDN w:val="0"/>
        <w:adjustRightInd w:val="0"/>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Pacienții adulți cu xeroftalmie cronică cu adresabilitate pentru categoria de pacienți diagnosticați cu cheratită severă de origine  imunologică din cadrul sindromului Sjogren primar.</w:t>
      </w:r>
    </w:p>
    <w:p w14:paraId="5AA0F280" w14:textId="77777777" w:rsidR="00257BFB" w:rsidRPr="0049126A" w:rsidRDefault="00257BFB" w:rsidP="00257BFB">
      <w:pPr>
        <w:autoSpaceDE w:val="0"/>
        <w:autoSpaceDN w:val="0"/>
        <w:adjustRightInd w:val="0"/>
        <w:spacing w:after="0" w:line="276" w:lineRule="auto"/>
        <w:jc w:val="both"/>
        <w:rPr>
          <w:rFonts w:ascii="Times New Roman" w:hAnsi="Times New Roman" w:cs="Times New Roman"/>
          <w:b/>
          <w:sz w:val="24"/>
          <w:szCs w:val="24"/>
        </w:rPr>
      </w:pPr>
    </w:p>
    <w:p w14:paraId="6BDF39AC" w14:textId="77777777" w:rsidR="00257BFB" w:rsidRPr="0049126A" w:rsidRDefault="00257BFB" w:rsidP="00257BFB">
      <w:pPr>
        <w:autoSpaceDE w:val="0"/>
        <w:autoSpaceDN w:val="0"/>
        <w:adjustRightInd w:val="0"/>
        <w:spacing w:after="0"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III. Criterii de excludere</w:t>
      </w:r>
    </w:p>
    <w:p w14:paraId="6DB47CCF" w14:textId="77777777" w:rsidR="00257BFB" w:rsidRPr="0049126A" w:rsidRDefault="00257BFB" w:rsidP="002161CA">
      <w:pPr>
        <w:pStyle w:val="ListParagraph"/>
        <w:numPr>
          <w:ilvl w:val="0"/>
          <w:numId w:val="506"/>
        </w:numPr>
        <w:autoSpaceDE w:val="0"/>
        <w:autoSpaceDN w:val="0"/>
        <w:adjustRightInd w:val="0"/>
        <w:jc w:val="both"/>
        <w:rPr>
          <w:color w:val="auto"/>
        </w:rPr>
      </w:pPr>
      <w:r w:rsidRPr="0049126A">
        <w:rPr>
          <w:color w:val="auto"/>
        </w:rPr>
        <w:t>1.Sarcină, lăuzie</w:t>
      </w:r>
    </w:p>
    <w:p w14:paraId="4024FED2" w14:textId="77777777" w:rsidR="00257BFB" w:rsidRPr="0049126A" w:rsidRDefault="00257BFB" w:rsidP="002161CA">
      <w:pPr>
        <w:pStyle w:val="ListParagraph"/>
        <w:numPr>
          <w:ilvl w:val="0"/>
          <w:numId w:val="506"/>
        </w:numPr>
        <w:autoSpaceDE w:val="0"/>
        <w:autoSpaceDN w:val="0"/>
        <w:adjustRightInd w:val="0"/>
        <w:jc w:val="both"/>
        <w:rPr>
          <w:color w:val="auto"/>
        </w:rPr>
      </w:pPr>
      <w:r w:rsidRPr="0049126A">
        <w:rPr>
          <w:color w:val="auto"/>
        </w:rPr>
        <w:t>2.Herpes ocular</w:t>
      </w:r>
    </w:p>
    <w:p w14:paraId="66508E3C" w14:textId="77777777" w:rsidR="00257BFB" w:rsidRPr="0049126A" w:rsidRDefault="00257BFB" w:rsidP="002161CA">
      <w:pPr>
        <w:pStyle w:val="ListParagraph"/>
        <w:numPr>
          <w:ilvl w:val="0"/>
          <w:numId w:val="506"/>
        </w:numPr>
        <w:autoSpaceDE w:val="0"/>
        <w:autoSpaceDN w:val="0"/>
        <w:adjustRightInd w:val="0"/>
        <w:jc w:val="both"/>
        <w:rPr>
          <w:color w:val="auto"/>
        </w:rPr>
      </w:pPr>
      <w:r w:rsidRPr="0049126A">
        <w:rPr>
          <w:color w:val="auto"/>
        </w:rPr>
        <w:t>3 Pacienți cu vârsta sub 18 ani</w:t>
      </w:r>
    </w:p>
    <w:p w14:paraId="3B6D8CBB" w14:textId="77777777" w:rsidR="00257BFB" w:rsidRPr="0049126A" w:rsidRDefault="00257BFB" w:rsidP="00257BFB">
      <w:pPr>
        <w:autoSpaceDE w:val="0"/>
        <w:autoSpaceDN w:val="0"/>
        <w:adjustRightInd w:val="0"/>
        <w:spacing w:line="276" w:lineRule="auto"/>
        <w:jc w:val="both"/>
        <w:rPr>
          <w:rFonts w:ascii="Times New Roman" w:eastAsia="TimesNewRomanPSMT" w:hAnsi="Times New Roman" w:cs="Times New Roman"/>
          <w:sz w:val="24"/>
          <w:szCs w:val="24"/>
        </w:rPr>
      </w:pPr>
    </w:p>
    <w:p w14:paraId="0873A17C" w14:textId="418CF2EA" w:rsidR="00257BFB" w:rsidRPr="0049126A" w:rsidRDefault="00257BFB" w:rsidP="00257BFB">
      <w:pPr>
        <w:autoSpaceDE w:val="0"/>
        <w:autoSpaceDN w:val="0"/>
        <w:adjustRightInd w:val="0"/>
        <w:spacing w:after="0" w:line="276" w:lineRule="auto"/>
        <w:jc w:val="both"/>
        <w:rPr>
          <w:rFonts w:ascii="Times New Roman" w:hAnsi="Times New Roman" w:cs="Times New Roman"/>
          <w:b/>
          <w:bCs/>
          <w:sz w:val="24"/>
          <w:szCs w:val="24"/>
        </w:rPr>
      </w:pPr>
      <w:r w:rsidRPr="0049126A">
        <w:rPr>
          <w:rFonts w:ascii="Times New Roman" w:hAnsi="Times New Roman" w:cs="Times New Roman"/>
          <w:b/>
          <w:bCs/>
          <w:sz w:val="24"/>
          <w:szCs w:val="24"/>
        </w:rPr>
        <w:lastRenderedPageBreak/>
        <w:t xml:space="preserve">III. Tratament </w:t>
      </w:r>
    </w:p>
    <w:p w14:paraId="386487E8" w14:textId="2D460C6F" w:rsidR="00257BFB" w:rsidRPr="0049126A" w:rsidRDefault="00257BFB" w:rsidP="00257BFB">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Tratamentul  cronic de 12 luni este perioada medie de tratament  în studii clinice ( minim 6 luni)</w:t>
      </w:r>
    </w:p>
    <w:p w14:paraId="03BE9F15" w14:textId="42C87A0D" w:rsidR="00257BFB" w:rsidRPr="0049126A" w:rsidRDefault="00257BFB" w:rsidP="00257BFB">
      <w:pPr>
        <w:spacing w:after="0" w:line="276" w:lineRule="auto"/>
        <w:jc w:val="both"/>
        <w:rPr>
          <w:rFonts w:ascii="Times New Roman" w:hAnsi="Times New Roman" w:cs="Times New Roman"/>
          <w:b/>
          <w:bCs/>
          <w:sz w:val="24"/>
          <w:szCs w:val="24"/>
        </w:rPr>
      </w:pPr>
      <w:r w:rsidRPr="0049126A">
        <w:rPr>
          <w:rFonts w:ascii="Times New Roman" w:hAnsi="Times New Roman" w:cs="Times New Roman"/>
          <w:b/>
          <w:sz w:val="24"/>
          <w:szCs w:val="24"/>
        </w:rPr>
        <w:t>Doze:</w:t>
      </w:r>
    </w:p>
    <w:p w14:paraId="42E9AD43" w14:textId="77777777" w:rsidR="00257BFB" w:rsidRPr="0049126A" w:rsidRDefault="00257BFB" w:rsidP="00257BFB">
      <w:pPr>
        <w:spacing w:line="276" w:lineRule="auto"/>
        <w:jc w:val="both"/>
        <w:rPr>
          <w:rFonts w:ascii="Times New Roman" w:hAnsi="Times New Roman" w:cs="Times New Roman"/>
          <w:bCs/>
          <w:sz w:val="24"/>
          <w:szCs w:val="24"/>
        </w:rPr>
      </w:pPr>
      <w:r w:rsidRPr="0049126A">
        <w:rPr>
          <w:rFonts w:ascii="Times New Roman" w:hAnsi="Times New Roman" w:cs="Times New Roman"/>
          <w:bCs/>
          <w:sz w:val="24"/>
          <w:szCs w:val="24"/>
        </w:rPr>
        <w:t>Doza recomandată este de o picătură în ochiul afectat sau în ambii ochi, o dată pe zi, înainte de culcare.</w:t>
      </w:r>
    </w:p>
    <w:p w14:paraId="19A8CBDE" w14:textId="1FFF29E1" w:rsidR="00257BFB" w:rsidRPr="0049126A" w:rsidRDefault="00257BFB" w:rsidP="00257BF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b/>
          <w:sz w:val="24"/>
          <w:szCs w:val="24"/>
        </w:rPr>
        <w:t>Mod de administrare</w:t>
      </w:r>
      <w:r w:rsidRPr="0049126A">
        <w:rPr>
          <w:rFonts w:ascii="Times New Roman" w:hAnsi="Times New Roman" w:cs="Times New Roman"/>
          <w:sz w:val="24"/>
          <w:szCs w:val="24"/>
        </w:rPr>
        <w:t xml:space="preserve">: Oftalmică. </w:t>
      </w:r>
    </w:p>
    <w:p w14:paraId="7BA1C608" w14:textId="77777777" w:rsidR="00257BFB" w:rsidRPr="0049126A" w:rsidRDefault="00257BFB" w:rsidP="00257BFB">
      <w:pPr>
        <w:spacing w:after="0" w:line="276" w:lineRule="auto"/>
        <w:jc w:val="both"/>
        <w:rPr>
          <w:rFonts w:ascii="Times New Roman" w:hAnsi="Times New Roman" w:cs="Times New Roman"/>
          <w:bCs/>
          <w:sz w:val="24"/>
          <w:szCs w:val="24"/>
        </w:rPr>
      </w:pPr>
      <w:r w:rsidRPr="0049126A">
        <w:rPr>
          <w:rFonts w:ascii="Times New Roman" w:hAnsi="Times New Roman" w:cs="Times New Roman"/>
          <w:bCs/>
          <w:sz w:val="24"/>
          <w:szCs w:val="24"/>
        </w:rPr>
        <w:t>Dacă a fost omisă o doză, tratamentul trebuie continuat în ziua următoare, ca de obicei.</w:t>
      </w:r>
    </w:p>
    <w:p w14:paraId="08371E91" w14:textId="77777777" w:rsidR="00257BFB" w:rsidRPr="0049126A" w:rsidRDefault="00257BFB" w:rsidP="00257BFB">
      <w:pPr>
        <w:spacing w:after="0" w:line="276" w:lineRule="auto"/>
        <w:jc w:val="both"/>
        <w:rPr>
          <w:rFonts w:ascii="Times New Roman" w:hAnsi="Times New Roman" w:cs="Times New Roman"/>
          <w:bCs/>
          <w:sz w:val="24"/>
          <w:szCs w:val="24"/>
        </w:rPr>
      </w:pPr>
      <w:r w:rsidRPr="0049126A">
        <w:rPr>
          <w:rFonts w:ascii="Times New Roman" w:hAnsi="Times New Roman" w:cs="Times New Roman"/>
          <w:bCs/>
          <w:sz w:val="24"/>
          <w:szCs w:val="24"/>
        </w:rPr>
        <w:t>Pacienţii trebuie sfătuiţi să nu utilizeze mai mult de o picătură în ochiul (ochii) afectat (afectaţi).</w:t>
      </w:r>
    </w:p>
    <w:p w14:paraId="4D9A65D7" w14:textId="77777777" w:rsidR="00257BFB" w:rsidRPr="0049126A" w:rsidRDefault="00257BFB" w:rsidP="00257BFB">
      <w:pPr>
        <w:autoSpaceDE w:val="0"/>
        <w:autoSpaceDN w:val="0"/>
        <w:adjustRightInd w:val="0"/>
        <w:spacing w:after="0" w:line="276" w:lineRule="auto"/>
        <w:jc w:val="both"/>
        <w:rPr>
          <w:rFonts w:ascii="Times New Roman" w:hAnsi="Times New Roman" w:cs="Times New Roman"/>
          <w:sz w:val="24"/>
          <w:szCs w:val="24"/>
        </w:rPr>
      </w:pPr>
    </w:p>
    <w:p w14:paraId="459C4551" w14:textId="5627C3FB" w:rsidR="00257BFB" w:rsidRPr="0049126A" w:rsidRDefault="00257BFB" w:rsidP="00257BF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 xml:space="preserve">Precauţii care trebuie luate înainte de administrarea medicamentului: </w:t>
      </w:r>
    </w:p>
    <w:p w14:paraId="171C0773" w14:textId="77777777" w:rsidR="00257BFB" w:rsidRPr="0049126A" w:rsidRDefault="00257BFB" w:rsidP="002161CA">
      <w:pPr>
        <w:pStyle w:val="ListParagraph"/>
        <w:numPr>
          <w:ilvl w:val="0"/>
          <w:numId w:val="507"/>
        </w:numPr>
        <w:autoSpaceDE w:val="0"/>
        <w:autoSpaceDN w:val="0"/>
        <w:adjustRightInd w:val="0"/>
        <w:spacing w:line="276" w:lineRule="auto"/>
        <w:jc w:val="both"/>
        <w:rPr>
          <w:color w:val="auto"/>
        </w:rPr>
      </w:pPr>
      <w:r w:rsidRPr="0049126A">
        <w:rPr>
          <w:color w:val="auto"/>
        </w:rPr>
        <w:t xml:space="preserve">Pacienţii trebuie instruiţi să îşi spele mai întâi mâinile.  </w:t>
      </w:r>
    </w:p>
    <w:p w14:paraId="29568425" w14:textId="77777777" w:rsidR="00257BFB" w:rsidRPr="0049126A" w:rsidRDefault="00257BFB" w:rsidP="002161CA">
      <w:pPr>
        <w:pStyle w:val="ListParagraph"/>
        <w:numPr>
          <w:ilvl w:val="0"/>
          <w:numId w:val="507"/>
        </w:numPr>
        <w:autoSpaceDE w:val="0"/>
        <w:autoSpaceDN w:val="0"/>
        <w:adjustRightInd w:val="0"/>
        <w:spacing w:line="276" w:lineRule="auto"/>
        <w:jc w:val="both"/>
        <w:rPr>
          <w:color w:val="auto"/>
        </w:rPr>
      </w:pPr>
      <w:r w:rsidRPr="0049126A">
        <w:rPr>
          <w:color w:val="auto"/>
        </w:rPr>
        <w:t xml:space="preserve">Înainte de administrare, recipientul unidoză trebuie agitat uşor. </w:t>
      </w:r>
    </w:p>
    <w:p w14:paraId="77185036" w14:textId="77777777" w:rsidR="00257BFB" w:rsidRPr="0049126A" w:rsidRDefault="00257BFB" w:rsidP="002161CA">
      <w:pPr>
        <w:pStyle w:val="ListParagraph"/>
        <w:numPr>
          <w:ilvl w:val="0"/>
          <w:numId w:val="507"/>
        </w:numPr>
        <w:autoSpaceDE w:val="0"/>
        <w:autoSpaceDN w:val="0"/>
        <w:adjustRightInd w:val="0"/>
        <w:spacing w:line="276" w:lineRule="auto"/>
        <w:jc w:val="both"/>
        <w:rPr>
          <w:color w:val="auto"/>
        </w:rPr>
      </w:pPr>
      <w:r w:rsidRPr="0049126A">
        <w:rPr>
          <w:color w:val="auto"/>
        </w:rPr>
        <w:t xml:space="preserve">Recipentul unidoză este pentru o singură administrare. Fiecare recipient unidoză este suficient pentru tratarea ambilor ochi. </w:t>
      </w:r>
    </w:p>
    <w:p w14:paraId="3741C6EB" w14:textId="77777777" w:rsidR="00257BFB" w:rsidRPr="0049126A" w:rsidRDefault="00257BFB" w:rsidP="00257BFB">
      <w:pPr>
        <w:spacing w:after="0" w:line="276" w:lineRule="auto"/>
        <w:jc w:val="both"/>
        <w:rPr>
          <w:rFonts w:ascii="Times New Roman" w:hAnsi="Times New Roman" w:cs="Times New Roman"/>
          <w:sz w:val="24"/>
          <w:szCs w:val="24"/>
        </w:rPr>
      </w:pPr>
    </w:p>
    <w:p w14:paraId="7ACA2079" w14:textId="77777777" w:rsidR="00257BFB" w:rsidRPr="0049126A" w:rsidRDefault="00257BFB" w:rsidP="00257BFB">
      <w:pPr>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Orice cantitate de emulsie rămasă neutilizată trebuie aruncată imediat.</w:t>
      </w:r>
    </w:p>
    <w:p w14:paraId="374CC1B6" w14:textId="77777777" w:rsidR="00257BFB" w:rsidRPr="0049126A" w:rsidRDefault="00257BFB" w:rsidP="00257BF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Pacienţii trebuie instruiţi să efectueze ocluzie nazo-lacrimală şi să închidă pleoapele timp de 2 minute după instilare, pentru a reduce absorbţia la nivel sistemic. Acest lucru poate duce la scăderea reacţiilor adverse sistemice şi la creşterea activităţii locale.</w:t>
      </w:r>
    </w:p>
    <w:p w14:paraId="16B0316C" w14:textId="77777777" w:rsidR="00257BFB" w:rsidRPr="0049126A" w:rsidRDefault="00257BFB" w:rsidP="00257BFB">
      <w:pPr>
        <w:autoSpaceDE w:val="0"/>
        <w:autoSpaceDN w:val="0"/>
        <w:adjustRightInd w:val="0"/>
        <w:spacing w:after="0" w:line="276" w:lineRule="auto"/>
        <w:jc w:val="both"/>
        <w:rPr>
          <w:rFonts w:ascii="Times New Roman" w:hAnsi="Times New Roman" w:cs="Times New Roman"/>
          <w:sz w:val="24"/>
          <w:szCs w:val="24"/>
        </w:rPr>
      </w:pPr>
      <w:r w:rsidRPr="0049126A">
        <w:rPr>
          <w:rFonts w:ascii="Times New Roman" w:hAnsi="Times New Roman" w:cs="Times New Roman"/>
          <w:sz w:val="24"/>
          <w:szCs w:val="24"/>
        </w:rPr>
        <w:t>Dacă se utilizează mai mult de un medicament oftalmic cu administrare topică, celelalte medicamente trebuie administrate la interval de cel puţin 15 minute. Ciclosporinum trebuie administrat ultimul.</w:t>
      </w:r>
    </w:p>
    <w:p w14:paraId="30A49714" w14:textId="77777777" w:rsidR="00257BFB" w:rsidRPr="0049126A" w:rsidRDefault="00257BFB" w:rsidP="00257BFB">
      <w:pPr>
        <w:autoSpaceDE w:val="0"/>
        <w:autoSpaceDN w:val="0"/>
        <w:adjustRightInd w:val="0"/>
        <w:spacing w:line="276" w:lineRule="auto"/>
        <w:jc w:val="both"/>
        <w:rPr>
          <w:rFonts w:ascii="Times New Roman" w:eastAsia="TimesNewRomanPSMT" w:hAnsi="Times New Roman" w:cs="Times New Roman"/>
          <w:b/>
          <w:sz w:val="24"/>
          <w:szCs w:val="24"/>
        </w:rPr>
      </w:pPr>
    </w:p>
    <w:p w14:paraId="35449529" w14:textId="77777777" w:rsidR="00257BFB" w:rsidRPr="0049126A" w:rsidRDefault="00257BFB" w:rsidP="00257BFB">
      <w:pPr>
        <w:autoSpaceDE w:val="0"/>
        <w:autoSpaceDN w:val="0"/>
        <w:adjustRightInd w:val="0"/>
        <w:spacing w:line="276" w:lineRule="auto"/>
        <w:jc w:val="both"/>
        <w:rPr>
          <w:rFonts w:ascii="Times New Roman" w:eastAsia="TimesNewRomanPSMT" w:hAnsi="Times New Roman" w:cs="Times New Roman"/>
          <w:b/>
          <w:sz w:val="24"/>
          <w:szCs w:val="24"/>
        </w:rPr>
      </w:pPr>
      <w:r w:rsidRPr="0049126A">
        <w:rPr>
          <w:rFonts w:ascii="Times New Roman" w:eastAsia="TimesNewRomanPSMT" w:hAnsi="Times New Roman" w:cs="Times New Roman"/>
          <w:b/>
          <w:sz w:val="24"/>
          <w:szCs w:val="24"/>
        </w:rPr>
        <w:t>IV. Reacţii adverse</w:t>
      </w:r>
    </w:p>
    <w:p w14:paraId="231B2548" w14:textId="7178E8BB" w:rsidR="00257BFB" w:rsidRPr="0049126A" w:rsidRDefault="00257BFB" w:rsidP="00257BFB">
      <w:pPr>
        <w:autoSpaceDE w:val="0"/>
        <w:autoSpaceDN w:val="0"/>
        <w:adjustRightInd w:val="0"/>
        <w:spacing w:line="276" w:lineRule="auto"/>
        <w:jc w:val="both"/>
        <w:rPr>
          <w:rFonts w:ascii="Times New Roman" w:eastAsia="TimesNewRomanPSMT" w:hAnsi="Times New Roman" w:cs="Times New Roman"/>
          <w:b/>
          <w:sz w:val="24"/>
          <w:szCs w:val="24"/>
          <w:u w:val="single"/>
        </w:rPr>
      </w:pPr>
      <w:r w:rsidRPr="0049126A">
        <w:rPr>
          <w:rFonts w:ascii="Times New Roman" w:eastAsia="TimesNewRomanPSMT" w:hAnsi="Times New Roman" w:cs="Times New Roman"/>
          <w:b/>
          <w:sz w:val="24"/>
          <w:szCs w:val="24"/>
          <w:u w:val="single"/>
        </w:rPr>
        <w:t>Oculare</w:t>
      </w:r>
    </w:p>
    <w:p w14:paraId="6371F766" w14:textId="77777777" w:rsidR="00257BFB" w:rsidRPr="0049126A" w:rsidRDefault="00257BFB" w:rsidP="00257BFB">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Foarte frecvente:</w:t>
      </w:r>
    </w:p>
    <w:p w14:paraId="262CDF65" w14:textId="77777777" w:rsidR="00257BFB" w:rsidRPr="0049126A" w:rsidRDefault="00257BFB" w:rsidP="002161CA">
      <w:pPr>
        <w:numPr>
          <w:ilvl w:val="0"/>
          <w:numId w:val="504"/>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iritaţie oculară;</w:t>
      </w:r>
    </w:p>
    <w:p w14:paraId="2282E947" w14:textId="77777777" w:rsidR="00257BFB" w:rsidRPr="0049126A" w:rsidRDefault="00257BFB" w:rsidP="002161CA">
      <w:pPr>
        <w:numPr>
          <w:ilvl w:val="0"/>
          <w:numId w:val="504"/>
        </w:numPr>
        <w:spacing w:before="100" w:beforeAutospacing="1"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durere oculară.</w:t>
      </w:r>
    </w:p>
    <w:p w14:paraId="0BAF6A2D" w14:textId="77777777" w:rsidR="00257BFB" w:rsidRPr="0049126A" w:rsidRDefault="00257BFB" w:rsidP="00257BFB">
      <w:pPr>
        <w:spacing w:after="0" w:line="240" w:lineRule="auto"/>
        <w:jc w:val="both"/>
        <w:rPr>
          <w:rFonts w:ascii="Times New Roman" w:eastAsia="Times New Roman" w:hAnsi="Times New Roman" w:cs="Times New Roman"/>
          <w:sz w:val="24"/>
          <w:szCs w:val="24"/>
        </w:rPr>
      </w:pPr>
    </w:p>
    <w:p w14:paraId="133C1C7E" w14:textId="77777777" w:rsidR="00257BFB" w:rsidRPr="0049126A" w:rsidRDefault="00257BFB" w:rsidP="00257BFB">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Frecvente:</w:t>
      </w:r>
    </w:p>
    <w:p w14:paraId="041DBD22"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eritem şi edem palpebral;</w:t>
      </w:r>
    </w:p>
    <w:p w14:paraId="03ED6D0A"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creşterea secreţiei lacrimale;</w:t>
      </w:r>
    </w:p>
    <w:p w14:paraId="467CC823"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hiperemie oculară;</w:t>
      </w:r>
    </w:p>
    <w:p w14:paraId="3C16C6B3"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vedere înceţoşată;</w:t>
      </w:r>
    </w:p>
    <w:p w14:paraId="50D18EA7"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edem palpebral;</w:t>
      </w:r>
    </w:p>
    <w:p w14:paraId="125A7D67"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hiperemie conjunctivală</w:t>
      </w:r>
    </w:p>
    <w:p w14:paraId="34899F00"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iritaţie la locul de instilare;</w:t>
      </w:r>
    </w:p>
    <w:p w14:paraId="1EA5A0E3" w14:textId="77777777" w:rsidR="00257BFB" w:rsidRPr="0049126A" w:rsidRDefault="00257BFB" w:rsidP="00257BFB">
      <w:pPr>
        <w:numPr>
          <w:ilvl w:val="0"/>
          <w:numId w:val="148"/>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eritem la locul de instilare;</w:t>
      </w:r>
    </w:p>
    <w:p w14:paraId="3BFB3E49" w14:textId="77777777" w:rsidR="00257BFB" w:rsidRPr="0049126A" w:rsidRDefault="00257BFB" w:rsidP="00257BFB">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  </w:t>
      </w:r>
    </w:p>
    <w:p w14:paraId="5319EECB" w14:textId="30913F93" w:rsidR="00257BFB" w:rsidRPr="0049126A" w:rsidRDefault="00257BFB" w:rsidP="00257BFB">
      <w:p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Mai puţin frecvente:</w:t>
      </w:r>
    </w:p>
    <w:p w14:paraId="24EAC2C8"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edem conjunctival;</w:t>
      </w:r>
    </w:p>
    <w:p w14:paraId="5D3F2EBF"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tulburări lacrimale;</w:t>
      </w:r>
    </w:p>
    <w:p w14:paraId="5BF14926"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secreţie oculară;</w:t>
      </w:r>
    </w:p>
    <w:p w14:paraId="529028FF"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prurit ocular;</w:t>
      </w:r>
    </w:p>
    <w:p w14:paraId="7F819194"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iritaţie conjunctivală;</w:t>
      </w:r>
    </w:p>
    <w:p w14:paraId="28BADDE4"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conjunctivita;</w:t>
      </w:r>
    </w:p>
    <w:p w14:paraId="23DF48E0"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senzaţie de corp străin în ochi;</w:t>
      </w:r>
    </w:p>
    <w:p w14:paraId="47FB7312"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depuneri în ochi;</w:t>
      </w:r>
    </w:p>
    <w:p w14:paraId="147A4E23"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lastRenderedPageBreak/>
        <w:t>cheratita;</w:t>
      </w:r>
    </w:p>
    <w:p w14:paraId="33144AF7"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blefarita;</w:t>
      </w:r>
    </w:p>
    <w:p w14:paraId="2C8CACB0"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decompensare corneană;</w:t>
      </w:r>
    </w:p>
    <w:p w14:paraId="2BC9B64D"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şalazion;</w:t>
      </w:r>
    </w:p>
    <w:p w14:paraId="7463840F"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infiltrate corneene;</w:t>
      </w:r>
    </w:p>
    <w:p w14:paraId="28CE165B"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cicatrice corneană;</w:t>
      </w:r>
    </w:p>
    <w:p w14:paraId="053C71E9"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prurit al pleoapei;</w:t>
      </w:r>
    </w:p>
    <w:p w14:paraId="7AEAAABE" w14:textId="77777777" w:rsidR="00257BFB" w:rsidRPr="0049126A" w:rsidRDefault="00257BFB" w:rsidP="00257BFB">
      <w:pPr>
        <w:numPr>
          <w:ilvl w:val="0"/>
          <w:numId w:val="149"/>
        </w:numPr>
        <w:spacing w:after="0" w:line="240"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iridociclita.</w:t>
      </w:r>
    </w:p>
    <w:p w14:paraId="1CC020B8" w14:textId="77777777" w:rsidR="00257BFB" w:rsidRPr="0049126A" w:rsidRDefault="00257BFB" w:rsidP="00257BFB">
      <w:pPr>
        <w:spacing w:after="0" w:line="276" w:lineRule="auto"/>
        <w:jc w:val="both"/>
        <w:rPr>
          <w:rFonts w:ascii="Times New Roman" w:eastAsia="Times New Roman" w:hAnsi="Times New Roman" w:cs="Times New Roman"/>
          <w:b/>
          <w:sz w:val="24"/>
          <w:szCs w:val="24"/>
          <w:u w:val="single"/>
        </w:rPr>
      </w:pPr>
    </w:p>
    <w:p w14:paraId="17A53695" w14:textId="4F40C810" w:rsidR="00257BFB" w:rsidRPr="0049126A" w:rsidRDefault="00257BFB" w:rsidP="00257BFB">
      <w:pPr>
        <w:spacing w:after="0" w:line="276" w:lineRule="auto"/>
        <w:jc w:val="both"/>
        <w:rPr>
          <w:rFonts w:ascii="Times New Roman" w:eastAsia="Times New Roman" w:hAnsi="Times New Roman" w:cs="Times New Roman"/>
          <w:b/>
          <w:sz w:val="24"/>
          <w:szCs w:val="24"/>
          <w:u w:val="single"/>
        </w:rPr>
      </w:pPr>
      <w:r w:rsidRPr="0049126A">
        <w:rPr>
          <w:rFonts w:ascii="Times New Roman" w:eastAsia="Times New Roman" w:hAnsi="Times New Roman" w:cs="Times New Roman"/>
          <w:b/>
          <w:sz w:val="24"/>
          <w:szCs w:val="24"/>
          <w:u w:val="single"/>
        </w:rPr>
        <w:t xml:space="preserve">Generale </w:t>
      </w:r>
    </w:p>
    <w:p w14:paraId="00851A11" w14:textId="0A6C506F" w:rsidR="00257BFB" w:rsidRPr="0049126A" w:rsidRDefault="00257BFB" w:rsidP="002161CA">
      <w:pPr>
        <w:numPr>
          <w:ilvl w:val="0"/>
          <w:numId w:val="505"/>
        </w:numPr>
        <w:spacing w:after="100" w:afterAutospacing="1"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infecţii generalizate</w:t>
      </w:r>
    </w:p>
    <w:p w14:paraId="45A62660" w14:textId="78567BC0" w:rsidR="00257BFB" w:rsidRPr="0049126A" w:rsidRDefault="00257BFB" w:rsidP="00257BFB">
      <w:pPr>
        <w:autoSpaceDE w:val="0"/>
        <w:autoSpaceDN w:val="0"/>
        <w:adjustRightInd w:val="0"/>
        <w:spacing w:after="0" w:line="276" w:lineRule="auto"/>
        <w:jc w:val="both"/>
        <w:rPr>
          <w:rFonts w:ascii="Times New Roman" w:eastAsia="TimesNewRomanPSMT" w:hAnsi="Times New Roman" w:cs="Times New Roman"/>
          <w:b/>
          <w:sz w:val="24"/>
          <w:szCs w:val="24"/>
        </w:rPr>
      </w:pPr>
      <w:r w:rsidRPr="0049126A">
        <w:rPr>
          <w:rFonts w:ascii="Times New Roman" w:eastAsia="TimesNewRomanPSMT" w:hAnsi="Times New Roman" w:cs="Times New Roman"/>
          <w:b/>
          <w:sz w:val="24"/>
          <w:szCs w:val="24"/>
        </w:rPr>
        <w:t>V. Contraindicaţii</w:t>
      </w:r>
    </w:p>
    <w:p w14:paraId="121B1060" w14:textId="4C98676A" w:rsidR="00257BFB" w:rsidRPr="0049126A" w:rsidRDefault="00257BFB" w:rsidP="002161CA">
      <w:pPr>
        <w:pStyle w:val="ListParagraph"/>
        <w:numPr>
          <w:ilvl w:val="0"/>
          <w:numId w:val="508"/>
        </w:numPr>
        <w:autoSpaceDE w:val="0"/>
        <w:autoSpaceDN w:val="0"/>
        <w:adjustRightInd w:val="0"/>
        <w:spacing w:line="276" w:lineRule="auto"/>
        <w:jc w:val="both"/>
        <w:rPr>
          <w:color w:val="auto"/>
        </w:rPr>
      </w:pPr>
      <w:r w:rsidRPr="0049126A">
        <w:rPr>
          <w:color w:val="auto"/>
        </w:rPr>
        <w:t xml:space="preserve">Hipersensibilitate la substanţa activă (ciclosporină) sau la oricare dintre excipienţii din compoziţia medicamentului </w:t>
      </w:r>
    </w:p>
    <w:p w14:paraId="334FE66D" w14:textId="0DC41B49" w:rsidR="00257BFB" w:rsidRPr="0049126A" w:rsidRDefault="00257BFB" w:rsidP="002161CA">
      <w:pPr>
        <w:pStyle w:val="ListParagraph"/>
        <w:numPr>
          <w:ilvl w:val="0"/>
          <w:numId w:val="508"/>
        </w:numPr>
        <w:spacing w:line="276" w:lineRule="auto"/>
        <w:jc w:val="both"/>
        <w:rPr>
          <w:color w:val="auto"/>
        </w:rPr>
      </w:pPr>
      <w:r w:rsidRPr="0049126A">
        <w:rPr>
          <w:color w:val="auto"/>
        </w:rPr>
        <w:t>Infecţie oculară sau perioculară activă sau suspectată</w:t>
      </w:r>
    </w:p>
    <w:p w14:paraId="1B47BC3E" w14:textId="77777777" w:rsidR="00257BFB" w:rsidRPr="0049126A" w:rsidRDefault="00257BFB" w:rsidP="00257BFB">
      <w:pPr>
        <w:spacing w:line="276" w:lineRule="auto"/>
        <w:jc w:val="both"/>
        <w:rPr>
          <w:rFonts w:ascii="Times New Roman" w:hAnsi="Times New Roman" w:cs="Times New Roman"/>
          <w:sz w:val="24"/>
          <w:szCs w:val="24"/>
        </w:rPr>
      </w:pPr>
    </w:p>
    <w:p w14:paraId="5A2D5B8F" w14:textId="34028E5B" w:rsidR="00257BFB" w:rsidRPr="0049126A" w:rsidRDefault="00257BFB" w:rsidP="00257BFB">
      <w:pPr>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V. Atenţionări şi precauţii speciale pentru utilizare</w:t>
      </w:r>
    </w:p>
    <w:p w14:paraId="191E6B8C" w14:textId="611C17B1"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sz w:val="24"/>
          <w:szCs w:val="24"/>
          <w:u w:val="single"/>
        </w:rPr>
        <w:t>Herpes ocular</w:t>
      </w:r>
    </w:p>
    <w:p w14:paraId="79A06730" w14:textId="7807AA76"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Ciclosporinum nu a fost studiat la pacienti cu antecedente de herpes ocular şi, de aceea, trebuie utilizat cu prudenţă la aceşti pacienţi. </w:t>
      </w:r>
    </w:p>
    <w:p w14:paraId="19A385B7" w14:textId="59235711"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sz w:val="24"/>
          <w:szCs w:val="24"/>
          <w:u w:val="single"/>
        </w:rPr>
        <w:t>Lentile de contact</w:t>
      </w:r>
    </w:p>
    <w:p w14:paraId="314D78E6" w14:textId="77777777"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Nu a fost studiată utilizarea Ciclosporinum la pacienţii care poartă lentile de contact. Se recomandă monitorizarea atentă a pacienţilor cu cheratită severă. Lentilele de contact trebuie scoase înainte de instilarea picăturilor oftalmice, înainte de culcare, și pot fi reintroduse la trezire.  </w:t>
      </w:r>
    </w:p>
    <w:p w14:paraId="70F9F6A5" w14:textId="4FE9F15E"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sz w:val="24"/>
          <w:szCs w:val="24"/>
          <w:u w:val="single"/>
        </w:rPr>
        <w:t>Glaucom</w:t>
      </w:r>
    </w:p>
    <w:p w14:paraId="40780DE1" w14:textId="77777777"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Experienţa cu Ciclosporinum în tratamentul pacienţilor cu glaucom este limitată. La acești pacienţi este necesară prudenţa, în special în cazul administrării concomitente a Ciclosporinum cu beta-blocante, despre care se cunoaşte că reduc secreţia lacrimală.  </w:t>
      </w:r>
    </w:p>
    <w:p w14:paraId="56E4E7A5" w14:textId="3CDA7339"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sz w:val="24"/>
          <w:szCs w:val="24"/>
          <w:u w:val="single"/>
        </w:rPr>
        <w:t>Efecte asupra sistemului imunitar</w:t>
      </w:r>
    </w:p>
    <w:p w14:paraId="1DBC46C3" w14:textId="467D9D91"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Medicamentele care afectează sistemul imunitar, incluzând ciclosporina, pot influenţa mecanismele de apărare ale gazdei impotriva infecţiilor şi patologiilor maligne.  Administrarea concomitentă de Ciclosporinum şi picături oftalmice care conţin corticosteroizi ar putea potenţa efectele acestuia asupra sistemului imunitar.</w:t>
      </w:r>
    </w:p>
    <w:p w14:paraId="5AF35BD0" w14:textId="5C1294F9"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Preparatul comercial conţine clorura de cetalconiu ca excipient, care poate determina iritaţie la nivelul ochiului.</w:t>
      </w:r>
    </w:p>
    <w:p w14:paraId="15D96336" w14:textId="77777777" w:rsidR="00257BFB" w:rsidRPr="0049126A" w:rsidRDefault="00257BFB" w:rsidP="00257BFB">
      <w:pPr>
        <w:spacing w:after="0" w:line="276" w:lineRule="auto"/>
        <w:jc w:val="both"/>
        <w:rPr>
          <w:rFonts w:ascii="Times New Roman" w:eastAsia="Times New Roman" w:hAnsi="Times New Roman" w:cs="Times New Roman"/>
          <w:i/>
          <w:sz w:val="24"/>
          <w:szCs w:val="24"/>
          <w:u w:val="single"/>
        </w:rPr>
      </w:pPr>
      <w:r w:rsidRPr="0049126A">
        <w:rPr>
          <w:rStyle w:val="Emphasis"/>
          <w:rFonts w:ascii="Times New Roman" w:hAnsi="Times New Roman" w:cs="Times New Roman"/>
          <w:i w:val="0"/>
          <w:sz w:val="24"/>
          <w:szCs w:val="24"/>
          <w:u w:val="single"/>
        </w:rPr>
        <w:t>Fertilitatea</w:t>
      </w:r>
    </w:p>
    <w:p w14:paraId="3A368B3D" w14:textId="4FBFCD68" w:rsidR="00257BFB" w:rsidRPr="0049126A" w:rsidRDefault="00257BFB" w:rsidP="00257BFB">
      <w:pPr>
        <w:spacing w:line="276" w:lineRule="auto"/>
        <w:jc w:val="both"/>
        <w:rPr>
          <w:rFonts w:ascii="Times New Roman" w:eastAsia="Times New Roman" w:hAnsi="Times New Roman" w:cs="Times New Roman"/>
          <w:i/>
          <w:sz w:val="24"/>
          <w:szCs w:val="24"/>
          <w:u w:val="single"/>
        </w:rPr>
      </w:pPr>
      <w:r w:rsidRPr="0049126A">
        <w:rPr>
          <w:rFonts w:ascii="Times New Roman" w:eastAsia="Times New Roman" w:hAnsi="Times New Roman" w:cs="Times New Roman"/>
          <w:sz w:val="24"/>
          <w:szCs w:val="24"/>
        </w:rPr>
        <w:t>Femeile aflate la vârsta fertilă/contracepţia la femei</w:t>
      </w:r>
    </w:p>
    <w:p w14:paraId="7C7A8848" w14:textId="0E0FB275"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Ciclosporinum nu este recomandat la femei aflate la vârsta fertilă care nu utilizează măsuri contraceptive. Nu există date privind efectele asupra fertilităţii la om.  Nu a fost raportată afectarea fertilităţii la animalele cărora li s-a administrat ciclosporina pe cale intravenoasă.</w:t>
      </w:r>
    </w:p>
    <w:p w14:paraId="5CACAD3E" w14:textId="03CB1AD6"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sz w:val="24"/>
          <w:szCs w:val="24"/>
          <w:u w:val="single"/>
        </w:rPr>
        <w:t>Sarcina</w:t>
      </w:r>
    </w:p>
    <w:p w14:paraId="08F87FBD" w14:textId="1B389A9A"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Datele provenite din utilizarea Ciclosporinum la femeile gravide sunt inexistente sau limitate. </w:t>
      </w:r>
    </w:p>
    <w:p w14:paraId="40492D2F" w14:textId="77777777"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lastRenderedPageBreak/>
        <w:t>Ciclosporinum nu este recomandat în timpul sarcinii decât dacă beneficiile potenţiale pentru mamă depăşesc riscurile potenţiale pentru făt. </w:t>
      </w:r>
    </w:p>
    <w:p w14:paraId="759C0672" w14:textId="21D12DC7"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sz w:val="24"/>
          <w:szCs w:val="24"/>
          <w:u w:val="single"/>
        </w:rPr>
        <w:t>Alăptarea</w:t>
      </w:r>
    </w:p>
    <w:p w14:paraId="7DB04C3B" w14:textId="75FF9638"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După administrarea orală, ciclosporina se excretă în laptele matern. Există informaţii insuficiente cu privire la efectele ciclosporinei asupra nou-nascuţilor/sugarilor. Cu toate acestea, în cazul utilizării de ciclosporină sub formă de picături oftalmice, la doze terapeutice, este puţin probabil ca în laptele matern să fie prezente cantităţi suficiente de medicament. Trebuie luată decizia fie de a întrerupe alăptarea, fie de a întrerupe/de a se abţine de la tratamentul cu Ciclosporinum, având în vedere beneficiul alăptării pentru copil și beneficiul tratamentului pentru femeie.  </w:t>
      </w:r>
    </w:p>
    <w:p w14:paraId="39AE9B2C" w14:textId="1D102E9C" w:rsidR="00257BFB" w:rsidRPr="0049126A" w:rsidRDefault="00257BFB" w:rsidP="00257BFB">
      <w:pPr>
        <w:spacing w:after="0" w:line="276" w:lineRule="auto"/>
        <w:jc w:val="both"/>
        <w:rPr>
          <w:rFonts w:ascii="Times New Roman" w:eastAsia="Times New Roman" w:hAnsi="Times New Roman" w:cs="Times New Roman"/>
          <w:sz w:val="24"/>
          <w:szCs w:val="24"/>
          <w:u w:val="single"/>
        </w:rPr>
      </w:pPr>
      <w:r w:rsidRPr="0049126A">
        <w:rPr>
          <w:rFonts w:ascii="Times New Roman" w:eastAsia="Times New Roman" w:hAnsi="Times New Roman" w:cs="Times New Roman"/>
          <w:iCs/>
          <w:sz w:val="24"/>
          <w:szCs w:val="24"/>
          <w:u w:val="single"/>
        </w:rPr>
        <w:t>Efecte asupra capacităţii de a conduce vehicule şi de a folosi utilaj</w:t>
      </w:r>
      <w:r w:rsidRPr="0049126A">
        <w:rPr>
          <w:rFonts w:ascii="Times New Roman" w:eastAsia="Times New Roman" w:hAnsi="Times New Roman" w:cs="Times New Roman"/>
          <w:sz w:val="24"/>
          <w:szCs w:val="24"/>
          <w:u w:val="single"/>
        </w:rPr>
        <w:t>e  </w:t>
      </w:r>
    </w:p>
    <w:p w14:paraId="7A83B8BA" w14:textId="77777777"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Ciclosporinum are influenţă moderată asupra capacităţii de a conduce vehicule sau de a folosi utilaje. </w:t>
      </w:r>
    </w:p>
    <w:p w14:paraId="2A52BE4B" w14:textId="658FD3DE"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Acest medicament poate determina temporar vedere înceţoșată sau alte tulburări de vedere care pot afecta capacitatea de a conduce vehicule sau de a folosi utilaje. Pacienţii trebuie sfătuiţi să nu conducă vehicule și să nu folosească utilaje înainte ca vederea să le fi revenit la normal.</w:t>
      </w:r>
    </w:p>
    <w:p w14:paraId="1721C191" w14:textId="10D8DFBB" w:rsidR="00257BFB" w:rsidRPr="0049126A" w:rsidRDefault="00257BFB" w:rsidP="00257BFB">
      <w:pPr>
        <w:spacing w:after="0" w:line="276" w:lineRule="auto"/>
        <w:jc w:val="both"/>
        <w:rPr>
          <w:rFonts w:ascii="Times New Roman" w:hAnsi="Times New Roman" w:cs="Times New Roman"/>
          <w:bCs/>
          <w:sz w:val="24"/>
          <w:szCs w:val="24"/>
          <w:u w:val="single"/>
        </w:rPr>
      </w:pPr>
      <w:r w:rsidRPr="0049126A">
        <w:rPr>
          <w:rFonts w:ascii="Times New Roman" w:hAnsi="Times New Roman" w:cs="Times New Roman"/>
          <w:bCs/>
          <w:sz w:val="24"/>
          <w:szCs w:val="24"/>
          <w:u w:val="single"/>
        </w:rPr>
        <w:t>Pacienţi vârstnici:</w:t>
      </w:r>
    </w:p>
    <w:p w14:paraId="050B97E5" w14:textId="77777777" w:rsidR="00257BFB" w:rsidRPr="0049126A" w:rsidRDefault="00257BFB" w:rsidP="00257BFB">
      <w:pPr>
        <w:spacing w:line="276" w:lineRule="auto"/>
        <w:jc w:val="both"/>
        <w:rPr>
          <w:rFonts w:ascii="Times New Roman" w:hAnsi="Times New Roman" w:cs="Times New Roman"/>
          <w:bCs/>
          <w:sz w:val="24"/>
          <w:szCs w:val="24"/>
        </w:rPr>
      </w:pPr>
      <w:r w:rsidRPr="0049126A">
        <w:rPr>
          <w:rFonts w:ascii="Times New Roman" w:hAnsi="Times New Roman" w:cs="Times New Roman"/>
          <w:bCs/>
          <w:sz w:val="24"/>
          <w:szCs w:val="24"/>
        </w:rPr>
        <w:t>Grupul de pacienţi vârstnici a fost studiat în studii clinice. Nu este necesară ajustarea dozei.</w:t>
      </w:r>
    </w:p>
    <w:p w14:paraId="28CED2DB" w14:textId="6B0BC03A" w:rsidR="00257BFB" w:rsidRPr="0049126A" w:rsidRDefault="00257BFB" w:rsidP="00257BFB">
      <w:pPr>
        <w:spacing w:after="0" w:line="276" w:lineRule="auto"/>
        <w:jc w:val="both"/>
        <w:rPr>
          <w:rFonts w:ascii="Times New Roman" w:hAnsi="Times New Roman" w:cs="Times New Roman"/>
          <w:bCs/>
          <w:sz w:val="24"/>
          <w:szCs w:val="24"/>
        </w:rPr>
      </w:pPr>
      <w:r w:rsidRPr="0049126A">
        <w:rPr>
          <w:rFonts w:ascii="Times New Roman" w:hAnsi="Times New Roman" w:cs="Times New Roman"/>
          <w:bCs/>
          <w:sz w:val="24"/>
          <w:szCs w:val="24"/>
          <w:u w:val="single"/>
        </w:rPr>
        <w:t>Pacienţi cu insuficienţă renală sau hepatică</w:t>
      </w:r>
      <w:r w:rsidRPr="0049126A">
        <w:rPr>
          <w:rFonts w:ascii="Times New Roman" w:hAnsi="Times New Roman" w:cs="Times New Roman"/>
          <w:bCs/>
          <w:sz w:val="24"/>
          <w:szCs w:val="24"/>
        </w:rPr>
        <w:t xml:space="preserve">: </w:t>
      </w:r>
    </w:p>
    <w:p w14:paraId="29EFADD5" w14:textId="59BFE841" w:rsidR="00257BFB" w:rsidRPr="0049126A" w:rsidRDefault="00257BFB" w:rsidP="00257BFB">
      <w:pPr>
        <w:spacing w:line="276" w:lineRule="auto"/>
        <w:jc w:val="both"/>
        <w:rPr>
          <w:rFonts w:ascii="Times New Roman" w:eastAsia="Times New Roman" w:hAnsi="Times New Roman" w:cs="Times New Roman"/>
          <w:sz w:val="24"/>
          <w:szCs w:val="24"/>
        </w:rPr>
      </w:pPr>
      <w:r w:rsidRPr="0049126A">
        <w:rPr>
          <w:rFonts w:ascii="Times New Roman" w:hAnsi="Times New Roman" w:cs="Times New Roman"/>
          <w:bCs/>
          <w:sz w:val="24"/>
          <w:szCs w:val="24"/>
        </w:rPr>
        <w:t>Efectul Ciclosporinum nu a fost studiat la pacienţii cu insuficienţă hepatică sau renală. Totuşi, nu sunt necesare măsuri speciale la aceste grupe de pacienţi.</w:t>
      </w:r>
      <w:r w:rsidRPr="0049126A">
        <w:rPr>
          <w:rFonts w:ascii="Times New Roman" w:eastAsia="Times New Roman" w:hAnsi="Times New Roman" w:cs="Times New Roman"/>
          <w:sz w:val="24"/>
          <w:szCs w:val="24"/>
        </w:rPr>
        <w:t xml:space="preserve"> </w:t>
      </w:r>
    </w:p>
    <w:p w14:paraId="323DE213" w14:textId="77777777" w:rsidR="00257BFB" w:rsidRPr="0049126A" w:rsidRDefault="00257BFB" w:rsidP="00257BFB">
      <w:pPr>
        <w:spacing w:line="276" w:lineRule="auto"/>
        <w:jc w:val="both"/>
        <w:rPr>
          <w:rFonts w:ascii="Times New Roman" w:eastAsia="Times New Roman" w:hAnsi="Times New Roman" w:cs="Times New Roman"/>
          <w:sz w:val="24"/>
          <w:szCs w:val="24"/>
        </w:rPr>
      </w:pPr>
    </w:p>
    <w:p w14:paraId="12A6DA35" w14:textId="0B16D24A" w:rsidR="00257BFB" w:rsidRPr="0049126A" w:rsidRDefault="00257BFB" w:rsidP="00257BFB">
      <w:pPr>
        <w:spacing w:after="0" w:line="276" w:lineRule="auto"/>
        <w:jc w:val="both"/>
        <w:rPr>
          <w:rFonts w:ascii="Times New Roman" w:hAnsi="Times New Roman" w:cs="Times New Roman"/>
          <w:b/>
          <w:bCs/>
          <w:sz w:val="24"/>
          <w:szCs w:val="24"/>
        </w:rPr>
      </w:pPr>
      <w:r w:rsidRPr="0049126A">
        <w:rPr>
          <w:rFonts w:ascii="Times New Roman" w:hAnsi="Times New Roman" w:cs="Times New Roman"/>
          <w:b/>
          <w:bCs/>
          <w:sz w:val="24"/>
          <w:szCs w:val="24"/>
        </w:rPr>
        <w:t>VI. Monitorizarea tratamentului.Criterii de evaluare a eficienţei tratamentului</w:t>
      </w:r>
    </w:p>
    <w:p w14:paraId="260DE950" w14:textId="77777777" w:rsidR="00257BFB" w:rsidRPr="0049126A" w:rsidRDefault="00257BFB" w:rsidP="00257BFB">
      <w:pPr>
        <w:spacing w:line="276" w:lineRule="auto"/>
        <w:jc w:val="both"/>
        <w:rPr>
          <w:rFonts w:ascii="Times New Roman" w:hAnsi="Times New Roman" w:cs="Times New Roman"/>
          <w:bCs/>
          <w:sz w:val="24"/>
          <w:szCs w:val="24"/>
        </w:rPr>
      </w:pPr>
      <w:r w:rsidRPr="0049126A">
        <w:rPr>
          <w:rFonts w:ascii="Times New Roman" w:hAnsi="Times New Roman" w:cs="Times New Roman"/>
          <w:bCs/>
          <w:sz w:val="24"/>
          <w:szCs w:val="24"/>
        </w:rPr>
        <w:t>Evaluarea răspunsului la tratament trebuie repetată cel puţin o dată la interval de 6 luni prin examen biomicroscopic al suprafeţei anterioare a globului ocular pentru evaluarea filmului lacrimal, examinarea corneei şi testul Schirmer pentru evaluarea cantitativă a secreţiei lacrimale.</w:t>
      </w:r>
    </w:p>
    <w:p w14:paraId="7EBC7587" w14:textId="77777777" w:rsidR="00257BFB" w:rsidRPr="0049126A" w:rsidRDefault="00257BFB" w:rsidP="00257BFB">
      <w:pPr>
        <w:autoSpaceDE w:val="0"/>
        <w:autoSpaceDN w:val="0"/>
        <w:adjustRightInd w:val="0"/>
        <w:spacing w:line="276" w:lineRule="auto"/>
        <w:jc w:val="both"/>
        <w:rPr>
          <w:rFonts w:ascii="Times New Roman" w:hAnsi="Times New Roman" w:cs="Times New Roman"/>
          <w:sz w:val="24"/>
          <w:szCs w:val="24"/>
        </w:rPr>
      </w:pPr>
    </w:p>
    <w:p w14:paraId="1EF5C996" w14:textId="77777777" w:rsidR="00257BFB" w:rsidRPr="0049126A" w:rsidRDefault="00257BFB" w:rsidP="00257BFB">
      <w:pPr>
        <w:autoSpaceDE w:val="0"/>
        <w:autoSpaceDN w:val="0"/>
        <w:adjustRightInd w:val="0"/>
        <w:spacing w:after="0"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VII. Criterii pentru întreruperea tratamentului</w:t>
      </w:r>
    </w:p>
    <w:p w14:paraId="414E4ED0" w14:textId="0B3DFDF6" w:rsidR="00257BFB" w:rsidRPr="0049126A" w:rsidRDefault="00257BFB" w:rsidP="00257BFB">
      <w:pPr>
        <w:autoSpaceDE w:val="0"/>
        <w:autoSpaceDN w:val="0"/>
        <w:adjustRightInd w:val="0"/>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In cazul apariţiei efectelor adverse, tratamentul va fi întrerupt.</w:t>
      </w:r>
    </w:p>
    <w:p w14:paraId="64447678" w14:textId="77777777" w:rsidR="00257BFB" w:rsidRPr="0049126A" w:rsidRDefault="00257BFB" w:rsidP="00257BFB">
      <w:pPr>
        <w:autoSpaceDE w:val="0"/>
        <w:autoSpaceDN w:val="0"/>
        <w:adjustRightInd w:val="0"/>
        <w:spacing w:line="276" w:lineRule="auto"/>
        <w:jc w:val="both"/>
        <w:rPr>
          <w:rFonts w:ascii="Times New Roman" w:hAnsi="Times New Roman" w:cs="Times New Roman"/>
          <w:sz w:val="24"/>
          <w:szCs w:val="24"/>
        </w:rPr>
      </w:pPr>
    </w:p>
    <w:p w14:paraId="74326716" w14:textId="21A804D9" w:rsidR="00257BFB" w:rsidRPr="0049126A" w:rsidRDefault="00257BFB" w:rsidP="00257BFB">
      <w:pPr>
        <w:spacing w:after="0" w:line="276" w:lineRule="auto"/>
        <w:jc w:val="both"/>
        <w:rPr>
          <w:rFonts w:ascii="Times New Roman" w:hAnsi="Times New Roman" w:cs="Times New Roman"/>
          <w:sz w:val="24"/>
          <w:szCs w:val="24"/>
        </w:rPr>
      </w:pPr>
      <w:r w:rsidRPr="0049126A">
        <w:rPr>
          <w:rFonts w:ascii="Times New Roman" w:hAnsi="Times New Roman" w:cs="Times New Roman"/>
          <w:b/>
          <w:sz w:val="24"/>
          <w:szCs w:val="24"/>
        </w:rPr>
        <w:t>VIII. Prescriptori</w:t>
      </w:r>
    </w:p>
    <w:p w14:paraId="4CA9BBEA" w14:textId="1A87A0EE" w:rsidR="00257BFB" w:rsidRPr="0049126A" w:rsidRDefault="00257BFB" w:rsidP="00257BFB">
      <w:pPr>
        <w:spacing w:line="276" w:lineRule="auto"/>
        <w:jc w:val="both"/>
        <w:rPr>
          <w:rFonts w:ascii="Times New Roman" w:hAnsi="Times New Roman" w:cs="Times New Roman"/>
          <w:sz w:val="24"/>
          <w:szCs w:val="24"/>
        </w:rPr>
      </w:pPr>
      <w:r w:rsidRPr="0049126A">
        <w:rPr>
          <w:rFonts w:ascii="Times New Roman" w:hAnsi="Times New Roman" w:cs="Times New Roman"/>
          <w:sz w:val="24"/>
          <w:szCs w:val="24"/>
        </w:rPr>
        <w:t xml:space="preserve"> Tratamentul se iniţiază de către medicul oftalmolog şi poate fi continuat de către medicul oftalmolog sau medicul de familie în dozele şi pe durata menţionate în scrisoarea medicală.”</w:t>
      </w:r>
    </w:p>
    <w:p w14:paraId="075F10C1" w14:textId="77777777" w:rsidR="00FE11D1" w:rsidRPr="0049126A" w:rsidRDefault="00FE11D1" w:rsidP="00257BFB">
      <w:pPr>
        <w:spacing w:after="0" w:line="276" w:lineRule="auto"/>
        <w:jc w:val="both"/>
        <w:rPr>
          <w:rFonts w:ascii="Times New Roman" w:eastAsia="Calibri" w:hAnsi="Times New Roman" w:cs="Times New Roman"/>
          <w:sz w:val="24"/>
          <w:szCs w:val="24"/>
        </w:rPr>
      </w:pPr>
    </w:p>
    <w:p w14:paraId="65127BBA" w14:textId="77777777" w:rsidR="00FE11D1" w:rsidRPr="0049126A" w:rsidRDefault="00FE11D1" w:rsidP="00257BFB">
      <w:pPr>
        <w:spacing w:after="0" w:line="276" w:lineRule="auto"/>
        <w:jc w:val="both"/>
        <w:rPr>
          <w:rFonts w:ascii="Times New Roman" w:eastAsia="Calibri" w:hAnsi="Times New Roman" w:cs="Times New Roman"/>
          <w:sz w:val="24"/>
          <w:szCs w:val="24"/>
        </w:rPr>
      </w:pPr>
    </w:p>
    <w:p w14:paraId="603599A9" w14:textId="77777777" w:rsidR="00257BFB" w:rsidRPr="0049126A" w:rsidRDefault="00257BFB" w:rsidP="00257BFB">
      <w:pPr>
        <w:spacing w:after="0" w:line="276" w:lineRule="auto"/>
        <w:jc w:val="both"/>
        <w:rPr>
          <w:rFonts w:ascii="Times New Roman" w:eastAsia="Calibri" w:hAnsi="Times New Roman" w:cs="Times New Roman"/>
          <w:sz w:val="24"/>
          <w:szCs w:val="24"/>
        </w:rPr>
      </w:pPr>
    </w:p>
    <w:p w14:paraId="0354C203" w14:textId="77777777" w:rsidR="00257BFB" w:rsidRPr="0049126A" w:rsidRDefault="00257BFB" w:rsidP="00FE11D1">
      <w:pPr>
        <w:spacing w:after="0" w:line="276" w:lineRule="auto"/>
        <w:jc w:val="both"/>
        <w:rPr>
          <w:rFonts w:ascii="Times New Roman" w:eastAsia="Calibri" w:hAnsi="Times New Roman" w:cs="Times New Roman"/>
          <w:sz w:val="24"/>
          <w:szCs w:val="24"/>
        </w:rPr>
      </w:pPr>
    </w:p>
    <w:p w14:paraId="3181CAF6" w14:textId="77777777" w:rsidR="00257BFB" w:rsidRPr="0049126A" w:rsidRDefault="00257BFB" w:rsidP="00FE11D1">
      <w:pPr>
        <w:spacing w:after="0" w:line="276" w:lineRule="auto"/>
        <w:jc w:val="both"/>
        <w:rPr>
          <w:rFonts w:ascii="Times New Roman" w:eastAsia="Calibri" w:hAnsi="Times New Roman" w:cs="Times New Roman"/>
          <w:sz w:val="24"/>
          <w:szCs w:val="24"/>
        </w:rPr>
      </w:pPr>
    </w:p>
    <w:p w14:paraId="5B541263" w14:textId="77777777" w:rsidR="00257BFB" w:rsidRPr="0049126A" w:rsidRDefault="00257BFB" w:rsidP="00FE11D1">
      <w:pPr>
        <w:spacing w:after="0" w:line="276" w:lineRule="auto"/>
        <w:jc w:val="both"/>
        <w:rPr>
          <w:rFonts w:ascii="Times New Roman" w:eastAsia="Calibri" w:hAnsi="Times New Roman" w:cs="Times New Roman"/>
          <w:sz w:val="24"/>
          <w:szCs w:val="24"/>
        </w:rPr>
      </w:pPr>
    </w:p>
    <w:p w14:paraId="65A3A9DB" w14:textId="77777777" w:rsidR="00257BFB" w:rsidRPr="0049126A" w:rsidRDefault="00257BFB" w:rsidP="00FE11D1">
      <w:pPr>
        <w:spacing w:after="0" w:line="276" w:lineRule="auto"/>
        <w:jc w:val="both"/>
        <w:rPr>
          <w:rFonts w:ascii="Times New Roman" w:eastAsia="Calibri" w:hAnsi="Times New Roman" w:cs="Times New Roman"/>
          <w:sz w:val="24"/>
          <w:szCs w:val="24"/>
        </w:rPr>
      </w:pPr>
    </w:p>
    <w:p w14:paraId="11217094" w14:textId="77777777" w:rsidR="00FE11D1" w:rsidRPr="0049126A" w:rsidRDefault="00FE11D1" w:rsidP="00FE11D1">
      <w:pPr>
        <w:spacing w:after="0" w:line="276" w:lineRule="auto"/>
        <w:jc w:val="both"/>
        <w:rPr>
          <w:rFonts w:ascii="Times New Roman" w:eastAsia="Calibri" w:hAnsi="Times New Roman" w:cs="Times New Roman"/>
          <w:sz w:val="24"/>
          <w:szCs w:val="24"/>
        </w:rPr>
      </w:pPr>
    </w:p>
    <w:p w14:paraId="383D3315"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32A4E4F7" w14:textId="5B41ADC0" w:rsidR="00F73895" w:rsidRPr="0049126A" w:rsidRDefault="00F73895" w:rsidP="00C26280">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1, după protocolul terapeutic c</w:t>
      </w:r>
      <w:r w:rsidR="00AB1D4D" w:rsidRPr="0049126A">
        <w:rPr>
          <w:rFonts w:eastAsia="Arial"/>
          <w:b/>
          <w:bCs/>
          <w:color w:val="auto"/>
          <w:lang w:val="en-US"/>
        </w:rPr>
        <w:t>orespunzător poziției cu nr. 362</w:t>
      </w:r>
      <w:r w:rsidRPr="0049126A">
        <w:rPr>
          <w:rFonts w:eastAsia="Arial"/>
          <w:b/>
          <w:bCs/>
          <w:color w:val="auto"/>
          <w:lang w:val="en-US"/>
        </w:rPr>
        <w:t xml:space="preserve"> se introduce protocolul terapeut</w:t>
      </w:r>
      <w:r w:rsidR="00896095" w:rsidRPr="0049126A">
        <w:rPr>
          <w:rFonts w:eastAsia="Arial"/>
          <w:b/>
          <w:bCs/>
          <w:color w:val="auto"/>
          <w:lang w:val="en-US"/>
        </w:rPr>
        <w:t>i</w:t>
      </w:r>
      <w:r w:rsidR="00AB1D4D" w:rsidRPr="0049126A">
        <w:rPr>
          <w:rFonts w:eastAsia="Arial"/>
          <w:b/>
          <w:bCs/>
          <w:color w:val="auto"/>
          <w:lang w:val="en-US"/>
        </w:rPr>
        <w:t>c corespunzător poziției nr. 363</w:t>
      </w:r>
      <w:r w:rsidRPr="0049126A">
        <w:rPr>
          <w:rFonts w:eastAsia="Arial"/>
          <w:b/>
          <w:bCs/>
          <w:color w:val="auto"/>
          <w:lang w:val="en-US"/>
        </w:rPr>
        <w:t xml:space="preserve"> cod (</w:t>
      </w:r>
      <w:r w:rsidR="00896095" w:rsidRPr="0049126A">
        <w:rPr>
          <w:rFonts w:eastAsia="Arial"/>
          <w:b/>
          <w:bCs/>
          <w:color w:val="auto"/>
          <w:lang w:val="en-US"/>
        </w:rPr>
        <w:t>V03AE05</w:t>
      </w:r>
      <w:r w:rsidRPr="0049126A">
        <w:rPr>
          <w:rFonts w:eastAsia="Arial"/>
          <w:b/>
          <w:bCs/>
          <w:color w:val="auto"/>
          <w:lang w:val="en-US"/>
        </w:rPr>
        <w:t xml:space="preserve">): DCI </w:t>
      </w:r>
      <w:r w:rsidR="00896095" w:rsidRPr="0049126A">
        <w:rPr>
          <w:rFonts w:eastAsia="Arial"/>
          <w:b/>
          <w:bCs/>
          <w:color w:val="auto"/>
          <w:lang w:val="en-US"/>
        </w:rPr>
        <w:t xml:space="preserve">OXIHIDROXID SUCROFERIC </w:t>
      </w:r>
      <w:r w:rsidRPr="0049126A">
        <w:rPr>
          <w:rFonts w:eastAsia="Arial"/>
          <w:b/>
          <w:bCs/>
          <w:color w:val="auto"/>
          <w:lang w:val="en-US"/>
        </w:rPr>
        <w:t xml:space="preserve">cu următorul cuprins: </w:t>
      </w:r>
    </w:p>
    <w:p w14:paraId="7AF0B34A"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7F1B1CBC" w14:textId="77777777" w:rsidR="00F73895" w:rsidRPr="0049126A" w:rsidRDefault="00F73895" w:rsidP="00F73895">
      <w:pPr>
        <w:tabs>
          <w:tab w:val="left" w:pos="426"/>
        </w:tabs>
        <w:jc w:val="both"/>
        <w:rPr>
          <w:rFonts w:ascii="Times New Roman" w:eastAsia="Arial" w:hAnsi="Times New Roman" w:cs="Times New Roman"/>
          <w:b/>
          <w:bCs/>
          <w:sz w:val="24"/>
          <w:szCs w:val="24"/>
          <w:lang w:val="en-US"/>
        </w:rPr>
      </w:pPr>
    </w:p>
    <w:p w14:paraId="1EDD80DA" w14:textId="6178B8BC" w:rsidR="00F73895" w:rsidRPr="0049126A" w:rsidRDefault="00F73895" w:rsidP="00380B65">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 xml:space="preserve">”Protocol terapeutic corespunzător poziţiei nr. </w:t>
      </w:r>
      <w:r w:rsidR="00AB1D4D" w:rsidRPr="0049126A">
        <w:rPr>
          <w:rFonts w:ascii="Times New Roman" w:eastAsia="Arial" w:hAnsi="Times New Roman" w:cs="Times New Roman"/>
          <w:b/>
          <w:bCs/>
          <w:sz w:val="24"/>
          <w:szCs w:val="24"/>
          <w:lang w:val="en-US"/>
        </w:rPr>
        <w:t>363</w:t>
      </w:r>
      <w:r w:rsidR="00896095" w:rsidRPr="0049126A">
        <w:rPr>
          <w:rFonts w:ascii="Times New Roman" w:eastAsia="Arial" w:hAnsi="Times New Roman" w:cs="Times New Roman"/>
          <w:b/>
          <w:bCs/>
          <w:sz w:val="24"/>
          <w:szCs w:val="24"/>
          <w:lang w:val="en-US"/>
        </w:rPr>
        <w:t xml:space="preserve"> cod (V03AE05): DCI OXIHIDROXID SUCROFERIC</w:t>
      </w:r>
    </w:p>
    <w:p w14:paraId="6EEA6FE3"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3A49658A" w14:textId="256D1DCC" w:rsidR="006920D6" w:rsidRPr="0049126A" w:rsidRDefault="006920D6" w:rsidP="006920D6">
      <w:p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Hiperfosfatemia este o complicaţie frecventă a Bolii cronice de rinichi avansate (cu filtrat glomerular estimat sub 30mL/min), raportată la aproximativ 70% dintre pacienţii dializaţi (Boală cronică de rinichi categoria G5D)</w:t>
      </w:r>
      <w:r w:rsidRPr="0049126A">
        <w:rPr>
          <w:rFonts w:ascii="Times New Roman" w:eastAsia="Times New Roman" w:hAnsi="Times New Roman" w:cs="Times New Roman"/>
          <w:spacing w:val="-2"/>
          <w:sz w:val="24"/>
          <w:szCs w:val="24"/>
          <w:vertAlign w:val="superscript"/>
        </w:rPr>
        <w:t>1,2</w:t>
      </w:r>
      <w:r w:rsidRPr="0049126A">
        <w:rPr>
          <w:rFonts w:ascii="Times New Roman" w:eastAsia="Times New Roman" w:hAnsi="Times New Roman" w:cs="Times New Roman"/>
          <w:spacing w:val="-2"/>
          <w:sz w:val="24"/>
          <w:szCs w:val="24"/>
        </w:rPr>
        <w:t xml:space="preserve">. Hiperfosfatemia este o componentă a tulburărilor metabolismului mineral şi osos asociate BCR - hiperparatiroidism secundar, boală osoasă renală şi afecţiunile cardio-vasculare – care au un puternic impact negativ prin creşterea riscului de fracturi şi de mortalitate generală şi de cauză cardio-vasculară.  </w:t>
      </w:r>
    </w:p>
    <w:p w14:paraId="45485C0A" w14:textId="77777777" w:rsidR="006920D6" w:rsidRPr="0049126A" w:rsidRDefault="006920D6" w:rsidP="006920D6">
      <w:pPr>
        <w:spacing w:after="0" w:line="276" w:lineRule="auto"/>
        <w:jc w:val="both"/>
        <w:rPr>
          <w:rFonts w:ascii="Times New Roman" w:eastAsia="Times New Roman" w:hAnsi="Times New Roman" w:cs="Times New Roman"/>
          <w:spacing w:val="-2"/>
          <w:sz w:val="24"/>
          <w:szCs w:val="24"/>
        </w:rPr>
      </w:pPr>
    </w:p>
    <w:p w14:paraId="2CC9414A" w14:textId="7D757C66" w:rsidR="006920D6" w:rsidRPr="0049126A" w:rsidRDefault="006920D6" w:rsidP="006920D6">
      <w:p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Ghidurile de tratament al Tulburărilor metabolismului mineral şi osos asociate BCR - KDIGO (</w:t>
      </w:r>
      <w:r w:rsidRPr="0049126A">
        <w:rPr>
          <w:rFonts w:ascii="Times New Roman" w:eastAsia="Times New Roman" w:hAnsi="Times New Roman" w:cs="Times New Roman"/>
          <w:i/>
          <w:spacing w:val="-2"/>
          <w:sz w:val="24"/>
          <w:szCs w:val="24"/>
        </w:rPr>
        <w:t>Kidney Disease Improving Global Outcomes</w:t>
      </w:r>
      <w:r w:rsidRPr="0049126A">
        <w:rPr>
          <w:rFonts w:ascii="Times New Roman" w:eastAsia="Times New Roman" w:hAnsi="Times New Roman" w:cs="Times New Roman"/>
          <w:spacing w:val="-2"/>
          <w:sz w:val="24"/>
          <w:szCs w:val="24"/>
        </w:rPr>
        <w:t>) şi SRN (</w:t>
      </w:r>
      <w:r w:rsidRPr="0049126A">
        <w:rPr>
          <w:rFonts w:ascii="Times New Roman" w:eastAsia="Times New Roman" w:hAnsi="Times New Roman" w:cs="Times New Roman"/>
          <w:i/>
          <w:spacing w:val="-2"/>
          <w:sz w:val="24"/>
          <w:szCs w:val="24"/>
        </w:rPr>
        <w:t>Societatea Română de Nefrologie</w:t>
      </w:r>
      <w:r w:rsidRPr="0049126A">
        <w:rPr>
          <w:rFonts w:ascii="Times New Roman" w:eastAsia="Times New Roman" w:hAnsi="Times New Roman" w:cs="Times New Roman"/>
          <w:spacing w:val="-2"/>
          <w:sz w:val="24"/>
          <w:szCs w:val="24"/>
        </w:rPr>
        <w:t>) - sugerează drept obiectiv terapeutic la pacienţii dializaţi reducerea fosfatemiei către valorile normale de referinţă ale laboratorului. Pentru atingerea acestui obiectiv, este sugerată administrarea chelatorilor intestinali de fosfaţi, însă cu evitarea hipercalcemiei şi limitarea aportului de calciu din medicamente.</w:t>
      </w:r>
    </w:p>
    <w:p w14:paraId="03FFD2BD" w14:textId="77777777" w:rsidR="006920D6" w:rsidRPr="0049126A" w:rsidRDefault="006920D6" w:rsidP="006920D6">
      <w:pPr>
        <w:spacing w:after="0" w:line="276" w:lineRule="auto"/>
        <w:jc w:val="both"/>
        <w:rPr>
          <w:rFonts w:ascii="Times New Roman" w:eastAsia="Times New Roman" w:hAnsi="Times New Roman" w:cs="Times New Roman"/>
          <w:spacing w:val="-2"/>
          <w:sz w:val="24"/>
          <w:szCs w:val="24"/>
        </w:rPr>
      </w:pPr>
    </w:p>
    <w:p w14:paraId="3FDA8BC6" w14:textId="77777777" w:rsidR="006920D6" w:rsidRPr="0049126A" w:rsidRDefault="006920D6" w:rsidP="006920D6">
      <w:p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 xml:space="preserve">În prezent, pentru tratamentul farmacologic al hiperfosfatemiei la pacienţii cu BCR dializaţi sunt disponibile: </w:t>
      </w:r>
    </w:p>
    <w:p w14:paraId="3E31073E" w14:textId="77777777" w:rsidR="006920D6" w:rsidRPr="0049126A" w:rsidRDefault="006920D6" w:rsidP="002161CA">
      <w:pPr>
        <w:numPr>
          <w:ilvl w:val="0"/>
          <w:numId w:val="151"/>
        </w:num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Sărurile de calciu (combinate sau nu cu săruri magneziu) sunt folosite pe scară largă datorită disponibilităţii şi preţului scăzut, dar utilizarea lor creşte riscul de hipercalcemie, de boală osoasă adinamică şi de favorizare a calcificărilor vasculare;</w:t>
      </w:r>
    </w:p>
    <w:p w14:paraId="79EFA6F8" w14:textId="77777777" w:rsidR="006920D6" w:rsidRPr="0049126A" w:rsidRDefault="006920D6" w:rsidP="002161CA">
      <w:pPr>
        <w:numPr>
          <w:ilvl w:val="0"/>
          <w:numId w:val="151"/>
        </w:num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 xml:space="preserve">Sărurile de aluminiu sunt rar utilizate, din cauza acumulării tisulare a aluminiului cu toxicitate neurologică, osoasă şi medulară; </w:t>
      </w:r>
    </w:p>
    <w:p w14:paraId="79E562F0" w14:textId="77777777" w:rsidR="006920D6" w:rsidRPr="0049126A" w:rsidRDefault="006920D6" w:rsidP="002161CA">
      <w:pPr>
        <w:numPr>
          <w:ilvl w:val="0"/>
          <w:numId w:val="151"/>
        </w:num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Sevelamer-ul (chelator aş fosfaţilor fără calciu şi aluminiu) evită riscurile precedentelor două preparate, cu eficacitate comparabilă; produce reacţii adverse digestive şi necesită un număr mare de tablete zilnic;</w:t>
      </w:r>
    </w:p>
    <w:p w14:paraId="70119249" w14:textId="77777777" w:rsidR="006920D6" w:rsidRPr="0049126A" w:rsidRDefault="006920D6" w:rsidP="002161CA">
      <w:pPr>
        <w:numPr>
          <w:ilvl w:val="0"/>
          <w:numId w:val="151"/>
        </w:numPr>
        <w:spacing w:after="0" w:line="276" w:lineRule="auto"/>
        <w:jc w:val="both"/>
        <w:rPr>
          <w:rFonts w:ascii="Times New Roman" w:eastAsia="Times New Roman" w:hAnsi="Times New Roman" w:cs="Times New Roman"/>
          <w:spacing w:val="-2"/>
          <w:sz w:val="24"/>
          <w:szCs w:val="24"/>
        </w:rPr>
      </w:pPr>
      <w:r w:rsidRPr="0049126A">
        <w:rPr>
          <w:rFonts w:ascii="Times New Roman" w:eastAsia="Times New Roman" w:hAnsi="Times New Roman" w:cs="Times New Roman"/>
          <w:spacing w:val="-2"/>
          <w:sz w:val="24"/>
          <w:szCs w:val="24"/>
        </w:rPr>
        <w:t>Sărurile de lantanum (chelator intestinal al fosfaţilor fără calciu şi aluminiu) evită riscurile primelor două preparate.</w:t>
      </w:r>
    </w:p>
    <w:p w14:paraId="08444DBE" w14:textId="77777777" w:rsidR="006920D6" w:rsidRPr="0049126A" w:rsidRDefault="006920D6" w:rsidP="006920D6">
      <w:pPr>
        <w:spacing w:after="0" w:line="276" w:lineRule="auto"/>
        <w:jc w:val="both"/>
        <w:rPr>
          <w:rFonts w:ascii="Times New Roman" w:eastAsia="Times New Roman" w:hAnsi="Times New Roman" w:cs="Times New Roman"/>
          <w:sz w:val="24"/>
          <w:szCs w:val="24"/>
        </w:rPr>
      </w:pPr>
    </w:p>
    <w:p w14:paraId="6D25F985" w14:textId="77777777" w:rsidR="006920D6" w:rsidRPr="0049126A" w:rsidRDefault="006920D6" w:rsidP="006920D6">
      <w:p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Oxihidroxidul sucroferic este un chelator intestinal de fosfat fără calciu şi aluminiu, care leagă fosfaţii prin schimbarea liganzilor între moleculele de hidroxid şi/sau de apă şi ionii de fosfaţi din intestin. Preparatul comercial  conţine oxihidroxid de fier (III) polinuclear (500mg/comprimat masticabil), sucroză şi amidon. </w:t>
      </w:r>
    </w:p>
    <w:p w14:paraId="3F672487" w14:textId="77777777" w:rsidR="006920D6" w:rsidRPr="0049126A" w:rsidRDefault="006920D6" w:rsidP="006920D6">
      <w:pPr>
        <w:spacing w:after="0" w:line="276" w:lineRule="auto"/>
        <w:jc w:val="both"/>
        <w:rPr>
          <w:rFonts w:ascii="Times New Roman" w:eastAsia="Times New Roman" w:hAnsi="Times New Roman" w:cs="Times New Roman"/>
          <w:sz w:val="24"/>
          <w:szCs w:val="24"/>
        </w:rPr>
      </w:pPr>
    </w:p>
    <w:p w14:paraId="64E25F05" w14:textId="1F3246B9" w:rsidR="006920D6" w:rsidRPr="0049126A" w:rsidRDefault="006920D6" w:rsidP="006920D6">
      <w:p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Într-un studiu clinic de fază III, multicentric randomizat în raport 2:1 cu comparator activ (sevelamer carbonat) şi design deschis, cu durată de 6 luni, au fost incluşi 1059 adulţi trataţi prin hemodializă şi dializă peritoneală (707 în lotul cu oxihidroxid sucroferic şi 348 în cel cu sevelamer). Parametrul principal a fost variaţia fosfatemiei. Rezultatele studiului au indicat că oxihidroxidul sucroferic nu a fost inferior sevelamer-ului pentru controlul hiperfosfatemiei la pacienţi dializaţi. Deoarece în lotul tratat cu oxihidroxid sucroferic numărul de comprimate necesare a fost mai mic, aderenţa la tratament a fost mai bună</w:t>
      </w:r>
      <w:r w:rsidRPr="0049126A">
        <w:rPr>
          <w:rFonts w:ascii="Times New Roman" w:eastAsia="Times New Roman" w:hAnsi="Times New Roman" w:cs="Times New Roman"/>
          <w:sz w:val="24"/>
          <w:szCs w:val="24"/>
          <w:vertAlign w:val="superscript"/>
        </w:rPr>
        <w:t>7</w:t>
      </w:r>
      <w:r w:rsidRPr="0049126A">
        <w:rPr>
          <w:rFonts w:ascii="Times New Roman" w:eastAsia="Times New Roman" w:hAnsi="Times New Roman" w:cs="Times New Roman"/>
          <w:sz w:val="24"/>
          <w:szCs w:val="24"/>
        </w:rPr>
        <w:t xml:space="preserve">. În extensia acestui studiu, desfăşurată după un design similar pentru o perioadă </w:t>
      </w:r>
      <w:r w:rsidRPr="0049126A">
        <w:rPr>
          <w:rFonts w:ascii="Times New Roman" w:eastAsia="Times New Roman" w:hAnsi="Times New Roman" w:cs="Times New Roman"/>
          <w:sz w:val="24"/>
          <w:szCs w:val="24"/>
        </w:rPr>
        <w:lastRenderedPageBreak/>
        <w:t>suplimentară de 28 săptămâni, au intrat 644 adulţi dializaţi care au finalizat primul studiu, (384 în tratament cu oxihidroxid sucroferic şi 260 cu sevelamer). A fost constatată menţinerea efectului asupra fosfatemiei la un an de tratament şi nu au fost înregistrate reacţii adverse notabile sau acumulare de fier. Profilul de siguranţă şi tolerabilitate al oxihidroxid sucroferic a fost confirmat şi de un studiu observaţional prospectiv multicentric (date din „viaţa reală”) la a 1365 bolnavi dializaţi monitorizaţi timp de 36 luni.</w:t>
      </w:r>
    </w:p>
    <w:p w14:paraId="66CFEFCF" w14:textId="77777777" w:rsidR="006920D6" w:rsidRPr="0049126A" w:rsidRDefault="006920D6" w:rsidP="006920D6">
      <w:pPr>
        <w:spacing w:after="0" w:line="276" w:lineRule="auto"/>
        <w:jc w:val="both"/>
        <w:rPr>
          <w:rFonts w:ascii="Times New Roman" w:eastAsia="Times New Roman" w:hAnsi="Times New Roman" w:cs="Times New Roman"/>
          <w:sz w:val="24"/>
          <w:szCs w:val="24"/>
        </w:rPr>
      </w:pPr>
    </w:p>
    <w:p w14:paraId="2C775CB6" w14:textId="11D5DBE2" w:rsidR="006920D6" w:rsidRPr="0049126A" w:rsidRDefault="006920D6" w:rsidP="006920D6">
      <w:pPr>
        <w:spacing w:line="276" w:lineRule="auto"/>
        <w:jc w:val="both"/>
        <w:rPr>
          <w:rFonts w:ascii="Times New Roman" w:hAnsi="Times New Roman" w:cs="Times New Roman"/>
          <w:b/>
          <w:sz w:val="24"/>
          <w:szCs w:val="24"/>
        </w:rPr>
      </w:pPr>
      <w:r w:rsidRPr="0049126A">
        <w:rPr>
          <w:rFonts w:ascii="Times New Roman" w:hAnsi="Times New Roman" w:cs="Times New Roman"/>
          <w:b/>
          <w:sz w:val="24"/>
          <w:szCs w:val="24"/>
        </w:rPr>
        <w:t>I. INDICAȚIA TERAPEUTICĂ  (face obiectul unui contract cost-volum)</w:t>
      </w:r>
    </w:p>
    <w:p w14:paraId="2FCAEFBB"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Oxihidroxid sucroferic</w:t>
      </w:r>
      <w:r w:rsidRPr="0049126A">
        <w:rPr>
          <w:rFonts w:ascii="Times New Roman" w:eastAsia="Times New Roman" w:hAnsi="Times New Roman" w:cs="Times New Roman"/>
          <w:sz w:val="24"/>
          <w:szCs w:val="24"/>
        </w:rPr>
        <w:t xml:space="preserve"> </w:t>
      </w:r>
      <w:r w:rsidRPr="0049126A">
        <w:rPr>
          <w:rFonts w:ascii="Times New Roman" w:eastAsia="Times New Roman" w:hAnsi="Times New Roman" w:cs="Times New Roman"/>
          <w:sz w:val="24"/>
          <w:szCs w:val="24"/>
          <w:lang w:val="it-IT"/>
        </w:rPr>
        <w:t xml:space="preserve">este recomandat pentru tratamentul hiperfosfatemiei la </w:t>
      </w:r>
      <w:bookmarkStart w:id="10" w:name="_Hlk157945791"/>
      <w:r w:rsidRPr="0049126A">
        <w:rPr>
          <w:rFonts w:ascii="Times New Roman" w:eastAsia="Times New Roman" w:hAnsi="Times New Roman" w:cs="Times New Roman"/>
          <w:sz w:val="24"/>
          <w:szCs w:val="24"/>
          <w:lang w:val="it-IT"/>
        </w:rPr>
        <w:t xml:space="preserve">pacienţi adulţi cu BCR categoria 5D (aflaţi în program de hemodializă cronică sau dializă peritoneală), care </w:t>
      </w:r>
      <w:bookmarkEnd w:id="10"/>
      <w:r w:rsidRPr="0049126A">
        <w:rPr>
          <w:rFonts w:ascii="Times New Roman" w:eastAsia="Times New Roman" w:hAnsi="Times New Roman" w:cs="Times New Roman"/>
          <w:sz w:val="24"/>
          <w:szCs w:val="24"/>
          <w:lang w:val="it-IT"/>
        </w:rPr>
        <w:t>au hiperfosfatemie peste 5,6mg/dL (1,8mmol/L):</w:t>
      </w:r>
    </w:p>
    <w:p w14:paraId="175BB2ED" w14:textId="77777777" w:rsidR="006920D6" w:rsidRPr="0049126A" w:rsidRDefault="006920D6" w:rsidP="002161CA">
      <w:pPr>
        <w:numPr>
          <w:ilvl w:val="0"/>
          <w:numId w:val="153"/>
        </w:numPr>
        <w:spacing w:after="0" w:line="276" w:lineRule="auto"/>
        <w:ind w:left="785"/>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persistentă sub tratament cu alt tip de chelatori ai fosfaţilor</w:t>
      </w:r>
    </w:p>
    <w:p w14:paraId="33EBE758" w14:textId="77777777" w:rsidR="006920D6" w:rsidRPr="0049126A" w:rsidRDefault="006920D6" w:rsidP="006920D6">
      <w:pPr>
        <w:spacing w:after="0" w:line="276" w:lineRule="auto"/>
        <w:ind w:left="425" w:firstLine="284"/>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i/>
          <w:iCs/>
          <w:sz w:val="24"/>
          <w:szCs w:val="24"/>
          <w:lang w:val="it-IT"/>
        </w:rPr>
        <w:t>SAU</w:t>
      </w:r>
    </w:p>
    <w:p w14:paraId="7C16EC1D" w14:textId="77777777" w:rsidR="006920D6" w:rsidRPr="0049126A" w:rsidRDefault="006920D6" w:rsidP="002161CA">
      <w:pPr>
        <w:numPr>
          <w:ilvl w:val="0"/>
          <w:numId w:val="153"/>
        </w:numPr>
        <w:spacing w:after="0" w:line="276" w:lineRule="auto"/>
        <w:ind w:left="782" w:hanging="357"/>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asociată cu contraindicaţii pentru administrarea sărurilor de calciu.</w:t>
      </w:r>
    </w:p>
    <w:p w14:paraId="2F3C87A5" w14:textId="77777777" w:rsidR="006920D6" w:rsidRPr="0049126A" w:rsidRDefault="006920D6" w:rsidP="006920D6">
      <w:pPr>
        <w:spacing w:after="0" w:line="276" w:lineRule="auto"/>
        <w:jc w:val="both"/>
        <w:rPr>
          <w:rFonts w:ascii="Times New Roman" w:eastAsia="Times New Roman" w:hAnsi="Times New Roman" w:cs="Times New Roman"/>
          <w:sz w:val="24"/>
          <w:szCs w:val="24"/>
        </w:rPr>
      </w:pPr>
    </w:p>
    <w:p w14:paraId="166D09E0" w14:textId="54612E5D" w:rsidR="006920D6" w:rsidRPr="0049126A" w:rsidRDefault="006920D6" w:rsidP="006920D6">
      <w:p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Oxihidroxid sucroferic este parte a tratamentului complex adresat tulburărilor metabolismului mineral şi osos asociate BCR, astfel că poate fi asociat cu activatori ai receptorilor vitaminei D şi calcimimetice.</w:t>
      </w:r>
    </w:p>
    <w:p w14:paraId="7F0EB79D" w14:textId="77777777" w:rsidR="006920D6" w:rsidRPr="0049126A" w:rsidRDefault="006920D6" w:rsidP="006920D6">
      <w:pPr>
        <w:keepNext/>
        <w:spacing w:after="0" w:line="276" w:lineRule="auto"/>
        <w:jc w:val="both"/>
        <w:outlineLvl w:val="0"/>
        <w:rPr>
          <w:rFonts w:ascii="Times New Roman" w:eastAsia="Times New Roman" w:hAnsi="Times New Roman" w:cs="Times New Roman"/>
          <w:b/>
          <w:bCs/>
          <w:smallCaps/>
          <w:kern w:val="32"/>
          <w:sz w:val="24"/>
          <w:szCs w:val="24"/>
          <w:lang w:val="it-IT"/>
        </w:rPr>
      </w:pPr>
    </w:p>
    <w:p w14:paraId="70209B3B" w14:textId="0D4421F1" w:rsidR="006920D6" w:rsidRPr="0049126A" w:rsidRDefault="006920D6" w:rsidP="006920D6">
      <w:pPr>
        <w:keepNext/>
        <w:spacing w:after="0" w:line="276" w:lineRule="auto"/>
        <w:jc w:val="both"/>
        <w:outlineLvl w:val="0"/>
        <w:rPr>
          <w:rFonts w:ascii="Times New Roman" w:eastAsia="Times New Roman" w:hAnsi="Times New Roman" w:cs="Times New Roman"/>
          <w:b/>
          <w:bCs/>
          <w:smallCaps/>
          <w:kern w:val="32"/>
          <w:sz w:val="24"/>
          <w:szCs w:val="24"/>
          <w:lang w:val="it-IT"/>
        </w:rPr>
      </w:pPr>
      <w:r w:rsidRPr="0049126A">
        <w:rPr>
          <w:rFonts w:ascii="Times New Roman" w:eastAsia="Times New Roman" w:hAnsi="Times New Roman" w:cs="Times New Roman"/>
          <w:b/>
          <w:bCs/>
          <w:smallCaps/>
          <w:kern w:val="32"/>
          <w:sz w:val="24"/>
          <w:szCs w:val="24"/>
          <w:lang w:val="it-IT"/>
        </w:rPr>
        <w:t>II. CRITERII PENTRU INCLUDEREA UNUI PACIENT ÎN TRATAMENT</w:t>
      </w:r>
    </w:p>
    <w:p w14:paraId="3F11D61B" w14:textId="77777777" w:rsidR="006920D6" w:rsidRPr="0049126A" w:rsidRDefault="006920D6" w:rsidP="006920D6">
      <w:pPr>
        <w:keepNext/>
        <w:spacing w:after="0" w:line="276" w:lineRule="auto"/>
        <w:jc w:val="both"/>
        <w:outlineLvl w:val="0"/>
        <w:rPr>
          <w:rFonts w:ascii="Times New Roman" w:eastAsia="Times New Roman" w:hAnsi="Times New Roman" w:cs="Times New Roman"/>
          <w:b/>
          <w:bCs/>
          <w:smallCaps/>
          <w:kern w:val="32"/>
          <w:sz w:val="24"/>
          <w:szCs w:val="24"/>
          <w:lang w:val="it-IT"/>
        </w:rPr>
      </w:pPr>
    </w:p>
    <w:p w14:paraId="2DF023DD" w14:textId="77777777" w:rsidR="006920D6" w:rsidRPr="0049126A" w:rsidRDefault="006920D6" w:rsidP="002161CA">
      <w:pPr>
        <w:numPr>
          <w:ilvl w:val="0"/>
          <w:numId w:val="154"/>
        </w:numPr>
        <w:tabs>
          <w:tab w:val="clear" w:pos="861"/>
          <w:tab w:val="num" w:pos="284"/>
        </w:tabs>
        <w:spacing w:after="0" w:line="276" w:lineRule="auto"/>
        <w:ind w:hanging="861"/>
        <w:jc w:val="both"/>
        <w:rPr>
          <w:rFonts w:ascii="Times New Roman" w:eastAsia="Times New Roman" w:hAnsi="Times New Roman" w:cs="Times New Roman"/>
          <w:b/>
          <w:i/>
          <w:sz w:val="24"/>
          <w:szCs w:val="24"/>
        </w:rPr>
      </w:pPr>
      <w:r w:rsidRPr="0049126A">
        <w:rPr>
          <w:rFonts w:ascii="Times New Roman" w:eastAsia="Times New Roman" w:hAnsi="Times New Roman" w:cs="Times New Roman"/>
          <w:b/>
          <w:i/>
          <w:sz w:val="24"/>
          <w:szCs w:val="24"/>
        </w:rPr>
        <w:t>Criterii de includere în tratament</w:t>
      </w:r>
    </w:p>
    <w:p w14:paraId="709CB1D2" w14:textId="77777777" w:rsidR="006920D6" w:rsidRPr="0049126A" w:rsidRDefault="006920D6" w:rsidP="006920D6">
      <w:pPr>
        <w:spacing w:after="0" w:line="276" w:lineRule="auto"/>
        <w:jc w:val="both"/>
        <w:rPr>
          <w:rFonts w:ascii="Times New Roman" w:eastAsia="Times New Roman" w:hAnsi="Times New Roman" w:cs="Times New Roman"/>
          <w:bCs/>
          <w:iCs/>
          <w:sz w:val="24"/>
          <w:szCs w:val="24"/>
        </w:rPr>
      </w:pPr>
      <w:r w:rsidRPr="0049126A">
        <w:rPr>
          <w:rFonts w:ascii="Times New Roman" w:eastAsia="Times New Roman" w:hAnsi="Times New Roman" w:cs="Times New Roman"/>
          <w:sz w:val="24"/>
          <w:szCs w:val="24"/>
          <w:lang w:val="it-IT"/>
        </w:rPr>
        <w:t>Pacienţi adulţi cu BCR stadiul 5D (aflaţi în program de hemodializă cronică sau dializă peritoneală), care prezintă:</w:t>
      </w:r>
    </w:p>
    <w:p w14:paraId="465EABA4" w14:textId="77777777" w:rsidR="006920D6" w:rsidRPr="0049126A" w:rsidRDefault="006920D6" w:rsidP="002161CA">
      <w:pPr>
        <w:numPr>
          <w:ilvl w:val="0"/>
          <w:numId w:val="155"/>
        </w:numPr>
        <w:spacing w:after="0" w:line="276" w:lineRule="auto"/>
        <w:ind w:left="709" w:hanging="425"/>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Hiperfosfatemie ≥5,6mg/dL (≥1,8mmol/L) persistentă după 4 săptămâni de tratament adecvat (restricţie dietetică de fosfaţi, ajustarea dozelor de săruri de calciu la conţinutul în fosfaţi al alimentelor ingerate, adecvarea dializei); sau</w:t>
      </w:r>
    </w:p>
    <w:p w14:paraId="38EB9137" w14:textId="77777777" w:rsidR="006920D6" w:rsidRPr="0049126A" w:rsidRDefault="006920D6" w:rsidP="002161CA">
      <w:pPr>
        <w:numPr>
          <w:ilvl w:val="0"/>
          <w:numId w:val="155"/>
        </w:numPr>
        <w:spacing w:after="0" w:line="276" w:lineRule="auto"/>
        <w:ind w:left="709" w:hanging="425"/>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Hiperfosfatemie ≥5,6mg/dL (≥1,8mmol/L) persistentă 4 săptămâni, asociată cu una din următoarele situații:</w:t>
      </w:r>
    </w:p>
    <w:p w14:paraId="402EAE44" w14:textId="77777777" w:rsidR="006920D6" w:rsidRPr="0049126A" w:rsidRDefault="006920D6" w:rsidP="002161CA">
      <w:pPr>
        <w:numPr>
          <w:ilvl w:val="1"/>
          <w:numId w:val="156"/>
        </w:num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Hipercalcemie persistentă ≥10,8mg/dL (≥2,65mmol/L) sau episoade repetate de hipercalcemie &gt;10,5mg/dL sub tratamentul cu săruri de calciu;</w:t>
      </w:r>
    </w:p>
    <w:p w14:paraId="59E044E3" w14:textId="77777777" w:rsidR="006920D6" w:rsidRPr="0049126A" w:rsidRDefault="006920D6" w:rsidP="002161CA">
      <w:pPr>
        <w:numPr>
          <w:ilvl w:val="1"/>
          <w:numId w:val="156"/>
        </w:num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 xml:space="preserve">Calcificări ectopice extinse (valvulare, arteriale, ale aortei, scor de calcificare al aortei abdominale lombare peste 5); </w:t>
      </w:r>
    </w:p>
    <w:p w14:paraId="0BBF9EAC" w14:textId="77777777" w:rsidR="006920D6" w:rsidRPr="0049126A" w:rsidRDefault="006920D6" w:rsidP="002161CA">
      <w:pPr>
        <w:numPr>
          <w:ilvl w:val="1"/>
          <w:numId w:val="156"/>
        </w:num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iPTH &lt;150pg/mL (sub 2 x limita superioară a valorii normale a laboratorului) la două determinări consecutive;</w:t>
      </w:r>
    </w:p>
    <w:p w14:paraId="5136D6AB" w14:textId="77777777" w:rsidR="006920D6" w:rsidRPr="0049126A" w:rsidRDefault="006920D6" w:rsidP="002161CA">
      <w:pPr>
        <w:numPr>
          <w:ilvl w:val="1"/>
          <w:numId w:val="156"/>
        </w:num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Calcifilaxie.</w:t>
      </w:r>
    </w:p>
    <w:p w14:paraId="4982C8CA" w14:textId="77777777" w:rsidR="006920D6" w:rsidRPr="0049126A" w:rsidRDefault="006920D6" w:rsidP="006920D6">
      <w:pPr>
        <w:spacing w:after="0" w:line="276" w:lineRule="auto"/>
        <w:jc w:val="both"/>
        <w:rPr>
          <w:rFonts w:ascii="Times New Roman" w:eastAsia="Times New Roman" w:hAnsi="Times New Roman" w:cs="Times New Roman"/>
          <w:sz w:val="24"/>
          <w:szCs w:val="24"/>
        </w:rPr>
      </w:pPr>
    </w:p>
    <w:p w14:paraId="3FD64213" w14:textId="2A4F9138" w:rsidR="006920D6" w:rsidRPr="0049126A" w:rsidRDefault="006920D6" w:rsidP="006920D6">
      <w:pPr>
        <w:spacing w:after="0" w:line="276" w:lineRule="auto"/>
        <w:jc w:val="both"/>
        <w:rPr>
          <w:rFonts w:ascii="Times New Roman" w:eastAsia="Times New Roman" w:hAnsi="Times New Roman" w:cs="Times New Roman"/>
          <w:b/>
          <w:i/>
          <w:sz w:val="24"/>
          <w:szCs w:val="24"/>
        </w:rPr>
      </w:pPr>
      <w:r w:rsidRPr="0049126A">
        <w:rPr>
          <w:rFonts w:ascii="Times New Roman" w:eastAsia="Times New Roman" w:hAnsi="Times New Roman" w:cs="Times New Roman"/>
          <w:sz w:val="24"/>
          <w:szCs w:val="24"/>
        </w:rPr>
        <w:t xml:space="preserve">2. </w:t>
      </w:r>
      <w:r w:rsidRPr="0049126A">
        <w:rPr>
          <w:rFonts w:ascii="Times New Roman" w:eastAsia="Times New Roman" w:hAnsi="Times New Roman" w:cs="Times New Roman"/>
          <w:b/>
          <w:i/>
          <w:sz w:val="24"/>
          <w:szCs w:val="24"/>
        </w:rPr>
        <w:t>Criterii de excludere</w:t>
      </w:r>
    </w:p>
    <w:p w14:paraId="19B1B895" w14:textId="77777777" w:rsidR="006920D6" w:rsidRPr="0049126A" w:rsidRDefault="006920D6" w:rsidP="002161CA">
      <w:pPr>
        <w:numPr>
          <w:ilvl w:val="0"/>
          <w:numId w:val="157"/>
        </w:numPr>
        <w:spacing w:after="0" w:line="276" w:lineRule="auto"/>
        <w:jc w:val="both"/>
        <w:rPr>
          <w:rFonts w:ascii="Times New Roman" w:eastAsia="Times New Roman" w:hAnsi="Times New Roman" w:cs="Times New Roman"/>
          <w:sz w:val="24"/>
          <w:szCs w:val="24"/>
        </w:rPr>
      </w:pPr>
      <w:r w:rsidRPr="0049126A">
        <w:rPr>
          <w:rFonts w:ascii="Times New Roman" w:eastAsia="Times New Roman" w:hAnsi="Times New Roman" w:cs="Times New Roman"/>
          <w:sz w:val="24"/>
          <w:szCs w:val="24"/>
        </w:rPr>
        <w:t>Hipofosfatemie -sub 2,5mg/dL (0,81mmol/L);</w:t>
      </w:r>
    </w:p>
    <w:p w14:paraId="5202F243" w14:textId="77777777" w:rsidR="006920D6" w:rsidRPr="0049126A" w:rsidRDefault="006920D6" w:rsidP="002161CA">
      <w:pPr>
        <w:numPr>
          <w:ilvl w:val="0"/>
          <w:numId w:val="157"/>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Semne de supraîncărcare cu fier (feritina serică &gt;</w:t>
      </w:r>
      <w:r w:rsidRPr="0049126A">
        <w:rPr>
          <w:rFonts w:ascii="Times New Roman" w:eastAsia="Times New Roman" w:hAnsi="Times New Roman" w:cs="Times New Roman"/>
          <w:sz w:val="24"/>
          <w:szCs w:val="24"/>
        </w:rPr>
        <w:t>800ng/mL</w:t>
      </w:r>
      <w:r w:rsidRPr="0049126A">
        <w:rPr>
          <w:rFonts w:ascii="Times New Roman" w:eastAsia="Times New Roman" w:hAnsi="Times New Roman" w:cs="Times New Roman"/>
          <w:sz w:val="24"/>
          <w:szCs w:val="24"/>
          <w:lang w:val="pt-BR"/>
        </w:rPr>
        <w:t>).</w:t>
      </w:r>
    </w:p>
    <w:p w14:paraId="5614CEC7" w14:textId="77777777" w:rsidR="006920D6" w:rsidRPr="0049126A" w:rsidRDefault="006920D6" w:rsidP="006920D6">
      <w:pPr>
        <w:spacing w:after="0" w:line="276" w:lineRule="auto"/>
        <w:ind w:firstLine="425"/>
        <w:jc w:val="both"/>
        <w:rPr>
          <w:rFonts w:ascii="Times New Roman" w:eastAsia="Times New Roman" w:hAnsi="Times New Roman" w:cs="Times New Roman"/>
          <w:sz w:val="24"/>
          <w:szCs w:val="24"/>
          <w:lang w:val="pt-BR"/>
        </w:rPr>
      </w:pPr>
    </w:p>
    <w:p w14:paraId="774D8B58" w14:textId="54CD4F1F" w:rsidR="006920D6" w:rsidRPr="0049126A" w:rsidRDefault="006920D6" w:rsidP="006920D6">
      <w:pPr>
        <w:keepNext/>
        <w:spacing w:after="0" w:line="276" w:lineRule="auto"/>
        <w:jc w:val="both"/>
        <w:outlineLvl w:val="0"/>
        <w:rPr>
          <w:rFonts w:ascii="Times New Roman" w:eastAsia="Times New Roman" w:hAnsi="Times New Roman" w:cs="Times New Roman"/>
          <w:b/>
          <w:bCs/>
          <w:smallCaps/>
          <w:kern w:val="32"/>
          <w:sz w:val="24"/>
          <w:szCs w:val="24"/>
          <w:lang w:val="it-IT"/>
        </w:rPr>
      </w:pPr>
      <w:r w:rsidRPr="0049126A">
        <w:rPr>
          <w:rFonts w:ascii="Times New Roman" w:eastAsia="Times New Roman" w:hAnsi="Times New Roman" w:cs="Times New Roman"/>
          <w:b/>
          <w:bCs/>
          <w:smallCaps/>
          <w:kern w:val="32"/>
          <w:sz w:val="24"/>
          <w:szCs w:val="24"/>
          <w:lang w:val="it-IT"/>
        </w:rPr>
        <w:t>III. TRATAMENT</w:t>
      </w:r>
    </w:p>
    <w:p w14:paraId="74E7B41D" w14:textId="77777777" w:rsidR="006920D6" w:rsidRPr="0049126A" w:rsidRDefault="006920D6" w:rsidP="006920D6">
      <w:pPr>
        <w:spacing w:after="0" w:line="276" w:lineRule="auto"/>
        <w:ind w:firstLine="425"/>
        <w:jc w:val="both"/>
        <w:rPr>
          <w:rFonts w:ascii="Times New Roman" w:eastAsia="Times New Roman" w:hAnsi="Times New Roman" w:cs="Times New Roman"/>
          <w:sz w:val="24"/>
          <w:szCs w:val="24"/>
          <w:lang w:val="en-US"/>
        </w:rPr>
      </w:pPr>
    </w:p>
    <w:p w14:paraId="77F5B431" w14:textId="77777777" w:rsidR="006920D6" w:rsidRPr="0049126A" w:rsidRDefault="006920D6" w:rsidP="006920D6">
      <w:pPr>
        <w:spacing w:after="0" w:line="276" w:lineRule="auto"/>
        <w:jc w:val="both"/>
        <w:rPr>
          <w:rFonts w:ascii="Times New Roman" w:eastAsia="Times New Roman" w:hAnsi="Times New Roman" w:cs="Times New Roman"/>
          <w:b/>
          <w:sz w:val="24"/>
          <w:szCs w:val="24"/>
          <w:lang w:val="it-IT"/>
        </w:rPr>
      </w:pPr>
      <w:r w:rsidRPr="0049126A">
        <w:rPr>
          <w:rFonts w:ascii="Times New Roman" w:eastAsia="Times New Roman" w:hAnsi="Times New Roman" w:cs="Times New Roman"/>
          <w:b/>
          <w:sz w:val="24"/>
          <w:szCs w:val="24"/>
          <w:lang w:val="it-IT"/>
        </w:rPr>
        <w:t>Doza de iniţiere:</w:t>
      </w:r>
    </w:p>
    <w:p w14:paraId="280EBF27"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1500mg fier zilnic, divizat în trei prize: 500mg fier (1 comprimat masticabil) de 3 ori pe zi, în timpul meselor.</w:t>
      </w:r>
    </w:p>
    <w:p w14:paraId="58C7FEAD" w14:textId="77777777" w:rsidR="006920D6" w:rsidRPr="0049126A" w:rsidRDefault="006920D6" w:rsidP="006920D6">
      <w:pPr>
        <w:spacing w:after="0" w:line="276" w:lineRule="auto"/>
        <w:jc w:val="both"/>
        <w:rPr>
          <w:rFonts w:ascii="Times New Roman" w:eastAsia="Times New Roman" w:hAnsi="Times New Roman" w:cs="Times New Roman"/>
          <w:b/>
          <w:sz w:val="24"/>
          <w:szCs w:val="24"/>
          <w:lang w:val="pt-BR"/>
        </w:rPr>
      </w:pPr>
      <w:r w:rsidRPr="0049126A">
        <w:rPr>
          <w:rFonts w:ascii="Times New Roman" w:eastAsia="Times New Roman" w:hAnsi="Times New Roman" w:cs="Times New Roman"/>
          <w:b/>
          <w:sz w:val="24"/>
          <w:szCs w:val="24"/>
          <w:lang w:val="pt-BR"/>
        </w:rPr>
        <w:lastRenderedPageBreak/>
        <w:t>Mod de administrare:</w:t>
      </w:r>
    </w:p>
    <w:p w14:paraId="0B8225F1"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 xml:space="preserve">Pe cale orală, în timpul meselor, cu doza zilnică împărţită între mesele zilei, adaptat conţinutului în fosfaţi al alimentelor de la masa respectivă. </w:t>
      </w:r>
    </w:p>
    <w:p w14:paraId="1AF64207"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Comprimatele de oxihidroxid sucroferic trebuie mestecate sau sfărâmate. Nu trebuie înghiţite întregi.</w:t>
      </w:r>
    </w:p>
    <w:p w14:paraId="744FD836"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Medicamentele cunoscute a interacţiona cu fierul sau complexul oxihidroxid-sucroferic (alendronat, doxiciclină, levotiroxină) trebuie administrate la un interval mai mare de o oră faţă de priza de oxihidroxid sucroferic.</w:t>
      </w:r>
    </w:p>
    <w:p w14:paraId="35052B85" w14:textId="77777777" w:rsidR="006920D6" w:rsidRPr="0049126A" w:rsidRDefault="006920D6" w:rsidP="006920D6">
      <w:pPr>
        <w:spacing w:after="0" w:line="276" w:lineRule="auto"/>
        <w:jc w:val="both"/>
        <w:rPr>
          <w:rFonts w:ascii="Times New Roman" w:eastAsia="Times New Roman" w:hAnsi="Times New Roman" w:cs="Times New Roman"/>
          <w:b/>
          <w:sz w:val="24"/>
          <w:szCs w:val="24"/>
          <w:lang w:val="pt-BR"/>
        </w:rPr>
      </w:pPr>
    </w:p>
    <w:p w14:paraId="36268F5F" w14:textId="77777777" w:rsidR="006920D6" w:rsidRPr="0049126A" w:rsidRDefault="006920D6" w:rsidP="006920D6">
      <w:pPr>
        <w:spacing w:after="0" w:line="276" w:lineRule="auto"/>
        <w:jc w:val="both"/>
        <w:rPr>
          <w:rFonts w:ascii="Times New Roman" w:eastAsia="Times New Roman" w:hAnsi="Times New Roman" w:cs="Times New Roman"/>
          <w:b/>
          <w:sz w:val="24"/>
          <w:szCs w:val="24"/>
          <w:lang w:val="pt-BR"/>
        </w:rPr>
      </w:pPr>
      <w:r w:rsidRPr="0049126A">
        <w:rPr>
          <w:rFonts w:ascii="Times New Roman" w:eastAsia="Times New Roman" w:hAnsi="Times New Roman" w:cs="Times New Roman"/>
          <w:b/>
          <w:sz w:val="24"/>
          <w:szCs w:val="24"/>
          <w:lang w:val="pt-BR"/>
        </w:rPr>
        <w:t>Perioada de administrare:</w:t>
      </w:r>
    </w:p>
    <w:p w14:paraId="0056FDD1"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Nelimitată.</w:t>
      </w:r>
    </w:p>
    <w:p w14:paraId="2453E749"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Tratamentul va fi oprit dacă apar reacţii adverse, hipofosfatemie persistent sub 2,5mg/dL chiar după scăderea dozei sau supraîncărcare cu fier (feritină serică persistent peste 800ng/mL), dar poate fi reluat ulterior, dac[ pacientul ]ntrune;te din nou criteriile de includere..</w:t>
      </w:r>
    </w:p>
    <w:p w14:paraId="22635506" w14:textId="77777777" w:rsidR="006920D6" w:rsidRPr="0049126A" w:rsidRDefault="006920D6" w:rsidP="006920D6">
      <w:pPr>
        <w:spacing w:after="0" w:line="276" w:lineRule="auto"/>
        <w:jc w:val="both"/>
        <w:rPr>
          <w:rFonts w:ascii="Times New Roman" w:eastAsia="Times New Roman" w:hAnsi="Times New Roman" w:cs="Times New Roman"/>
          <w:b/>
          <w:sz w:val="24"/>
          <w:szCs w:val="24"/>
          <w:lang w:val="pt-BR"/>
        </w:rPr>
      </w:pPr>
    </w:p>
    <w:p w14:paraId="41DCA361" w14:textId="77777777" w:rsidR="006920D6" w:rsidRPr="0049126A" w:rsidRDefault="006920D6" w:rsidP="006920D6">
      <w:pPr>
        <w:spacing w:after="0" w:line="276" w:lineRule="auto"/>
        <w:jc w:val="both"/>
        <w:rPr>
          <w:rFonts w:ascii="Times New Roman" w:eastAsia="Times New Roman" w:hAnsi="Times New Roman" w:cs="Times New Roman"/>
          <w:b/>
          <w:sz w:val="24"/>
          <w:szCs w:val="24"/>
          <w:lang w:val="pt-BR"/>
        </w:rPr>
      </w:pPr>
      <w:r w:rsidRPr="0049126A">
        <w:rPr>
          <w:rFonts w:ascii="Times New Roman" w:eastAsia="Times New Roman" w:hAnsi="Times New Roman" w:cs="Times New Roman"/>
          <w:b/>
          <w:sz w:val="24"/>
          <w:szCs w:val="24"/>
          <w:lang w:val="pt-BR"/>
        </w:rPr>
        <w:t>Ajustarea dozei:</w:t>
      </w:r>
    </w:p>
    <w:p w14:paraId="48748985"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Este recomandată după 2-4 săptămâni de tratament, în funcţie de fosfatemie:</w:t>
      </w:r>
    </w:p>
    <w:p w14:paraId="39CC7F85" w14:textId="77777777" w:rsidR="006920D6" w:rsidRPr="0049126A" w:rsidRDefault="006920D6" w:rsidP="002161CA">
      <w:pPr>
        <w:numPr>
          <w:ilvl w:val="0"/>
          <w:numId w:val="152"/>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≥5,6mg/dL (&gt;1,8mmol/L) – doza zilnică va fi crescută cu 500mg fier (1cp);</w:t>
      </w:r>
    </w:p>
    <w:p w14:paraId="7544E0BD" w14:textId="77777777" w:rsidR="006920D6" w:rsidRPr="0049126A" w:rsidRDefault="006920D6" w:rsidP="002161CA">
      <w:pPr>
        <w:numPr>
          <w:ilvl w:val="0"/>
          <w:numId w:val="152"/>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între 3,5-5,5mg/dL (1,13-1,78mmol/L) – va fi menţinută aceeaşi doză;</w:t>
      </w:r>
    </w:p>
    <w:p w14:paraId="6E6EA12D" w14:textId="77777777" w:rsidR="006920D6" w:rsidRPr="0049126A" w:rsidRDefault="006920D6" w:rsidP="002161CA">
      <w:pPr>
        <w:numPr>
          <w:ilvl w:val="0"/>
          <w:numId w:val="152"/>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&lt;3,5mg/dL (&lt;</w:t>
      </w:r>
      <w:r w:rsidRPr="0049126A">
        <w:rPr>
          <w:rFonts w:ascii="Times New Roman" w:eastAsia="Times New Roman" w:hAnsi="Times New Roman" w:cs="Times New Roman"/>
          <w:sz w:val="24"/>
          <w:szCs w:val="24"/>
        </w:rPr>
        <w:t>1,13mmol/L</w:t>
      </w:r>
      <w:r w:rsidRPr="0049126A">
        <w:rPr>
          <w:rFonts w:ascii="Times New Roman" w:eastAsia="Times New Roman" w:hAnsi="Times New Roman" w:cs="Times New Roman"/>
          <w:sz w:val="24"/>
          <w:szCs w:val="24"/>
          <w:lang w:val="pt-BR"/>
        </w:rPr>
        <w:t>) – doza zilnică va fi scăzută cu 500mg fier (1cp).</w:t>
      </w:r>
    </w:p>
    <w:p w14:paraId="252A388E"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Tratamentul va fi monitorizat în continuare prin determinarea lunară a fosfatemiei, iar doza va fi crescută sau scăzută cu câte 500mg fier (1cp) astfel încât fosfatul seric să fie menţinut în limitele intervalului de referinţă al laboratorului.</w:t>
      </w:r>
    </w:p>
    <w:p w14:paraId="5FC86724"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Nu va fi depăşită doza maxim admisă de 3000mg fier (6cp)/zi.</w:t>
      </w:r>
    </w:p>
    <w:p w14:paraId="2629BBD4" w14:textId="77777777" w:rsidR="006920D6" w:rsidRPr="0049126A" w:rsidRDefault="006920D6" w:rsidP="006920D6">
      <w:pPr>
        <w:spacing w:after="0" w:line="276" w:lineRule="auto"/>
        <w:ind w:firstLine="425"/>
        <w:jc w:val="both"/>
        <w:rPr>
          <w:rFonts w:ascii="Times New Roman" w:eastAsia="Times New Roman" w:hAnsi="Times New Roman" w:cs="Times New Roman"/>
          <w:sz w:val="24"/>
          <w:szCs w:val="24"/>
          <w:lang w:val="pt-BR"/>
        </w:rPr>
      </w:pPr>
    </w:p>
    <w:p w14:paraId="2A176F23" w14:textId="55888C4F"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r w:rsidRPr="0049126A">
        <w:rPr>
          <w:rFonts w:ascii="Times New Roman" w:eastAsia="Times New Roman" w:hAnsi="Times New Roman" w:cs="Times New Roman"/>
          <w:b/>
          <w:bCs/>
          <w:iCs/>
          <w:sz w:val="24"/>
          <w:szCs w:val="24"/>
          <w:lang w:val="it-IT"/>
        </w:rPr>
        <w:t>IV. CONTRAINDICAȚII</w:t>
      </w:r>
    </w:p>
    <w:p w14:paraId="600F5141" w14:textId="77777777" w:rsidR="006920D6" w:rsidRPr="0049126A" w:rsidRDefault="006920D6" w:rsidP="002161CA">
      <w:pPr>
        <w:numPr>
          <w:ilvl w:val="0"/>
          <w:numId w:val="158"/>
        </w:num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Hemocromatoză şi orice situaţie de supraîncărcare cu fier (feritină serică peste 800ng/mL);</w:t>
      </w:r>
    </w:p>
    <w:p w14:paraId="46AD05A7" w14:textId="77777777" w:rsidR="006920D6" w:rsidRPr="0049126A" w:rsidRDefault="006920D6" w:rsidP="002161CA">
      <w:pPr>
        <w:numPr>
          <w:ilvl w:val="0"/>
          <w:numId w:val="158"/>
        </w:num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Alergie la fier sau excipienţi (sucroză, amidon, stearat de magneziu, aromă de fructe de pădure, neohesperidină dihidrocalcon, dioxid de siliciu coloidal);</w:t>
      </w:r>
    </w:p>
    <w:p w14:paraId="76BEA5BE" w14:textId="77777777" w:rsidR="006920D6" w:rsidRPr="0049126A" w:rsidRDefault="006920D6" w:rsidP="002161CA">
      <w:pPr>
        <w:numPr>
          <w:ilvl w:val="0"/>
          <w:numId w:val="158"/>
        </w:num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Anomalii ereditare asociate cu intoleranţa la fructoză, malabsorbţia glucozei-galactozei sau deficienţa de sucrază-izomaltoză.</w:t>
      </w:r>
    </w:p>
    <w:p w14:paraId="26247303" w14:textId="77777777"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p>
    <w:p w14:paraId="0AE94E35" w14:textId="0C09DA3B"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r w:rsidRPr="0049126A">
        <w:rPr>
          <w:rFonts w:ascii="Times New Roman" w:eastAsia="Times New Roman" w:hAnsi="Times New Roman" w:cs="Times New Roman"/>
          <w:b/>
          <w:bCs/>
          <w:iCs/>
          <w:sz w:val="24"/>
          <w:szCs w:val="24"/>
          <w:lang w:val="it-IT"/>
        </w:rPr>
        <w:t>V. ATENȚIONĂRI ȘI PRECAUȚII SPECIALE PENTRU UTILIZARE</w:t>
      </w:r>
    </w:p>
    <w:p w14:paraId="3369F530"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Un comprimat de oxihidroxid sucroferic conţine 700mg amidon (din cartofi şi porumb) ceea ce este echivalent cu circa 1,4g carbohidraţi. Pacienţii cu diabet zaharat trebuie să ţină cont de acest aport de zaharuri.</w:t>
      </w:r>
    </w:p>
    <w:p w14:paraId="6D23483F"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p>
    <w:p w14:paraId="02EFF32E"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 xml:space="preserve">Administrarea oxihidroxid sucroferic trebuie considerată cu prudenţă, după analiza atentă a raportului risc/beneficiu, la bolnavi cu antecedente recente de peritonită şi intervenţii chirurgicale în sfera digestivă (în ultimele 3 luni), tulburări gastrice şi hepatice importante, la femei gravide şi în perioada de alăptare deoarece aceste categorii nu au fost incluse în studiile clinice. </w:t>
      </w:r>
    </w:p>
    <w:p w14:paraId="7D9782C2" w14:textId="77777777"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p>
    <w:p w14:paraId="4A50DCCA" w14:textId="2B165776"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r w:rsidRPr="0049126A">
        <w:rPr>
          <w:rFonts w:ascii="Times New Roman" w:eastAsia="Times New Roman" w:hAnsi="Times New Roman" w:cs="Times New Roman"/>
          <w:b/>
          <w:bCs/>
          <w:iCs/>
          <w:sz w:val="24"/>
          <w:szCs w:val="24"/>
          <w:lang w:val="it-IT"/>
        </w:rPr>
        <w:t>VI. MONITORIZAREA TRATAMENTULUI/CRITERII DE EVALUARE A EFICACITĂȚII TRATAMENTULUI</w:t>
      </w:r>
    </w:p>
    <w:p w14:paraId="1B330A41"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 xml:space="preserve">Anamneza şi examenul clinic al bolnavului, la fiecare şedinţă de hemodializă, trebuie să urmărească eventuala apariţie a tulburărilor gastro-intestinale şi a altor reacţii adverse. </w:t>
      </w:r>
    </w:p>
    <w:p w14:paraId="101D1411"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Monitorizarea parametrilor biochimici ai metabolismului mineral şi osos la bolnavii dializaţi în tratament cu oxihidroxid sucroferic este indicată cu următoarea frecvenţă:</w:t>
      </w:r>
    </w:p>
    <w:p w14:paraId="46978959" w14:textId="77777777" w:rsidR="006920D6" w:rsidRPr="0049126A" w:rsidRDefault="006920D6" w:rsidP="002161CA">
      <w:pPr>
        <w:numPr>
          <w:ilvl w:val="0"/>
          <w:numId w:val="159"/>
        </w:num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lastRenderedPageBreak/>
        <w:t>fosfatemia la 2 săptămâni, la atingerea obiectivului terapeutic (fosfat seric între 3,5-5,5mg/dL) şi, apoi, lunar;</w:t>
      </w:r>
    </w:p>
    <w:p w14:paraId="3E7CE583" w14:textId="77777777" w:rsidR="006920D6" w:rsidRPr="0049126A" w:rsidRDefault="006920D6" w:rsidP="002161CA">
      <w:pPr>
        <w:numPr>
          <w:ilvl w:val="0"/>
          <w:numId w:val="159"/>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calcemia (calciu seric total şi ionizat), lunar;</w:t>
      </w:r>
    </w:p>
    <w:p w14:paraId="587DA5AF" w14:textId="77777777" w:rsidR="006920D6" w:rsidRPr="0049126A" w:rsidRDefault="006920D6" w:rsidP="002161CA">
      <w:pPr>
        <w:numPr>
          <w:ilvl w:val="0"/>
          <w:numId w:val="159"/>
        </w:numPr>
        <w:spacing w:after="0" w:line="276" w:lineRule="auto"/>
        <w:jc w:val="both"/>
        <w:rPr>
          <w:rFonts w:ascii="Times New Roman" w:eastAsia="Times New Roman" w:hAnsi="Times New Roman" w:cs="Times New Roman"/>
          <w:spacing w:val="-2"/>
          <w:sz w:val="24"/>
          <w:szCs w:val="24"/>
          <w:lang w:val="pt-BR"/>
        </w:rPr>
      </w:pPr>
      <w:r w:rsidRPr="0049126A">
        <w:rPr>
          <w:rFonts w:ascii="Times New Roman" w:eastAsia="Times New Roman" w:hAnsi="Times New Roman" w:cs="Times New Roman"/>
          <w:spacing w:val="-2"/>
          <w:sz w:val="24"/>
          <w:szCs w:val="24"/>
          <w:lang w:val="pt-BR"/>
        </w:rPr>
        <w:t>parathormonul seric intact trebuie, semestrial (în absenţa tratamentului cu activatori ai receptorilor vitaminei D, când poate fi necesară creşterea frecvenţei la 3-4 luni);</w:t>
      </w:r>
    </w:p>
    <w:p w14:paraId="674A1545" w14:textId="77777777" w:rsidR="006920D6" w:rsidRPr="0049126A" w:rsidRDefault="006920D6" w:rsidP="002161CA">
      <w:pPr>
        <w:numPr>
          <w:ilvl w:val="0"/>
          <w:numId w:val="159"/>
        </w:numPr>
        <w:spacing w:after="0" w:line="276" w:lineRule="auto"/>
        <w:jc w:val="both"/>
        <w:rPr>
          <w:rFonts w:ascii="Times New Roman" w:eastAsia="Times New Roman" w:hAnsi="Times New Roman" w:cs="Times New Roman"/>
          <w:spacing w:val="-2"/>
          <w:sz w:val="24"/>
          <w:szCs w:val="24"/>
          <w:lang w:val="pt-BR"/>
        </w:rPr>
      </w:pPr>
      <w:r w:rsidRPr="0049126A">
        <w:rPr>
          <w:rFonts w:ascii="Times New Roman" w:eastAsia="Times New Roman" w:hAnsi="Times New Roman" w:cs="Times New Roman"/>
          <w:spacing w:val="-2"/>
          <w:sz w:val="24"/>
          <w:szCs w:val="24"/>
          <w:lang w:val="pt-BR"/>
        </w:rPr>
        <w:t>fosfataza alcalină totală, la 6-12 luni, mai frecvent dacă există hiperparatiroidism.</w:t>
      </w:r>
    </w:p>
    <w:p w14:paraId="4A6955BF"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p>
    <w:p w14:paraId="201EEB15"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Recoltarea probelor de sânge pentru aceste determinări trebuie efectuată pe nemâncate,  înaintea începerii şedinţei de hemodializă din mijlocul săptămânii.</w:t>
      </w:r>
    </w:p>
    <w:p w14:paraId="63C996C6" w14:textId="77777777"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p>
    <w:p w14:paraId="5D2D5780" w14:textId="609EAB64"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r w:rsidRPr="0049126A">
        <w:rPr>
          <w:rFonts w:ascii="Times New Roman" w:eastAsia="Times New Roman" w:hAnsi="Times New Roman" w:cs="Times New Roman"/>
          <w:b/>
          <w:bCs/>
          <w:iCs/>
          <w:sz w:val="24"/>
          <w:szCs w:val="24"/>
          <w:lang w:val="it-IT"/>
        </w:rPr>
        <w:t xml:space="preserve">VII. CRITERII PENTRU ÎNTRERUPEREA TRATAMENTULUI </w:t>
      </w:r>
    </w:p>
    <w:p w14:paraId="2F829F4B"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Tratamentul va fi continuat pe termen nedefinit. Întreruperea tratamentului este recomandată dacă apare intoleranţă ca urmare a reacţiilor adverse sau dacă este depăşit obiectivul terapeutic (se instalează hipofosfatemie).</w:t>
      </w:r>
    </w:p>
    <w:p w14:paraId="51380907"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p>
    <w:p w14:paraId="4125D943"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Principalele reacţii adverse raportate în timpul tratamentului cu oxihidroxid sucroferic sunt:</w:t>
      </w:r>
    </w:p>
    <w:p w14:paraId="640CB116" w14:textId="77777777" w:rsidR="006920D6" w:rsidRPr="0049126A" w:rsidRDefault="006920D6" w:rsidP="002161CA">
      <w:pPr>
        <w:pStyle w:val="ListParagraph"/>
        <w:numPr>
          <w:ilvl w:val="0"/>
          <w:numId w:val="162"/>
        </w:numPr>
        <w:spacing w:line="276" w:lineRule="auto"/>
        <w:jc w:val="both"/>
        <w:rPr>
          <w:color w:val="auto"/>
          <w:lang w:val="pt-BR"/>
        </w:rPr>
      </w:pPr>
      <w:r w:rsidRPr="0049126A">
        <w:rPr>
          <w:color w:val="auto"/>
          <w:lang w:val="pt-BR"/>
        </w:rPr>
        <w:t xml:space="preserve">tulburările gastro-intestinale: </w:t>
      </w:r>
    </w:p>
    <w:p w14:paraId="55F27959" w14:textId="77777777" w:rsidR="006920D6" w:rsidRPr="0049126A" w:rsidRDefault="006920D6" w:rsidP="002161CA">
      <w:pPr>
        <w:numPr>
          <w:ilvl w:val="0"/>
          <w:numId w:val="161"/>
        </w:numPr>
        <w:spacing w:after="0" w:line="276" w:lineRule="auto"/>
        <w:ind w:left="993" w:hanging="284"/>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frecvente: diaree, modificarea culorii scaunului, greaţă, vărsaturi, constipaţie, dureri abdominale, flatulenţă, dispepsie;</w:t>
      </w:r>
    </w:p>
    <w:p w14:paraId="52263BCC" w14:textId="77777777" w:rsidR="006920D6" w:rsidRPr="0049126A" w:rsidRDefault="006920D6" w:rsidP="002161CA">
      <w:pPr>
        <w:numPr>
          <w:ilvl w:val="0"/>
          <w:numId w:val="161"/>
        </w:numPr>
        <w:spacing w:after="0" w:line="276" w:lineRule="auto"/>
        <w:ind w:left="993" w:hanging="284"/>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mai puţin frecvente: gastrită, disfagie, boală de reflux gastro-esofagian, distensie abdominală;</w:t>
      </w:r>
    </w:p>
    <w:p w14:paraId="1FD0F39A" w14:textId="77777777" w:rsidR="006920D6" w:rsidRPr="0049126A" w:rsidRDefault="006920D6" w:rsidP="002161CA">
      <w:pPr>
        <w:numPr>
          <w:ilvl w:val="0"/>
          <w:numId w:val="160"/>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decolorarea danturii şi a limbii;</w:t>
      </w:r>
    </w:p>
    <w:p w14:paraId="2E1E2367" w14:textId="77777777" w:rsidR="006920D6" w:rsidRPr="0049126A" w:rsidRDefault="006920D6" w:rsidP="002161CA">
      <w:pPr>
        <w:numPr>
          <w:ilvl w:val="0"/>
          <w:numId w:val="160"/>
        </w:numPr>
        <w:spacing w:after="0" w:line="276" w:lineRule="auto"/>
        <w:jc w:val="both"/>
        <w:rPr>
          <w:rFonts w:ascii="Times New Roman" w:eastAsia="Times New Roman" w:hAnsi="Times New Roman" w:cs="Times New Roman"/>
          <w:sz w:val="24"/>
          <w:szCs w:val="24"/>
          <w:lang w:val="pt-BR"/>
        </w:rPr>
      </w:pPr>
      <w:r w:rsidRPr="0049126A">
        <w:rPr>
          <w:rFonts w:ascii="Times New Roman" w:eastAsia="Times New Roman" w:hAnsi="Times New Roman" w:cs="Times New Roman"/>
          <w:sz w:val="24"/>
          <w:szCs w:val="24"/>
          <w:lang w:val="pt-BR"/>
        </w:rPr>
        <w:t>prurit, erupţii cutanate;</w:t>
      </w:r>
    </w:p>
    <w:p w14:paraId="5540F2B2" w14:textId="77777777" w:rsidR="006920D6" w:rsidRPr="0049126A" w:rsidRDefault="006920D6" w:rsidP="002161CA">
      <w:pPr>
        <w:numPr>
          <w:ilvl w:val="0"/>
          <w:numId w:val="160"/>
        </w:num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cefalee, fatigabilitate, dispnee.</w:t>
      </w:r>
    </w:p>
    <w:p w14:paraId="37AB6D0F" w14:textId="77777777"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Administrarea de oxihidroxid sucroferic trebuie întreruptă dacă fosfatemia scade persistent sub 2,5mg/dL (&lt;0,81mmol/L), la două determinări la interval de o lună, chiar după scăderea dozei conform recomandărilor de ajustare.</w:t>
      </w:r>
    </w:p>
    <w:p w14:paraId="1909A361" w14:textId="77777777"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p>
    <w:p w14:paraId="46839C7C" w14:textId="10518BD2" w:rsidR="006920D6" w:rsidRPr="0049126A" w:rsidRDefault="006920D6" w:rsidP="006920D6">
      <w:pPr>
        <w:keepNext/>
        <w:spacing w:after="0" w:line="276" w:lineRule="auto"/>
        <w:jc w:val="both"/>
        <w:outlineLvl w:val="1"/>
        <w:rPr>
          <w:rFonts w:ascii="Times New Roman" w:eastAsia="Times New Roman" w:hAnsi="Times New Roman" w:cs="Times New Roman"/>
          <w:b/>
          <w:bCs/>
          <w:iCs/>
          <w:sz w:val="24"/>
          <w:szCs w:val="24"/>
          <w:lang w:val="it-IT"/>
        </w:rPr>
      </w:pPr>
      <w:r w:rsidRPr="0049126A">
        <w:rPr>
          <w:rFonts w:ascii="Times New Roman" w:eastAsia="Times New Roman" w:hAnsi="Times New Roman" w:cs="Times New Roman"/>
          <w:b/>
          <w:bCs/>
          <w:iCs/>
          <w:sz w:val="24"/>
          <w:szCs w:val="24"/>
          <w:lang w:val="it-IT"/>
        </w:rPr>
        <w:t>VIII. PRESCRIPTORI</w:t>
      </w:r>
    </w:p>
    <w:p w14:paraId="0B07CCCC" w14:textId="079C0241" w:rsidR="006920D6" w:rsidRPr="0049126A" w:rsidRDefault="006920D6" w:rsidP="006920D6">
      <w:pPr>
        <w:spacing w:after="0" w:line="276" w:lineRule="auto"/>
        <w:jc w:val="both"/>
        <w:rPr>
          <w:rFonts w:ascii="Times New Roman" w:eastAsia="Times New Roman" w:hAnsi="Times New Roman" w:cs="Times New Roman"/>
          <w:sz w:val="24"/>
          <w:szCs w:val="24"/>
          <w:lang w:val="it-IT"/>
        </w:rPr>
      </w:pPr>
      <w:r w:rsidRPr="0049126A">
        <w:rPr>
          <w:rFonts w:ascii="Times New Roman" w:eastAsia="Times New Roman" w:hAnsi="Times New Roman" w:cs="Times New Roman"/>
          <w:sz w:val="24"/>
          <w:szCs w:val="24"/>
          <w:lang w:val="it-IT"/>
        </w:rPr>
        <w:t xml:space="preserve">Prescrierea şi monitorizarea tratamentului cu </w:t>
      </w:r>
      <w:r w:rsidRPr="0049126A">
        <w:rPr>
          <w:rFonts w:ascii="Times New Roman" w:eastAsia="Times New Roman" w:hAnsi="Times New Roman" w:cs="Times New Roman"/>
          <w:spacing w:val="-2"/>
          <w:sz w:val="24"/>
          <w:szCs w:val="24"/>
        </w:rPr>
        <w:t>oxihidroxid sucroferic</w:t>
      </w:r>
      <w:r w:rsidRPr="0049126A">
        <w:rPr>
          <w:rFonts w:ascii="Times New Roman" w:eastAsia="Times New Roman" w:hAnsi="Times New Roman" w:cs="Times New Roman"/>
          <w:sz w:val="24"/>
          <w:szCs w:val="24"/>
          <w:lang w:val="it-IT"/>
        </w:rPr>
        <w:t xml:space="preserve"> va fi efectuată de medicii în specialitatea Nefrologie. Prescrierea va fi realizată în circuit închis, prin centrele de dializă, ca parte a tratamentului tulburărior metabolismului mineral şi osos asociate BCR.”</w:t>
      </w:r>
    </w:p>
    <w:p w14:paraId="42F6FE0D"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187D1C88"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12BC3EC9"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5AC17365"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4A74C361"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7C784A55"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2DC8A6E0"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05B6ACEE"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4C14D9DD" w14:textId="77777777" w:rsidR="00F73895" w:rsidRPr="0049126A" w:rsidRDefault="00F73895" w:rsidP="00380B65">
      <w:pPr>
        <w:tabs>
          <w:tab w:val="left" w:pos="426"/>
        </w:tabs>
        <w:jc w:val="both"/>
        <w:rPr>
          <w:rFonts w:ascii="Times New Roman" w:eastAsia="Arial" w:hAnsi="Times New Roman" w:cs="Times New Roman"/>
          <w:b/>
          <w:bCs/>
          <w:sz w:val="24"/>
          <w:szCs w:val="24"/>
          <w:lang w:val="en-US"/>
        </w:rPr>
      </w:pPr>
    </w:p>
    <w:p w14:paraId="635DDD5C" w14:textId="77777777" w:rsidR="00AB1D4D" w:rsidRPr="0049126A" w:rsidRDefault="00AB1D4D" w:rsidP="00AB1D4D">
      <w:pPr>
        <w:autoSpaceDE w:val="0"/>
        <w:autoSpaceDN w:val="0"/>
        <w:adjustRightInd w:val="0"/>
        <w:spacing w:after="0" w:line="240" w:lineRule="auto"/>
        <w:jc w:val="both"/>
        <w:rPr>
          <w:rFonts w:ascii="Times New Roman" w:eastAsia="Times New Roman" w:hAnsi="Times New Roman" w:cs="Times New Roman"/>
          <w:iCs/>
          <w:sz w:val="24"/>
          <w:szCs w:val="24"/>
        </w:rPr>
      </w:pPr>
    </w:p>
    <w:p w14:paraId="23020E6E" w14:textId="529FEDD0" w:rsidR="00AB1D4D" w:rsidRPr="002130FD" w:rsidRDefault="00AB1D4D" w:rsidP="00C26280">
      <w:pPr>
        <w:pStyle w:val="ListParagraph"/>
        <w:numPr>
          <w:ilvl w:val="0"/>
          <w:numId w:val="9"/>
        </w:numPr>
        <w:tabs>
          <w:tab w:val="left" w:pos="426"/>
        </w:tabs>
        <w:jc w:val="both"/>
        <w:rPr>
          <w:rFonts w:eastAsia="Arial"/>
          <w:b/>
          <w:bCs/>
          <w:color w:val="FF0000"/>
          <w:lang w:val="en-US"/>
        </w:rPr>
      </w:pPr>
      <w:r w:rsidRPr="002130FD">
        <w:rPr>
          <w:rFonts w:eastAsia="Arial"/>
          <w:b/>
          <w:bCs/>
          <w:color w:val="FF0000"/>
          <w:lang w:val="en-US"/>
        </w:rPr>
        <w:lastRenderedPageBreak/>
        <w:t xml:space="preserve">La anexa nr. 2, protocolul terapeutic corespunzător poziţiei nr. 11 cod (L04AA26): </w:t>
      </w:r>
      <w:r w:rsidRPr="002130FD">
        <w:rPr>
          <w:b/>
          <w:color w:val="FF0000"/>
          <w:bdr w:val="none" w:sz="0" w:space="0" w:color="auto" w:frame="1"/>
          <w:lang w:val="en-US"/>
        </w:rPr>
        <w:t>LUPUS ERITEMATOS SISTEMIC - AGENŢI BIOLOGICI: BELIMUMABUM</w:t>
      </w:r>
      <w:r w:rsidRPr="002130FD">
        <w:rPr>
          <w:b/>
          <w:color w:val="FF0000"/>
          <w:bdr w:val="none" w:sz="0" w:space="0" w:color="auto" w:frame="1"/>
          <w:vertAlign w:val="superscript"/>
          <w:lang w:val="en-US"/>
        </w:rPr>
        <w:t>**</w:t>
      </w:r>
      <w:r w:rsidRPr="002130FD">
        <w:rPr>
          <w:color w:val="FF0000"/>
          <w:bdr w:val="none" w:sz="0" w:space="0" w:color="auto" w:frame="1"/>
          <w:vertAlign w:val="superscript"/>
          <w:lang w:val="en-US"/>
        </w:rPr>
        <w:t>1</w:t>
      </w:r>
      <w:r w:rsidRPr="002130FD">
        <w:rPr>
          <w:color w:val="FF0000"/>
          <w:bdr w:val="none" w:sz="0" w:space="0" w:color="auto" w:frame="1"/>
          <w:lang w:val="en-US"/>
        </w:rPr>
        <w:t xml:space="preserve"> </w:t>
      </w:r>
      <w:r w:rsidRPr="002130FD">
        <w:rPr>
          <w:rFonts w:eastAsia="Arial"/>
          <w:b/>
          <w:bCs/>
          <w:color w:val="FF0000"/>
          <w:lang w:val="en-US"/>
        </w:rPr>
        <w:t>se modifică și se înlocuiește cu următorul protocol:</w:t>
      </w:r>
    </w:p>
    <w:p w14:paraId="20F05D0B" w14:textId="77777777" w:rsidR="00AB1D4D" w:rsidRPr="0049126A" w:rsidRDefault="00AB1D4D" w:rsidP="00AB1D4D">
      <w:pPr>
        <w:pStyle w:val="ListParagraph"/>
        <w:tabs>
          <w:tab w:val="left" w:pos="426"/>
        </w:tabs>
        <w:jc w:val="both"/>
        <w:rPr>
          <w:rFonts w:eastAsia="Arial"/>
          <w:b/>
          <w:bCs/>
          <w:color w:val="auto"/>
          <w:lang w:val="en-US"/>
        </w:rPr>
      </w:pPr>
    </w:p>
    <w:p w14:paraId="0A3BDA4E" w14:textId="77777777" w:rsidR="002130FD" w:rsidRPr="002130FD" w:rsidRDefault="002130FD" w:rsidP="002130FD">
      <w:pPr>
        <w:tabs>
          <w:tab w:val="left" w:pos="426"/>
        </w:tabs>
        <w:jc w:val="both"/>
        <w:rPr>
          <w:rFonts w:ascii="Calibri" w:eastAsia="Arial" w:hAnsi="Calibri" w:cs="Times New Roman"/>
          <w:b/>
          <w:bCs/>
        </w:rPr>
      </w:pPr>
    </w:p>
    <w:p w14:paraId="3532A70C" w14:textId="77777777" w:rsidR="002130FD" w:rsidRPr="002130FD" w:rsidRDefault="002130FD" w:rsidP="002130FD">
      <w:pPr>
        <w:autoSpaceDE w:val="0"/>
        <w:autoSpaceDN w:val="0"/>
        <w:adjustRightInd w:val="0"/>
        <w:jc w:val="both"/>
        <w:rPr>
          <w:rFonts w:ascii="Times New Roman" w:eastAsia="Arial" w:hAnsi="Times New Roman" w:cs="Times New Roman"/>
          <w:b/>
          <w:bCs/>
          <w:sz w:val="24"/>
          <w:szCs w:val="24"/>
        </w:rPr>
      </w:pPr>
      <w:r w:rsidRPr="002130FD">
        <w:rPr>
          <w:rFonts w:ascii="Times New Roman" w:eastAsia="Arial" w:hAnsi="Times New Roman" w:cs="Times New Roman"/>
          <w:b/>
          <w:bCs/>
          <w:sz w:val="24"/>
          <w:szCs w:val="24"/>
        </w:rPr>
        <w:t>”</w:t>
      </w:r>
      <w:r w:rsidRPr="002130FD">
        <w:rPr>
          <w:rFonts w:ascii="Times New Roman" w:eastAsia="Arial" w:hAnsi="Times New Roman" w:cs="Times New Roman"/>
          <w:b/>
          <w:bCs/>
          <w:sz w:val="24"/>
          <w:szCs w:val="24"/>
          <w:lang w:eastAsia="ro-RO"/>
        </w:rPr>
        <w:t xml:space="preserve">Protocol terapeutic corespunzător poziției nr. </w:t>
      </w:r>
      <w:r w:rsidRPr="002130FD">
        <w:rPr>
          <w:rFonts w:ascii="Times New Roman" w:eastAsia="Arial" w:hAnsi="Times New Roman" w:cs="Times New Roman"/>
          <w:b/>
          <w:bCs/>
          <w:sz w:val="24"/>
          <w:szCs w:val="24"/>
        </w:rPr>
        <w:t xml:space="preserve">11 cod (L04AA26-51): </w:t>
      </w:r>
      <w:r w:rsidRPr="002130FD">
        <w:rPr>
          <w:rFonts w:ascii="Times New Roman" w:eastAsia="Times New Roman" w:hAnsi="Times New Roman" w:cs="Times New Roman"/>
          <w:b/>
          <w:sz w:val="24"/>
          <w:szCs w:val="24"/>
          <w:bdr w:val="none" w:sz="0" w:space="0" w:color="auto" w:frame="1"/>
        </w:rPr>
        <w:t>LUPUS ERITEMATOS SISTEMIC - AGENŢI BIOLOGICI: BELIMUMABUM</w:t>
      </w:r>
      <w:r w:rsidRPr="002130FD">
        <w:rPr>
          <w:rFonts w:ascii="Times New Roman" w:eastAsia="Times New Roman" w:hAnsi="Times New Roman" w:cs="Times New Roman"/>
          <w:b/>
          <w:sz w:val="24"/>
          <w:szCs w:val="24"/>
          <w:bdr w:val="none" w:sz="0" w:space="0" w:color="auto" w:frame="1"/>
          <w:vertAlign w:val="superscript"/>
        </w:rPr>
        <w:t>**1</w:t>
      </w:r>
      <w:r w:rsidRPr="002130FD">
        <w:rPr>
          <w:rFonts w:ascii="Times New Roman" w:eastAsia="Times New Roman" w:hAnsi="Times New Roman" w:cs="Times New Roman"/>
          <w:b/>
          <w:sz w:val="24"/>
          <w:szCs w:val="24"/>
          <w:bdr w:val="none" w:sz="0" w:space="0" w:color="auto" w:frame="1"/>
        </w:rPr>
        <w:t>,</w:t>
      </w:r>
      <w:r w:rsidRPr="002130FD">
        <w:rPr>
          <w:rFonts w:ascii="Times New Roman" w:eastAsia="Times New Roman" w:hAnsi="Times New Roman" w:cs="Times New Roman"/>
          <w:sz w:val="24"/>
          <w:szCs w:val="24"/>
          <w:bdr w:val="none" w:sz="0" w:space="0" w:color="auto" w:frame="1"/>
        </w:rPr>
        <w:t xml:space="preserve"> </w:t>
      </w:r>
      <w:r w:rsidRPr="002130FD">
        <w:rPr>
          <w:rFonts w:ascii="Times New Roman" w:eastAsia="Times New Roman" w:hAnsi="Times New Roman" w:cs="Times New Roman"/>
          <w:b/>
          <w:iCs/>
          <w:sz w:val="24"/>
          <w:szCs w:val="24"/>
        </w:rPr>
        <w:t>ANIFROLUMABUM</w:t>
      </w:r>
      <w:r w:rsidRPr="002130FD">
        <w:rPr>
          <w:rFonts w:ascii="Times New Roman" w:eastAsia="Times New Roman" w:hAnsi="Times New Roman" w:cs="Times New Roman"/>
          <w:b/>
          <w:iCs/>
          <w:sz w:val="24"/>
          <w:szCs w:val="24"/>
          <w:vertAlign w:val="superscript"/>
        </w:rPr>
        <w:t>**1</w:t>
      </w:r>
    </w:p>
    <w:p w14:paraId="5C99E00A" w14:textId="77777777" w:rsidR="002130FD" w:rsidRPr="002130FD" w:rsidRDefault="002130FD" w:rsidP="002130FD">
      <w:pPr>
        <w:autoSpaceDE w:val="0"/>
        <w:autoSpaceDN w:val="0"/>
        <w:adjustRightInd w:val="0"/>
        <w:rPr>
          <w:rFonts w:ascii="Times New Roman" w:eastAsia="Calibri" w:hAnsi="Times New Roman" w:cs="Times New Roman"/>
          <w:b/>
          <w:bCs/>
          <w:sz w:val="24"/>
          <w:szCs w:val="24"/>
          <w:u w:val="single"/>
          <w:lang w:val="x-none"/>
        </w:rPr>
      </w:pPr>
    </w:p>
    <w:p w14:paraId="1634B760" w14:textId="77777777" w:rsidR="002130FD" w:rsidRPr="002130FD" w:rsidRDefault="002130FD" w:rsidP="002130FD">
      <w:pPr>
        <w:rPr>
          <w:rFonts w:ascii="Times New Roman" w:eastAsia="Calibri" w:hAnsi="Times New Roman" w:cs="Times New Roman"/>
          <w:b/>
          <w:sz w:val="24"/>
          <w:szCs w:val="24"/>
        </w:rPr>
      </w:pPr>
      <w:r w:rsidRPr="002130FD">
        <w:rPr>
          <w:rFonts w:ascii="Times New Roman" w:eastAsia="Calibri" w:hAnsi="Times New Roman" w:cs="Times New Roman"/>
          <w:b/>
          <w:sz w:val="24"/>
          <w:szCs w:val="24"/>
        </w:rPr>
        <w:t>I. INTRODUCERE</w:t>
      </w:r>
    </w:p>
    <w:p w14:paraId="60BBECF0" w14:textId="3A7397FC"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I.1. </w:t>
      </w:r>
      <w:r w:rsidRPr="002130FD">
        <w:rPr>
          <w:rFonts w:ascii="Times New Roman" w:eastAsia="Calibri" w:hAnsi="Times New Roman" w:cs="Times New Roman"/>
          <w:b/>
          <w:sz w:val="24"/>
          <w:szCs w:val="24"/>
        </w:rPr>
        <w:t>Definiția afecțiunii</w:t>
      </w:r>
      <w:r w:rsidRPr="002130FD">
        <w:rPr>
          <w:rFonts w:ascii="Times New Roman" w:eastAsia="Calibri" w:hAnsi="Times New Roman" w:cs="Times New Roman"/>
          <w:sz w:val="24"/>
          <w:szCs w:val="24"/>
        </w:rPr>
        <w:t xml:space="preserve">. Lupusul eritematos sistemic (LES), boală cronică reumatică caracterizată prin manifestări clinice polimorfe, care afectează aproape toate organele și țesuturile, secundar pierderii pasagere a toleranței la „self ” și producerii de autoanticorpi, este etichetată ca prototip al bolilor autoimune. Dintre autoanticorpii care caracterizează boala, anticorpii antinucleari și anticorpii anti-fosfolipidici sunt cei mai reprezentativi, leziunile celulare și tisulare fiind produse prin variate mecanisme mediate imunologic. Etiologia bolii nu este cunoscută în totalitate. Interacțiunea dintre </w:t>
      </w:r>
      <w:r w:rsidRPr="002130FD">
        <w:rPr>
          <w:rFonts w:ascii="Times New Roman" w:eastAsia="Calibri" w:hAnsi="Times New Roman" w:cs="Times New Roman"/>
          <w:i/>
          <w:sz w:val="24"/>
          <w:szCs w:val="24"/>
        </w:rPr>
        <w:t>factorii de mediu</w:t>
      </w:r>
      <w:r w:rsidRPr="002130FD">
        <w:rPr>
          <w:rFonts w:ascii="Times New Roman" w:eastAsia="Calibri" w:hAnsi="Times New Roman" w:cs="Times New Roman"/>
          <w:sz w:val="24"/>
          <w:szCs w:val="24"/>
        </w:rPr>
        <w:t xml:space="preserve"> (radiațiile ultraviolete, virusurile, superantigenele bacteriene, medicamentele) cu </w:t>
      </w:r>
      <w:r w:rsidRPr="002130FD">
        <w:rPr>
          <w:rFonts w:ascii="Times New Roman" w:eastAsia="Calibri" w:hAnsi="Times New Roman" w:cs="Times New Roman"/>
          <w:i/>
          <w:sz w:val="24"/>
          <w:szCs w:val="24"/>
        </w:rPr>
        <w:t>factorii hormonali</w:t>
      </w:r>
      <w:r w:rsidRPr="002130FD">
        <w:rPr>
          <w:rFonts w:ascii="Times New Roman" w:eastAsia="Calibri" w:hAnsi="Times New Roman" w:cs="Times New Roman"/>
          <w:sz w:val="24"/>
          <w:szCs w:val="24"/>
        </w:rPr>
        <w:t xml:space="preserve"> (nivele crescute ale estrogenilor, nivele scăzute ale testosteronului și metaboliților intermediari) și </w:t>
      </w:r>
      <w:r w:rsidRPr="002130FD">
        <w:rPr>
          <w:rFonts w:ascii="Times New Roman" w:eastAsia="Calibri" w:hAnsi="Times New Roman" w:cs="Times New Roman"/>
          <w:i/>
          <w:sz w:val="24"/>
          <w:szCs w:val="24"/>
        </w:rPr>
        <w:t>factorii imunologici</w:t>
      </w:r>
      <w:r w:rsidRPr="002130FD">
        <w:rPr>
          <w:rFonts w:ascii="Times New Roman" w:eastAsia="Calibri" w:hAnsi="Times New Roman" w:cs="Times New Roman"/>
          <w:sz w:val="24"/>
          <w:szCs w:val="24"/>
        </w:rPr>
        <w:t xml:space="preserve"> (creșterea apoptozei ca sursă de antigene nucleare, scăderea eliminării celulelor apoptotice, deficiența înnăscută sau dobândită a unor fracțiuni de complement cum este C1q), pe un </w:t>
      </w:r>
      <w:r w:rsidRPr="002130FD">
        <w:rPr>
          <w:rFonts w:ascii="Times New Roman" w:eastAsia="Calibri" w:hAnsi="Times New Roman" w:cs="Times New Roman"/>
          <w:i/>
          <w:sz w:val="24"/>
          <w:szCs w:val="24"/>
        </w:rPr>
        <w:t>teren genetic</w:t>
      </w:r>
      <w:r w:rsidRPr="002130FD">
        <w:rPr>
          <w:rFonts w:ascii="Times New Roman" w:eastAsia="Calibri" w:hAnsi="Times New Roman" w:cs="Times New Roman"/>
          <w:sz w:val="24"/>
          <w:szCs w:val="24"/>
        </w:rPr>
        <w:t xml:space="preserve"> predispozant, reprezentat de anumite gene ale complexului major de histocompatibilitate (CMH) de clasa a II-a (HLA DR, HLA DQ, HLA DP) și clasa a III-a (C2, C4), induce prin activarea și supraviețuirea limfocitelor B, autoanticorpi specifici responsabili de leziunile celulare și tisulare caracteristice bolii.</w:t>
      </w:r>
    </w:p>
    <w:p w14:paraId="247D9D5D"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I.2. </w:t>
      </w:r>
      <w:r w:rsidRPr="002130FD">
        <w:rPr>
          <w:rFonts w:ascii="Times New Roman" w:eastAsia="Calibri" w:hAnsi="Times New Roman" w:cs="Times New Roman"/>
          <w:b/>
          <w:sz w:val="24"/>
          <w:szCs w:val="24"/>
        </w:rPr>
        <w:t>Prognostic terapeutic</w:t>
      </w:r>
      <w:r w:rsidRPr="002130FD">
        <w:rPr>
          <w:rFonts w:ascii="Times New Roman" w:eastAsia="Calibri" w:hAnsi="Times New Roman" w:cs="Times New Roman"/>
          <w:sz w:val="24"/>
          <w:szCs w:val="24"/>
        </w:rPr>
        <w:t>. Tratamentul în LES a contribuit la o creștere importantă a ratei de supraviețuire a pacienților cu această suferință și, în plus, cauzele de deces s-au modificat major. Astfel, dacă în absența tratamentului, majoritatea pacienților decedau din cauza activității bolii, actualmente, sub tratament, decesele sunt cauzate de evenimente cardiovasculare, infecții sau neoplazii. Totuși, în ciuda tratamentului standard, rata de mortalitate a pacienților cu LES rămâne crescută, fiind de aproximativ 4,6 ori mai mare față de populația generală. În plus, remisiunea durabilă în LES este atinsă la un număr limitat de pacienți, pe când o proporție crescută de pacienți (55-70%) continuă să prezinte o activitate a bolii cu o rată anuală a puseelor de activitate de aproximativ 1,2/pacient/an. Persistența activității bolii, prezentarea ca boală cronică cu pusee de activitate sau boală recurentă și corticoterapia prelungită sunt factori predictivi majori ai leziunilor tisulare sau de organ care ulterior determină acumulare suplimentară a altor leziuni tisulare, implicate nu numai în creșterea morbidității și mortalității, dar și în productivitate scăzută, alterarea calității vieții și costuri medicale directe crescute. Astfel, noi tratamente sunt necesare pentru pacienții cu LES pentru a induce o remisiune prelungită, scăderea dozelor necesare de glucocorticoizi, reducerea frecvenței puseelor de activitate a bolii și pentru a reduce acumularea leziunilor structurale care determină leziuni definitive de organ și insuficiențe pluri-viscerale.</w:t>
      </w:r>
    </w:p>
    <w:p w14:paraId="020ABB07"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I.3. </w:t>
      </w:r>
      <w:r w:rsidRPr="002130FD">
        <w:rPr>
          <w:rFonts w:ascii="Times New Roman" w:eastAsia="Calibri" w:hAnsi="Times New Roman" w:cs="Times New Roman"/>
          <w:b/>
          <w:sz w:val="24"/>
          <w:szCs w:val="24"/>
        </w:rPr>
        <w:t>Diagnosticul LES</w:t>
      </w:r>
      <w:r w:rsidRPr="002130FD">
        <w:rPr>
          <w:rFonts w:ascii="Times New Roman" w:eastAsia="Calibri" w:hAnsi="Times New Roman" w:cs="Times New Roman"/>
          <w:sz w:val="24"/>
          <w:szCs w:val="24"/>
        </w:rPr>
        <w:t xml:space="preserve">. Medicul de specialitate stabilește diagnosticul cert de LES. Pentru eligibilitatea terapiei biologice, diagnosticul va trebui să îndeplinească și criteriile de clasificare  EULAR/ACR din 2019 prezentate în Tabelul 1, cu definițiile aferente din Tabelul 2.   </w:t>
      </w:r>
    </w:p>
    <w:p w14:paraId="70B59E88" w14:textId="77777777" w:rsidR="002130FD" w:rsidRPr="002130FD" w:rsidRDefault="002130FD" w:rsidP="002130FD">
      <w:pPr>
        <w:widowControl w:val="0"/>
        <w:autoSpaceDE w:val="0"/>
        <w:autoSpaceDN w:val="0"/>
        <w:spacing w:after="0" w:line="240" w:lineRule="auto"/>
        <w:jc w:val="both"/>
        <w:rPr>
          <w:rFonts w:ascii="Times New Roman" w:eastAsia="Arial" w:hAnsi="Times New Roman" w:cs="Times New Roman"/>
          <w:i/>
          <w:iCs/>
          <w:sz w:val="24"/>
          <w:szCs w:val="24"/>
          <w:lang w:val="fr-FR"/>
        </w:rPr>
      </w:pPr>
      <w:r w:rsidRPr="002130FD">
        <w:rPr>
          <w:rFonts w:ascii="Times New Roman" w:eastAsia="Arial" w:hAnsi="Times New Roman" w:cs="Times New Roman"/>
          <w:noProof/>
          <w:sz w:val="24"/>
          <w:szCs w:val="24"/>
          <w:lang w:val="en-US"/>
        </w:rPr>
        <w:lastRenderedPageBreak/>
        <w:drawing>
          <wp:anchor distT="0" distB="0" distL="114300" distR="114300" simplePos="0" relativeHeight="251714560" behindDoc="0" locked="0" layoutInCell="1" allowOverlap="1" wp14:anchorId="1E879E51" wp14:editId="53D1443E">
            <wp:simplePos x="0" y="0"/>
            <wp:positionH relativeFrom="column">
              <wp:posOffset>29845</wp:posOffset>
            </wp:positionH>
            <wp:positionV relativeFrom="paragraph">
              <wp:posOffset>331470</wp:posOffset>
            </wp:positionV>
            <wp:extent cx="6094095" cy="6638290"/>
            <wp:effectExtent l="0" t="0" r="1905"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4095" cy="6638290"/>
                    </a:xfrm>
                    <a:prstGeom prst="rect">
                      <a:avLst/>
                    </a:prstGeom>
                    <a:noFill/>
                  </pic:spPr>
                </pic:pic>
              </a:graphicData>
            </a:graphic>
            <wp14:sizeRelH relativeFrom="margin">
              <wp14:pctWidth>0</wp14:pctWidth>
            </wp14:sizeRelH>
            <wp14:sizeRelV relativeFrom="margin">
              <wp14:pctHeight>0</wp14:pctHeight>
            </wp14:sizeRelV>
          </wp:anchor>
        </w:drawing>
      </w:r>
      <w:r w:rsidRPr="002130FD">
        <w:rPr>
          <w:rFonts w:ascii="Times New Roman" w:eastAsia="Arial" w:hAnsi="Times New Roman" w:cs="Times New Roman"/>
          <w:i/>
          <w:iCs/>
          <w:sz w:val="24"/>
          <w:szCs w:val="24"/>
          <w:lang w:val="fr-FR"/>
        </w:rPr>
        <w:t>Tabel 1. Criterii de clasificare EULAR/ACR pentru LES (2019)</w:t>
      </w:r>
    </w:p>
    <w:p w14:paraId="028FC0F2" w14:textId="77777777" w:rsidR="002130FD" w:rsidRPr="002130FD" w:rsidRDefault="002130FD" w:rsidP="002130FD">
      <w:pPr>
        <w:widowControl w:val="0"/>
        <w:tabs>
          <w:tab w:val="left" w:pos="472"/>
        </w:tabs>
        <w:autoSpaceDE w:val="0"/>
        <w:autoSpaceDN w:val="0"/>
        <w:spacing w:before="1" w:after="0" w:line="240" w:lineRule="auto"/>
        <w:ind w:left="471" w:hanging="381"/>
        <w:jc w:val="both"/>
        <w:outlineLvl w:val="0"/>
        <w:rPr>
          <w:rFonts w:ascii="Times New Roman" w:eastAsia="Arial" w:hAnsi="Times New Roman" w:cs="Times New Roman"/>
          <w:i/>
          <w:iCs/>
          <w:sz w:val="24"/>
          <w:szCs w:val="24"/>
          <w:lang w:val="fr-FR"/>
        </w:rPr>
      </w:pPr>
    </w:p>
    <w:p w14:paraId="5FE9BFEE" w14:textId="77777777" w:rsidR="002130FD" w:rsidRPr="002130FD" w:rsidRDefault="002130FD" w:rsidP="002130FD">
      <w:pPr>
        <w:widowControl w:val="0"/>
        <w:tabs>
          <w:tab w:val="left" w:pos="472"/>
        </w:tabs>
        <w:autoSpaceDE w:val="0"/>
        <w:autoSpaceDN w:val="0"/>
        <w:spacing w:before="1" w:after="0" w:line="240" w:lineRule="auto"/>
        <w:ind w:left="471" w:hanging="381"/>
        <w:jc w:val="both"/>
        <w:outlineLvl w:val="0"/>
        <w:rPr>
          <w:rFonts w:ascii="Times New Roman" w:eastAsia="Arial" w:hAnsi="Times New Roman" w:cs="Times New Roman"/>
          <w:i/>
          <w:iCs/>
          <w:sz w:val="24"/>
          <w:szCs w:val="24"/>
          <w:lang w:val="fr-FR"/>
        </w:rPr>
      </w:pPr>
      <w:r w:rsidRPr="002130FD">
        <w:rPr>
          <w:rFonts w:ascii="Times New Roman" w:eastAsia="Arial" w:hAnsi="Times New Roman" w:cs="Times New Roman"/>
          <w:i/>
          <w:iCs/>
          <w:sz w:val="24"/>
          <w:szCs w:val="24"/>
          <w:lang w:val="fr-FR"/>
        </w:rPr>
        <w:t>Tabel 2. Definiția criteriilor de clasificare EULAR/ACR pentru LES (2019)</w:t>
      </w:r>
    </w:p>
    <w:p w14:paraId="2574FA43" w14:textId="77777777" w:rsidR="002130FD" w:rsidRPr="002130FD" w:rsidRDefault="002130FD" w:rsidP="002130FD">
      <w:pPr>
        <w:widowControl w:val="0"/>
        <w:tabs>
          <w:tab w:val="left" w:pos="472"/>
        </w:tabs>
        <w:autoSpaceDE w:val="0"/>
        <w:autoSpaceDN w:val="0"/>
        <w:spacing w:before="1" w:after="0" w:line="240" w:lineRule="auto"/>
        <w:ind w:left="471" w:hanging="381"/>
        <w:jc w:val="both"/>
        <w:outlineLvl w:val="0"/>
        <w:rPr>
          <w:rFonts w:ascii="Times New Roman" w:eastAsia="Arial" w:hAnsi="Times New Roman" w:cs="Times New Roman"/>
          <w:i/>
          <w:iCs/>
          <w:sz w:val="24"/>
          <w:szCs w:val="24"/>
          <w:lang w:val="fr-FR"/>
        </w:rPr>
      </w:pPr>
    </w:p>
    <w:tbl>
      <w:tblPr>
        <w:tblW w:w="9499"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90"/>
        <w:gridCol w:w="7009"/>
      </w:tblGrid>
      <w:tr w:rsidR="002130FD" w:rsidRPr="002130FD" w14:paraId="277D27D7" w14:textId="77777777" w:rsidTr="002130FD">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13B19CEE" w14:textId="77777777" w:rsidR="002130FD" w:rsidRPr="002130FD" w:rsidRDefault="002130FD" w:rsidP="002130FD">
            <w:pPr>
              <w:widowControl w:val="0"/>
              <w:autoSpaceDE w:val="0"/>
              <w:autoSpaceDN w:val="0"/>
              <w:spacing w:before="53" w:after="0" w:line="240" w:lineRule="auto"/>
              <w:ind w:left="107"/>
              <w:rPr>
                <w:rFonts w:ascii="Times New Roman" w:eastAsia="Times New Roman" w:hAnsi="Times New Roman" w:cs="Times New Roman"/>
                <w:b/>
                <w:sz w:val="20"/>
                <w:szCs w:val="20"/>
                <w:lang w:eastAsia="ro-RO" w:bidi="ro-RO"/>
              </w:rPr>
            </w:pPr>
            <w:r w:rsidRPr="002130FD">
              <w:rPr>
                <w:rFonts w:ascii="Times New Roman" w:eastAsia="Times New Roman" w:hAnsi="Times New Roman" w:cs="Times New Roman"/>
                <w:b/>
                <w:spacing w:val="-2"/>
                <w:sz w:val="20"/>
                <w:szCs w:val="20"/>
                <w:lang w:eastAsia="ro-RO" w:bidi="ro-RO"/>
              </w:rPr>
              <w:t>Criteriu</w:t>
            </w:r>
          </w:p>
        </w:tc>
        <w:tc>
          <w:tcPr>
            <w:tcW w:w="7009" w:type="dxa"/>
            <w:tcBorders>
              <w:top w:val="single" w:sz="8" w:space="0" w:color="000000"/>
              <w:left w:val="single" w:sz="8" w:space="0" w:color="000000"/>
              <w:bottom w:val="single" w:sz="8" w:space="0" w:color="000000"/>
              <w:right w:val="single" w:sz="8" w:space="0" w:color="000000"/>
            </w:tcBorders>
            <w:hideMark/>
          </w:tcPr>
          <w:p w14:paraId="1FDE1FF8" w14:textId="77777777" w:rsidR="002130FD" w:rsidRPr="002130FD" w:rsidRDefault="002130FD" w:rsidP="002130FD">
            <w:pPr>
              <w:widowControl w:val="0"/>
              <w:autoSpaceDE w:val="0"/>
              <w:autoSpaceDN w:val="0"/>
              <w:spacing w:before="53" w:after="0" w:line="240" w:lineRule="auto"/>
              <w:ind w:left="3076" w:right="3055"/>
              <w:rPr>
                <w:rFonts w:ascii="Times New Roman" w:eastAsia="Times New Roman" w:hAnsi="Times New Roman" w:cs="Times New Roman"/>
                <w:b/>
                <w:sz w:val="20"/>
                <w:szCs w:val="20"/>
                <w:lang w:eastAsia="ro-RO" w:bidi="ro-RO"/>
              </w:rPr>
            </w:pPr>
            <w:r w:rsidRPr="002130FD">
              <w:rPr>
                <w:rFonts w:ascii="Times New Roman" w:eastAsia="Times New Roman" w:hAnsi="Times New Roman" w:cs="Times New Roman"/>
                <w:b/>
                <w:spacing w:val="-2"/>
                <w:sz w:val="20"/>
                <w:szCs w:val="20"/>
                <w:lang w:eastAsia="ro-RO" w:bidi="ro-RO"/>
              </w:rPr>
              <w:t>Definiție</w:t>
            </w:r>
          </w:p>
        </w:tc>
      </w:tr>
      <w:tr w:rsidR="002130FD" w:rsidRPr="002130FD" w14:paraId="4D51521F" w14:textId="77777777" w:rsidTr="002130FD">
        <w:trPr>
          <w:trHeight w:val="301"/>
        </w:trPr>
        <w:tc>
          <w:tcPr>
            <w:tcW w:w="2490" w:type="dxa"/>
            <w:tcBorders>
              <w:top w:val="single" w:sz="8" w:space="0" w:color="000000"/>
              <w:left w:val="single" w:sz="8" w:space="0" w:color="000000"/>
              <w:bottom w:val="single" w:sz="8" w:space="0" w:color="000000"/>
              <w:right w:val="single" w:sz="8" w:space="0" w:color="000000"/>
            </w:tcBorders>
            <w:hideMark/>
          </w:tcPr>
          <w:p w14:paraId="076E262C"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Anticorpi antinucleari</w:t>
            </w:r>
            <w:r w:rsidRPr="002130FD">
              <w:rPr>
                <w:rFonts w:ascii="Times New Roman" w:eastAsia="Times New Roman" w:hAnsi="Times New Roman" w:cs="Times New Roman"/>
                <w:spacing w:val="-5"/>
                <w:sz w:val="20"/>
                <w:szCs w:val="20"/>
                <w:lang w:eastAsia="ro-RO" w:bidi="ro-RO"/>
              </w:rPr>
              <w:t xml:space="preserve"> </w:t>
            </w:r>
            <w:r w:rsidRPr="002130FD">
              <w:rPr>
                <w:rFonts w:ascii="Times New Roman" w:eastAsia="Times New Roman" w:hAnsi="Times New Roman" w:cs="Times New Roman"/>
                <w:spacing w:val="-2"/>
                <w:sz w:val="20"/>
                <w:szCs w:val="20"/>
                <w:lang w:eastAsia="ro-RO" w:bidi="ro-RO"/>
              </w:rPr>
              <w:t>(ANA)</w:t>
            </w:r>
          </w:p>
        </w:tc>
        <w:tc>
          <w:tcPr>
            <w:tcW w:w="7009" w:type="dxa"/>
            <w:tcBorders>
              <w:top w:val="single" w:sz="8" w:space="0" w:color="000000"/>
              <w:left w:val="single" w:sz="8" w:space="0" w:color="000000"/>
              <w:bottom w:val="single" w:sz="8" w:space="0" w:color="000000"/>
              <w:right w:val="single" w:sz="8" w:space="0" w:color="000000"/>
            </w:tcBorders>
            <w:hideMark/>
          </w:tcPr>
          <w:p w14:paraId="27BB08E7" w14:textId="77777777" w:rsidR="002130FD" w:rsidRPr="002130FD" w:rsidRDefault="002130FD" w:rsidP="002130FD">
            <w:pPr>
              <w:widowControl w:val="0"/>
              <w:autoSpaceDE w:val="0"/>
              <w:autoSpaceDN w:val="0"/>
              <w:spacing w:before="60" w:after="0" w:line="220" w:lineRule="auto"/>
              <w:ind w:left="107" w:right="251"/>
              <w:jc w:val="both"/>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Pozitivi peste valoarea de referință a laboratorului</w:t>
            </w:r>
          </w:p>
        </w:tc>
      </w:tr>
      <w:tr w:rsidR="002130FD" w:rsidRPr="002130FD" w14:paraId="1838A57D" w14:textId="77777777" w:rsidTr="002130FD">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43C83EB0"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pacing w:val="-2"/>
                <w:sz w:val="20"/>
                <w:szCs w:val="20"/>
                <w:lang w:eastAsia="ro-RO" w:bidi="ro-RO"/>
              </w:rPr>
              <w:t>Febră</w:t>
            </w:r>
          </w:p>
        </w:tc>
        <w:tc>
          <w:tcPr>
            <w:tcW w:w="7009" w:type="dxa"/>
            <w:tcBorders>
              <w:top w:val="single" w:sz="8" w:space="0" w:color="000000"/>
              <w:left w:val="single" w:sz="8" w:space="0" w:color="000000"/>
              <w:bottom w:val="single" w:sz="8" w:space="0" w:color="000000"/>
              <w:right w:val="single" w:sz="8" w:space="0" w:color="000000"/>
            </w:tcBorders>
            <w:hideMark/>
          </w:tcPr>
          <w:p w14:paraId="7419AE17"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&gt;38,3°</w:t>
            </w:r>
            <w:r w:rsidRPr="002130FD">
              <w:rPr>
                <w:rFonts w:ascii="Times New Roman" w:eastAsia="Times New Roman" w:hAnsi="Times New Roman" w:cs="Times New Roman"/>
                <w:spacing w:val="-5"/>
                <w:sz w:val="20"/>
                <w:szCs w:val="20"/>
                <w:lang w:eastAsia="ro-RO" w:bidi="ro-RO"/>
              </w:rPr>
              <w:t xml:space="preserve"> </w:t>
            </w:r>
            <w:r w:rsidRPr="002130FD">
              <w:rPr>
                <w:rFonts w:ascii="Times New Roman" w:eastAsia="Times New Roman" w:hAnsi="Times New Roman" w:cs="Times New Roman"/>
                <w:spacing w:val="-2"/>
                <w:sz w:val="20"/>
                <w:szCs w:val="20"/>
                <w:lang w:eastAsia="ro-RO" w:bidi="ro-RO"/>
              </w:rPr>
              <w:t>Celsius</w:t>
            </w:r>
          </w:p>
        </w:tc>
      </w:tr>
      <w:tr w:rsidR="002130FD" w:rsidRPr="002130FD" w14:paraId="0A2939DD" w14:textId="77777777" w:rsidTr="002130FD">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50316D13"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pacing w:val="-2"/>
                <w:sz w:val="20"/>
                <w:szCs w:val="20"/>
                <w:lang w:eastAsia="ro-RO" w:bidi="ro-RO"/>
              </w:rPr>
              <w:t>Leucopenie</w:t>
            </w:r>
          </w:p>
        </w:tc>
        <w:tc>
          <w:tcPr>
            <w:tcW w:w="7009" w:type="dxa"/>
            <w:tcBorders>
              <w:top w:val="single" w:sz="8" w:space="0" w:color="000000"/>
              <w:left w:val="single" w:sz="8" w:space="0" w:color="000000"/>
              <w:bottom w:val="single" w:sz="8" w:space="0" w:color="000000"/>
              <w:right w:val="single" w:sz="8" w:space="0" w:color="000000"/>
            </w:tcBorders>
            <w:hideMark/>
          </w:tcPr>
          <w:p w14:paraId="13324261"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pacing w:val="-2"/>
                <w:sz w:val="20"/>
                <w:szCs w:val="20"/>
                <w:lang w:eastAsia="ro-RO" w:bidi="ro-RO"/>
              </w:rPr>
              <w:t>&lt;4 000/mm³</w:t>
            </w:r>
          </w:p>
        </w:tc>
      </w:tr>
      <w:tr w:rsidR="002130FD" w:rsidRPr="002130FD" w14:paraId="73146DB0" w14:textId="77777777" w:rsidTr="002130FD">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6A9D96B8"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pacing w:val="-2"/>
                <w:sz w:val="20"/>
                <w:szCs w:val="20"/>
                <w:lang w:eastAsia="ro-RO" w:bidi="ro-RO"/>
              </w:rPr>
              <w:t>Trombocitopenie</w:t>
            </w:r>
          </w:p>
        </w:tc>
        <w:tc>
          <w:tcPr>
            <w:tcW w:w="7009" w:type="dxa"/>
            <w:tcBorders>
              <w:top w:val="single" w:sz="8" w:space="0" w:color="000000"/>
              <w:left w:val="single" w:sz="8" w:space="0" w:color="000000"/>
              <w:bottom w:val="single" w:sz="8" w:space="0" w:color="000000"/>
              <w:right w:val="single" w:sz="8" w:space="0" w:color="000000"/>
            </w:tcBorders>
            <w:hideMark/>
          </w:tcPr>
          <w:p w14:paraId="3AABFCF7"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pacing w:val="-2"/>
                <w:sz w:val="20"/>
                <w:szCs w:val="20"/>
                <w:lang w:eastAsia="ro-RO" w:bidi="ro-RO"/>
              </w:rPr>
              <w:t>&lt;100 000/mm³</w:t>
            </w:r>
          </w:p>
        </w:tc>
      </w:tr>
      <w:tr w:rsidR="002130FD" w:rsidRPr="002130FD" w14:paraId="18CB768D" w14:textId="77777777" w:rsidTr="002130FD">
        <w:trPr>
          <w:trHeight w:val="440"/>
        </w:trPr>
        <w:tc>
          <w:tcPr>
            <w:tcW w:w="2490" w:type="dxa"/>
            <w:tcBorders>
              <w:top w:val="single" w:sz="8" w:space="0" w:color="000000"/>
              <w:left w:val="single" w:sz="8" w:space="0" w:color="000000"/>
              <w:bottom w:val="single" w:sz="8" w:space="0" w:color="000000"/>
              <w:right w:val="single" w:sz="8" w:space="0" w:color="000000"/>
            </w:tcBorders>
            <w:hideMark/>
          </w:tcPr>
          <w:p w14:paraId="71C0F098"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Anemie hemolitică</w:t>
            </w:r>
          </w:p>
        </w:tc>
        <w:tc>
          <w:tcPr>
            <w:tcW w:w="7009" w:type="dxa"/>
            <w:tcBorders>
              <w:top w:val="single" w:sz="8" w:space="0" w:color="000000"/>
              <w:left w:val="single" w:sz="8" w:space="0" w:color="000000"/>
              <w:bottom w:val="single" w:sz="8" w:space="0" w:color="000000"/>
              <w:right w:val="single" w:sz="8" w:space="0" w:color="000000"/>
            </w:tcBorders>
            <w:hideMark/>
          </w:tcPr>
          <w:p w14:paraId="11DAFA92" w14:textId="77777777" w:rsidR="002130FD" w:rsidRPr="002130FD" w:rsidRDefault="002130FD" w:rsidP="002130FD">
            <w:pPr>
              <w:widowControl w:val="0"/>
              <w:autoSpaceDE w:val="0"/>
              <w:autoSpaceDN w:val="0"/>
              <w:spacing w:before="60" w:after="0" w:line="220" w:lineRule="auto"/>
              <w:ind w:left="107" w:right="155"/>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Dovezi de hemoliză, cum ar fi reticulocitoză, haptoglobină scăzută, bilirubină indirectă crescută, LDH crescut</w:t>
            </w:r>
            <w:r w:rsidRPr="002130FD">
              <w:rPr>
                <w:rFonts w:ascii="Times New Roman" w:eastAsia="Times New Roman" w:hAnsi="Times New Roman" w:cs="Times New Roman"/>
                <w:spacing w:val="40"/>
                <w:sz w:val="20"/>
                <w:szCs w:val="20"/>
                <w:lang w:eastAsia="ro-RO" w:bidi="ro-RO"/>
              </w:rPr>
              <w:t xml:space="preserve"> </w:t>
            </w:r>
            <w:r w:rsidRPr="002130FD">
              <w:rPr>
                <w:rFonts w:ascii="Times New Roman" w:eastAsia="Times New Roman" w:hAnsi="Times New Roman" w:cs="Times New Roman"/>
                <w:sz w:val="20"/>
                <w:szCs w:val="20"/>
                <w:lang w:eastAsia="ro-RO" w:bidi="ro-RO"/>
              </w:rPr>
              <w:t>și test Coombs pozitiv (antiglobulină directă)</w:t>
            </w:r>
          </w:p>
        </w:tc>
      </w:tr>
      <w:tr w:rsidR="002130FD" w:rsidRPr="002130FD" w14:paraId="2AD46792" w14:textId="77777777" w:rsidTr="002130FD">
        <w:trPr>
          <w:trHeight w:val="760"/>
        </w:trPr>
        <w:tc>
          <w:tcPr>
            <w:tcW w:w="2490" w:type="dxa"/>
            <w:tcBorders>
              <w:top w:val="single" w:sz="8" w:space="0" w:color="000000"/>
              <w:left w:val="single" w:sz="8" w:space="0" w:color="000000"/>
              <w:bottom w:val="single" w:sz="8" w:space="0" w:color="000000"/>
              <w:right w:val="single" w:sz="8" w:space="0" w:color="000000"/>
            </w:tcBorders>
            <w:hideMark/>
          </w:tcPr>
          <w:p w14:paraId="508FCBF3"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pacing w:val="-2"/>
                <w:sz w:val="20"/>
                <w:szCs w:val="20"/>
                <w:lang w:eastAsia="ro-RO" w:bidi="ro-RO"/>
              </w:rPr>
              <w:t>Delir</w:t>
            </w:r>
          </w:p>
        </w:tc>
        <w:tc>
          <w:tcPr>
            <w:tcW w:w="7009" w:type="dxa"/>
            <w:tcBorders>
              <w:top w:val="single" w:sz="8" w:space="0" w:color="000000"/>
              <w:left w:val="single" w:sz="8" w:space="0" w:color="000000"/>
              <w:bottom w:val="single" w:sz="8" w:space="0" w:color="000000"/>
              <w:right w:val="single" w:sz="8" w:space="0" w:color="000000"/>
            </w:tcBorders>
            <w:hideMark/>
          </w:tcPr>
          <w:p w14:paraId="3790031E" w14:textId="77777777" w:rsidR="002130FD" w:rsidRPr="002130FD" w:rsidRDefault="002130FD" w:rsidP="002130FD">
            <w:pPr>
              <w:widowControl w:val="0"/>
              <w:autoSpaceDE w:val="0"/>
              <w:autoSpaceDN w:val="0"/>
              <w:spacing w:before="60" w:after="0" w:line="220" w:lineRule="auto"/>
              <w:ind w:left="107" w:right="155"/>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Caracterizat prin (1) modificarea conștienței sau a nivelului de excitare cu capacitate redusă de concentrare, și (2)</w:t>
            </w:r>
            <w:r w:rsidRPr="002130FD">
              <w:rPr>
                <w:rFonts w:ascii="Times New Roman" w:eastAsia="Times New Roman" w:hAnsi="Times New Roman" w:cs="Times New Roman"/>
                <w:spacing w:val="40"/>
                <w:sz w:val="20"/>
                <w:szCs w:val="20"/>
                <w:lang w:eastAsia="ro-RO" w:bidi="ro-RO"/>
              </w:rPr>
              <w:t xml:space="preserve"> </w:t>
            </w:r>
            <w:r w:rsidRPr="002130FD">
              <w:rPr>
                <w:rFonts w:ascii="Times New Roman" w:eastAsia="Times New Roman" w:hAnsi="Times New Roman" w:cs="Times New Roman"/>
                <w:sz w:val="20"/>
                <w:szCs w:val="20"/>
                <w:lang w:eastAsia="ro-RO" w:bidi="ro-RO"/>
              </w:rPr>
              <w:t>dezvoltarea simptomelor</w:t>
            </w:r>
            <w:r w:rsidRPr="002130FD">
              <w:rPr>
                <w:rFonts w:ascii="Times New Roman" w:eastAsia="Times New Roman" w:hAnsi="Times New Roman" w:cs="Times New Roman"/>
                <w:spacing w:val="-4"/>
                <w:sz w:val="20"/>
                <w:szCs w:val="20"/>
                <w:lang w:eastAsia="ro-RO" w:bidi="ro-RO"/>
              </w:rPr>
              <w:t xml:space="preserve"> în câteva ore până la </w:t>
            </w:r>
            <w:r w:rsidRPr="002130FD">
              <w:rPr>
                <w:rFonts w:ascii="Times New Roman" w:eastAsia="Times New Roman" w:hAnsi="Times New Roman" w:cs="Times New Roman"/>
                <w:sz w:val="20"/>
                <w:szCs w:val="20"/>
                <w:lang w:eastAsia="ro-RO" w:bidi="ro-RO"/>
              </w:rPr>
              <w:t>&lt;2</w:t>
            </w:r>
            <w:r w:rsidRPr="002130FD">
              <w:rPr>
                <w:rFonts w:ascii="Times New Roman" w:eastAsia="Times New Roman" w:hAnsi="Times New Roman" w:cs="Times New Roman"/>
                <w:spacing w:val="-4"/>
                <w:sz w:val="20"/>
                <w:szCs w:val="20"/>
                <w:lang w:eastAsia="ro-RO" w:bidi="ro-RO"/>
              </w:rPr>
              <w:t xml:space="preserve"> </w:t>
            </w:r>
            <w:r w:rsidRPr="002130FD">
              <w:rPr>
                <w:rFonts w:ascii="Times New Roman" w:eastAsia="Times New Roman" w:hAnsi="Times New Roman" w:cs="Times New Roman"/>
                <w:sz w:val="20"/>
                <w:szCs w:val="20"/>
                <w:lang w:eastAsia="ro-RO" w:bidi="ro-RO"/>
              </w:rPr>
              <w:t>zile,</w:t>
            </w:r>
            <w:r w:rsidRPr="002130FD">
              <w:rPr>
                <w:rFonts w:ascii="Times New Roman" w:eastAsia="Times New Roman" w:hAnsi="Times New Roman" w:cs="Times New Roman"/>
                <w:spacing w:val="-4"/>
                <w:sz w:val="20"/>
                <w:szCs w:val="20"/>
                <w:lang w:eastAsia="ro-RO" w:bidi="ro-RO"/>
              </w:rPr>
              <w:t xml:space="preserve"> </w:t>
            </w:r>
            <w:r w:rsidRPr="002130FD">
              <w:rPr>
                <w:rFonts w:ascii="Times New Roman" w:eastAsia="Times New Roman" w:hAnsi="Times New Roman" w:cs="Times New Roman"/>
                <w:sz w:val="20"/>
                <w:szCs w:val="20"/>
                <w:lang w:eastAsia="ro-RO" w:bidi="ro-RO"/>
              </w:rPr>
              <w:t>și</w:t>
            </w:r>
            <w:r w:rsidRPr="002130FD">
              <w:rPr>
                <w:rFonts w:ascii="Times New Roman" w:eastAsia="Times New Roman" w:hAnsi="Times New Roman" w:cs="Times New Roman"/>
                <w:spacing w:val="-4"/>
                <w:sz w:val="20"/>
                <w:szCs w:val="20"/>
                <w:lang w:eastAsia="ro-RO" w:bidi="ro-RO"/>
              </w:rPr>
              <w:t xml:space="preserve"> </w:t>
            </w:r>
            <w:r w:rsidRPr="002130FD">
              <w:rPr>
                <w:rFonts w:ascii="Times New Roman" w:eastAsia="Times New Roman" w:hAnsi="Times New Roman" w:cs="Times New Roman"/>
                <w:sz w:val="20"/>
                <w:szCs w:val="20"/>
                <w:lang w:eastAsia="ro-RO" w:bidi="ro-RO"/>
              </w:rPr>
              <w:t>(3)</w:t>
            </w:r>
            <w:r w:rsidRPr="002130FD">
              <w:rPr>
                <w:rFonts w:ascii="Times New Roman" w:eastAsia="Times New Roman" w:hAnsi="Times New Roman" w:cs="Times New Roman"/>
                <w:spacing w:val="-4"/>
                <w:sz w:val="20"/>
                <w:szCs w:val="20"/>
                <w:lang w:eastAsia="ro-RO" w:bidi="ro-RO"/>
              </w:rPr>
              <w:t xml:space="preserve"> </w:t>
            </w:r>
            <w:r w:rsidRPr="002130FD">
              <w:rPr>
                <w:rFonts w:ascii="Times New Roman" w:eastAsia="Times New Roman" w:hAnsi="Times New Roman" w:cs="Times New Roman"/>
                <w:sz w:val="20"/>
                <w:szCs w:val="20"/>
                <w:lang w:eastAsia="ro-RO" w:bidi="ro-RO"/>
              </w:rPr>
              <w:t>fluctuația simptomelor pe parcursul zilei,</w:t>
            </w:r>
            <w:r w:rsidRPr="002130FD">
              <w:rPr>
                <w:rFonts w:ascii="Times New Roman" w:eastAsia="Times New Roman" w:hAnsi="Times New Roman" w:cs="Times New Roman"/>
                <w:spacing w:val="-4"/>
                <w:sz w:val="20"/>
                <w:szCs w:val="20"/>
                <w:lang w:eastAsia="ro-RO" w:bidi="ro-RO"/>
              </w:rPr>
              <w:t xml:space="preserve"> </w:t>
            </w:r>
            <w:r w:rsidRPr="002130FD">
              <w:rPr>
                <w:rFonts w:ascii="Times New Roman" w:eastAsia="Times New Roman" w:hAnsi="Times New Roman" w:cs="Times New Roman"/>
                <w:sz w:val="20"/>
                <w:szCs w:val="20"/>
                <w:lang w:eastAsia="ro-RO" w:bidi="ro-RO"/>
              </w:rPr>
              <w:t>și</w:t>
            </w:r>
            <w:r w:rsidRPr="002130FD">
              <w:rPr>
                <w:rFonts w:ascii="Times New Roman" w:eastAsia="Times New Roman" w:hAnsi="Times New Roman" w:cs="Times New Roman"/>
                <w:spacing w:val="-4"/>
                <w:sz w:val="20"/>
                <w:szCs w:val="20"/>
                <w:lang w:eastAsia="ro-RO" w:bidi="ro-RO"/>
              </w:rPr>
              <w:t xml:space="preserve"> </w:t>
            </w:r>
            <w:r w:rsidRPr="002130FD">
              <w:rPr>
                <w:rFonts w:ascii="Times New Roman" w:eastAsia="Times New Roman" w:hAnsi="Times New Roman" w:cs="Times New Roman"/>
                <w:sz w:val="20"/>
                <w:szCs w:val="20"/>
                <w:lang w:eastAsia="ro-RO" w:bidi="ro-RO"/>
              </w:rPr>
              <w:t>(4)</w:t>
            </w:r>
            <w:r w:rsidRPr="002130FD">
              <w:rPr>
                <w:rFonts w:ascii="Times New Roman" w:eastAsia="Times New Roman" w:hAnsi="Times New Roman" w:cs="Times New Roman"/>
                <w:spacing w:val="-4"/>
                <w:sz w:val="20"/>
                <w:szCs w:val="20"/>
                <w:lang w:eastAsia="ro-RO" w:bidi="ro-RO"/>
              </w:rPr>
              <w:t xml:space="preserve"> </w:t>
            </w:r>
            <w:r w:rsidRPr="002130FD">
              <w:rPr>
                <w:rFonts w:ascii="Times New Roman" w:eastAsia="Times New Roman" w:hAnsi="Times New Roman" w:cs="Times New Roman"/>
                <w:sz w:val="20"/>
                <w:szCs w:val="20"/>
                <w:lang w:eastAsia="ro-RO" w:bidi="ro-RO"/>
              </w:rPr>
              <w:t>fie</w:t>
            </w:r>
            <w:r w:rsidRPr="002130FD">
              <w:rPr>
                <w:rFonts w:ascii="Times New Roman" w:eastAsia="Times New Roman" w:hAnsi="Times New Roman" w:cs="Times New Roman"/>
                <w:spacing w:val="40"/>
                <w:sz w:val="20"/>
                <w:szCs w:val="20"/>
                <w:lang w:eastAsia="ro-RO" w:bidi="ro-RO"/>
              </w:rPr>
              <w:t xml:space="preserve"> </w:t>
            </w:r>
            <w:r w:rsidRPr="002130FD">
              <w:rPr>
                <w:rFonts w:ascii="Times New Roman" w:eastAsia="Times New Roman" w:hAnsi="Times New Roman" w:cs="Times New Roman"/>
                <w:sz w:val="20"/>
                <w:szCs w:val="20"/>
                <w:lang w:eastAsia="ro-RO" w:bidi="ro-RO"/>
              </w:rPr>
              <w:t>(4a) alterare cognitivă acută/subacută (de exemplu deficit de memorie sau dezorientare), sau (4b) modificare a comportamentului,</w:t>
            </w:r>
            <w:r w:rsidRPr="002130FD">
              <w:rPr>
                <w:rFonts w:ascii="Times New Roman" w:eastAsia="Times New Roman" w:hAnsi="Times New Roman" w:cs="Times New Roman"/>
                <w:spacing w:val="40"/>
                <w:sz w:val="20"/>
                <w:szCs w:val="20"/>
                <w:lang w:eastAsia="ro-RO" w:bidi="ro-RO"/>
              </w:rPr>
              <w:t xml:space="preserve"> </w:t>
            </w:r>
            <w:r w:rsidRPr="002130FD">
              <w:rPr>
                <w:rFonts w:ascii="Times New Roman" w:eastAsia="Times New Roman" w:hAnsi="Times New Roman" w:cs="Times New Roman"/>
                <w:sz w:val="20"/>
                <w:szCs w:val="20"/>
                <w:lang w:eastAsia="ro-RO" w:bidi="ro-RO"/>
              </w:rPr>
              <w:t xml:space="preserve">a dispoziției, sau a afectului (de exemplu </w:t>
            </w:r>
            <w:r w:rsidRPr="002130FD">
              <w:rPr>
                <w:rFonts w:ascii="Times New Roman" w:eastAsia="Times New Roman" w:hAnsi="Times New Roman" w:cs="Times New Roman"/>
                <w:sz w:val="20"/>
                <w:szCs w:val="20"/>
                <w:lang w:eastAsia="ro-RO" w:bidi="ro-RO"/>
              </w:rPr>
              <w:lastRenderedPageBreak/>
              <w:t>neliniște, inversarea ciclului somn/ veghe)</w:t>
            </w:r>
          </w:p>
        </w:tc>
      </w:tr>
      <w:tr w:rsidR="002130FD" w:rsidRPr="002130FD" w14:paraId="30E7EC31" w14:textId="77777777" w:rsidTr="002130FD">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3196256E"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pacing w:val="-2"/>
                <w:sz w:val="20"/>
                <w:szCs w:val="20"/>
                <w:lang w:eastAsia="ro-RO" w:bidi="ro-RO"/>
              </w:rPr>
              <w:lastRenderedPageBreak/>
              <w:t>Psihoză</w:t>
            </w:r>
          </w:p>
        </w:tc>
        <w:tc>
          <w:tcPr>
            <w:tcW w:w="7009" w:type="dxa"/>
            <w:tcBorders>
              <w:top w:val="single" w:sz="8" w:space="0" w:color="000000"/>
              <w:left w:val="single" w:sz="8" w:space="0" w:color="000000"/>
              <w:bottom w:val="single" w:sz="8" w:space="0" w:color="000000"/>
              <w:right w:val="single" w:sz="8" w:space="0" w:color="000000"/>
            </w:tcBorders>
            <w:hideMark/>
          </w:tcPr>
          <w:p w14:paraId="6826BB2F"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Caracterizată prin (1)</w:t>
            </w:r>
            <w:r w:rsidRPr="002130FD">
              <w:rPr>
                <w:rFonts w:ascii="Times New Roman" w:eastAsia="Times New Roman" w:hAnsi="Times New Roman" w:cs="Times New Roman"/>
                <w:spacing w:val="-2"/>
                <w:sz w:val="20"/>
                <w:szCs w:val="20"/>
                <w:lang w:eastAsia="ro-RO" w:bidi="ro-RO"/>
              </w:rPr>
              <w:t xml:space="preserve"> tulburări iluzionale și/ sau halucinații fără </w:t>
            </w:r>
            <w:r w:rsidRPr="002130FD">
              <w:rPr>
                <w:rFonts w:ascii="Times New Roman" w:eastAsia="Times New Roman" w:hAnsi="Times New Roman" w:cs="Times New Roman"/>
                <w:spacing w:val="-3"/>
                <w:sz w:val="20"/>
                <w:szCs w:val="20"/>
                <w:lang w:eastAsia="ro-RO" w:bidi="ro-RO"/>
              </w:rPr>
              <w:t>conștientizare</w:t>
            </w:r>
            <w:r w:rsidRPr="002130FD">
              <w:rPr>
                <w:rFonts w:ascii="Times New Roman" w:eastAsia="Times New Roman" w:hAnsi="Times New Roman" w:cs="Times New Roman"/>
                <w:spacing w:val="-1"/>
                <w:sz w:val="20"/>
                <w:szCs w:val="20"/>
                <w:lang w:eastAsia="ro-RO" w:bidi="ro-RO"/>
              </w:rPr>
              <w:t xml:space="preserve"> </w:t>
            </w:r>
            <w:r w:rsidRPr="002130FD">
              <w:rPr>
                <w:rFonts w:ascii="Times New Roman" w:eastAsia="Times New Roman" w:hAnsi="Times New Roman" w:cs="Times New Roman"/>
                <w:sz w:val="20"/>
                <w:szCs w:val="20"/>
                <w:lang w:eastAsia="ro-RO" w:bidi="ro-RO"/>
              </w:rPr>
              <w:t>și</w:t>
            </w:r>
            <w:r w:rsidRPr="002130FD">
              <w:rPr>
                <w:rFonts w:ascii="Times New Roman" w:eastAsia="Times New Roman" w:hAnsi="Times New Roman" w:cs="Times New Roman"/>
                <w:spacing w:val="-2"/>
                <w:sz w:val="20"/>
                <w:szCs w:val="20"/>
                <w:lang w:eastAsia="ro-RO" w:bidi="ro-RO"/>
              </w:rPr>
              <w:t xml:space="preserve"> </w:t>
            </w:r>
            <w:r w:rsidRPr="002130FD">
              <w:rPr>
                <w:rFonts w:ascii="Times New Roman" w:eastAsia="Times New Roman" w:hAnsi="Times New Roman" w:cs="Times New Roman"/>
                <w:sz w:val="20"/>
                <w:szCs w:val="20"/>
                <w:lang w:eastAsia="ro-RO" w:bidi="ro-RO"/>
              </w:rPr>
              <w:t>(2)</w:t>
            </w:r>
            <w:r w:rsidRPr="002130FD">
              <w:rPr>
                <w:rFonts w:ascii="Times New Roman" w:eastAsia="Times New Roman" w:hAnsi="Times New Roman" w:cs="Times New Roman"/>
                <w:spacing w:val="-2"/>
                <w:sz w:val="20"/>
                <w:szCs w:val="20"/>
                <w:lang w:eastAsia="ro-RO" w:bidi="ro-RO"/>
              </w:rPr>
              <w:t xml:space="preserve"> </w:t>
            </w:r>
            <w:r w:rsidRPr="002130FD">
              <w:rPr>
                <w:rFonts w:ascii="Times New Roman" w:eastAsia="Times New Roman" w:hAnsi="Times New Roman" w:cs="Times New Roman"/>
                <w:sz w:val="20"/>
                <w:szCs w:val="20"/>
                <w:lang w:eastAsia="ro-RO" w:bidi="ro-RO"/>
              </w:rPr>
              <w:t>absența delirului</w:t>
            </w:r>
          </w:p>
        </w:tc>
      </w:tr>
      <w:tr w:rsidR="002130FD" w:rsidRPr="002130FD" w14:paraId="36B6B0DE" w14:textId="77777777" w:rsidTr="002130FD">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4C5CDFC7"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pacing w:val="-2"/>
                <w:sz w:val="20"/>
                <w:szCs w:val="20"/>
                <w:lang w:eastAsia="ro-RO" w:bidi="ro-RO"/>
              </w:rPr>
              <w:t>Criză epileptică</w:t>
            </w:r>
          </w:p>
        </w:tc>
        <w:tc>
          <w:tcPr>
            <w:tcW w:w="7009" w:type="dxa"/>
            <w:tcBorders>
              <w:top w:val="single" w:sz="8" w:space="0" w:color="000000"/>
              <w:left w:val="single" w:sz="8" w:space="0" w:color="000000"/>
              <w:bottom w:val="single" w:sz="8" w:space="0" w:color="000000"/>
              <w:right w:val="single" w:sz="8" w:space="0" w:color="000000"/>
            </w:tcBorders>
            <w:hideMark/>
          </w:tcPr>
          <w:p w14:paraId="2201B62D"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Convulsii primare generalizate sau convulsii parțiale/ focale</w:t>
            </w:r>
          </w:p>
        </w:tc>
      </w:tr>
      <w:tr w:rsidR="002130FD" w:rsidRPr="002130FD" w14:paraId="257A0C25" w14:textId="77777777" w:rsidTr="002130FD">
        <w:trPr>
          <w:trHeight w:val="330"/>
        </w:trPr>
        <w:tc>
          <w:tcPr>
            <w:tcW w:w="2490" w:type="dxa"/>
            <w:tcBorders>
              <w:top w:val="single" w:sz="8" w:space="0" w:color="000000"/>
              <w:left w:val="single" w:sz="8" w:space="0" w:color="000000"/>
              <w:bottom w:val="single" w:sz="8" w:space="0" w:color="000000"/>
              <w:right w:val="single" w:sz="8" w:space="0" w:color="000000"/>
            </w:tcBorders>
            <w:hideMark/>
          </w:tcPr>
          <w:p w14:paraId="19AC0A4B"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Alopecia necicatrizantă</w:t>
            </w:r>
          </w:p>
        </w:tc>
        <w:tc>
          <w:tcPr>
            <w:tcW w:w="7009" w:type="dxa"/>
            <w:tcBorders>
              <w:top w:val="single" w:sz="8" w:space="0" w:color="000000"/>
              <w:left w:val="single" w:sz="8" w:space="0" w:color="000000"/>
              <w:bottom w:val="single" w:sz="8" w:space="0" w:color="000000"/>
              <w:right w:val="single" w:sz="8" w:space="0" w:color="000000"/>
            </w:tcBorders>
            <w:hideMark/>
          </w:tcPr>
          <w:p w14:paraId="7813AA52"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Observată de un medic*</w:t>
            </w:r>
          </w:p>
        </w:tc>
      </w:tr>
      <w:tr w:rsidR="002130FD" w:rsidRPr="002130FD" w14:paraId="2A26F1DC" w14:textId="77777777" w:rsidTr="002130FD">
        <w:trPr>
          <w:trHeight w:val="330"/>
        </w:trPr>
        <w:tc>
          <w:tcPr>
            <w:tcW w:w="2490" w:type="dxa"/>
            <w:tcBorders>
              <w:top w:val="single" w:sz="8" w:space="0" w:color="000000"/>
              <w:left w:val="single" w:sz="8" w:space="0" w:color="000000"/>
              <w:bottom w:val="single" w:sz="8" w:space="0" w:color="000000"/>
              <w:right w:val="single" w:sz="8" w:space="0" w:color="000000"/>
            </w:tcBorders>
            <w:hideMark/>
          </w:tcPr>
          <w:p w14:paraId="5630A0C3"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Ulcere orale</w:t>
            </w:r>
          </w:p>
        </w:tc>
        <w:tc>
          <w:tcPr>
            <w:tcW w:w="7009" w:type="dxa"/>
            <w:tcBorders>
              <w:top w:val="single" w:sz="8" w:space="0" w:color="000000"/>
              <w:left w:val="single" w:sz="8" w:space="0" w:color="000000"/>
              <w:bottom w:val="single" w:sz="8" w:space="0" w:color="000000"/>
              <w:right w:val="single" w:sz="8" w:space="0" w:color="000000"/>
            </w:tcBorders>
            <w:hideMark/>
          </w:tcPr>
          <w:p w14:paraId="229430F5"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Observate de un medic*</w:t>
            </w:r>
          </w:p>
        </w:tc>
      </w:tr>
      <w:tr w:rsidR="002130FD" w:rsidRPr="002130FD" w14:paraId="481991A7" w14:textId="77777777" w:rsidTr="002130FD">
        <w:trPr>
          <w:trHeight w:val="1820"/>
        </w:trPr>
        <w:tc>
          <w:tcPr>
            <w:tcW w:w="2490" w:type="dxa"/>
            <w:tcBorders>
              <w:top w:val="single" w:sz="8" w:space="0" w:color="000000"/>
              <w:left w:val="single" w:sz="8" w:space="0" w:color="000000"/>
              <w:bottom w:val="single" w:sz="8" w:space="0" w:color="000000"/>
              <w:right w:val="single" w:sz="8" w:space="0" w:color="000000"/>
            </w:tcBorders>
          </w:tcPr>
          <w:p w14:paraId="33194A02" w14:textId="77777777" w:rsidR="002130FD" w:rsidRPr="002130FD" w:rsidRDefault="002130FD" w:rsidP="002130FD">
            <w:pPr>
              <w:widowControl w:val="0"/>
              <w:autoSpaceDE w:val="0"/>
              <w:autoSpaceDN w:val="0"/>
              <w:spacing w:before="60" w:after="0" w:line="220" w:lineRule="auto"/>
              <w:ind w:left="107"/>
              <w:rPr>
                <w:rFonts w:ascii="Times New Roman" w:eastAsia="Times New Roman" w:hAnsi="Times New Roman" w:cs="Times New Roman"/>
                <w:sz w:val="20"/>
                <w:szCs w:val="20"/>
                <w:lang w:val="en-US" w:eastAsia="ro-RO" w:bidi="ro-RO"/>
              </w:rPr>
            </w:pPr>
            <w:r w:rsidRPr="002130FD">
              <w:rPr>
                <w:rFonts w:ascii="Times New Roman" w:eastAsia="Times New Roman" w:hAnsi="Times New Roman" w:cs="Times New Roman"/>
                <w:sz w:val="20"/>
                <w:szCs w:val="20"/>
                <w:lang w:val="en-US" w:eastAsia="ro-RO" w:bidi="ro-RO"/>
              </w:rPr>
              <w:t>Lupus cutanat subacut SAU discoid</w:t>
            </w:r>
          </w:p>
          <w:p w14:paraId="6C38F455" w14:textId="77777777" w:rsidR="002130FD" w:rsidRPr="002130FD" w:rsidRDefault="002130FD" w:rsidP="002130FD">
            <w:pPr>
              <w:widowControl w:val="0"/>
              <w:autoSpaceDE w:val="0"/>
              <w:autoSpaceDN w:val="0"/>
              <w:spacing w:before="60" w:after="0" w:line="220" w:lineRule="auto"/>
              <w:ind w:left="107"/>
              <w:rPr>
                <w:rFonts w:ascii="Times New Roman" w:eastAsia="Times New Roman" w:hAnsi="Times New Roman" w:cs="Times New Roman"/>
                <w:sz w:val="20"/>
                <w:szCs w:val="20"/>
                <w:lang w:eastAsia="ro-RO" w:bidi="ro-RO"/>
              </w:rPr>
            </w:pPr>
          </w:p>
        </w:tc>
        <w:tc>
          <w:tcPr>
            <w:tcW w:w="7009" w:type="dxa"/>
            <w:tcBorders>
              <w:top w:val="single" w:sz="8" w:space="0" w:color="000000"/>
              <w:left w:val="single" w:sz="8" w:space="0" w:color="000000"/>
              <w:bottom w:val="single" w:sz="8" w:space="0" w:color="000000"/>
              <w:right w:val="single" w:sz="8" w:space="0" w:color="000000"/>
            </w:tcBorders>
          </w:tcPr>
          <w:p w14:paraId="60025744" w14:textId="77777777" w:rsidR="002130FD" w:rsidRPr="002130FD" w:rsidRDefault="002130FD" w:rsidP="002130FD">
            <w:pPr>
              <w:widowControl w:val="0"/>
              <w:autoSpaceDE w:val="0"/>
              <w:autoSpaceDN w:val="0"/>
              <w:spacing w:before="60" w:after="0" w:line="220" w:lineRule="auto"/>
              <w:ind w:left="107" w:right="155"/>
              <w:rPr>
                <w:rFonts w:ascii="Times New Roman" w:eastAsia="Times New Roman" w:hAnsi="Times New Roman" w:cs="Times New Roman"/>
                <w:spacing w:val="-4"/>
                <w:sz w:val="20"/>
                <w:szCs w:val="20"/>
                <w:lang w:eastAsia="ro-RO" w:bidi="ro-RO"/>
              </w:rPr>
            </w:pPr>
            <w:r w:rsidRPr="002130FD">
              <w:rPr>
                <w:rFonts w:ascii="Times New Roman" w:eastAsia="Times New Roman" w:hAnsi="Times New Roman" w:cs="Times New Roman"/>
                <w:sz w:val="20"/>
                <w:szCs w:val="20"/>
                <w:lang w:eastAsia="ro-RO" w:bidi="ro-RO"/>
              </w:rPr>
              <w:t>Lupus eritematos cutanat subacut observat de un medic*:</w:t>
            </w:r>
            <w:r w:rsidRPr="002130FD">
              <w:rPr>
                <w:rFonts w:ascii="Times New Roman" w:eastAsia="Times New Roman" w:hAnsi="Times New Roman" w:cs="Times New Roman"/>
                <w:spacing w:val="-4"/>
                <w:sz w:val="20"/>
                <w:szCs w:val="20"/>
                <w:lang w:eastAsia="ro-RO" w:bidi="ro-RO"/>
              </w:rPr>
              <w:t xml:space="preserve"> erupție cutanată anulară sau papuloscuamoasă (psoriaziformă), de obicei fotodistribuită.</w:t>
            </w:r>
          </w:p>
          <w:p w14:paraId="54DAA53E" w14:textId="77777777" w:rsidR="002130FD" w:rsidRPr="002130FD" w:rsidRDefault="002130FD" w:rsidP="002130FD">
            <w:pPr>
              <w:widowControl w:val="0"/>
              <w:autoSpaceDE w:val="0"/>
              <w:autoSpaceDN w:val="0"/>
              <w:spacing w:before="60" w:after="0" w:line="220" w:lineRule="auto"/>
              <w:ind w:left="107" w:right="155"/>
              <w:rPr>
                <w:rFonts w:ascii="Times New Roman" w:eastAsia="Times New Roman" w:hAnsi="Times New Roman" w:cs="Times New Roman"/>
                <w:spacing w:val="-4"/>
                <w:sz w:val="20"/>
                <w:szCs w:val="20"/>
                <w:lang w:eastAsia="ro-RO" w:bidi="ro-RO"/>
              </w:rPr>
            </w:pPr>
          </w:p>
          <w:p w14:paraId="630217AF" w14:textId="77777777" w:rsidR="002130FD" w:rsidRPr="002130FD" w:rsidRDefault="002130FD" w:rsidP="002130FD">
            <w:pPr>
              <w:widowControl w:val="0"/>
              <w:autoSpaceDE w:val="0"/>
              <w:autoSpaceDN w:val="0"/>
              <w:spacing w:after="0" w:line="22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Lupus eritematos discoid observat de un medic*: leziuni cutanate eritemato-violacee, cu modificări secundare de cicatrizare atrofică, depigmentare,</w:t>
            </w:r>
            <w:r w:rsidRPr="002130FD">
              <w:rPr>
                <w:rFonts w:ascii="Times New Roman" w:eastAsia="Times New Roman" w:hAnsi="Times New Roman" w:cs="Times New Roman"/>
                <w:spacing w:val="-4"/>
                <w:sz w:val="20"/>
                <w:szCs w:val="20"/>
                <w:lang w:eastAsia="ro-RO" w:bidi="ro-RO"/>
              </w:rPr>
              <w:t xml:space="preserve"> adesea hiperkeratoză foliculară/ obturarea foliculilor (scalp)</w:t>
            </w:r>
            <w:r w:rsidRPr="002130FD">
              <w:rPr>
                <w:rFonts w:ascii="Times New Roman" w:eastAsia="Times New Roman" w:hAnsi="Times New Roman" w:cs="Times New Roman"/>
                <w:sz w:val="20"/>
                <w:szCs w:val="20"/>
                <w:lang w:eastAsia="ro-RO" w:bidi="ro-RO"/>
              </w:rPr>
              <w:t>,</w:t>
            </w:r>
            <w:r w:rsidRPr="002130FD">
              <w:rPr>
                <w:rFonts w:ascii="Times New Roman" w:eastAsia="Times New Roman" w:hAnsi="Times New Roman" w:cs="Times New Roman"/>
                <w:spacing w:val="40"/>
                <w:sz w:val="20"/>
                <w:szCs w:val="20"/>
                <w:lang w:eastAsia="ro-RO" w:bidi="ro-RO"/>
              </w:rPr>
              <w:t xml:space="preserve"> </w:t>
            </w:r>
            <w:r w:rsidRPr="002130FD">
              <w:rPr>
                <w:rFonts w:ascii="Times New Roman" w:eastAsia="Times New Roman" w:hAnsi="Times New Roman" w:cs="Times New Roman"/>
                <w:sz w:val="20"/>
                <w:szCs w:val="20"/>
                <w:lang w:eastAsia="ro-RO" w:bidi="ro-RO"/>
              </w:rPr>
              <w:t>care duc la alopecie cicatrizantă a scalpului.</w:t>
            </w:r>
          </w:p>
          <w:p w14:paraId="62537E72" w14:textId="77777777" w:rsidR="002130FD" w:rsidRPr="002130FD" w:rsidRDefault="002130FD" w:rsidP="002130FD">
            <w:pPr>
              <w:widowControl w:val="0"/>
              <w:autoSpaceDE w:val="0"/>
              <w:autoSpaceDN w:val="0"/>
              <w:spacing w:after="0" w:line="220" w:lineRule="auto"/>
              <w:ind w:left="107"/>
              <w:rPr>
                <w:rFonts w:ascii="Times New Roman" w:eastAsia="Times New Roman" w:hAnsi="Times New Roman" w:cs="Times New Roman"/>
                <w:sz w:val="20"/>
                <w:szCs w:val="20"/>
                <w:lang w:eastAsia="ro-RO" w:bidi="ro-RO"/>
              </w:rPr>
            </w:pPr>
          </w:p>
          <w:p w14:paraId="3826CE81" w14:textId="77777777" w:rsidR="002130FD" w:rsidRPr="002130FD" w:rsidRDefault="002130FD" w:rsidP="002130FD">
            <w:pPr>
              <w:widowControl w:val="0"/>
              <w:autoSpaceDE w:val="0"/>
              <w:autoSpaceDN w:val="0"/>
              <w:spacing w:after="0" w:line="22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 xml:space="preserve">Modificările sunt prezente la biopsie. </w:t>
            </w:r>
          </w:p>
          <w:p w14:paraId="43CD04B4" w14:textId="77777777" w:rsidR="002130FD" w:rsidRPr="002130FD" w:rsidRDefault="002130FD" w:rsidP="002130FD">
            <w:pPr>
              <w:widowControl w:val="0"/>
              <w:autoSpaceDE w:val="0"/>
              <w:autoSpaceDN w:val="0"/>
              <w:spacing w:after="0" w:line="220" w:lineRule="auto"/>
              <w:ind w:left="107"/>
              <w:rPr>
                <w:rFonts w:ascii="Times New Roman" w:eastAsia="Times New Roman" w:hAnsi="Times New Roman" w:cs="Times New Roman"/>
                <w:sz w:val="20"/>
                <w:szCs w:val="20"/>
                <w:lang w:eastAsia="ro-RO" w:bidi="ro-RO"/>
              </w:rPr>
            </w:pPr>
          </w:p>
          <w:p w14:paraId="2B3A3F10" w14:textId="77777777" w:rsidR="002130FD" w:rsidRPr="002130FD" w:rsidRDefault="002130FD" w:rsidP="002130FD">
            <w:pPr>
              <w:widowControl w:val="0"/>
              <w:autoSpaceDE w:val="0"/>
              <w:autoSpaceDN w:val="0"/>
              <w:spacing w:after="0" w:line="220" w:lineRule="auto"/>
              <w:ind w:left="107"/>
              <w:rPr>
                <w:rFonts w:ascii="Times New Roman" w:eastAsia="Times New Roman" w:hAnsi="Times New Roman" w:cs="Times New Roman"/>
                <w:spacing w:val="-5"/>
                <w:sz w:val="20"/>
                <w:szCs w:val="20"/>
                <w:lang w:eastAsia="ro-RO" w:bidi="ro-RO"/>
              </w:rPr>
            </w:pPr>
            <w:r w:rsidRPr="002130FD">
              <w:rPr>
                <w:rFonts w:ascii="Times New Roman" w:eastAsia="Times New Roman" w:hAnsi="Times New Roman" w:cs="Times New Roman"/>
                <w:sz w:val="20"/>
                <w:szCs w:val="20"/>
                <w:lang w:eastAsia="ro-RO" w:bidi="ro-RO"/>
              </w:rPr>
              <w:t>Lupus cutanat subacut:</w:t>
            </w:r>
            <w:r w:rsidRPr="002130FD">
              <w:rPr>
                <w:rFonts w:ascii="Times New Roman" w:eastAsia="Times New Roman" w:hAnsi="Times New Roman" w:cs="Times New Roman"/>
                <w:spacing w:val="-1"/>
                <w:sz w:val="20"/>
                <w:szCs w:val="20"/>
                <w:lang w:eastAsia="ro-RO" w:bidi="ro-RO"/>
              </w:rPr>
              <w:t xml:space="preserve"> dermatită de interfață vacuolară, </w:t>
            </w:r>
            <w:r w:rsidRPr="002130FD">
              <w:rPr>
                <w:rFonts w:ascii="Times New Roman" w:eastAsia="Times New Roman" w:hAnsi="Times New Roman" w:cs="Times New Roman"/>
                <w:spacing w:val="-5"/>
                <w:sz w:val="20"/>
                <w:szCs w:val="20"/>
                <w:lang w:eastAsia="ro-RO" w:bidi="ro-RO"/>
              </w:rPr>
              <w:t>constând într-un infiltrat limfohistiocitar perivascular</w:t>
            </w:r>
            <w:r w:rsidRPr="002130FD">
              <w:rPr>
                <w:rFonts w:ascii="Times New Roman" w:eastAsia="Times New Roman" w:hAnsi="Times New Roman" w:cs="Times New Roman"/>
                <w:sz w:val="20"/>
                <w:szCs w:val="20"/>
                <w:lang w:eastAsia="ro-RO" w:bidi="ro-RO"/>
              </w:rPr>
              <w:t>,</w:t>
            </w:r>
            <w:r w:rsidRPr="002130FD">
              <w:rPr>
                <w:rFonts w:ascii="Times New Roman" w:eastAsia="Times New Roman" w:hAnsi="Times New Roman" w:cs="Times New Roman"/>
                <w:spacing w:val="-5"/>
                <w:sz w:val="20"/>
                <w:szCs w:val="20"/>
                <w:lang w:eastAsia="ro-RO" w:bidi="ro-RO"/>
              </w:rPr>
              <w:t xml:space="preserve"> </w:t>
            </w:r>
            <w:r w:rsidRPr="002130FD">
              <w:rPr>
                <w:rFonts w:ascii="Times New Roman" w:eastAsia="Times New Roman" w:hAnsi="Times New Roman" w:cs="Times New Roman"/>
                <w:sz w:val="20"/>
                <w:szCs w:val="20"/>
                <w:lang w:eastAsia="ro-RO" w:bidi="ro-RO"/>
              </w:rPr>
              <w:t>adesea cu mucină dermică.</w:t>
            </w:r>
            <w:r w:rsidRPr="002130FD">
              <w:rPr>
                <w:rFonts w:ascii="Times New Roman" w:eastAsia="Times New Roman" w:hAnsi="Times New Roman" w:cs="Times New Roman"/>
                <w:spacing w:val="-5"/>
                <w:sz w:val="20"/>
                <w:szCs w:val="20"/>
                <w:lang w:eastAsia="ro-RO" w:bidi="ro-RO"/>
              </w:rPr>
              <w:t xml:space="preserve"> </w:t>
            </w:r>
          </w:p>
          <w:p w14:paraId="74922233" w14:textId="77777777" w:rsidR="002130FD" w:rsidRPr="002130FD" w:rsidRDefault="002130FD" w:rsidP="002130FD">
            <w:pPr>
              <w:widowControl w:val="0"/>
              <w:autoSpaceDE w:val="0"/>
              <w:autoSpaceDN w:val="0"/>
              <w:spacing w:after="0" w:line="220" w:lineRule="auto"/>
              <w:ind w:left="107"/>
              <w:rPr>
                <w:rFonts w:ascii="Times New Roman" w:eastAsia="Times New Roman" w:hAnsi="Times New Roman" w:cs="Times New Roman"/>
                <w:spacing w:val="-5"/>
                <w:sz w:val="20"/>
                <w:szCs w:val="20"/>
                <w:lang w:eastAsia="ro-RO" w:bidi="ro-RO"/>
              </w:rPr>
            </w:pPr>
          </w:p>
          <w:p w14:paraId="2536F31E" w14:textId="77777777" w:rsidR="002130FD" w:rsidRPr="002130FD" w:rsidRDefault="002130FD" w:rsidP="002130FD">
            <w:pPr>
              <w:widowControl w:val="0"/>
              <w:autoSpaceDE w:val="0"/>
              <w:autoSpaceDN w:val="0"/>
              <w:spacing w:after="0" w:line="22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 xml:space="preserve">Lupus discoid: </w:t>
            </w:r>
            <w:r w:rsidRPr="002130FD">
              <w:rPr>
                <w:rFonts w:ascii="Times New Roman" w:eastAsia="Times New Roman" w:hAnsi="Times New Roman" w:cs="Times New Roman"/>
                <w:spacing w:val="-1"/>
                <w:sz w:val="20"/>
                <w:szCs w:val="20"/>
                <w:lang w:eastAsia="ro-RO" w:bidi="ro-RO"/>
              </w:rPr>
              <w:t>dermatită de interfață vacuolară</w:t>
            </w:r>
            <w:r w:rsidRPr="002130FD">
              <w:rPr>
                <w:rFonts w:ascii="Times New Roman" w:eastAsia="Times New Roman" w:hAnsi="Times New Roman" w:cs="Times New Roman"/>
                <w:sz w:val="20"/>
                <w:szCs w:val="20"/>
                <w:lang w:eastAsia="ro-RO" w:bidi="ro-RO"/>
              </w:rPr>
              <w:t>, constând într-un infiltrat limfohistiocitar perivascular și/ sau perianexiale. La nivelul scalpului, pot fi prezente dopuri de keratină foliculare. În leziunile de lungă durată, pot fi observate depuneri de mucină și îngroșarea membranei bazale.</w:t>
            </w:r>
          </w:p>
        </w:tc>
      </w:tr>
      <w:tr w:rsidR="002130FD" w:rsidRPr="002130FD" w14:paraId="52C08091" w14:textId="77777777" w:rsidTr="002130FD">
        <w:trPr>
          <w:trHeight w:val="810"/>
        </w:trPr>
        <w:tc>
          <w:tcPr>
            <w:tcW w:w="2490" w:type="dxa"/>
            <w:tcBorders>
              <w:top w:val="single" w:sz="8" w:space="0" w:color="000000"/>
              <w:left w:val="single" w:sz="8" w:space="0" w:color="000000"/>
              <w:bottom w:val="single" w:sz="8" w:space="0" w:color="000000"/>
              <w:right w:val="single" w:sz="8" w:space="0" w:color="000000"/>
            </w:tcBorders>
            <w:hideMark/>
          </w:tcPr>
          <w:p w14:paraId="17F57FA6"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Lupus cutanat acut</w:t>
            </w:r>
          </w:p>
        </w:tc>
        <w:tc>
          <w:tcPr>
            <w:tcW w:w="7009" w:type="dxa"/>
            <w:tcBorders>
              <w:top w:val="single" w:sz="8" w:space="0" w:color="000000"/>
              <w:left w:val="single" w:sz="8" w:space="0" w:color="000000"/>
              <w:bottom w:val="single" w:sz="8" w:space="0" w:color="000000"/>
              <w:right w:val="single" w:sz="8" w:space="0" w:color="000000"/>
            </w:tcBorders>
            <w:hideMark/>
          </w:tcPr>
          <w:p w14:paraId="402EBDD3" w14:textId="77777777" w:rsidR="002130FD" w:rsidRPr="002130FD" w:rsidRDefault="002130FD" w:rsidP="002130FD">
            <w:pPr>
              <w:widowControl w:val="0"/>
              <w:autoSpaceDE w:val="0"/>
              <w:autoSpaceDN w:val="0"/>
              <w:spacing w:after="0" w:line="216" w:lineRule="exact"/>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Rash malar</w:t>
            </w:r>
            <w:r w:rsidRPr="002130FD">
              <w:rPr>
                <w:rFonts w:ascii="Times New Roman" w:eastAsia="Times New Roman" w:hAnsi="Times New Roman" w:cs="Times New Roman"/>
                <w:spacing w:val="-1"/>
                <w:sz w:val="20"/>
                <w:szCs w:val="20"/>
                <w:lang w:eastAsia="ro-RO" w:bidi="ro-RO"/>
              </w:rPr>
              <w:t xml:space="preserve"> </w:t>
            </w:r>
            <w:r w:rsidRPr="002130FD">
              <w:rPr>
                <w:rFonts w:ascii="Times New Roman" w:eastAsia="Times New Roman" w:hAnsi="Times New Roman" w:cs="Times New Roman"/>
                <w:sz w:val="20"/>
                <w:szCs w:val="20"/>
                <w:lang w:eastAsia="ro-RO" w:bidi="ro-RO"/>
              </w:rPr>
              <w:t>sau rash generalizat maculopapular observat de un medic*</w:t>
            </w:r>
            <w:r w:rsidRPr="002130FD">
              <w:rPr>
                <w:rFonts w:ascii="Times New Roman" w:eastAsia="Times New Roman" w:hAnsi="Times New Roman" w:cs="Times New Roman"/>
                <w:spacing w:val="-2"/>
                <w:sz w:val="20"/>
                <w:szCs w:val="20"/>
                <w:lang w:eastAsia="ro-RO" w:bidi="ro-RO"/>
              </w:rPr>
              <w:t>.</w:t>
            </w:r>
          </w:p>
          <w:p w14:paraId="5C351C2C" w14:textId="77777777" w:rsidR="002130FD" w:rsidRPr="002130FD" w:rsidRDefault="002130FD" w:rsidP="002130FD">
            <w:pPr>
              <w:widowControl w:val="0"/>
              <w:autoSpaceDE w:val="0"/>
              <w:autoSpaceDN w:val="0"/>
              <w:spacing w:after="0" w:line="22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 xml:space="preserve">Dacă se efectuează biopsie, trebuie să fie prezente modificări tipice. </w:t>
            </w:r>
          </w:p>
          <w:p w14:paraId="7C8699A0" w14:textId="77777777" w:rsidR="002130FD" w:rsidRPr="002130FD" w:rsidRDefault="002130FD" w:rsidP="002130FD">
            <w:pPr>
              <w:widowControl w:val="0"/>
              <w:autoSpaceDE w:val="0"/>
              <w:autoSpaceDN w:val="0"/>
              <w:spacing w:after="0" w:line="216" w:lineRule="exact"/>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Lupus cutanat acut: dermatită de interfață vacuolară, constând într-un infiltrat limfohistiocitar perivascular, adesea cu mucină dermică. Infiltrat perivascular neutrofilic poate fi prezent la debut.</w:t>
            </w:r>
          </w:p>
        </w:tc>
      </w:tr>
      <w:tr w:rsidR="002130FD" w:rsidRPr="002130FD" w14:paraId="48F8C414" w14:textId="77777777" w:rsidTr="002130FD">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3E1114D1"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Efuziune pleurală sau pericardică</w:t>
            </w:r>
          </w:p>
        </w:tc>
        <w:tc>
          <w:tcPr>
            <w:tcW w:w="7009" w:type="dxa"/>
            <w:tcBorders>
              <w:top w:val="single" w:sz="8" w:space="0" w:color="000000"/>
              <w:left w:val="single" w:sz="8" w:space="0" w:color="000000"/>
              <w:bottom w:val="single" w:sz="8" w:space="0" w:color="000000"/>
              <w:right w:val="single" w:sz="8" w:space="0" w:color="000000"/>
            </w:tcBorders>
            <w:hideMark/>
          </w:tcPr>
          <w:p w14:paraId="30585D1C"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Documentată imagistic (ecografie,</w:t>
            </w:r>
            <w:r w:rsidRPr="002130FD">
              <w:rPr>
                <w:rFonts w:ascii="Times New Roman" w:eastAsia="Times New Roman" w:hAnsi="Times New Roman" w:cs="Times New Roman"/>
                <w:spacing w:val="-1"/>
                <w:sz w:val="20"/>
                <w:szCs w:val="20"/>
                <w:lang w:eastAsia="ro-RO" w:bidi="ro-RO"/>
              </w:rPr>
              <w:t xml:space="preserve"> </w:t>
            </w:r>
            <w:r w:rsidRPr="002130FD">
              <w:rPr>
                <w:rFonts w:ascii="Times New Roman" w:eastAsia="Times New Roman" w:hAnsi="Times New Roman" w:cs="Times New Roman"/>
                <w:sz w:val="20"/>
                <w:szCs w:val="20"/>
                <w:lang w:eastAsia="ro-RO" w:bidi="ro-RO"/>
              </w:rPr>
              <w:t>radiografie,</w:t>
            </w:r>
            <w:r w:rsidRPr="002130FD">
              <w:rPr>
                <w:rFonts w:ascii="Times New Roman" w:eastAsia="Times New Roman" w:hAnsi="Times New Roman" w:cs="Times New Roman"/>
                <w:spacing w:val="-1"/>
                <w:sz w:val="20"/>
                <w:szCs w:val="20"/>
                <w:lang w:eastAsia="ro-RO" w:bidi="ro-RO"/>
              </w:rPr>
              <w:t xml:space="preserve"> </w:t>
            </w:r>
            <w:r w:rsidRPr="002130FD">
              <w:rPr>
                <w:rFonts w:ascii="Times New Roman" w:eastAsia="Times New Roman" w:hAnsi="Times New Roman" w:cs="Times New Roman"/>
                <w:sz w:val="20"/>
                <w:szCs w:val="20"/>
                <w:lang w:eastAsia="ro-RO" w:bidi="ro-RO"/>
              </w:rPr>
              <w:t>CT,</w:t>
            </w:r>
            <w:r w:rsidRPr="002130FD">
              <w:rPr>
                <w:rFonts w:ascii="Times New Roman" w:eastAsia="Times New Roman" w:hAnsi="Times New Roman" w:cs="Times New Roman"/>
                <w:spacing w:val="-2"/>
                <w:sz w:val="20"/>
                <w:szCs w:val="20"/>
                <w:lang w:eastAsia="ro-RO" w:bidi="ro-RO"/>
              </w:rPr>
              <w:t xml:space="preserve"> </w:t>
            </w:r>
            <w:r w:rsidRPr="002130FD">
              <w:rPr>
                <w:rFonts w:ascii="Times New Roman" w:eastAsia="Times New Roman" w:hAnsi="Times New Roman" w:cs="Times New Roman"/>
                <w:sz w:val="20"/>
                <w:szCs w:val="20"/>
                <w:lang w:eastAsia="ro-RO" w:bidi="ro-RO"/>
              </w:rPr>
              <w:t>RMN)</w:t>
            </w:r>
            <w:r w:rsidRPr="002130FD">
              <w:rPr>
                <w:rFonts w:ascii="Times New Roman" w:eastAsia="Times New Roman" w:hAnsi="Times New Roman" w:cs="Times New Roman"/>
                <w:spacing w:val="-1"/>
                <w:sz w:val="20"/>
                <w:szCs w:val="20"/>
                <w:lang w:eastAsia="ro-RO" w:bidi="ro-RO"/>
              </w:rPr>
              <w:t xml:space="preserve"> a efuziunii pleurale sau pericardice, sau ambele</w:t>
            </w:r>
          </w:p>
        </w:tc>
      </w:tr>
      <w:tr w:rsidR="002130FD" w:rsidRPr="002130FD" w14:paraId="758DEED5" w14:textId="77777777" w:rsidTr="002130FD">
        <w:trPr>
          <w:trHeight w:val="600"/>
        </w:trPr>
        <w:tc>
          <w:tcPr>
            <w:tcW w:w="2490" w:type="dxa"/>
            <w:tcBorders>
              <w:top w:val="single" w:sz="8" w:space="0" w:color="000000"/>
              <w:left w:val="single" w:sz="8" w:space="0" w:color="000000"/>
              <w:bottom w:val="single" w:sz="8" w:space="0" w:color="000000"/>
              <w:right w:val="single" w:sz="8" w:space="0" w:color="000000"/>
            </w:tcBorders>
            <w:hideMark/>
          </w:tcPr>
          <w:p w14:paraId="0A8702FE"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Pericardită acută</w:t>
            </w:r>
          </w:p>
        </w:tc>
        <w:tc>
          <w:tcPr>
            <w:tcW w:w="7009" w:type="dxa"/>
            <w:tcBorders>
              <w:top w:val="single" w:sz="8" w:space="0" w:color="000000"/>
              <w:left w:val="single" w:sz="8" w:space="0" w:color="000000"/>
              <w:bottom w:val="single" w:sz="8" w:space="0" w:color="000000"/>
              <w:right w:val="single" w:sz="8" w:space="0" w:color="000000"/>
            </w:tcBorders>
            <w:hideMark/>
          </w:tcPr>
          <w:p w14:paraId="788A87F0" w14:textId="77777777" w:rsidR="002130FD" w:rsidRPr="002130FD" w:rsidRDefault="002130FD" w:rsidP="002130FD">
            <w:pPr>
              <w:widowControl w:val="0"/>
              <w:autoSpaceDE w:val="0"/>
              <w:autoSpaceDN w:val="0"/>
              <w:spacing w:before="60" w:after="0" w:line="220" w:lineRule="auto"/>
              <w:ind w:left="107" w:right="155"/>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Cel puțin 2 criterii din:</w:t>
            </w:r>
            <w:r w:rsidRPr="002130FD">
              <w:rPr>
                <w:rFonts w:ascii="Times New Roman" w:eastAsia="Times New Roman" w:hAnsi="Times New Roman" w:cs="Times New Roman"/>
                <w:spacing w:val="-3"/>
                <w:sz w:val="20"/>
                <w:szCs w:val="20"/>
                <w:lang w:eastAsia="ro-RO" w:bidi="ro-RO"/>
              </w:rPr>
              <w:t xml:space="preserve"> </w:t>
            </w:r>
            <w:r w:rsidRPr="002130FD">
              <w:rPr>
                <w:rFonts w:ascii="Times New Roman" w:eastAsia="Times New Roman" w:hAnsi="Times New Roman" w:cs="Times New Roman"/>
                <w:sz w:val="20"/>
                <w:szCs w:val="20"/>
                <w:lang w:eastAsia="ro-RO" w:bidi="ro-RO"/>
              </w:rPr>
              <w:t>(1)</w:t>
            </w:r>
            <w:r w:rsidRPr="002130FD">
              <w:rPr>
                <w:rFonts w:ascii="Times New Roman" w:eastAsia="Times New Roman" w:hAnsi="Times New Roman" w:cs="Times New Roman"/>
                <w:spacing w:val="-3"/>
                <w:sz w:val="20"/>
                <w:szCs w:val="20"/>
                <w:lang w:eastAsia="ro-RO" w:bidi="ro-RO"/>
              </w:rPr>
              <w:t xml:space="preserve"> durere pericardică tipică </w:t>
            </w:r>
            <w:r w:rsidRPr="002130FD">
              <w:rPr>
                <w:rFonts w:ascii="Times New Roman" w:eastAsia="Times New Roman" w:hAnsi="Times New Roman" w:cs="Times New Roman"/>
                <w:sz w:val="20"/>
                <w:szCs w:val="20"/>
                <w:lang w:eastAsia="ro-RO" w:bidi="ro-RO"/>
              </w:rPr>
              <w:t>(ascuțită,</w:t>
            </w:r>
            <w:r w:rsidRPr="002130FD">
              <w:rPr>
                <w:rFonts w:ascii="Times New Roman" w:eastAsia="Times New Roman" w:hAnsi="Times New Roman" w:cs="Times New Roman"/>
                <w:spacing w:val="-3"/>
                <w:sz w:val="20"/>
                <w:szCs w:val="20"/>
                <w:lang w:eastAsia="ro-RO" w:bidi="ro-RO"/>
              </w:rPr>
              <w:t xml:space="preserve"> se agravează la inspirație,  </w:t>
            </w:r>
            <w:r w:rsidRPr="002130FD">
              <w:rPr>
                <w:rFonts w:ascii="Times New Roman" w:eastAsia="Times New Roman" w:hAnsi="Times New Roman" w:cs="Times New Roman"/>
                <w:sz w:val="20"/>
                <w:szCs w:val="20"/>
                <w:lang w:eastAsia="ro-RO" w:bidi="ro-RO"/>
              </w:rPr>
              <w:t>ameliorată în poziția aplecat spre înainte),</w:t>
            </w:r>
            <w:r w:rsidRPr="002130FD">
              <w:rPr>
                <w:rFonts w:ascii="Times New Roman" w:eastAsia="Times New Roman" w:hAnsi="Times New Roman" w:cs="Times New Roman"/>
                <w:spacing w:val="-3"/>
                <w:sz w:val="20"/>
                <w:szCs w:val="20"/>
                <w:lang w:eastAsia="ro-RO" w:bidi="ro-RO"/>
              </w:rPr>
              <w:t xml:space="preserve"> </w:t>
            </w:r>
            <w:r w:rsidRPr="002130FD">
              <w:rPr>
                <w:rFonts w:ascii="Times New Roman" w:eastAsia="Times New Roman" w:hAnsi="Times New Roman" w:cs="Times New Roman"/>
                <w:sz w:val="20"/>
                <w:szCs w:val="20"/>
                <w:lang w:eastAsia="ro-RO" w:bidi="ro-RO"/>
              </w:rPr>
              <w:t>(2)</w:t>
            </w:r>
            <w:r w:rsidRPr="002130FD">
              <w:rPr>
                <w:rFonts w:ascii="Times New Roman" w:eastAsia="Times New Roman" w:hAnsi="Times New Roman" w:cs="Times New Roman"/>
                <w:spacing w:val="40"/>
                <w:sz w:val="20"/>
                <w:szCs w:val="20"/>
                <w:lang w:eastAsia="ro-RO" w:bidi="ro-RO"/>
              </w:rPr>
              <w:t xml:space="preserve"> </w:t>
            </w:r>
            <w:r w:rsidRPr="002130FD">
              <w:rPr>
                <w:rFonts w:ascii="Times New Roman" w:eastAsia="Times New Roman" w:hAnsi="Times New Roman" w:cs="Times New Roman"/>
                <w:sz w:val="20"/>
                <w:szCs w:val="20"/>
                <w:lang w:eastAsia="ro-RO" w:bidi="ro-RO"/>
              </w:rPr>
              <w:t>frecare pericardică, (3) EKG cu supradenivelare ST sau depresie PR, (4) efuziune pericardică nouă sau agravată observată imagistic (ecografie,</w:t>
            </w:r>
            <w:r w:rsidRPr="002130FD">
              <w:rPr>
                <w:rFonts w:ascii="Times New Roman" w:eastAsia="Times New Roman" w:hAnsi="Times New Roman" w:cs="Times New Roman"/>
                <w:spacing w:val="-1"/>
                <w:sz w:val="20"/>
                <w:szCs w:val="20"/>
                <w:lang w:eastAsia="ro-RO" w:bidi="ro-RO"/>
              </w:rPr>
              <w:t xml:space="preserve"> </w:t>
            </w:r>
            <w:r w:rsidRPr="002130FD">
              <w:rPr>
                <w:rFonts w:ascii="Times New Roman" w:eastAsia="Times New Roman" w:hAnsi="Times New Roman" w:cs="Times New Roman"/>
                <w:sz w:val="20"/>
                <w:szCs w:val="20"/>
                <w:lang w:eastAsia="ro-RO" w:bidi="ro-RO"/>
              </w:rPr>
              <w:t>radiografie,</w:t>
            </w:r>
            <w:r w:rsidRPr="002130FD">
              <w:rPr>
                <w:rFonts w:ascii="Times New Roman" w:eastAsia="Times New Roman" w:hAnsi="Times New Roman" w:cs="Times New Roman"/>
                <w:spacing w:val="-1"/>
                <w:sz w:val="20"/>
                <w:szCs w:val="20"/>
                <w:lang w:eastAsia="ro-RO" w:bidi="ro-RO"/>
              </w:rPr>
              <w:t xml:space="preserve"> </w:t>
            </w:r>
            <w:r w:rsidRPr="002130FD">
              <w:rPr>
                <w:rFonts w:ascii="Times New Roman" w:eastAsia="Times New Roman" w:hAnsi="Times New Roman" w:cs="Times New Roman"/>
                <w:sz w:val="20"/>
                <w:szCs w:val="20"/>
                <w:lang w:eastAsia="ro-RO" w:bidi="ro-RO"/>
              </w:rPr>
              <w:t>CT,</w:t>
            </w:r>
            <w:r w:rsidRPr="002130FD">
              <w:rPr>
                <w:rFonts w:ascii="Times New Roman" w:eastAsia="Times New Roman" w:hAnsi="Times New Roman" w:cs="Times New Roman"/>
                <w:spacing w:val="-2"/>
                <w:sz w:val="20"/>
                <w:szCs w:val="20"/>
                <w:lang w:eastAsia="ro-RO" w:bidi="ro-RO"/>
              </w:rPr>
              <w:t xml:space="preserve"> </w:t>
            </w:r>
            <w:r w:rsidRPr="002130FD">
              <w:rPr>
                <w:rFonts w:ascii="Times New Roman" w:eastAsia="Times New Roman" w:hAnsi="Times New Roman" w:cs="Times New Roman"/>
                <w:sz w:val="20"/>
                <w:szCs w:val="20"/>
                <w:lang w:eastAsia="ro-RO" w:bidi="ro-RO"/>
              </w:rPr>
              <w:t>RMN).</w:t>
            </w:r>
          </w:p>
        </w:tc>
      </w:tr>
      <w:tr w:rsidR="002130FD" w:rsidRPr="002130FD" w14:paraId="3BFF5649" w14:textId="77777777" w:rsidTr="002130FD">
        <w:trPr>
          <w:trHeight w:val="440"/>
        </w:trPr>
        <w:tc>
          <w:tcPr>
            <w:tcW w:w="2490" w:type="dxa"/>
            <w:tcBorders>
              <w:top w:val="single" w:sz="8" w:space="0" w:color="000000"/>
              <w:left w:val="single" w:sz="8" w:space="0" w:color="000000"/>
              <w:bottom w:val="single" w:sz="8" w:space="0" w:color="000000"/>
              <w:right w:val="single" w:sz="8" w:space="0" w:color="000000"/>
            </w:tcBorders>
            <w:hideMark/>
          </w:tcPr>
          <w:p w14:paraId="611049E7"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Afectare articulară</w:t>
            </w:r>
          </w:p>
        </w:tc>
        <w:tc>
          <w:tcPr>
            <w:tcW w:w="7009" w:type="dxa"/>
            <w:tcBorders>
              <w:top w:val="single" w:sz="8" w:space="0" w:color="000000"/>
              <w:left w:val="single" w:sz="8" w:space="0" w:color="000000"/>
              <w:bottom w:val="single" w:sz="8" w:space="0" w:color="000000"/>
              <w:right w:val="single" w:sz="8" w:space="0" w:color="000000"/>
            </w:tcBorders>
            <w:hideMark/>
          </w:tcPr>
          <w:p w14:paraId="48F00BBE" w14:textId="77777777" w:rsidR="002130FD" w:rsidRPr="002130FD" w:rsidRDefault="002130FD" w:rsidP="002130FD">
            <w:pPr>
              <w:widowControl w:val="0"/>
              <w:autoSpaceDE w:val="0"/>
              <w:autoSpaceDN w:val="0"/>
              <w:spacing w:before="60" w:after="0" w:line="220" w:lineRule="auto"/>
              <w:ind w:left="107" w:right="45"/>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Oricare dintre</w:t>
            </w:r>
            <w:r w:rsidRPr="002130FD">
              <w:rPr>
                <w:rFonts w:ascii="Times New Roman" w:eastAsia="Times New Roman" w:hAnsi="Times New Roman" w:cs="Times New Roman"/>
                <w:spacing w:val="-3"/>
                <w:sz w:val="20"/>
                <w:szCs w:val="20"/>
                <w:lang w:eastAsia="ro-RO" w:bidi="ro-RO"/>
              </w:rPr>
              <w:t xml:space="preserve"> </w:t>
            </w:r>
            <w:r w:rsidRPr="002130FD">
              <w:rPr>
                <w:rFonts w:ascii="Times New Roman" w:eastAsia="Times New Roman" w:hAnsi="Times New Roman" w:cs="Times New Roman"/>
                <w:sz w:val="20"/>
                <w:szCs w:val="20"/>
                <w:lang w:eastAsia="ro-RO" w:bidi="ro-RO"/>
              </w:rPr>
              <w:t>(1)</w:t>
            </w:r>
            <w:r w:rsidRPr="002130FD">
              <w:rPr>
                <w:rFonts w:ascii="Times New Roman" w:eastAsia="Times New Roman" w:hAnsi="Times New Roman" w:cs="Times New Roman"/>
                <w:spacing w:val="-3"/>
                <w:sz w:val="20"/>
                <w:szCs w:val="20"/>
                <w:lang w:eastAsia="ro-RO" w:bidi="ro-RO"/>
              </w:rPr>
              <w:t xml:space="preserve"> sinovită a cel puțin 2 articulații caracterizate clinic prin tumefacție sau lichid intra-articular </w:t>
            </w:r>
            <w:r w:rsidRPr="002130FD">
              <w:rPr>
                <w:rFonts w:ascii="Times New Roman" w:eastAsia="Times New Roman" w:hAnsi="Times New Roman" w:cs="Times New Roman"/>
                <w:sz w:val="20"/>
                <w:szCs w:val="20"/>
                <w:lang w:eastAsia="ro-RO" w:bidi="ro-RO"/>
              </w:rPr>
              <w:t>SAU</w:t>
            </w:r>
            <w:r w:rsidRPr="002130FD">
              <w:rPr>
                <w:rFonts w:ascii="Times New Roman" w:eastAsia="Times New Roman" w:hAnsi="Times New Roman" w:cs="Times New Roman"/>
                <w:spacing w:val="-3"/>
                <w:sz w:val="20"/>
                <w:szCs w:val="20"/>
                <w:lang w:eastAsia="ro-RO" w:bidi="ro-RO"/>
              </w:rPr>
              <w:t xml:space="preserve"> </w:t>
            </w:r>
            <w:r w:rsidRPr="002130FD">
              <w:rPr>
                <w:rFonts w:ascii="Times New Roman" w:eastAsia="Times New Roman" w:hAnsi="Times New Roman" w:cs="Times New Roman"/>
                <w:sz w:val="20"/>
                <w:szCs w:val="20"/>
                <w:lang w:eastAsia="ro-RO" w:bidi="ro-RO"/>
              </w:rPr>
              <w:t>(2)</w:t>
            </w:r>
            <w:r w:rsidRPr="002130FD">
              <w:rPr>
                <w:rFonts w:ascii="Times New Roman" w:eastAsia="Times New Roman" w:hAnsi="Times New Roman" w:cs="Times New Roman"/>
                <w:spacing w:val="-3"/>
                <w:sz w:val="20"/>
                <w:szCs w:val="20"/>
                <w:lang w:eastAsia="ro-RO" w:bidi="ro-RO"/>
              </w:rPr>
              <w:t xml:space="preserve"> </w:t>
            </w:r>
            <w:r w:rsidRPr="002130FD">
              <w:rPr>
                <w:rFonts w:ascii="Times New Roman" w:eastAsia="Times New Roman" w:hAnsi="Times New Roman" w:cs="Times New Roman"/>
                <w:sz w:val="20"/>
                <w:szCs w:val="20"/>
                <w:lang w:eastAsia="ro-RO" w:bidi="ro-RO"/>
              </w:rPr>
              <w:t>artralgii în cel puțin 2 articulații cu redoare matinală de cel puțin 30 minute.</w:t>
            </w:r>
          </w:p>
        </w:tc>
      </w:tr>
      <w:tr w:rsidR="002130FD" w:rsidRPr="002130FD" w14:paraId="11DBF8E2" w14:textId="77777777" w:rsidTr="002130FD">
        <w:trPr>
          <w:trHeight w:val="280"/>
        </w:trPr>
        <w:tc>
          <w:tcPr>
            <w:tcW w:w="2490" w:type="dxa"/>
            <w:tcBorders>
              <w:top w:val="single" w:sz="8" w:space="0" w:color="000000"/>
              <w:left w:val="single" w:sz="8" w:space="0" w:color="000000"/>
              <w:bottom w:val="single" w:sz="8" w:space="0" w:color="000000"/>
              <w:right w:val="single" w:sz="8" w:space="0" w:color="000000"/>
            </w:tcBorders>
            <w:hideMark/>
          </w:tcPr>
          <w:p w14:paraId="4D9DF554"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 xml:space="preserve">Proteinurie </w:t>
            </w:r>
            <w:r w:rsidRPr="002130FD">
              <w:rPr>
                <w:rFonts w:ascii="Times New Roman" w:eastAsia="Times New Roman" w:hAnsi="Times New Roman" w:cs="Times New Roman"/>
                <w:spacing w:val="-2"/>
                <w:sz w:val="20"/>
                <w:szCs w:val="20"/>
                <w:lang w:eastAsia="ro-RO" w:bidi="ro-RO"/>
              </w:rPr>
              <w:t>&gt;0,5g/ 24h</w:t>
            </w:r>
          </w:p>
        </w:tc>
        <w:tc>
          <w:tcPr>
            <w:tcW w:w="7009" w:type="dxa"/>
            <w:tcBorders>
              <w:top w:val="single" w:sz="8" w:space="0" w:color="000000"/>
              <w:left w:val="single" w:sz="8" w:space="0" w:color="000000"/>
              <w:bottom w:val="single" w:sz="8" w:space="0" w:color="000000"/>
              <w:right w:val="single" w:sz="8" w:space="0" w:color="000000"/>
            </w:tcBorders>
            <w:hideMark/>
          </w:tcPr>
          <w:p w14:paraId="3FD963F1" w14:textId="77777777" w:rsidR="002130FD" w:rsidRPr="002130FD" w:rsidRDefault="002130FD" w:rsidP="002130FD">
            <w:pPr>
              <w:widowControl w:val="0"/>
              <w:autoSpaceDE w:val="0"/>
              <w:autoSpaceDN w:val="0"/>
              <w:spacing w:after="0" w:line="240" w:lineRule="auto"/>
              <w:ind w:left="107"/>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Proteinurie</w:t>
            </w:r>
            <w:r w:rsidRPr="002130FD">
              <w:rPr>
                <w:rFonts w:ascii="Times New Roman" w:eastAsia="Times New Roman" w:hAnsi="Times New Roman" w:cs="Times New Roman"/>
                <w:spacing w:val="-1"/>
                <w:sz w:val="20"/>
                <w:szCs w:val="20"/>
                <w:lang w:eastAsia="ro-RO" w:bidi="ro-RO"/>
              </w:rPr>
              <w:t xml:space="preserve"> </w:t>
            </w:r>
            <w:r w:rsidRPr="002130FD">
              <w:rPr>
                <w:rFonts w:ascii="Times New Roman" w:eastAsia="Times New Roman" w:hAnsi="Times New Roman" w:cs="Times New Roman"/>
                <w:sz w:val="20"/>
                <w:szCs w:val="20"/>
                <w:lang w:eastAsia="ro-RO" w:bidi="ro-RO"/>
              </w:rPr>
              <w:t>&gt;0,5g/ 24h</w:t>
            </w:r>
            <w:r w:rsidRPr="002130FD">
              <w:rPr>
                <w:rFonts w:ascii="Times New Roman" w:eastAsia="Times New Roman" w:hAnsi="Times New Roman" w:cs="Times New Roman"/>
                <w:spacing w:val="-1"/>
                <w:sz w:val="20"/>
                <w:szCs w:val="20"/>
                <w:lang w:eastAsia="ro-RO" w:bidi="ro-RO"/>
              </w:rPr>
              <w:t xml:space="preserve"> sau raport proteine/creatinină în urină.</w:t>
            </w:r>
          </w:p>
        </w:tc>
      </w:tr>
      <w:tr w:rsidR="002130FD" w:rsidRPr="002130FD" w14:paraId="3041F200" w14:textId="77777777" w:rsidTr="002130FD">
        <w:trPr>
          <w:trHeight w:val="607"/>
        </w:trPr>
        <w:tc>
          <w:tcPr>
            <w:tcW w:w="2490" w:type="dxa"/>
            <w:tcBorders>
              <w:top w:val="single" w:sz="8" w:space="0" w:color="000000"/>
              <w:left w:val="single" w:sz="8" w:space="0" w:color="000000"/>
              <w:bottom w:val="single" w:sz="8" w:space="0" w:color="000000"/>
              <w:right w:val="single" w:sz="8" w:space="0" w:color="000000"/>
            </w:tcBorders>
            <w:hideMark/>
          </w:tcPr>
          <w:p w14:paraId="3EE7B1E5" w14:textId="77777777" w:rsidR="002130FD" w:rsidRPr="002130FD" w:rsidRDefault="002130FD" w:rsidP="002130FD">
            <w:pPr>
              <w:widowControl w:val="0"/>
              <w:autoSpaceDE w:val="0"/>
              <w:autoSpaceDN w:val="0"/>
              <w:spacing w:before="60" w:after="0" w:line="220" w:lineRule="auto"/>
              <w:ind w:left="107" w:right="183"/>
              <w:jc w:val="both"/>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Nefrită lupică clasă II sau V conform biopsiei renale, clasificarea ISN/RPS</w:t>
            </w:r>
            <w:r w:rsidRPr="002130FD">
              <w:rPr>
                <w:rFonts w:ascii="Times New Roman" w:eastAsia="Times New Roman" w:hAnsi="Times New Roman" w:cs="Times New Roman"/>
                <w:spacing w:val="-4"/>
                <w:sz w:val="20"/>
                <w:szCs w:val="20"/>
                <w:lang w:eastAsia="ro-RO" w:bidi="ro-RO"/>
              </w:rPr>
              <w:t xml:space="preserve"> </w:t>
            </w:r>
            <w:r w:rsidRPr="002130FD">
              <w:rPr>
                <w:rFonts w:ascii="Times New Roman" w:eastAsia="Times New Roman" w:hAnsi="Times New Roman" w:cs="Times New Roman"/>
                <w:sz w:val="20"/>
                <w:szCs w:val="20"/>
                <w:lang w:eastAsia="ro-RO" w:bidi="ro-RO"/>
              </w:rPr>
              <w:t>2003</w:t>
            </w:r>
          </w:p>
        </w:tc>
        <w:tc>
          <w:tcPr>
            <w:tcW w:w="7009" w:type="dxa"/>
            <w:tcBorders>
              <w:top w:val="single" w:sz="8" w:space="0" w:color="000000"/>
              <w:left w:val="single" w:sz="8" w:space="0" w:color="000000"/>
              <w:bottom w:val="single" w:sz="8" w:space="0" w:color="000000"/>
              <w:right w:val="single" w:sz="8" w:space="0" w:color="000000"/>
            </w:tcBorders>
            <w:hideMark/>
          </w:tcPr>
          <w:p w14:paraId="59A07615" w14:textId="77777777" w:rsidR="002130FD" w:rsidRPr="002130FD" w:rsidRDefault="002130FD" w:rsidP="002130FD">
            <w:pPr>
              <w:widowControl w:val="0"/>
              <w:autoSpaceDE w:val="0"/>
              <w:autoSpaceDN w:val="0"/>
              <w:spacing w:before="60" w:after="0" w:line="220" w:lineRule="auto"/>
              <w:ind w:left="107" w:right="155"/>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Clasă II: Nefrită lupică mezangială proliferativă: hipercelularitate mezangială, orice grad de afectare sau expansiunea matricei mezangiale, cu depozite imune mezangiale, vizibilă prin microscopie optică . Cu depozite subepiteliale sau subendoteliale izolate, care pot fi vizibile prin imunofluorescență sau microscopie electronică,</w:t>
            </w:r>
            <w:r w:rsidRPr="002130FD">
              <w:rPr>
                <w:rFonts w:ascii="Times New Roman" w:eastAsia="Times New Roman" w:hAnsi="Times New Roman" w:cs="Times New Roman"/>
                <w:spacing w:val="-5"/>
                <w:sz w:val="20"/>
                <w:szCs w:val="20"/>
                <w:lang w:eastAsia="ro-RO" w:bidi="ro-RO"/>
              </w:rPr>
              <w:t xml:space="preserve"> dar nu prin microscopie optică</w:t>
            </w:r>
            <w:r w:rsidRPr="002130FD">
              <w:rPr>
                <w:rFonts w:ascii="Times New Roman" w:eastAsia="Times New Roman" w:hAnsi="Times New Roman" w:cs="Times New Roman"/>
                <w:sz w:val="20"/>
                <w:szCs w:val="20"/>
                <w:lang w:eastAsia="ro-RO" w:bidi="ro-RO"/>
              </w:rPr>
              <w:t>.</w:t>
            </w:r>
          </w:p>
          <w:p w14:paraId="7BDEDFF0" w14:textId="77777777" w:rsidR="002130FD" w:rsidRPr="002130FD" w:rsidRDefault="002130FD" w:rsidP="002130FD">
            <w:pPr>
              <w:widowControl w:val="0"/>
              <w:autoSpaceDE w:val="0"/>
              <w:autoSpaceDN w:val="0"/>
              <w:spacing w:after="0" w:line="220" w:lineRule="auto"/>
              <w:ind w:left="107" w:right="155"/>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Clasă V: Nefrită lupică membranoasă: depozite imune subepiteliale globale sau segmentale, sau sechelele lor morfologice, cu sau fără alterări mezangiale, observabile prin microscopie optica și prin imunofluorescență sau microscopie electronică.</w:t>
            </w:r>
          </w:p>
        </w:tc>
      </w:tr>
      <w:tr w:rsidR="002130FD" w:rsidRPr="002130FD" w14:paraId="0D63CD09" w14:textId="77777777" w:rsidTr="002130FD">
        <w:trPr>
          <w:trHeight w:val="1240"/>
        </w:trPr>
        <w:tc>
          <w:tcPr>
            <w:tcW w:w="2490" w:type="dxa"/>
            <w:tcBorders>
              <w:top w:val="single" w:sz="8" w:space="0" w:color="000000"/>
              <w:left w:val="single" w:sz="8" w:space="0" w:color="000000"/>
              <w:bottom w:val="single" w:sz="8" w:space="0" w:color="000000"/>
              <w:right w:val="single" w:sz="8" w:space="0" w:color="000000"/>
            </w:tcBorders>
            <w:hideMark/>
          </w:tcPr>
          <w:p w14:paraId="6CEDAE8F" w14:textId="77777777" w:rsidR="002130FD" w:rsidRPr="002130FD" w:rsidRDefault="002130FD" w:rsidP="002130FD">
            <w:pPr>
              <w:widowControl w:val="0"/>
              <w:autoSpaceDE w:val="0"/>
              <w:autoSpaceDN w:val="0"/>
              <w:spacing w:before="60" w:after="0" w:line="220" w:lineRule="auto"/>
              <w:ind w:left="107" w:right="50"/>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Nefrită lupică clasă III</w:t>
            </w:r>
            <w:r w:rsidRPr="002130FD">
              <w:rPr>
                <w:rFonts w:ascii="Times New Roman" w:eastAsia="Times New Roman" w:hAnsi="Times New Roman" w:cs="Times New Roman"/>
                <w:spacing w:val="-8"/>
                <w:sz w:val="20"/>
                <w:szCs w:val="20"/>
                <w:lang w:eastAsia="ro-RO" w:bidi="ro-RO"/>
              </w:rPr>
              <w:t xml:space="preserve"> </w:t>
            </w:r>
            <w:r w:rsidRPr="002130FD">
              <w:rPr>
                <w:rFonts w:ascii="Times New Roman" w:eastAsia="Times New Roman" w:hAnsi="Times New Roman" w:cs="Times New Roman"/>
                <w:sz w:val="20"/>
                <w:szCs w:val="20"/>
                <w:lang w:eastAsia="ro-RO" w:bidi="ro-RO"/>
              </w:rPr>
              <w:t>sau</w:t>
            </w:r>
            <w:r w:rsidRPr="002130FD">
              <w:rPr>
                <w:rFonts w:ascii="Times New Roman" w:eastAsia="Times New Roman" w:hAnsi="Times New Roman" w:cs="Times New Roman"/>
                <w:spacing w:val="-8"/>
                <w:sz w:val="20"/>
                <w:szCs w:val="20"/>
                <w:lang w:eastAsia="ro-RO" w:bidi="ro-RO"/>
              </w:rPr>
              <w:t xml:space="preserve"> </w:t>
            </w:r>
            <w:r w:rsidRPr="002130FD">
              <w:rPr>
                <w:rFonts w:ascii="Times New Roman" w:eastAsia="Times New Roman" w:hAnsi="Times New Roman" w:cs="Times New Roman"/>
                <w:sz w:val="20"/>
                <w:szCs w:val="20"/>
                <w:lang w:eastAsia="ro-RO" w:bidi="ro-RO"/>
              </w:rPr>
              <w:t>IV</w:t>
            </w:r>
            <w:r w:rsidRPr="002130FD">
              <w:rPr>
                <w:rFonts w:ascii="Times New Roman" w:eastAsia="Times New Roman" w:hAnsi="Times New Roman" w:cs="Times New Roman"/>
                <w:spacing w:val="-8"/>
                <w:sz w:val="20"/>
                <w:szCs w:val="20"/>
                <w:lang w:eastAsia="ro-RO" w:bidi="ro-RO"/>
              </w:rPr>
              <w:t xml:space="preserve"> </w:t>
            </w:r>
            <w:r w:rsidRPr="002130FD">
              <w:rPr>
                <w:rFonts w:ascii="Times New Roman" w:eastAsia="Times New Roman" w:hAnsi="Times New Roman" w:cs="Times New Roman"/>
                <w:sz w:val="20"/>
                <w:szCs w:val="20"/>
                <w:lang w:eastAsia="ro-RO" w:bidi="ro-RO"/>
              </w:rPr>
              <w:t>conform biopsiei renale, clasificarea ISN/RPS</w:t>
            </w:r>
            <w:r w:rsidRPr="002130FD">
              <w:rPr>
                <w:rFonts w:ascii="Times New Roman" w:eastAsia="Times New Roman" w:hAnsi="Times New Roman" w:cs="Times New Roman"/>
                <w:spacing w:val="-4"/>
                <w:sz w:val="20"/>
                <w:szCs w:val="20"/>
                <w:lang w:eastAsia="ro-RO" w:bidi="ro-RO"/>
              </w:rPr>
              <w:t xml:space="preserve"> </w:t>
            </w:r>
            <w:r w:rsidRPr="002130FD">
              <w:rPr>
                <w:rFonts w:ascii="Times New Roman" w:eastAsia="Times New Roman" w:hAnsi="Times New Roman" w:cs="Times New Roman"/>
                <w:sz w:val="20"/>
                <w:szCs w:val="20"/>
                <w:lang w:eastAsia="ro-RO" w:bidi="ro-RO"/>
              </w:rPr>
              <w:t>2003</w:t>
            </w:r>
          </w:p>
        </w:tc>
        <w:tc>
          <w:tcPr>
            <w:tcW w:w="7009" w:type="dxa"/>
            <w:tcBorders>
              <w:top w:val="single" w:sz="8" w:space="0" w:color="000000"/>
              <w:left w:val="single" w:sz="8" w:space="0" w:color="000000"/>
              <w:bottom w:val="single" w:sz="8" w:space="0" w:color="000000"/>
              <w:right w:val="single" w:sz="8" w:space="0" w:color="000000"/>
            </w:tcBorders>
            <w:hideMark/>
          </w:tcPr>
          <w:p w14:paraId="754E8581" w14:textId="77777777" w:rsidR="002130FD" w:rsidRPr="002130FD" w:rsidRDefault="002130FD" w:rsidP="002130FD">
            <w:pPr>
              <w:widowControl w:val="0"/>
              <w:autoSpaceDE w:val="0"/>
              <w:autoSpaceDN w:val="0"/>
              <w:spacing w:before="60" w:after="0" w:line="220" w:lineRule="auto"/>
              <w:ind w:left="107" w:right="155"/>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Clasă III: Nefrită lupică focală: Glomerulonefrită activă sau inactivă, segmentală sau globală, endo- sau extracapilară, care afectează &lt;50%</w:t>
            </w:r>
            <w:r w:rsidRPr="002130FD">
              <w:rPr>
                <w:rFonts w:ascii="Times New Roman" w:eastAsia="Times New Roman" w:hAnsi="Times New Roman" w:cs="Times New Roman"/>
                <w:spacing w:val="-5"/>
                <w:sz w:val="20"/>
                <w:szCs w:val="20"/>
                <w:lang w:eastAsia="ro-RO" w:bidi="ro-RO"/>
              </w:rPr>
              <w:t xml:space="preserve"> </w:t>
            </w:r>
            <w:r w:rsidRPr="002130FD">
              <w:rPr>
                <w:rFonts w:ascii="Times New Roman" w:eastAsia="Times New Roman" w:hAnsi="Times New Roman" w:cs="Times New Roman"/>
                <w:sz w:val="20"/>
                <w:szCs w:val="20"/>
                <w:lang w:eastAsia="ro-RO" w:bidi="ro-RO"/>
              </w:rPr>
              <w:t>din</w:t>
            </w:r>
            <w:r w:rsidRPr="002130FD">
              <w:rPr>
                <w:rFonts w:ascii="Times New Roman" w:eastAsia="Times New Roman" w:hAnsi="Times New Roman" w:cs="Times New Roman"/>
                <w:spacing w:val="-5"/>
                <w:sz w:val="20"/>
                <w:szCs w:val="20"/>
                <w:lang w:eastAsia="ro-RO" w:bidi="ro-RO"/>
              </w:rPr>
              <w:t xml:space="preserve"> </w:t>
            </w:r>
            <w:r w:rsidRPr="002130FD">
              <w:rPr>
                <w:rFonts w:ascii="Times New Roman" w:eastAsia="Times New Roman" w:hAnsi="Times New Roman" w:cs="Times New Roman"/>
                <w:sz w:val="20"/>
                <w:szCs w:val="20"/>
                <w:lang w:eastAsia="ro-RO" w:bidi="ro-RO"/>
              </w:rPr>
              <w:t>glomeruli,</w:t>
            </w:r>
            <w:r w:rsidRPr="002130FD">
              <w:rPr>
                <w:rFonts w:ascii="Times New Roman" w:eastAsia="Times New Roman" w:hAnsi="Times New Roman" w:cs="Times New Roman"/>
                <w:spacing w:val="-5"/>
                <w:sz w:val="20"/>
                <w:szCs w:val="20"/>
                <w:lang w:eastAsia="ro-RO" w:bidi="ro-RO"/>
              </w:rPr>
              <w:t xml:space="preserve"> în mod uzual cu depozite imune subendoteliale focale</w:t>
            </w:r>
            <w:r w:rsidRPr="002130FD">
              <w:rPr>
                <w:rFonts w:ascii="Times New Roman" w:eastAsia="Times New Roman" w:hAnsi="Times New Roman" w:cs="Times New Roman"/>
                <w:sz w:val="20"/>
                <w:szCs w:val="20"/>
                <w:lang w:eastAsia="ro-RO" w:bidi="ro-RO"/>
              </w:rPr>
              <w:t>,</w:t>
            </w:r>
            <w:r w:rsidRPr="002130FD">
              <w:rPr>
                <w:rFonts w:ascii="Times New Roman" w:eastAsia="Times New Roman" w:hAnsi="Times New Roman" w:cs="Times New Roman"/>
                <w:spacing w:val="40"/>
                <w:sz w:val="20"/>
                <w:szCs w:val="20"/>
                <w:lang w:eastAsia="ro-RO" w:bidi="ro-RO"/>
              </w:rPr>
              <w:t xml:space="preserve"> </w:t>
            </w:r>
            <w:r w:rsidRPr="002130FD">
              <w:rPr>
                <w:rFonts w:ascii="Times New Roman" w:eastAsia="Times New Roman" w:hAnsi="Times New Roman" w:cs="Times New Roman"/>
                <w:sz w:val="20"/>
                <w:szCs w:val="20"/>
                <w:lang w:eastAsia="ro-RO" w:bidi="ro-RO"/>
              </w:rPr>
              <w:t>cu sau fără alterare mezangială.</w:t>
            </w:r>
          </w:p>
          <w:p w14:paraId="606492E2" w14:textId="77777777" w:rsidR="002130FD" w:rsidRPr="002130FD" w:rsidRDefault="002130FD" w:rsidP="002130FD">
            <w:pPr>
              <w:widowControl w:val="0"/>
              <w:autoSpaceDE w:val="0"/>
              <w:autoSpaceDN w:val="0"/>
              <w:spacing w:after="0" w:line="220" w:lineRule="auto"/>
              <w:ind w:left="107" w:right="155"/>
              <w:rPr>
                <w:rFonts w:ascii="Times New Roman" w:eastAsia="Times New Roman" w:hAnsi="Times New Roman" w:cs="Times New Roman"/>
                <w:sz w:val="20"/>
                <w:szCs w:val="20"/>
                <w:lang w:eastAsia="ro-RO" w:bidi="ro-RO"/>
              </w:rPr>
            </w:pPr>
            <w:r w:rsidRPr="002130FD">
              <w:rPr>
                <w:rFonts w:ascii="Times New Roman" w:eastAsia="Times New Roman" w:hAnsi="Times New Roman" w:cs="Times New Roman"/>
                <w:sz w:val="20"/>
                <w:szCs w:val="20"/>
                <w:lang w:eastAsia="ro-RO" w:bidi="ro-RO"/>
              </w:rPr>
              <w:t>Clasă IV: Nefrită lupică difuză: Glomerulonefrită activă sau inactivă difuză, segmentală sau globală, endo- sau extracapilară,</w:t>
            </w:r>
            <w:r w:rsidRPr="002130FD">
              <w:rPr>
                <w:rFonts w:ascii="Times New Roman" w:eastAsia="Times New Roman" w:hAnsi="Times New Roman" w:cs="Times New Roman"/>
                <w:spacing w:val="40"/>
                <w:sz w:val="20"/>
                <w:szCs w:val="20"/>
                <w:lang w:eastAsia="ro-RO" w:bidi="ro-RO"/>
              </w:rPr>
              <w:t xml:space="preserve"> </w:t>
            </w:r>
            <w:r w:rsidRPr="002130FD">
              <w:rPr>
                <w:rFonts w:ascii="Times New Roman" w:eastAsia="Times New Roman" w:hAnsi="Times New Roman" w:cs="Times New Roman"/>
                <w:sz w:val="20"/>
                <w:szCs w:val="20"/>
                <w:lang w:eastAsia="ro-RO" w:bidi="ro-RO"/>
              </w:rPr>
              <w:t>care afectează  ≥50% din glomeruli, în mod uzual cu depozite imune subendoteliale difuze,</w:t>
            </w:r>
            <w:r w:rsidRPr="002130FD">
              <w:rPr>
                <w:rFonts w:ascii="Times New Roman" w:eastAsia="Times New Roman" w:hAnsi="Times New Roman" w:cs="Times New Roman"/>
                <w:spacing w:val="40"/>
                <w:sz w:val="20"/>
                <w:szCs w:val="20"/>
                <w:lang w:eastAsia="ro-RO" w:bidi="ro-RO"/>
              </w:rPr>
              <w:t xml:space="preserve"> </w:t>
            </w:r>
            <w:r w:rsidRPr="002130FD">
              <w:rPr>
                <w:rFonts w:ascii="Times New Roman" w:eastAsia="Times New Roman" w:hAnsi="Times New Roman" w:cs="Times New Roman"/>
                <w:sz w:val="20"/>
                <w:szCs w:val="20"/>
                <w:lang w:eastAsia="ro-RO" w:bidi="ro-RO"/>
              </w:rPr>
              <w:t>cu sau fără alterare mezangială.</w:t>
            </w:r>
            <w:r w:rsidRPr="002130FD">
              <w:rPr>
                <w:rFonts w:ascii="Times New Roman" w:eastAsia="Times New Roman" w:hAnsi="Times New Roman" w:cs="Times New Roman"/>
                <w:spacing w:val="-3"/>
                <w:sz w:val="20"/>
                <w:szCs w:val="20"/>
                <w:lang w:eastAsia="ro-RO" w:bidi="ro-RO"/>
              </w:rPr>
              <w:t xml:space="preserve"> Această clasă include cazuri cu depozite subendoteliale difuze cu aspect ‘anse de sârmă’, dar cu proliferare glomerulară minimă spre absentă.</w:t>
            </w:r>
          </w:p>
        </w:tc>
      </w:tr>
    </w:tbl>
    <w:p w14:paraId="48BD7915" w14:textId="77777777" w:rsidR="002130FD" w:rsidRPr="002130FD" w:rsidRDefault="002130FD" w:rsidP="002130FD">
      <w:pPr>
        <w:widowControl w:val="0"/>
        <w:tabs>
          <w:tab w:val="left" w:pos="472"/>
        </w:tabs>
        <w:autoSpaceDE w:val="0"/>
        <w:autoSpaceDN w:val="0"/>
        <w:spacing w:before="1" w:after="0" w:line="240" w:lineRule="auto"/>
        <w:ind w:left="471" w:hanging="329"/>
        <w:jc w:val="both"/>
        <w:outlineLvl w:val="0"/>
        <w:rPr>
          <w:rFonts w:ascii="Times New Roman" w:eastAsia="Arial" w:hAnsi="Times New Roman" w:cs="Times New Roman"/>
          <w:sz w:val="20"/>
          <w:szCs w:val="20"/>
          <w:lang w:val="fr-FR"/>
        </w:rPr>
      </w:pPr>
      <w:r w:rsidRPr="002130FD">
        <w:rPr>
          <w:rFonts w:ascii="Times New Roman" w:eastAsia="Arial" w:hAnsi="Times New Roman" w:cs="Times New Roman"/>
          <w:sz w:val="20"/>
          <w:szCs w:val="20"/>
          <w:lang w:val="fr-FR"/>
        </w:rPr>
        <w:t>*Poate fi observat la examen clinic sau dovadă fotografică.</w:t>
      </w:r>
    </w:p>
    <w:p w14:paraId="27DAF7EB" w14:textId="77777777" w:rsidR="002130FD" w:rsidRPr="002130FD" w:rsidRDefault="002130FD" w:rsidP="002130FD">
      <w:pPr>
        <w:ind w:hanging="329"/>
        <w:rPr>
          <w:rFonts w:ascii="Times New Roman" w:eastAsia="Calibri" w:hAnsi="Times New Roman" w:cs="Times New Roman"/>
          <w:sz w:val="20"/>
          <w:szCs w:val="20"/>
        </w:rPr>
      </w:pPr>
    </w:p>
    <w:p w14:paraId="1665AB52" w14:textId="77777777" w:rsidR="002130FD" w:rsidRPr="002130FD" w:rsidRDefault="002130FD" w:rsidP="002130FD">
      <w:pPr>
        <w:jc w:val="both"/>
        <w:rPr>
          <w:rFonts w:ascii="Times New Roman" w:eastAsia="Calibri" w:hAnsi="Times New Roman" w:cs="Times New Roman"/>
          <w:b/>
          <w:sz w:val="24"/>
          <w:szCs w:val="24"/>
        </w:rPr>
      </w:pPr>
      <w:r w:rsidRPr="002130FD">
        <w:rPr>
          <w:rFonts w:ascii="Times New Roman" w:eastAsia="Calibri" w:hAnsi="Times New Roman" w:cs="Times New Roman"/>
          <w:b/>
          <w:sz w:val="24"/>
          <w:szCs w:val="24"/>
        </w:rPr>
        <w:t>II. MANAGEMENTUL LES</w:t>
      </w:r>
    </w:p>
    <w:p w14:paraId="556A1E10"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Tratamentul LES, evaluarea activității bolii, criterii de includere/excludere și schema terapeutică pentru tratamentul cu belimumab, anifrolumab.</w:t>
      </w:r>
    </w:p>
    <w:p w14:paraId="63102B45"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lastRenderedPageBreak/>
        <w:t xml:space="preserve">II.1. </w:t>
      </w:r>
      <w:r w:rsidRPr="002130FD">
        <w:rPr>
          <w:rFonts w:ascii="Times New Roman" w:eastAsia="Calibri" w:hAnsi="Times New Roman" w:cs="Times New Roman"/>
          <w:b/>
          <w:sz w:val="24"/>
          <w:szCs w:val="24"/>
        </w:rPr>
        <w:t>Tratamentul LES</w:t>
      </w:r>
      <w:r w:rsidRPr="002130FD">
        <w:rPr>
          <w:rFonts w:ascii="Times New Roman" w:eastAsia="Calibri" w:hAnsi="Times New Roman" w:cs="Times New Roman"/>
          <w:sz w:val="24"/>
          <w:szCs w:val="24"/>
        </w:rPr>
        <w:t xml:space="preserve">. Tratamentul pacienților cu LES implică terapia puseelor de boală, cu realizarea pe cât posibil a celui mai scăzut nivel de activitate a bolii și astfel prevenirea leziunilor de organ; în plus, reducerea toxicității medicamentelor utilizate în tratamentul bolii este foarte importantă. Tratamentul LES este individualizat în funcție de forma clinică de boală, de nivelul de activitate a suferinței, de prezența leziunilor de organ, de asocierea comorbidităților și complicațiilor legate de boală și de tratament. Tratamentul LES implică măsuri generale și terapii medicamentoase. Pentru pacienții pediatrici cu LES diagnosticul și evaluarea bolii, recomandările de tratament, dozele și schemele terapeutice vor fi adaptate acestei categorii de pacienîi; interpretarea testelor de laborator va ține cont de valorile normale ajustate funcție de vârstă. </w:t>
      </w:r>
    </w:p>
    <w:p w14:paraId="7E58DFA3"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II.1.1. </w:t>
      </w:r>
      <w:r w:rsidRPr="002130FD">
        <w:rPr>
          <w:rFonts w:ascii="Times New Roman" w:eastAsia="Calibri" w:hAnsi="Times New Roman" w:cs="Times New Roman"/>
          <w:i/>
          <w:sz w:val="24"/>
          <w:szCs w:val="24"/>
        </w:rPr>
        <w:t>Măsuri generale</w:t>
      </w:r>
      <w:r w:rsidRPr="002130FD">
        <w:rPr>
          <w:rFonts w:ascii="Times New Roman" w:eastAsia="Calibri" w:hAnsi="Times New Roman" w:cs="Times New Roman"/>
          <w:sz w:val="24"/>
          <w:szCs w:val="24"/>
        </w:rPr>
        <w:t>:</w:t>
      </w:r>
      <w:r w:rsidRPr="002130FD">
        <w:rPr>
          <w:rFonts w:ascii="Times New Roman" w:eastAsia="Calibri" w:hAnsi="Times New Roman" w:cs="Times New Roman"/>
          <w:sz w:val="24"/>
          <w:szCs w:val="24"/>
        </w:rPr>
        <w:tab/>
      </w:r>
    </w:p>
    <w:p w14:paraId="32886DCC" w14:textId="77777777" w:rsidR="002130FD" w:rsidRPr="002130FD" w:rsidRDefault="002130FD" w:rsidP="002161CA">
      <w:pPr>
        <w:numPr>
          <w:ilvl w:val="0"/>
          <w:numId w:val="163"/>
        </w:numPr>
        <w:spacing w:after="0" w:line="240" w:lineRule="auto"/>
        <w:ind w:left="709"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evitarea expunerii la radiații ultraviolete, folosirea cremelor cu factor de protecție solară de peste 30;</w:t>
      </w:r>
    </w:p>
    <w:p w14:paraId="36E8EF12" w14:textId="77777777" w:rsidR="002130FD" w:rsidRPr="002130FD" w:rsidRDefault="002130FD" w:rsidP="002161CA">
      <w:pPr>
        <w:numPr>
          <w:ilvl w:val="0"/>
          <w:numId w:val="163"/>
        </w:numPr>
        <w:spacing w:after="0" w:line="240" w:lineRule="auto"/>
        <w:ind w:left="709"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evitarea creșterii fotosensibilității prin alimente sau medicamente (sulfamide, tetracicline, chinolone);</w:t>
      </w:r>
    </w:p>
    <w:p w14:paraId="212855B7" w14:textId="77777777" w:rsidR="002130FD" w:rsidRPr="002130FD" w:rsidRDefault="002130FD" w:rsidP="002161CA">
      <w:pPr>
        <w:numPr>
          <w:ilvl w:val="0"/>
          <w:numId w:val="163"/>
        </w:numPr>
        <w:spacing w:after="0" w:line="240" w:lineRule="auto"/>
        <w:ind w:left="709"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dietă echilibrată cu restricții adaptate terapiei sau perturbărilor metabolice  (hiposodată, hipolipemiantă, hipoglucidică etc.);</w:t>
      </w:r>
    </w:p>
    <w:p w14:paraId="236D0E98" w14:textId="77777777" w:rsidR="002130FD" w:rsidRPr="002130FD" w:rsidRDefault="002130FD" w:rsidP="002161CA">
      <w:pPr>
        <w:numPr>
          <w:ilvl w:val="0"/>
          <w:numId w:val="163"/>
        </w:numPr>
        <w:spacing w:after="0" w:line="240" w:lineRule="auto"/>
        <w:ind w:left="709"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prevenirea aterosclerozei precoce: controlul tensiunii arteriale (ținta &lt; 130/80 mmHg), a hiperlipidemiei (ținta LDL-colesterol &lt; 100 mg/dL), renunțarea la fumat;</w:t>
      </w:r>
    </w:p>
    <w:p w14:paraId="29D5B124" w14:textId="77777777" w:rsidR="002130FD" w:rsidRPr="002130FD" w:rsidRDefault="002130FD" w:rsidP="002161CA">
      <w:pPr>
        <w:numPr>
          <w:ilvl w:val="0"/>
          <w:numId w:val="163"/>
        </w:numPr>
        <w:spacing w:after="0" w:line="240" w:lineRule="auto"/>
        <w:ind w:left="709"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prevenirea osteoporozei: supliment calciu 1 g/zi oral, vitamina D 1000 UI/zi oral, utilizarea dozei minime eficiente de glucocorticoizi (de preferat ≤ 5 mg echivalent prednison/zi) sau renunțarea la corticoterapie oricând este posibil, administrarea de bifosfonați când doza de glucocorticoizi depășește 20 mg/zi echivalent prednison pentru mai mult de 3 luni;</w:t>
      </w:r>
    </w:p>
    <w:p w14:paraId="05F97657" w14:textId="77777777" w:rsidR="002130FD" w:rsidRPr="002130FD" w:rsidRDefault="002130FD" w:rsidP="002161CA">
      <w:pPr>
        <w:numPr>
          <w:ilvl w:val="0"/>
          <w:numId w:val="163"/>
        </w:numPr>
        <w:spacing w:after="0" w:line="240" w:lineRule="auto"/>
        <w:ind w:left="709"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prevenirea infecțiilor: profilaxia endocarditei bacteriene la pacienții cu vegetații, profilaxia infecției cu </w:t>
      </w:r>
      <w:r w:rsidRPr="002130FD">
        <w:rPr>
          <w:rFonts w:ascii="Times New Roman" w:eastAsia="Calibri" w:hAnsi="Times New Roman" w:cs="Times New Roman"/>
          <w:i/>
          <w:sz w:val="24"/>
          <w:szCs w:val="24"/>
        </w:rPr>
        <w:t>Pneumocystis jirovecii</w:t>
      </w:r>
      <w:r w:rsidRPr="002130FD">
        <w:rPr>
          <w:rFonts w:ascii="Times New Roman" w:eastAsia="Calibri" w:hAnsi="Times New Roman" w:cs="Times New Roman"/>
          <w:sz w:val="24"/>
          <w:szCs w:val="24"/>
        </w:rPr>
        <w:t xml:space="preserve"> la pacienții in tratament cu ciclofosfamidă sau glucocorticoizi &gt; 20 mg/zi echivalent prednison;</w:t>
      </w:r>
    </w:p>
    <w:p w14:paraId="4E3DAD4A" w14:textId="77777777" w:rsidR="002130FD" w:rsidRPr="002130FD" w:rsidRDefault="002130FD" w:rsidP="002161CA">
      <w:pPr>
        <w:numPr>
          <w:ilvl w:val="0"/>
          <w:numId w:val="163"/>
        </w:numPr>
        <w:spacing w:after="0" w:line="240" w:lineRule="auto"/>
        <w:ind w:left="709"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imunizarea: se indica vaccinarea anti-HPV (paciente &lt; 26 ani), vaccinare antigripală și anti-hepatită B (mai ales dacă se află în grupa de risc) și vaccinare antipneumococică (pacienții cu LES sunt în grupa de risc din cauza hiposplenismului funcțional și deficitului de complement); este contraindicată la acești pacienți imunizarea cu vaccinuri vii;</w:t>
      </w:r>
    </w:p>
    <w:p w14:paraId="2F2DC6E0" w14:textId="77777777" w:rsidR="002130FD" w:rsidRPr="002130FD" w:rsidRDefault="002130FD" w:rsidP="002161CA">
      <w:pPr>
        <w:numPr>
          <w:ilvl w:val="0"/>
          <w:numId w:val="163"/>
        </w:numPr>
        <w:spacing w:after="0" w:line="240" w:lineRule="auto"/>
        <w:ind w:left="709"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sarcina este contraindicată în perioada de activitate a bolii, recomandându-se un minim de 6 luni de remisiune sau boală minim reziduală până la concepție;</w:t>
      </w:r>
    </w:p>
    <w:p w14:paraId="0A3354CC" w14:textId="77777777" w:rsidR="002130FD" w:rsidRPr="002130FD" w:rsidRDefault="002130FD" w:rsidP="002161CA">
      <w:pPr>
        <w:numPr>
          <w:ilvl w:val="0"/>
          <w:numId w:val="163"/>
        </w:numPr>
        <w:spacing w:after="0" w:line="240" w:lineRule="auto"/>
        <w:ind w:left="709"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prevenirea progresiei către insuficiență renală a pacienților cu sindrom nefritic prin controlul tensiunii arteriale, prin utilizarea inhibitorilor de enzimă de conversie sau a blocanților de angiotensină;</w:t>
      </w:r>
    </w:p>
    <w:p w14:paraId="6E48CC48" w14:textId="77777777" w:rsidR="002130FD" w:rsidRPr="002130FD" w:rsidRDefault="002130FD" w:rsidP="002161CA">
      <w:pPr>
        <w:numPr>
          <w:ilvl w:val="0"/>
          <w:numId w:val="163"/>
        </w:numPr>
        <w:spacing w:after="0" w:line="240" w:lineRule="auto"/>
        <w:ind w:left="709"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screening pentru neoplazii: col uterin, pulmonar, hematologic, sân, colon etc.</w:t>
      </w:r>
    </w:p>
    <w:p w14:paraId="79D1CC81" w14:textId="77777777" w:rsidR="002130FD" w:rsidRPr="002130FD" w:rsidRDefault="002130FD" w:rsidP="002130FD">
      <w:pPr>
        <w:ind w:firstLine="720"/>
        <w:jc w:val="both"/>
        <w:rPr>
          <w:rFonts w:ascii="Times New Roman" w:eastAsia="Calibri" w:hAnsi="Times New Roman" w:cs="Times New Roman"/>
          <w:sz w:val="24"/>
          <w:szCs w:val="24"/>
        </w:rPr>
      </w:pPr>
    </w:p>
    <w:p w14:paraId="009F75DD"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II.1.2. </w:t>
      </w:r>
      <w:r w:rsidRPr="002130FD">
        <w:rPr>
          <w:rFonts w:ascii="Times New Roman" w:eastAsia="Calibri" w:hAnsi="Times New Roman" w:cs="Times New Roman"/>
          <w:i/>
          <w:sz w:val="24"/>
          <w:szCs w:val="24"/>
        </w:rPr>
        <w:t>Terapie farmacologică</w:t>
      </w:r>
    </w:p>
    <w:p w14:paraId="007962A6"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a) </w:t>
      </w:r>
      <w:r w:rsidRPr="002130FD">
        <w:rPr>
          <w:rFonts w:ascii="Times New Roman" w:eastAsia="Calibri" w:hAnsi="Times New Roman" w:cs="Times New Roman"/>
          <w:i/>
          <w:sz w:val="24"/>
          <w:szCs w:val="24"/>
        </w:rPr>
        <w:t>Terapii medicamentoase standard utilizate în tratamentul LES</w:t>
      </w:r>
      <w:r w:rsidRPr="002130FD">
        <w:rPr>
          <w:rFonts w:ascii="Times New Roman" w:eastAsia="Calibri" w:hAnsi="Times New Roman" w:cs="Times New Roman"/>
          <w:sz w:val="24"/>
          <w:szCs w:val="24"/>
        </w:rPr>
        <w:t>:</w:t>
      </w:r>
    </w:p>
    <w:p w14:paraId="4BCA3918" w14:textId="77777777" w:rsidR="002130FD" w:rsidRPr="002130FD" w:rsidRDefault="002130FD" w:rsidP="002161CA">
      <w:pPr>
        <w:numPr>
          <w:ilvl w:val="0"/>
          <w:numId w:val="170"/>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glucocorticoizii</w:t>
      </w:r>
      <w:r w:rsidRPr="002130FD">
        <w:rPr>
          <w:rFonts w:ascii="Times New Roman" w:eastAsia="Times New Roman" w:hAnsi="Times New Roman" w:cs="Times New Roman"/>
          <w:sz w:val="24"/>
          <w:szCs w:val="24"/>
          <w:u w:color="000000"/>
          <w:bdr w:val="nil"/>
          <w:lang w:eastAsia="ro-RO"/>
        </w:rPr>
        <w:t xml:space="preserve"> reprezintă piatra de temelie în tratamentul LES. Efectul rapid este util în controlul simptomelor, dar și în reducerea inflamației. Se administrează de obicei oral, în formele ușoare și moderate, în doză zilnică ≤ 20 mg, cu reducere graduală.  În formele severe se poate utiliza și pulsterapia intravenoasă cu metilprednisolon, de obicei 1 g/zi timp de 3 zile consecutive. După controlul activității bolii, dozele orale se scad progresiv, cu aproximativ 10% din doza săptămânală, astfel dozele medii-mari se recomandă să fie scăzute după cel puțin 4-6 săptămâni. Deși dezideratul ar trebui să fie reprezentat de renunțarea completă la glucocorticoizi, acest lucru nu este întotdeauna posibil. În acest caz, doza zilnică maximă recomandată de întreținere este de ≤ 5 mg/ zi. Administrarea pe termen lung implică riscul de a asocia noi comorbidități: osteoporoză, hipertensiune arterială, dislipidemie, ateroscleroză, cataractă, glaucom. O atenție particulară trebuie acordată riscului de reacții adverse după corticoterapie la pacienții cu LES pediatric, inclusiv în perspectiva afectării ireversibile a </w:t>
      </w:r>
      <w:r w:rsidRPr="002130FD">
        <w:rPr>
          <w:rFonts w:ascii="Times New Roman" w:eastAsia="Times New Roman" w:hAnsi="Times New Roman" w:cs="Times New Roman"/>
          <w:sz w:val="24"/>
          <w:szCs w:val="24"/>
          <w:u w:color="000000"/>
          <w:bdr w:val="nil"/>
          <w:lang w:eastAsia="ro-RO"/>
        </w:rPr>
        <w:lastRenderedPageBreak/>
        <w:t>procesului de creștere, astfel încât vor fi în mod sistematic recomandate dozele și duratele de tratament cele mai mici posibil.</w:t>
      </w:r>
    </w:p>
    <w:p w14:paraId="27FD3B4D" w14:textId="77777777" w:rsidR="002130FD" w:rsidRPr="002130FD" w:rsidRDefault="002130FD" w:rsidP="002161CA">
      <w:pPr>
        <w:numPr>
          <w:ilvl w:val="0"/>
          <w:numId w:val="170"/>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imunomodulatoarele</w:t>
      </w:r>
      <w:r w:rsidRPr="002130FD">
        <w:rPr>
          <w:rFonts w:ascii="Times New Roman" w:eastAsia="Times New Roman" w:hAnsi="Times New Roman" w:cs="Times New Roman"/>
          <w:sz w:val="24"/>
          <w:szCs w:val="24"/>
          <w:u w:color="000000"/>
          <w:bdr w:val="nil"/>
          <w:lang w:eastAsia="ro-RO"/>
        </w:rPr>
        <w:t>:</w:t>
      </w:r>
    </w:p>
    <w:p w14:paraId="38D8C194" w14:textId="77777777" w:rsidR="002130FD" w:rsidRPr="002130FD" w:rsidRDefault="002130FD" w:rsidP="002161CA">
      <w:pPr>
        <w:numPr>
          <w:ilvl w:val="0"/>
          <w:numId w:val="17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antimalaricele de sinteză</w:t>
      </w:r>
      <w:r w:rsidRPr="002130FD">
        <w:rPr>
          <w:rFonts w:ascii="Times New Roman" w:eastAsia="Times New Roman" w:hAnsi="Times New Roman" w:cs="Times New Roman"/>
          <w:sz w:val="24"/>
          <w:szCs w:val="24"/>
          <w:u w:color="000000"/>
          <w:bdr w:val="nil"/>
          <w:lang w:eastAsia="ro-RO"/>
        </w:rPr>
        <w:t xml:space="preserve"> sunt utilizate în LES de peste 50 ani, fiind indicate pentru afectarea de tip cutanat, articular, serozitic sau pentru controlul fatigabilității și al manifestărilor constituționale, iar în momentul de față reprezintă terapia standard utilizată pentru scăderea riscului de reactivare a bolii. De asemenea, antimalaricele de sinteză reduc riscul de apariție a diabetului zaharat, au efecte antiagregante plachetare, hipolipemiante, ameliorează simptomatologia de tip sicca, permit reducerea dozelor de glucocorticoizi, limitează acumularea de leziuni ireversibile și cresc supraviețuirea. Cel mai utilizat preparat este </w:t>
      </w:r>
      <w:r w:rsidRPr="002130FD">
        <w:rPr>
          <w:rFonts w:ascii="Times New Roman" w:eastAsia="Times New Roman" w:hAnsi="Times New Roman" w:cs="Times New Roman"/>
          <w:b/>
          <w:sz w:val="24"/>
          <w:szCs w:val="24"/>
          <w:u w:color="000000"/>
          <w:bdr w:val="nil"/>
          <w:lang w:eastAsia="ro-RO"/>
        </w:rPr>
        <w:t>hidroxiclorochina</w:t>
      </w:r>
      <w:r w:rsidRPr="002130FD">
        <w:rPr>
          <w:rFonts w:ascii="Times New Roman" w:eastAsia="Times New Roman" w:hAnsi="Times New Roman" w:cs="Times New Roman"/>
          <w:sz w:val="24"/>
          <w:szCs w:val="24"/>
          <w:u w:color="000000"/>
          <w:bdr w:val="nil"/>
          <w:lang w:eastAsia="ro-RO"/>
        </w:rPr>
        <w:t xml:space="preserve"> în doză de 200-400 mg/zi (5-7 mg/kg corp) oral. Pentru pacientii pediatrici cu LES doza nu va depăși 5mg/kg corp/zi, de obicei până la maximum 200 mg/zi. Efectul se instalează după aproximativ 6-12 săptămâni, devenind maxim la 6 luni. Se impune monitorizare oftalmologică la fiecare 6 luni din cauza riscului de leziuni retiniene ireversibile. Alte efecte adverse sunt reprezentate de: pigmentări cutanate, neuropatii periferice, intoleranța digestivă ș.a. (conform rezumatului caracteristicilor produsului).</w:t>
      </w:r>
    </w:p>
    <w:p w14:paraId="6E8724FA" w14:textId="77777777" w:rsidR="002130FD" w:rsidRPr="002130FD" w:rsidRDefault="002130FD" w:rsidP="002161CA">
      <w:pPr>
        <w:numPr>
          <w:ilvl w:val="0"/>
          <w:numId w:val="172"/>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dapsona (</w:t>
      </w:r>
      <w:r w:rsidRPr="002130FD">
        <w:rPr>
          <w:rFonts w:ascii="Times New Roman" w:eastAsia="Times New Roman" w:hAnsi="Times New Roman" w:cs="Times New Roman"/>
          <w:sz w:val="24"/>
          <w:szCs w:val="24"/>
          <w:u w:color="000000"/>
          <w:bdr w:val="nil"/>
          <w:lang w:eastAsia="ro-RO"/>
        </w:rPr>
        <w:t>utilizată doar la adulți</w:t>
      </w:r>
      <w:r w:rsidRPr="002130FD">
        <w:rPr>
          <w:rFonts w:ascii="Times New Roman" w:eastAsia="Times New Roman" w:hAnsi="Times New Roman" w:cs="Times New Roman"/>
          <w:b/>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 xml:space="preserve"> în doză de 100-200 mg/zi oral este utilă în afectarea cutanată, mai ales de tip lupus bulos. </w:t>
      </w:r>
    </w:p>
    <w:p w14:paraId="51A27F55" w14:textId="77777777" w:rsidR="002130FD" w:rsidRPr="002130FD" w:rsidRDefault="002130FD" w:rsidP="002161CA">
      <w:pPr>
        <w:numPr>
          <w:ilvl w:val="0"/>
          <w:numId w:val="171"/>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imunosupresoarele</w:t>
      </w:r>
      <w:r w:rsidRPr="002130FD">
        <w:rPr>
          <w:rFonts w:ascii="Times New Roman" w:eastAsia="Times New Roman" w:hAnsi="Times New Roman" w:cs="Times New Roman"/>
          <w:sz w:val="24"/>
          <w:szCs w:val="24"/>
          <w:u w:color="000000"/>
          <w:bdr w:val="nil"/>
          <w:lang w:eastAsia="ro-RO"/>
        </w:rPr>
        <w:t xml:space="preserve"> sunt indicate în formele severe de boală, cu risc vital din punct de vedere al afectării de organ, permițând reducerea activității puseului de boală cu reducerea indexului de leziuni tisulare și scăderea dozelor de glucocorticoizi în formele cortico-dependente sau cortico-rezistente.</w:t>
      </w:r>
    </w:p>
    <w:p w14:paraId="61FBCB19" w14:textId="77777777" w:rsidR="002130FD" w:rsidRPr="002130FD" w:rsidRDefault="002130FD" w:rsidP="002161CA">
      <w:pPr>
        <w:numPr>
          <w:ilvl w:val="0"/>
          <w:numId w:val="173"/>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ciclofosfamida</w:t>
      </w:r>
      <w:r w:rsidRPr="002130FD">
        <w:rPr>
          <w:rFonts w:ascii="Times New Roman" w:eastAsia="Times New Roman" w:hAnsi="Times New Roman" w:cs="Times New Roman"/>
          <w:sz w:val="24"/>
          <w:szCs w:val="24"/>
          <w:u w:color="000000"/>
          <w:bdr w:val="nil"/>
          <w:lang w:eastAsia="ro-RO"/>
        </w:rPr>
        <w:t>, agent alchilant, este cel mai folosit imunosupresor în LES reprezentând standardul de tratament pentru afectarea severă de organ. Ciclofosfamida poate fi administrată intravenos (puls-terapie cu 500-1000 mg) sau oral (1-2 mg/kg corp/zi, la copil nu se vor depasi dozele recomandate la adulti). Primul protocol cu ciclofosfamidă intravenos, așa numitul protocol NIH („National Institute of Health”), cuprinde 6 pulsuri lunare de ciclofosfamidă (750 mg/m</w:t>
      </w:r>
      <w:r w:rsidRPr="002130FD">
        <w:rPr>
          <w:rFonts w:ascii="Times New Roman" w:eastAsia="Times New Roman" w:hAnsi="Times New Roman" w:cs="Times New Roman"/>
          <w:sz w:val="24"/>
          <w:szCs w:val="24"/>
          <w:u w:color="000000"/>
          <w:bdr w:val="nil"/>
          <w:vertAlign w:val="superscript"/>
          <w:lang w:eastAsia="ro-RO"/>
        </w:rPr>
        <w:t>2</w:t>
      </w:r>
      <w:r w:rsidRPr="002130FD">
        <w:rPr>
          <w:rFonts w:ascii="Times New Roman" w:eastAsia="Times New Roman" w:hAnsi="Times New Roman" w:cs="Times New Roman"/>
          <w:sz w:val="24"/>
          <w:szCs w:val="24"/>
          <w:u w:color="000000"/>
          <w:bdr w:val="nil"/>
          <w:lang w:eastAsia="ro-RO"/>
        </w:rPr>
        <w:t xml:space="preserve"> suprafață corporală, </w:t>
      </w:r>
      <w:bookmarkStart w:id="11" w:name="_Hlk60922513"/>
      <w:r w:rsidRPr="002130FD">
        <w:rPr>
          <w:rFonts w:ascii="Times New Roman" w:eastAsia="Times New Roman" w:hAnsi="Times New Roman" w:cs="Times New Roman"/>
          <w:sz w:val="24"/>
          <w:szCs w:val="24"/>
          <w:u w:color="000000"/>
          <w:bdr w:val="nil"/>
          <w:lang w:eastAsia="ro-RO"/>
        </w:rPr>
        <w:t xml:space="preserve">in cazurile de LES pediatric </w:t>
      </w:r>
      <w:bookmarkEnd w:id="11"/>
      <w:r w:rsidRPr="002130FD">
        <w:rPr>
          <w:rFonts w:ascii="Times New Roman" w:eastAsia="Times New Roman" w:hAnsi="Times New Roman" w:cs="Times New Roman"/>
          <w:sz w:val="24"/>
          <w:szCs w:val="24"/>
          <w:u w:color="000000"/>
          <w:bdr w:val="nil"/>
          <w:lang w:eastAsia="ro-RO"/>
        </w:rPr>
        <w:t>se incepe cu 500 mg/m</w:t>
      </w:r>
      <w:r w:rsidRPr="002130FD">
        <w:rPr>
          <w:rFonts w:ascii="Times New Roman" w:eastAsia="Times New Roman" w:hAnsi="Times New Roman" w:cs="Times New Roman"/>
          <w:sz w:val="24"/>
          <w:szCs w:val="24"/>
          <w:u w:color="000000"/>
          <w:bdr w:val="nil"/>
          <w:vertAlign w:val="superscript"/>
          <w:lang w:eastAsia="ro-RO"/>
        </w:rPr>
        <w:t>2</w:t>
      </w:r>
      <w:r w:rsidRPr="002130FD">
        <w:rPr>
          <w:rFonts w:ascii="Times New Roman" w:eastAsia="Times New Roman" w:hAnsi="Times New Roman" w:cs="Times New Roman"/>
          <w:sz w:val="24"/>
          <w:szCs w:val="24"/>
          <w:u w:color="000000"/>
          <w:bdr w:val="nil"/>
          <w:lang w:eastAsia="ro-RO"/>
        </w:rPr>
        <w:t xml:space="preserve"> suprafață corporală, cu posibila crestere functie de toleranta), urmate de pulsuri la 3 luni a unei doze similare pentru încă 2 ani. Acest protocol, dezvoltat pentru tratamentul anumitor forme de nefrită lupică, reprezintă actualmente standardul pentru tratamentul unor forme de leziuni de organ cu severitate crescută (vasculită, miocardită, nefrită etc.). Incidența crescută de efecte adverse produse de ciclofosfamida administrată pe termen lung, în special toxicitatea ovariană și riscul de neoplazie, a contribuit la dezvoltarea protocolului „Euro-Lupus Nephritis Trial” cu ciclofosfamidă pe termen scurt cuprinzând administrarea la 2 săptămâni a 6 pulsuri (500 mg), urmate de menținerea remisiunii cu azatioprină (2 mg/kg corp/zi) oral. Toxicitatea pe termen scurt a ciclofosfamidei este dominată de riscul de infecții, greață și vărsături, cistită hemoragică, leucopenie și toxicitate hepatică. Administrarea de medicamente antiemetice înaintea pulsurilor de ciclofosfamidă pot reduce greața și voma. Administrarea de MESNA (2-mercaptoethan sodium sulfonate) în asociere cu hidratarea reduce incidența cistitei hemoragice. Pacienții tratați cu ciclofosfamidă oral trebuie să fie sfătuiți să se hidrateze corespunzător (1500-2000 mL/24 de ore). Riscul crescut de infecții asociat ciclofosfamidei nu este influențat de calea de administrare.  Pacienții trebuie testați de tuberculoză, hepatite virale B și C, citomegalovirus. Toxicitatea pe termen lung este reprezentată de toxicitatea gonadală și riscul de cancer. Sunt disponibile puține date referitor la păstrarea funcției ovariene, dar administrarea unei doze cumulative de 8 g de ciclofosfamidă implică administrarea de preparate de tip agoniști de GnRH („gonadotropin-releasing hormone”). O relație pozitivă între doza cumulativă de ciclofosfamidă și neoplazia de col uterin intra-epitelială a fost raportată la pacienții cu LES. Alte efectele secundare de care trebuie să se țină seama sunt (a se vedea și rezumatul caracteristicilor produsului): constituționale (slăbiciune, iritabilitate, </w:t>
      </w:r>
      <w:r w:rsidRPr="002130FD">
        <w:rPr>
          <w:rFonts w:ascii="Times New Roman" w:eastAsia="Times New Roman" w:hAnsi="Times New Roman" w:cs="Times New Roman"/>
          <w:sz w:val="24"/>
          <w:szCs w:val="24"/>
          <w:u w:color="000000"/>
          <w:bdr w:val="nil"/>
          <w:lang w:eastAsia="ro-RO"/>
        </w:rPr>
        <w:lastRenderedPageBreak/>
        <w:t>pierdere ponderală); gastrointestinale (anorexie, greață, vărsături, diaree, dureri abdominale); dermatologice (alopecie, modificări unghiale); hematologice (leucopenie, anemie aplastică); genito-urinare (cistita hemoragică, fibroză a vezicii urinare, insuficiență gonadală); neoplazii (carcinom de vezică, de cervix, carcinom vulvar); cardio-pulmonare (fibroză pulmonară, necroză miocardică); metabolice (secreție inadecvată de hormon antidiurectic).</w:t>
      </w:r>
    </w:p>
    <w:p w14:paraId="13AB7B84" w14:textId="77777777" w:rsidR="002130FD" w:rsidRPr="002130FD" w:rsidRDefault="002130FD" w:rsidP="002161CA">
      <w:pPr>
        <w:numPr>
          <w:ilvl w:val="0"/>
          <w:numId w:val="173"/>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azatioprina</w:t>
      </w:r>
      <w:r w:rsidRPr="002130FD">
        <w:rPr>
          <w:rFonts w:ascii="Times New Roman" w:eastAsia="Times New Roman" w:hAnsi="Times New Roman" w:cs="Times New Roman"/>
          <w:sz w:val="24"/>
          <w:szCs w:val="24"/>
          <w:u w:color="000000"/>
          <w:bdr w:val="nil"/>
          <w:lang w:eastAsia="ro-RO"/>
        </w:rPr>
        <w:t xml:space="preserve"> este folosită ca primă intenție sau după puls-terapia cu ciclofosfamidă. Dozele uzuale sunt de 1-2,5 </w:t>
      </w:r>
      <w:bookmarkStart w:id="12" w:name="_Hlk60922555"/>
      <w:r w:rsidRPr="002130FD">
        <w:rPr>
          <w:rFonts w:ascii="Times New Roman" w:eastAsia="Times New Roman" w:hAnsi="Times New Roman" w:cs="Times New Roman"/>
          <w:sz w:val="24"/>
          <w:szCs w:val="24"/>
          <w:u w:color="000000"/>
          <w:bdr w:val="nil"/>
          <w:lang w:eastAsia="ro-RO"/>
        </w:rPr>
        <w:t>mg/kg corp/zi</w:t>
      </w:r>
      <w:bookmarkEnd w:id="12"/>
      <w:r w:rsidRPr="002130FD">
        <w:rPr>
          <w:rFonts w:ascii="Times New Roman" w:eastAsia="Times New Roman" w:hAnsi="Times New Roman" w:cs="Times New Roman"/>
          <w:sz w:val="24"/>
          <w:szCs w:val="24"/>
          <w:u w:color="000000"/>
          <w:bdr w:val="nil"/>
          <w:lang w:eastAsia="ro-RO"/>
        </w:rPr>
        <w:t>. Se începe cu doze de 50 mg/zi care se vor crește progresiv (cu 25-50 mg/săptămână), doza maximă nedepășind 200 mg/zi. Efectul imunosupresor se instalează în câteva săptămâni. Efectele secundare de luat în considerare sunt (a se vedea și rezumatul caracteristicilor produsului): intoleranța digestivă; toxicitate hepatică (creșteri  de transaminaze hepatice, uneori sindrom colestatic sever); reacții pancreatice; supresie medulară cu creșterea riscului de infecții; creșterea riscului de neoplazii, mai ales limfoame; în funcție de terenul genetic uneori poate induce un sindrom de hipersensibilizare acută cu rash, febră, insuficiență renală acută, pancreatită, hepatită și anemie severă.</w:t>
      </w:r>
    </w:p>
    <w:p w14:paraId="34AE2CFA" w14:textId="77777777" w:rsidR="002130FD" w:rsidRPr="002130FD" w:rsidRDefault="002130FD" w:rsidP="002161CA">
      <w:pPr>
        <w:numPr>
          <w:ilvl w:val="0"/>
          <w:numId w:val="173"/>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micofenolatul mofetil</w:t>
      </w:r>
      <w:r w:rsidRPr="002130FD">
        <w:rPr>
          <w:rFonts w:ascii="Times New Roman" w:eastAsia="Times New Roman" w:hAnsi="Times New Roman" w:cs="Times New Roman"/>
          <w:sz w:val="24"/>
          <w:szCs w:val="24"/>
          <w:u w:color="000000"/>
          <w:bdr w:val="nil"/>
          <w:lang w:eastAsia="ro-RO"/>
        </w:rPr>
        <w:t xml:space="preserve"> este un inhibitor de sinteză purinică, folosit ca primă intenție sau după terapie cu ciclofosfamidă, mai ales în tratamentul nefritei lupice. Dozele variază între 1-3 g/zi oral iar la copii, 10mg/kg sau 600 mg/m</w:t>
      </w:r>
      <w:r w:rsidRPr="002130FD">
        <w:rPr>
          <w:rFonts w:ascii="Times New Roman" w:eastAsia="Times New Roman" w:hAnsi="Times New Roman" w:cs="Times New Roman"/>
          <w:sz w:val="24"/>
          <w:szCs w:val="24"/>
          <w:u w:color="000000"/>
          <w:bdr w:val="nil"/>
          <w:vertAlign w:val="superscript"/>
          <w:lang w:eastAsia="ro-RO"/>
        </w:rPr>
        <w:t>2</w:t>
      </w:r>
      <w:r w:rsidRPr="002130FD">
        <w:rPr>
          <w:rFonts w:ascii="Times New Roman" w:eastAsia="Times New Roman" w:hAnsi="Times New Roman" w:cs="Times New Roman"/>
          <w:sz w:val="24"/>
          <w:szCs w:val="24"/>
          <w:u w:color="000000"/>
          <w:bdr w:val="nil"/>
          <w:lang w:eastAsia="ro-RO"/>
        </w:rPr>
        <w:t xml:space="preserve"> de două ori pe zi oral (maxim 1.5g/zi). Dintre efectele secundare sunt de menționat (a se vedea și rezumatul caracteristicilor produsului): toxicitatea gastrointestinală (diaree, greață, vărsături, stomatite); leucopenie cu creșterea riscului de infecții.</w:t>
      </w:r>
    </w:p>
    <w:p w14:paraId="19004B3D" w14:textId="77777777" w:rsidR="002130FD" w:rsidRPr="002130FD" w:rsidRDefault="002130FD" w:rsidP="002161CA">
      <w:pPr>
        <w:numPr>
          <w:ilvl w:val="0"/>
          <w:numId w:val="173"/>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ciclosporina A</w:t>
      </w:r>
      <w:r w:rsidRPr="002130FD">
        <w:rPr>
          <w:rFonts w:ascii="Times New Roman" w:eastAsia="Times New Roman" w:hAnsi="Times New Roman" w:cs="Times New Roman"/>
          <w:sz w:val="24"/>
          <w:szCs w:val="24"/>
          <w:u w:color="000000"/>
          <w:bdr w:val="nil"/>
          <w:lang w:eastAsia="ro-RO"/>
        </w:rPr>
        <w:t xml:space="preserve"> acționează prin inhibarea activității limfocitelor T, fiind folosită de elecție pentru tratamentul nefritei membranoase. Dozele uzuale variază între 2,5-5 mg/kg corp/zi, la copil fără a se depași dozele recomandate la adulți. Efectul imunosupresor se instalează după 2-3 luni de tratament. Efectele secundare uzuale sunt (a se vedea și rezumatul caracteristicilor produsului): toxicitatea renală; hipertensiune arterială; toxicitatea hepatică; manifestări cutaneo-mucoase (rash, hirsutism, hiperplazie gingivală, ginecomastie); manifestări neurologice (crize epileptiforme, tremor).</w:t>
      </w:r>
    </w:p>
    <w:p w14:paraId="3B532386" w14:textId="77777777" w:rsidR="002130FD" w:rsidRPr="002130FD" w:rsidRDefault="002130FD" w:rsidP="002161CA">
      <w:pPr>
        <w:numPr>
          <w:ilvl w:val="0"/>
          <w:numId w:val="173"/>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metotrexatul</w:t>
      </w:r>
      <w:r w:rsidRPr="002130FD">
        <w:rPr>
          <w:rFonts w:ascii="Times New Roman" w:eastAsia="Times New Roman" w:hAnsi="Times New Roman" w:cs="Times New Roman"/>
          <w:sz w:val="24"/>
          <w:szCs w:val="24"/>
          <w:u w:color="000000"/>
          <w:bdr w:val="nil"/>
          <w:lang w:eastAsia="ro-RO"/>
        </w:rPr>
        <w:t xml:space="preserve"> poate fi folosit în cazul formelor ușoare de boală, mai ales cu afectare articulară, doza fiind de 10-20 mg/săptămână sau in cazurile de LES pediatric 10-15mg/m</w:t>
      </w:r>
      <w:r w:rsidRPr="002130FD">
        <w:rPr>
          <w:rFonts w:ascii="Times New Roman" w:eastAsia="Times New Roman" w:hAnsi="Times New Roman" w:cs="Times New Roman"/>
          <w:sz w:val="24"/>
          <w:szCs w:val="24"/>
          <w:u w:color="000000"/>
          <w:bdr w:val="nil"/>
          <w:vertAlign w:val="superscript"/>
          <w:lang w:eastAsia="ro-RO"/>
        </w:rPr>
        <w:t>2</w:t>
      </w:r>
      <w:r w:rsidRPr="002130FD">
        <w:rPr>
          <w:rFonts w:ascii="Times New Roman" w:eastAsia="Times New Roman" w:hAnsi="Times New Roman" w:cs="Times New Roman"/>
          <w:sz w:val="24"/>
          <w:szCs w:val="24"/>
          <w:u w:color="000000"/>
          <w:bdr w:val="nil"/>
          <w:lang w:eastAsia="ro-RO"/>
        </w:rPr>
        <w:t>/săptămână, (a se vedea și rezumatul caracteristicilor produsului pentru efectele adverse).</w:t>
      </w:r>
    </w:p>
    <w:p w14:paraId="7F86A6A4" w14:textId="77777777" w:rsidR="002130FD" w:rsidRPr="002130FD" w:rsidRDefault="002130FD" w:rsidP="002161CA">
      <w:pPr>
        <w:numPr>
          <w:ilvl w:val="0"/>
          <w:numId w:val="173"/>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leflunomida</w:t>
      </w:r>
      <w:r w:rsidRPr="002130FD">
        <w:rPr>
          <w:rFonts w:ascii="Times New Roman" w:eastAsia="Times New Roman" w:hAnsi="Times New Roman" w:cs="Times New Roman"/>
          <w:sz w:val="24"/>
          <w:szCs w:val="24"/>
          <w:u w:color="000000"/>
          <w:bdr w:val="nil"/>
          <w:lang w:eastAsia="ro-RO"/>
        </w:rPr>
        <w:t xml:space="preserve"> (utilizata doar la adulți) în doza uzuală de 10-20 mg/zi are aceleași indicații cu metotrexatul, deși există foarte puține studii efectuate (a se vedea și rezumatul caracteristicilor produsului pentru efectele adverse).</w:t>
      </w:r>
    </w:p>
    <w:p w14:paraId="6BB3CF0C" w14:textId="77777777" w:rsidR="002130FD" w:rsidRPr="002130FD" w:rsidRDefault="002130FD" w:rsidP="002161CA">
      <w:pPr>
        <w:numPr>
          <w:ilvl w:val="0"/>
          <w:numId w:val="171"/>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tratamentul simptomatic</w:t>
      </w:r>
      <w:r w:rsidRPr="002130FD">
        <w:rPr>
          <w:rFonts w:ascii="Times New Roman" w:eastAsia="Times New Roman" w:hAnsi="Times New Roman" w:cs="Times New Roman"/>
          <w:sz w:val="24"/>
          <w:szCs w:val="24"/>
          <w:u w:color="000000"/>
          <w:bdr w:val="nil"/>
          <w:lang w:eastAsia="ro-RO"/>
        </w:rPr>
        <w:t>:</w:t>
      </w:r>
    </w:p>
    <w:p w14:paraId="6C1AE7BB" w14:textId="77777777" w:rsidR="002130FD" w:rsidRPr="002130FD" w:rsidRDefault="002130FD" w:rsidP="002161CA">
      <w:pPr>
        <w:numPr>
          <w:ilvl w:val="0"/>
          <w:numId w:val="174"/>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antiinflamatoarele nesteroidiene</w:t>
      </w:r>
      <w:r w:rsidRPr="002130FD">
        <w:rPr>
          <w:rFonts w:ascii="Times New Roman" w:eastAsia="Times New Roman" w:hAnsi="Times New Roman" w:cs="Times New Roman"/>
          <w:sz w:val="24"/>
          <w:szCs w:val="24"/>
          <w:u w:color="000000"/>
          <w:bdr w:val="nil"/>
          <w:lang w:eastAsia="ro-RO"/>
        </w:rPr>
        <w:t xml:space="preserve"> (AINS) sunt indicate în formele ușoare, ce nu pun în pericol viața pacientului, așa cum se întâmplă în afectarea de tip musculoscheletal, a sindromului febril sau a formelor ușoare de serozită. Din punct de vedere al riscului cardiovascular, naproxenul pare cel mai indicat. În ceea ce privește alte clase de AINS, merită menționat faptul ca ibuprofenul poate induce meningită aseptică, piroxicamul crește fotosensibilitatea, iar preparatele AINS de tip COX2-selective sunt de evitat în cazul sindromului antifosfolipidic. De asemenea, AINS pot determina efecte adverse hepatice (hepatocitoliză) sau renale (nefrită interstițială, sindrom nefrotic, necroză tubulară acută) ce fac dificilă diferențierea de patologia legată de activitatea bolii (a se vedea rezumatul caracteristicilor fiecărui produs).</w:t>
      </w:r>
    </w:p>
    <w:p w14:paraId="5F38F22F" w14:textId="77777777" w:rsidR="002130FD" w:rsidRPr="002130FD" w:rsidRDefault="002130FD" w:rsidP="002161CA">
      <w:pPr>
        <w:numPr>
          <w:ilvl w:val="0"/>
          <w:numId w:val="174"/>
        </w:numPr>
        <w:pBdr>
          <w:top w:val="nil"/>
          <w:left w:val="nil"/>
          <w:bottom w:val="nil"/>
          <w:right w:val="nil"/>
          <w:between w:val="nil"/>
          <w:bar w:val="nil"/>
        </w:pBdr>
        <w:spacing w:after="0" w:line="240" w:lineRule="auto"/>
        <w:ind w:left="1418" w:hanging="425"/>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în funcție de manifestările bolii (de exemplu tratament topic).</w:t>
      </w:r>
    </w:p>
    <w:p w14:paraId="26AFDBA7" w14:textId="77777777" w:rsidR="002130FD" w:rsidRPr="002130FD" w:rsidRDefault="002130FD" w:rsidP="002130FD">
      <w:pPr>
        <w:jc w:val="both"/>
        <w:rPr>
          <w:rFonts w:ascii="Calibri" w:eastAsia="Calibri" w:hAnsi="Calibri" w:cs="Times New Roman"/>
        </w:rPr>
      </w:pPr>
    </w:p>
    <w:p w14:paraId="438A62B2" w14:textId="77777777" w:rsidR="002130FD" w:rsidRPr="002130FD" w:rsidRDefault="002130FD" w:rsidP="002130FD">
      <w:pPr>
        <w:jc w:val="both"/>
        <w:rPr>
          <w:rFonts w:ascii="Calibri" w:eastAsia="Calibri" w:hAnsi="Calibri" w:cs="Times New Roman"/>
        </w:rPr>
      </w:pPr>
    </w:p>
    <w:p w14:paraId="2EF91604" w14:textId="77777777" w:rsidR="002130FD" w:rsidRPr="002130FD" w:rsidRDefault="002130FD" w:rsidP="002130FD">
      <w:pPr>
        <w:jc w:val="both"/>
        <w:rPr>
          <w:rFonts w:ascii="Calibri" w:eastAsia="Calibri" w:hAnsi="Calibri" w:cs="Times New Roman"/>
        </w:rPr>
      </w:pPr>
    </w:p>
    <w:p w14:paraId="24CE58A5" w14:textId="77777777" w:rsidR="002130FD" w:rsidRPr="002130FD" w:rsidRDefault="002130FD" w:rsidP="002130FD">
      <w:pPr>
        <w:jc w:val="both"/>
        <w:rPr>
          <w:rFonts w:ascii="Calibri" w:eastAsia="Calibri" w:hAnsi="Calibri" w:cs="Times New Roman"/>
        </w:rPr>
      </w:pPr>
    </w:p>
    <w:p w14:paraId="1B2B6678" w14:textId="77777777" w:rsidR="002130FD" w:rsidRPr="002130FD" w:rsidRDefault="002130FD" w:rsidP="002130FD">
      <w:pPr>
        <w:jc w:val="both"/>
        <w:rPr>
          <w:rFonts w:ascii="Times New Roman" w:eastAsia="Calibri" w:hAnsi="Times New Roman" w:cs="Times New Roman"/>
          <w:i/>
          <w:sz w:val="24"/>
          <w:szCs w:val="24"/>
        </w:rPr>
      </w:pPr>
      <w:r w:rsidRPr="002130FD">
        <w:rPr>
          <w:rFonts w:ascii="Times New Roman" w:eastAsia="Calibri" w:hAnsi="Times New Roman" w:cs="Times New Roman"/>
          <w:sz w:val="24"/>
          <w:szCs w:val="24"/>
        </w:rPr>
        <w:t xml:space="preserve">b) </w:t>
      </w:r>
      <w:r w:rsidRPr="002130FD">
        <w:rPr>
          <w:rFonts w:ascii="Times New Roman" w:eastAsia="Calibri" w:hAnsi="Times New Roman" w:cs="Times New Roman"/>
          <w:i/>
          <w:sz w:val="24"/>
          <w:szCs w:val="24"/>
        </w:rPr>
        <w:t>Terapii medicamentoase biologice în LES</w:t>
      </w:r>
    </w:p>
    <w:p w14:paraId="6B06C9BB" w14:textId="77777777" w:rsidR="002130FD" w:rsidRPr="002130FD" w:rsidRDefault="002130FD" w:rsidP="002161CA">
      <w:pPr>
        <w:numPr>
          <w:ilvl w:val="0"/>
          <w:numId w:val="171"/>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 xml:space="preserve">Belimumab (DCI: Belimumabum) </w:t>
      </w:r>
      <w:r w:rsidRPr="002130FD">
        <w:rPr>
          <w:rFonts w:ascii="Times New Roman" w:eastAsia="Times New Roman" w:hAnsi="Times New Roman" w:cs="Times New Roman"/>
          <w:sz w:val="24"/>
          <w:szCs w:val="24"/>
          <w:u w:color="000000"/>
          <w:bdr w:val="nil"/>
          <w:lang w:eastAsia="ro-RO"/>
        </w:rPr>
        <w:t>este un anticorp monoclonal complet uman din clasa IgG1 direcționat împotriva formei solubile a sBLyS („soluble B lymphocyte stimulator”), inhibând legarea acestuia de receptorii de pe suprafața limfocitului B, cu alterarea funcției și supraviețuirii limfocitului B, cu rol major în patogeneza LES. Belimumab este indicat ca tratament asociat terapiilor standard existente pentru pacienții adulți sau copii in varsta de peste 5 ani cu LES activ, cu autoanticorpi pozitivi, cu un grad înalt de activitate a bolii (de exemplu anticorpi anti-ADNdc pozitivi şi complement seric scăzut) în ciuda terapiei standard</w:t>
      </w:r>
      <w:r w:rsidRPr="002130FD">
        <w:rPr>
          <w:rFonts w:ascii="Times New Roman" w:eastAsia="Calibri" w:hAnsi="Times New Roman" w:cs="Times New Roman"/>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a bolii.</w:t>
      </w:r>
    </w:p>
    <w:p w14:paraId="7E75F75A" w14:textId="77777777" w:rsidR="002130FD" w:rsidRPr="002130FD" w:rsidRDefault="002130FD" w:rsidP="002161CA">
      <w:pPr>
        <w:numPr>
          <w:ilvl w:val="0"/>
          <w:numId w:val="171"/>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Anifrolumab (DCI: Anifrolumabum</w:t>
      </w:r>
      <w:r w:rsidRPr="002130FD">
        <w:rPr>
          <w:rFonts w:ascii="Times New Roman" w:eastAsia="Times New Roman" w:hAnsi="Times New Roman" w:cs="Times New Roman"/>
          <w:sz w:val="24"/>
          <w:szCs w:val="24"/>
          <w:u w:color="000000"/>
          <w:bdr w:val="nil"/>
          <w:lang w:eastAsia="ro-RO"/>
        </w:rPr>
        <w:t>) este un anticorp monoclonal complet uman de tip imunoglobulină G1 îndreptat împotriva subunității 1 a receptorului pentru interferonul de tip I (IFNAR1), ce determină inhibarea căilor de semnalizare ale IFN de tip I și, de asemena, internalizarea IFNAR1. Anifrolumab reglează dezechilibrul dintre imunitatea adaptivă și cea înnăscută prezentă în LES prin blocarea diferențierii plasmocitelor și normalizarea subseturile de celule T periferice. Anifrolumab este indicat ca terapie asociată în tratamentul pacienților adulți cu LES activ, moderat până la sever, cu titru pozitiv de anticorpi, în ciuda utilizării tratamentului standard.</w:t>
      </w:r>
    </w:p>
    <w:p w14:paraId="0E9F319B" w14:textId="77777777" w:rsidR="002130FD" w:rsidRPr="002130FD" w:rsidRDefault="002130FD" w:rsidP="002130FD">
      <w:pPr>
        <w:jc w:val="both"/>
        <w:rPr>
          <w:rFonts w:ascii="Times New Roman" w:eastAsia="Calibri" w:hAnsi="Times New Roman" w:cs="Times New Roman"/>
          <w:sz w:val="24"/>
          <w:szCs w:val="24"/>
        </w:rPr>
      </w:pPr>
    </w:p>
    <w:p w14:paraId="0C3ECF2B"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II.2. </w:t>
      </w:r>
      <w:r w:rsidRPr="002130FD">
        <w:rPr>
          <w:rFonts w:ascii="Times New Roman" w:eastAsia="Calibri" w:hAnsi="Times New Roman" w:cs="Times New Roman"/>
          <w:b/>
          <w:sz w:val="24"/>
          <w:szCs w:val="24"/>
        </w:rPr>
        <w:t>Evaluarea activității bolii</w:t>
      </w:r>
    </w:p>
    <w:p w14:paraId="609E5F83"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Evaluarea activității bolii este obligatorie pentru introducerea unui pacient în tratamentul cu belimumab </w:t>
      </w:r>
      <w:r w:rsidRPr="002130FD">
        <w:rPr>
          <w:rFonts w:ascii="Times New Roman" w:eastAsia="Calibri" w:hAnsi="Times New Roman" w:cs="Times New Roman"/>
          <w:color w:val="FF0000"/>
          <w:sz w:val="24"/>
          <w:szCs w:val="24"/>
        </w:rPr>
        <w:t>sau</w:t>
      </w:r>
      <w:r w:rsidRPr="002130FD">
        <w:rPr>
          <w:rFonts w:ascii="Times New Roman" w:eastAsia="Calibri" w:hAnsi="Times New Roman" w:cs="Times New Roman"/>
          <w:sz w:val="24"/>
          <w:szCs w:val="24"/>
        </w:rPr>
        <w:t xml:space="preserve"> </w:t>
      </w:r>
      <w:r w:rsidRPr="002130FD">
        <w:rPr>
          <w:rFonts w:ascii="Times New Roman" w:eastAsia="Calibri" w:hAnsi="Times New Roman" w:cs="Times New Roman"/>
          <w:color w:val="FF0000"/>
          <w:sz w:val="24"/>
          <w:szCs w:val="24"/>
        </w:rPr>
        <w:t>anifrolumab</w:t>
      </w:r>
      <w:r w:rsidRPr="002130FD">
        <w:rPr>
          <w:rFonts w:ascii="Times New Roman" w:eastAsia="Calibri" w:hAnsi="Times New Roman" w:cs="Times New Roman"/>
          <w:sz w:val="24"/>
          <w:szCs w:val="24"/>
        </w:rPr>
        <w:t xml:space="preserve"> și se face de către medicul de specialitate care utilizează în acest sens indicele SELENA-SLEDAI („Safety of Estrogens in Lupus National Assessement - Systemic Lupus Erythematosus Disease Activity Index” - Tabel 3). Se punctează dacă modificarea fiecărui domeniu de mai jos este prezentă în momentul vizitei sau în cele 30 zile anterioare acesteia. Scorul SELENA-SLEDAI total este suma scorurilor fiecărui domeniu și variază între 0-105, cu următoarea semnificație:</w:t>
      </w:r>
    </w:p>
    <w:p w14:paraId="36C31BF4" w14:textId="77777777" w:rsidR="002130FD" w:rsidRPr="002130FD" w:rsidRDefault="002130FD" w:rsidP="002161CA">
      <w:pPr>
        <w:numPr>
          <w:ilvl w:val="0"/>
          <w:numId w:val="164"/>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0: remisiune completă;</w:t>
      </w:r>
    </w:p>
    <w:p w14:paraId="761420AD" w14:textId="77777777" w:rsidR="002130FD" w:rsidRPr="002130FD" w:rsidRDefault="002130FD" w:rsidP="002161CA">
      <w:pPr>
        <w:numPr>
          <w:ilvl w:val="0"/>
          <w:numId w:val="164"/>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1-5: activitate ușoară;</w:t>
      </w:r>
    </w:p>
    <w:p w14:paraId="7D368029" w14:textId="77777777" w:rsidR="002130FD" w:rsidRPr="002130FD" w:rsidRDefault="002130FD" w:rsidP="002161CA">
      <w:pPr>
        <w:numPr>
          <w:ilvl w:val="0"/>
          <w:numId w:val="164"/>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6-10: activitate moderată;</w:t>
      </w:r>
    </w:p>
    <w:p w14:paraId="2EDF93B7" w14:textId="77777777" w:rsidR="002130FD" w:rsidRPr="002130FD" w:rsidRDefault="002130FD" w:rsidP="002161CA">
      <w:pPr>
        <w:numPr>
          <w:ilvl w:val="0"/>
          <w:numId w:val="164"/>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11-19: activitate intensă;</w:t>
      </w:r>
    </w:p>
    <w:p w14:paraId="7B2A8BBC" w14:textId="2A969BBE" w:rsidR="002130FD" w:rsidRDefault="002130FD" w:rsidP="002161CA">
      <w:pPr>
        <w:numPr>
          <w:ilvl w:val="0"/>
          <w:numId w:val="164"/>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&gt; 20: activitate foarte intensă.</w:t>
      </w:r>
    </w:p>
    <w:p w14:paraId="6EE17FD8" w14:textId="77777777" w:rsidR="009961F1" w:rsidRPr="009961F1" w:rsidRDefault="009961F1" w:rsidP="009961F1">
      <w:pPr>
        <w:spacing w:after="0" w:line="240" w:lineRule="auto"/>
        <w:ind w:left="851"/>
        <w:jc w:val="both"/>
        <w:rPr>
          <w:rFonts w:ascii="Times New Roman" w:eastAsia="Calibri" w:hAnsi="Times New Roman" w:cs="Times New Roman"/>
          <w:sz w:val="24"/>
          <w:szCs w:val="24"/>
        </w:rPr>
      </w:pPr>
    </w:p>
    <w:p w14:paraId="53AA00A6" w14:textId="2AFC5C7F"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Pentru evaluarea puseelor de activitate a LES („flare”), medicul de specialitate utilizează indicele SELENA-SLEDAI FI („Safety of Estrogens in Lupus National Assessement Systemic Lupus Erythematosus Disease Activity Index  Flare Index”) prezentat în Tabelul 4. Acest indice necesită și evaluarea subiectivă a medicului. În acest sens, pentru evaluarea activității bolii, medicul de specialitate utilizează PGA („Physician Global Assessement”), care este o scală analogă vizuală  cu 4 puncte (Figura 1): 0 reprezintă absența bolii; 1 reprezintă boală cu activitate ușoară; 2 reprezintă boală cu activitate moderată; 3 reprezi</w:t>
      </w:r>
      <w:r w:rsidR="009961F1">
        <w:rPr>
          <w:rFonts w:ascii="Times New Roman" w:eastAsia="Calibri" w:hAnsi="Times New Roman" w:cs="Times New Roman"/>
          <w:sz w:val="24"/>
          <w:szCs w:val="24"/>
        </w:rPr>
        <w:t>ntă boală cu activitate severă.</w:t>
      </w:r>
    </w:p>
    <w:tbl>
      <w:tblPr>
        <w:tblW w:w="9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
        <w:gridCol w:w="996"/>
        <w:gridCol w:w="561"/>
        <w:gridCol w:w="489"/>
        <w:gridCol w:w="1094"/>
        <w:gridCol w:w="1050"/>
        <w:gridCol w:w="1113"/>
        <w:gridCol w:w="1050"/>
        <w:gridCol w:w="2487"/>
        <w:gridCol w:w="692"/>
      </w:tblGrid>
      <w:tr w:rsidR="002130FD" w:rsidRPr="002130FD" w14:paraId="4632D437" w14:textId="77777777" w:rsidTr="009961F1">
        <w:trPr>
          <w:jc w:val="center"/>
        </w:trPr>
        <w:tc>
          <w:tcPr>
            <w:tcW w:w="9630" w:type="dxa"/>
            <w:gridSpan w:val="10"/>
            <w:tcBorders>
              <w:bottom w:val="nil"/>
            </w:tcBorders>
            <w:shd w:val="clear" w:color="auto" w:fill="auto"/>
          </w:tcPr>
          <w:p w14:paraId="3BE7C9BB" w14:textId="77777777" w:rsidR="002130FD" w:rsidRPr="002130FD" w:rsidRDefault="002130FD" w:rsidP="002130FD">
            <w:pPr>
              <w:spacing w:after="0" w:line="240" w:lineRule="auto"/>
              <w:rPr>
                <w:rFonts w:ascii="Times New Roman" w:eastAsia="Calibri" w:hAnsi="Times New Roman" w:cs="Times New Roman"/>
                <w:sz w:val="20"/>
                <w:szCs w:val="20"/>
              </w:rPr>
            </w:pPr>
            <w:r w:rsidRPr="002130FD">
              <w:rPr>
                <w:rFonts w:ascii="Times New Roman" w:eastAsia="Calibri" w:hAnsi="Times New Roman" w:cs="Times New Roman"/>
                <w:b/>
                <w:sz w:val="20"/>
                <w:szCs w:val="20"/>
              </w:rPr>
              <w:t>Figura</w:t>
            </w:r>
            <w:r w:rsidRPr="002130FD">
              <w:rPr>
                <w:rFonts w:ascii="Times New Roman" w:eastAsia="Calibri" w:hAnsi="Times New Roman" w:cs="Times New Roman"/>
                <w:sz w:val="20"/>
                <w:szCs w:val="20"/>
              </w:rPr>
              <w:t xml:space="preserve"> 1. Evaluarea activității bolii de către medic (PGA)</w:t>
            </w:r>
          </w:p>
        </w:tc>
      </w:tr>
      <w:tr w:rsidR="002130FD" w:rsidRPr="002130FD" w14:paraId="61A0F07F" w14:textId="77777777" w:rsidTr="009961F1">
        <w:trPr>
          <w:jc w:val="center"/>
        </w:trPr>
        <w:tc>
          <w:tcPr>
            <w:tcW w:w="9630" w:type="dxa"/>
            <w:gridSpan w:val="10"/>
            <w:tcBorders>
              <w:top w:val="nil"/>
              <w:bottom w:val="nil"/>
            </w:tcBorders>
            <w:shd w:val="clear" w:color="auto" w:fill="auto"/>
          </w:tcPr>
          <w:p w14:paraId="27040E2F" w14:textId="77777777" w:rsidR="002130FD" w:rsidRPr="002130FD" w:rsidRDefault="002130FD" w:rsidP="002130FD">
            <w:pPr>
              <w:spacing w:after="0" w:line="240" w:lineRule="auto"/>
              <w:rPr>
                <w:rFonts w:ascii="Times New Roman" w:eastAsia="Calibri" w:hAnsi="Times New Roman" w:cs="Times New Roman"/>
                <w:sz w:val="20"/>
                <w:szCs w:val="20"/>
              </w:rPr>
            </w:pPr>
          </w:p>
        </w:tc>
      </w:tr>
      <w:tr w:rsidR="002130FD" w:rsidRPr="002130FD" w14:paraId="3CD2D1CC" w14:textId="77777777" w:rsidTr="009961F1">
        <w:trPr>
          <w:jc w:val="center"/>
        </w:trPr>
        <w:tc>
          <w:tcPr>
            <w:tcW w:w="9630" w:type="dxa"/>
            <w:gridSpan w:val="10"/>
            <w:tcBorders>
              <w:top w:val="nil"/>
              <w:bottom w:val="nil"/>
            </w:tcBorders>
            <w:shd w:val="clear" w:color="auto" w:fill="auto"/>
          </w:tcPr>
          <w:p w14:paraId="763726A7" w14:textId="77777777" w:rsidR="002130FD" w:rsidRPr="002130FD" w:rsidRDefault="002130FD" w:rsidP="002130FD">
            <w:pPr>
              <w:spacing w:after="0" w:line="240" w:lineRule="auto"/>
              <w:rPr>
                <w:rFonts w:ascii="Times New Roman" w:eastAsia="Calibri" w:hAnsi="Times New Roman" w:cs="Times New Roman"/>
                <w:sz w:val="20"/>
                <w:szCs w:val="20"/>
              </w:rPr>
            </w:pPr>
            <w:r w:rsidRPr="002130FD">
              <w:rPr>
                <w:rFonts w:ascii="Times New Roman" w:eastAsia="Calibri" w:hAnsi="Times New Roman" w:cs="Times New Roman"/>
                <w:sz w:val="20"/>
                <w:szCs w:val="20"/>
              </w:rPr>
              <w:t>La această evaluare, activitatea LES este:</w:t>
            </w:r>
          </w:p>
        </w:tc>
      </w:tr>
      <w:tr w:rsidR="002130FD" w:rsidRPr="002130FD" w14:paraId="5B697F06" w14:textId="77777777" w:rsidTr="009961F1">
        <w:trPr>
          <w:jc w:val="center"/>
        </w:trPr>
        <w:tc>
          <w:tcPr>
            <w:tcW w:w="1099" w:type="dxa"/>
            <w:gridSpan w:val="2"/>
            <w:tcBorders>
              <w:top w:val="nil"/>
              <w:bottom w:val="nil"/>
              <w:right w:val="nil"/>
            </w:tcBorders>
            <w:shd w:val="clear" w:color="auto" w:fill="auto"/>
          </w:tcPr>
          <w:p w14:paraId="7EC76622"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1050" w:type="dxa"/>
            <w:gridSpan w:val="2"/>
            <w:tcBorders>
              <w:top w:val="nil"/>
              <w:left w:val="nil"/>
              <w:bottom w:val="nil"/>
              <w:right w:val="nil"/>
            </w:tcBorders>
            <w:shd w:val="clear" w:color="auto" w:fill="auto"/>
          </w:tcPr>
          <w:p w14:paraId="42A61D30"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1094" w:type="dxa"/>
            <w:tcBorders>
              <w:top w:val="nil"/>
              <w:left w:val="nil"/>
              <w:bottom w:val="nil"/>
              <w:right w:val="nil"/>
            </w:tcBorders>
            <w:shd w:val="clear" w:color="auto" w:fill="auto"/>
          </w:tcPr>
          <w:p w14:paraId="79BA9792"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1050" w:type="dxa"/>
            <w:tcBorders>
              <w:top w:val="nil"/>
              <w:left w:val="nil"/>
              <w:bottom w:val="nil"/>
              <w:right w:val="nil"/>
            </w:tcBorders>
            <w:shd w:val="clear" w:color="auto" w:fill="auto"/>
          </w:tcPr>
          <w:p w14:paraId="0655B3C7"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1113" w:type="dxa"/>
            <w:tcBorders>
              <w:top w:val="nil"/>
              <w:left w:val="nil"/>
              <w:bottom w:val="nil"/>
              <w:right w:val="nil"/>
            </w:tcBorders>
            <w:shd w:val="clear" w:color="auto" w:fill="auto"/>
          </w:tcPr>
          <w:p w14:paraId="20DE96F6"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1050" w:type="dxa"/>
            <w:tcBorders>
              <w:top w:val="nil"/>
              <w:left w:val="nil"/>
              <w:bottom w:val="nil"/>
              <w:right w:val="nil"/>
            </w:tcBorders>
            <w:shd w:val="clear" w:color="auto" w:fill="auto"/>
          </w:tcPr>
          <w:p w14:paraId="165221A7"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3174" w:type="dxa"/>
            <w:gridSpan w:val="2"/>
            <w:tcBorders>
              <w:top w:val="nil"/>
              <w:left w:val="nil"/>
              <w:bottom w:val="nil"/>
            </w:tcBorders>
            <w:shd w:val="clear" w:color="auto" w:fill="auto"/>
          </w:tcPr>
          <w:p w14:paraId="67E1C5AD" w14:textId="77777777" w:rsidR="002130FD" w:rsidRPr="002130FD" w:rsidRDefault="002130FD" w:rsidP="002130FD">
            <w:pPr>
              <w:spacing w:after="0" w:line="240" w:lineRule="auto"/>
              <w:rPr>
                <w:rFonts w:ascii="Times New Roman" w:eastAsia="Calibri" w:hAnsi="Times New Roman" w:cs="Times New Roman"/>
                <w:sz w:val="20"/>
                <w:szCs w:val="20"/>
              </w:rPr>
            </w:pPr>
          </w:p>
        </w:tc>
      </w:tr>
      <w:tr w:rsidR="002130FD" w:rsidRPr="002130FD" w14:paraId="20C733DD" w14:textId="77777777" w:rsidTr="009961F1">
        <w:trPr>
          <w:jc w:val="center"/>
        </w:trPr>
        <w:tc>
          <w:tcPr>
            <w:tcW w:w="1099" w:type="dxa"/>
            <w:gridSpan w:val="2"/>
            <w:tcBorders>
              <w:top w:val="nil"/>
              <w:bottom w:val="nil"/>
              <w:right w:val="nil"/>
            </w:tcBorders>
            <w:shd w:val="clear" w:color="auto" w:fill="auto"/>
          </w:tcPr>
          <w:p w14:paraId="793AE8B6"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1050" w:type="dxa"/>
            <w:gridSpan w:val="2"/>
            <w:tcBorders>
              <w:top w:val="nil"/>
              <w:left w:val="nil"/>
              <w:bottom w:val="nil"/>
              <w:right w:val="nil"/>
            </w:tcBorders>
            <w:shd w:val="clear" w:color="auto" w:fill="auto"/>
          </w:tcPr>
          <w:p w14:paraId="63FE7EA8" w14:textId="77777777" w:rsidR="002130FD" w:rsidRPr="002130FD" w:rsidRDefault="002130FD" w:rsidP="002130FD">
            <w:pPr>
              <w:spacing w:after="0" w:line="240" w:lineRule="auto"/>
              <w:rPr>
                <w:rFonts w:ascii="Times New Roman" w:eastAsia="Calibri" w:hAnsi="Times New Roman" w:cs="Times New Roman"/>
                <w:sz w:val="20"/>
                <w:szCs w:val="20"/>
              </w:rPr>
            </w:pPr>
            <w:r w:rsidRPr="002130FD">
              <w:rPr>
                <w:rFonts w:ascii="Times New Roman" w:eastAsia="Calibri" w:hAnsi="Times New Roman" w:cs="Times New Roman"/>
                <w:noProof/>
                <w:sz w:val="20"/>
                <w:szCs w:val="20"/>
                <w:lang w:val="en-US"/>
              </w:rPr>
              <mc:AlternateContent>
                <mc:Choice Requires="wps">
                  <w:drawing>
                    <wp:anchor distT="4294967292" distB="4294967292" distL="114300" distR="114300" simplePos="0" relativeHeight="251713536" behindDoc="0" locked="0" layoutInCell="1" allowOverlap="1" wp14:anchorId="1E33EEEB" wp14:editId="49617288">
                      <wp:simplePos x="0" y="0"/>
                      <wp:positionH relativeFrom="column">
                        <wp:posOffset>-442595</wp:posOffset>
                      </wp:positionH>
                      <wp:positionV relativeFrom="paragraph">
                        <wp:posOffset>78104</wp:posOffset>
                      </wp:positionV>
                      <wp:extent cx="4319905" cy="0"/>
                      <wp:effectExtent l="0" t="19050" r="444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990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6669C4" id="Straight Connector 10" o:spid="_x0000_s1026" style="position:absolute;flip:y;z-index:2517135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4.85pt,6.15pt" to="305.3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" strokecolor="windowText" strokeweight="2.25pt">
                      <v:stroke joinstyle="miter"/>
                      <o:lock v:ext="edit" shapetype="f"/>
                    </v:line>
                  </w:pict>
                </mc:Fallback>
              </mc:AlternateContent>
            </w:r>
          </w:p>
        </w:tc>
        <w:tc>
          <w:tcPr>
            <w:tcW w:w="1094" w:type="dxa"/>
            <w:tcBorders>
              <w:top w:val="nil"/>
              <w:left w:val="nil"/>
              <w:bottom w:val="nil"/>
              <w:right w:val="nil"/>
            </w:tcBorders>
            <w:shd w:val="clear" w:color="auto" w:fill="auto"/>
          </w:tcPr>
          <w:p w14:paraId="354DECA4"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1050" w:type="dxa"/>
            <w:tcBorders>
              <w:top w:val="nil"/>
              <w:left w:val="nil"/>
              <w:bottom w:val="nil"/>
              <w:right w:val="nil"/>
            </w:tcBorders>
            <w:shd w:val="clear" w:color="auto" w:fill="auto"/>
          </w:tcPr>
          <w:p w14:paraId="097C21DA"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1113" w:type="dxa"/>
            <w:tcBorders>
              <w:top w:val="nil"/>
              <w:left w:val="nil"/>
              <w:bottom w:val="nil"/>
              <w:right w:val="nil"/>
            </w:tcBorders>
            <w:shd w:val="clear" w:color="auto" w:fill="auto"/>
          </w:tcPr>
          <w:p w14:paraId="7A2B6C9A"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1050" w:type="dxa"/>
            <w:tcBorders>
              <w:top w:val="nil"/>
              <w:left w:val="nil"/>
              <w:bottom w:val="nil"/>
              <w:right w:val="nil"/>
            </w:tcBorders>
            <w:shd w:val="clear" w:color="auto" w:fill="auto"/>
          </w:tcPr>
          <w:p w14:paraId="6EF249ED"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3174" w:type="dxa"/>
            <w:gridSpan w:val="2"/>
            <w:tcBorders>
              <w:top w:val="nil"/>
              <w:left w:val="nil"/>
              <w:bottom w:val="nil"/>
            </w:tcBorders>
            <w:shd w:val="clear" w:color="auto" w:fill="auto"/>
          </w:tcPr>
          <w:p w14:paraId="600AFE35" w14:textId="77777777" w:rsidR="002130FD" w:rsidRPr="002130FD" w:rsidRDefault="002130FD" w:rsidP="002130FD">
            <w:pPr>
              <w:spacing w:after="0" w:line="240" w:lineRule="auto"/>
              <w:rPr>
                <w:rFonts w:ascii="Times New Roman" w:eastAsia="Calibri" w:hAnsi="Times New Roman" w:cs="Times New Roman"/>
                <w:sz w:val="20"/>
                <w:szCs w:val="20"/>
              </w:rPr>
            </w:pPr>
          </w:p>
        </w:tc>
      </w:tr>
      <w:tr w:rsidR="002130FD" w:rsidRPr="002130FD" w14:paraId="5FEE1A7E" w14:textId="77777777" w:rsidTr="009961F1">
        <w:trPr>
          <w:jc w:val="center"/>
        </w:trPr>
        <w:tc>
          <w:tcPr>
            <w:tcW w:w="1099" w:type="dxa"/>
            <w:gridSpan w:val="2"/>
            <w:tcBorders>
              <w:top w:val="nil"/>
              <w:bottom w:val="nil"/>
              <w:right w:val="nil"/>
            </w:tcBorders>
            <w:shd w:val="clear" w:color="auto" w:fill="auto"/>
          </w:tcPr>
          <w:p w14:paraId="151D5B63" w14:textId="77777777" w:rsidR="002130FD" w:rsidRPr="002130FD" w:rsidRDefault="002130FD" w:rsidP="002130FD">
            <w:pPr>
              <w:spacing w:after="0" w:line="240" w:lineRule="auto"/>
              <w:rPr>
                <w:rFonts w:ascii="Times New Roman" w:eastAsia="Calibri" w:hAnsi="Times New Roman" w:cs="Times New Roman"/>
                <w:sz w:val="20"/>
                <w:szCs w:val="20"/>
              </w:rPr>
            </w:pPr>
            <w:r w:rsidRPr="002130FD">
              <w:rPr>
                <w:rFonts w:ascii="Times New Roman" w:eastAsia="Calibri" w:hAnsi="Times New Roman" w:cs="Times New Roman"/>
                <w:sz w:val="20"/>
                <w:szCs w:val="20"/>
              </w:rPr>
              <w:t>0</w:t>
            </w:r>
          </w:p>
        </w:tc>
        <w:tc>
          <w:tcPr>
            <w:tcW w:w="1050" w:type="dxa"/>
            <w:gridSpan w:val="2"/>
            <w:tcBorders>
              <w:top w:val="nil"/>
              <w:left w:val="nil"/>
              <w:bottom w:val="nil"/>
              <w:right w:val="nil"/>
            </w:tcBorders>
            <w:shd w:val="clear" w:color="auto" w:fill="auto"/>
          </w:tcPr>
          <w:p w14:paraId="22479DFD"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1094" w:type="dxa"/>
            <w:tcBorders>
              <w:top w:val="nil"/>
              <w:left w:val="nil"/>
              <w:bottom w:val="nil"/>
              <w:right w:val="nil"/>
            </w:tcBorders>
            <w:shd w:val="clear" w:color="auto" w:fill="auto"/>
          </w:tcPr>
          <w:p w14:paraId="3084AF27" w14:textId="77777777" w:rsidR="002130FD" w:rsidRPr="002130FD" w:rsidRDefault="002130FD" w:rsidP="002130FD">
            <w:pPr>
              <w:spacing w:after="0" w:line="240" w:lineRule="auto"/>
              <w:rPr>
                <w:rFonts w:ascii="Times New Roman" w:eastAsia="Calibri" w:hAnsi="Times New Roman" w:cs="Times New Roman"/>
                <w:sz w:val="20"/>
                <w:szCs w:val="20"/>
              </w:rPr>
            </w:pPr>
            <w:r w:rsidRPr="002130FD">
              <w:rPr>
                <w:rFonts w:ascii="Times New Roman" w:eastAsia="Calibri" w:hAnsi="Times New Roman" w:cs="Times New Roman"/>
                <w:sz w:val="20"/>
                <w:szCs w:val="20"/>
              </w:rPr>
              <w:t>1</w:t>
            </w:r>
          </w:p>
        </w:tc>
        <w:tc>
          <w:tcPr>
            <w:tcW w:w="1050" w:type="dxa"/>
            <w:tcBorders>
              <w:top w:val="nil"/>
              <w:left w:val="nil"/>
              <w:bottom w:val="nil"/>
              <w:right w:val="nil"/>
            </w:tcBorders>
            <w:shd w:val="clear" w:color="auto" w:fill="auto"/>
          </w:tcPr>
          <w:p w14:paraId="6D404681"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1113" w:type="dxa"/>
            <w:tcBorders>
              <w:top w:val="nil"/>
              <w:left w:val="nil"/>
              <w:bottom w:val="nil"/>
              <w:right w:val="nil"/>
            </w:tcBorders>
            <w:shd w:val="clear" w:color="auto" w:fill="auto"/>
          </w:tcPr>
          <w:p w14:paraId="55DDACD0" w14:textId="77777777" w:rsidR="002130FD" w:rsidRPr="002130FD" w:rsidRDefault="002130FD" w:rsidP="002130FD">
            <w:pPr>
              <w:spacing w:after="0" w:line="240" w:lineRule="auto"/>
              <w:rPr>
                <w:rFonts w:ascii="Times New Roman" w:eastAsia="Calibri" w:hAnsi="Times New Roman" w:cs="Times New Roman"/>
                <w:sz w:val="20"/>
                <w:szCs w:val="20"/>
              </w:rPr>
            </w:pPr>
            <w:r w:rsidRPr="002130FD">
              <w:rPr>
                <w:rFonts w:ascii="Times New Roman" w:eastAsia="Calibri" w:hAnsi="Times New Roman" w:cs="Times New Roman"/>
                <w:sz w:val="20"/>
                <w:szCs w:val="20"/>
              </w:rPr>
              <w:t>2</w:t>
            </w:r>
          </w:p>
        </w:tc>
        <w:tc>
          <w:tcPr>
            <w:tcW w:w="1050" w:type="dxa"/>
            <w:tcBorders>
              <w:top w:val="nil"/>
              <w:left w:val="nil"/>
              <w:bottom w:val="nil"/>
              <w:right w:val="nil"/>
            </w:tcBorders>
            <w:shd w:val="clear" w:color="auto" w:fill="auto"/>
          </w:tcPr>
          <w:p w14:paraId="343B7B69"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3174" w:type="dxa"/>
            <w:gridSpan w:val="2"/>
            <w:tcBorders>
              <w:top w:val="nil"/>
              <w:left w:val="nil"/>
              <w:bottom w:val="nil"/>
            </w:tcBorders>
            <w:shd w:val="clear" w:color="auto" w:fill="auto"/>
          </w:tcPr>
          <w:p w14:paraId="68FA286F" w14:textId="77777777" w:rsidR="002130FD" w:rsidRPr="002130FD" w:rsidRDefault="002130FD" w:rsidP="002130FD">
            <w:pPr>
              <w:spacing w:after="0" w:line="240" w:lineRule="auto"/>
              <w:rPr>
                <w:rFonts w:ascii="Times New Roman" w:eastAsia="Calibri" w:hAnsi="Times New Roman" w:cs="Times New Roman"/>
                <w:sz w:val="20"/>
                <w:szCs w:val="20"/>
              </w:rPr>
            </w:pPr>
            <w:r w:rsidRPr="002130FD">
              <w:rPr>
                <w:rFonts w:ascii="Times New Roman" w:eastAsia="Calibri" w:hAnsi="Times New Roman" w:cs="Times New Roman"/>
                <w:sz w:val="20"/>
                <w:szCs w:val="20"/>
              </w:rPr>
              <w:t>3</w:t>
            </w:r>
          </w:p>
        </w:tc>
      </w:tr>
      <w:tr w:rsidR="002130FD" w:rsidRPr="002130FD" w14:paraId="7AFC5297" w14:textId="77777777" w:rsidTr="009961F1">
        <w:trPr>
          <w:jc w:val="center"/>
        </w:trPr>
        <w:tc>
          <w:tcPr>
            <w:tcW w:w="1099" w:type="dxa"/>
            <w:gridSpan w:val="2"/>
            <w:tcBorders>
              <w:top w:val="nil"/>
              <w:bottom w:val="nil"/>
              <w:right w:val="nil"/>
            </w:tcBorders>
            <w:shd w:val="clear" w:color="auto" w:fill="auto"/>
          </w:tcPr>
          <w:p w14:paraId="4C7B2A64" w14:textId="77777777" w:rsidR="002130FD" w:rsidRPr="002130FD" w:rsidRDefault="002130FD" w:rsidP="002130FD">
            <w:pPr>
              <w:spacing w:after="0" w:line="240" w:lineRule="auto"/>
              <w:rPr>
                <w:rFonts w:ascii="Times New Roman" w:eastAsia="Calibri" w:hAnsi="Times New Roman" w:cs="Times New Roman"/>
                <w:sz w:val="20"/>
                <w:szCs w:val="20"/>
              </w:rPr>
            </w:pPr>
            <w:r w:rsidRPr="002130FD">
              <w:rPr>
                <w:rFonts w:ascii="Times New Roman" w:eastAsia="Calibri" w:hAnsi="Times New Roman" w:cs="Times New Roman"/>
                <w:sz w:val="20"/>
                <w:szCs w:val="20"/>
              </w:rPr>
              <w:t>absentă</w:t>
            </w:r>
          </w:p>
        </w:tc>
        <w:tc>
          <w:tcPr>
            <w:tcW w:w="1050" w:type="dxa"/>
            <w:gridSpan w:val="2"/>
            <w:tcBorders>
              <w:top w:val="nil"/>
              <w:left w:val="nil"/>
              <w:bottom w:val="nil"/>
              <w:right w:val="nil"/>
            </w:tcBorders>
            <w:shd w:val="clear" w:color="auto" w:fill="auto"/>
          </w:tcPr>
          <w:p w14:paraId="2C161745"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1094" w:type="dxa"/>
            <w:tcBorders>
              <w:top w:val="nil"/>
              <w:left w:val="nil"/>
              <w:bottom w:val="nil"/>
              <w:right w:val="nil"/>
            </w:tcBorders>
            <w:shd w:val="clear" w:color="auto" w:fill="auto"/>
          </w:tcPr>
          <w:p w14:paraId="66877CD8" w14:textId="77777777" w:rsidR="002130FD" w:rsidRPr="002130FD" w:rsidRDefault="002130FD" w:rsidP="002130FD">
            <w:pPr>
              <w:spacing w:after="0" w:line="240" w:lineRule="auto"/>
              <w:rPr>
                <w:rFonts w:ascii="Times New Roman" w:eastAsia="Calibri" w:hAnsi="Times New Roman" w:cs="Times New Roman"/>
                <w:sz w:val="20"/>
                <w:szCs w:val="20"/>
              </w:rPr>
            </w:pPr>
            <w:r w:rsidRPr="002130FD">
              <w:rPr>
                <w:rFonts w:ascii="Times New Roman" w:eastAsia="Calibri" w:hAnsi="Times New Roman" w:cs="Times New Roman"/>
                <w:sz w:val="20"/>
                <w:szCs w:val="20"/>
              </w:rPr>
              <w:t>ușoară</w:t>
            </w:r>
          </w:p>
        </w:tc>
        <w:tc>
          <w:tcPr>
            <w:tcW w:w="1050" w:type="dxa"/>
            <w:tcBorders>
              <w:top w:val="nil"/>
              <w:left w:val="nil"/>
              <w:bottom w:val="nil"/>
              <w:right w:val="nil"/>
            </w:tcBorders>
            <w:shd w:val="clear" w:color="auto" w:fill="auto"/>
          </w:tcPr>
          <w:p w14:paraId="76CD4EF2"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1113" w:type="dxa"/>
            <w:tcBorders>
              <w:top w:val="nil"/>
              <w:left w:val="nil"/>
              <w:bottom w:val="nil"/>
              <w:right w:val="nil"/>
            </w:tcBorders>
            <w:shd w:val="clear" w:color="auto" w:fill="auto"/>
          </w:tcPr>
          <w:p w14:paraId="3D5A8A02" w14:textId="77777777" w:rsidR="002130FD" w:rsidRPr="002130FD" w:rsidRDefault="002130FD" w:rsidP="002130FD">
            <w:pPr>
              <w:spacing w:after="0" w:line="240" w:lineRule="auto"/>
              <w:rPr>
                <w:rFonts w:ascii="Times New Roman" w:eastAsia="Calibri" w:hAnsi="Times New Roman" w:cs="Times New Roman"/>
                <w:sz w:val="20"/>
                <w:szCs w:val="20"/>
              </w:rPr>
            </w:pPr>
            <w:r w:rsidRPr="002130FD">
              <w:rPr>
                <w:rFonts w:ascii="Times New Roman" w:eastAsia="Calibri" w:hAnsi="Times New Roman" w:cs="Times New Roman"/>
                <w:sz w:val="20"/>
                <w:szCs w:val="20"/>
              </w:rPr>
              <w:t>moderată</w:t>
            </w:r>
          </w:p>
        </w:tc>
        <w:tc>
          <w:tcPr>
            <w:tcW w:w="1050" w:type="dxa"/>
            <w:tcBorders>
              <w:top w:val="nil"/>
              <w:left w:val="nil"/>
              <w:bottom w:val="nil"/>
              <w:right w:val="nil"/>
            </w:tcBorders>
            <w:shd w:val="clear" w:color="auto" w:fill="auto"/>
          </w:tcPr>
          <w:p w14:paraId="556D3E60" w14:textId="77777777" w:rsidR="002130FD" w:rsidRPr="002130FD" w:rsidRDefault="002130FD" w:rsidP="002130FD">
            <w:pPr>
              <w:spacing w:after="0" w:line="240" w:lineRule="auto"/>
              <w:rPr>
                <w:rFonts w:ascii="Times New Roman" w:eastAsia="Calibri" w:hAnsi="Times New Roman" w:cs="Times New Roman"/>
                <w:sz w:val="20"/>
                <w:szCs w:val="20"/>
              </w:rPr>
            </w:pPr>
          </w:p>
        </w:tc>
        <w:tc>
          <w:tcPr>
            <w:tcW w:w="3174" w:type="dxa"/>
            <w:gridSpan w:val="2"/>
            <w:tcBorders>
              <w:top w:val="nil"/>
              <w:left w:val="nil"/>
              <w:bottom w:val="nil"/>
            </w:tcBorders>
            <w:shd w:val="clear" w:color="auto" w:fill="auto"/>
          </w:tcPr>
          <w:p w14:paraId="5AFEC5EF" w14:textId="77777777" w:rsidR="002130FD" w:rsidRPr="002130FD" w:rsidRDefault="002130FD" w:rsidP="002130FD">
            <w:pPr>
              <w:spacing w:after="0" w:line="240" w:lineRule="auto"/>
              <w:rPr>
                <w:rFonts w:ascii="Times New Roman" w:eastAsia="Calibri" w:hAnsi="Times New Roman" w:cs="Times New Roman"/>
                <w:sz w:val="20"/>
                <w:szCs w:val="20"/>
              </w:rPr>
            </w:pPr>
            <w:r w:rsidRPr="002130FD">
              <w:rPr>
                <w:rFonts w:ascii="Times New Roman" w:eastAsia="Calibri" w:hAnsi="Times New Roman" w:cs="Times New Roman"/>
                <w:sz w:val="20"/>
                <w:szCs w:val="20"/>
              </w:rPr>
              <w:t>severă</w:t>
            </w:r>
          </w:p>
        </w:tc>
      </w:tr>
      <w:tr w:rsidR="002130FD" w:rsidRPr="002130FD" w14:paraId="620D13F7" w14:textId="77777777" w:rsidTr="009961F1">
        <w:trPr>
          <w:jc w:val="center"/>
        </w:trPr>
        <w:tc>
          <w:tcPr>
            <w:tcW w:w="9630" w:type="dxa"/>
            <w:gridSpan w:val="10"/>
            <w:tcBorders>
              <w:top w:val="nil"/>
            </w:tcBorders>
            <w:shd w:val="clear" w:color="auto" w:fill="auto"/>
          </w:tcPr>
          <w:p w14:paraId="3CF952DB" w14:textId="77777777" w:rsidR="002130FD" w:rsidRPr="002130FD" w:rsidRDefault="002130FD" w:rsidP="002130FD">
            <w:pPr>
              <w:spacing w:after="0" w:line="240" w:lineRule="auto"/>
              <w:rPr>
                <w:rFonts w:ascii="Times New Roman" w:eastAsia="Calibri" w:hAnsi="Times New Roman" w:cs="Times New Roman"/>
                <w:i/>
                <w:sz w:val="20"/>
                <w:szCs w:val="20"/>
              </w:rPr>
            </w:pPr>
          </w:p>
          <w:p w14:paraId="43EC79E5" w14:textId="77777777" w:rsidR="002130FD" w:rsidRPr="002130FD" w:rsidRDefault="002130FD" w:rsidP="002130FD">
            <w:pPr>
              <w:spacing w:after="0" w:line="240" w:lineRule="auto"/>
              <w:rPr>
                <w:rFonts w:ascii="Times New Roman" w:eastAsia="Calibri" w:hAnsi="Times New Roman" w:cs="Times New Roman"/>
                <w:sz w:val="20"/>
                <w:szCs w:val="20"/>
              </w:rPr>
            </w:pPr>
            <w:r w:rsidRPr="002130FD">
              <w:rPr>
                <w:rFonts w:ascii="Times New Roman" w:eastAsia="Calibri" w:hAnsi="Times New Roman" w:cs="Times New Roman"/>
                <w:i/>
                <w:sz w:val="20"/>
                <w:szCs w:val="20"/>
              </w:rPr>
              <w:t>Instrucțiuni</w:t>
            </w:r>
            <w:r w:rsidRPr="002130FD">
              <w:rPr>
                <w:rFonts w:ascii="Times New Roman" w:eastAsia="Calibri" w:hAnsi="Times New Roman" w:cs="Times New Roman"/>
                <w:sz w:val="20"/>
                <w:szCs w:val="20"/>
              </w:rPr>
              <w:t>: în funcție de opinia dumneavoastră, bifați nivelul activității bolii prin marcarea unui semn pe linia de deasupra care are  12 cm; pentru a afla valoarea PGA, măsurați de la 0 până la marcajul dumneavoastră și împărțiți această valoare la 4.</w:t>
            </w:r>
          </w:p>
        </w:tc>
      </w:tr>
      <w:tr w:rsidR="002130FD" w:rsidRPr="002130FD" w14:paraId="350EAB1D" w14:textId="77777777" w:rsidTr="009961F1">
        <w:tblPrEx>
          <w:jc w:val="left"/>
        </w:tblPrEx>
        <w:trPr>
          <w:gridBefore w:val="1"/>
          <w:wBefore w:w="103" w:type="dxa"/>
        </w:trPr>
        <w:tc>
          <w:tcPr>
            <w:tcW w:w="9532" w:type="dxa"/>
            <w:gridSpan w:val="9"/>
            <w:tcBorders>
              <w:top w:val="nil"/>
              <w:left w:val="nil"/>
              <w:bottom w:val="single" w:sz="12" w:space="0" w:color="auto"/>
              <w:right w:val="nil"/>
            </w:tcBorders>
            <w:shd w:val="clear" w:color="auto" w:fill="auto"/>
          </w:tcPr>
          <w:p w14:paraId="367802C2" w14:textId="77777777" w:rsidR="002130FD" w:rsidRPr="002130FD" w:rsidRDefault="002130FD" w:rsidP="002130FD">
            <w:pPr>
              <w:rPr>
                <w:rFonts w:ascii="Times New Roman" w:eastAsia="Calibri" w:hAnsi="Times New Roman" w:cs="Times New Roman"/>
                <w:sz w:val="24"/>
                <w:szCs w:val="24"/>
              </w:rPr>
            </w:pPr>
            <w:r w:rsidRPr="002130FD">
              <w:rPr>
                <w:rFonts w:ascii="Times New Roman" w:eastAsia="Calibri" w:hAnsi="Times New Roman" w:cs="Times New Roman"/>
                <w:b/>
                <w:sz w:val="24"/>
                <w:szCs w:val="24"/>
              </w:rPr>
              <w:lastRenderedPageBreak/>
              <w:t>Tabel</w:t>
            </w:r>
            <w:r w:rsidRPr="002130FD">
              <w:rPr>
                <w:rFonts w:ascii="Times New Roman" w:eastAsia="Calibri" w:hAnsi="Times New Roman" w:cs="Times New Roman"/>
                <w:sz w:val="24"/>
                <w:szCs w:val="24"/>
              </w:rPr>
              <w:t xml:space="preserve"> 3. Indexul de activitate SELENA-SLEDAI pentru LES</w:t>
            </w:r>
          </w:p>
        </w:tc>
      </w:tr>
      <w:tr w:rsidR="002130FD" w:rsidRPr="002130FD" w14:paraId="090A8572" w14:textId="77777777" w:rsidTr="009961F1">
        <w:tblPrEx>
          <w:jc w:val="left"/>
        </w:tblPrEx>
        <w:trPr>
          <w:gridBefore w:val="1"/>
          <w:wBefore w:w="103" w:type="dxa"/>
        </w:trPr>
        <w:tc>
          <w:tcPr>
            <w:tcW w:w="1557" w:type="dxa"/>
            <w:gridSpan w:val="2"/>
            <w:tcBorders>
              <w:top w:val="single" w:sz="12" w:space="0" w:color="auto"/>
              <w:left w:val="nil"/>
              <w:right w:val="nil"/>
            </w:tcBorders>
            <w:shd w:val="clear" w:color="auto" w:fill="auto"/>
          </w:tcPr>
          <w:p w14:paraId="0EC73AD3" w14:textId="77777777" w:rsidR="002130FD" w:rsidRPr="002130FD" w:rsidRDefault="002130FD" w:rsidP="002130FD">
            <w:pPr>
              <w:rPr>
                <w:rFonts w:ascii="Times New Roman" w:eastAsia="Calibri" w:hAnsi="Times New Roman" w:cs="Times New Roman"/>
                <w:i/>
                <w:sz w:val="20"/>
                <w:szCs w:val="20"/>
              </w:rPr>
            </w:pPr>
          </w:p>
        </w:tc>
        <w:tc>
          <w:tcPr>
            <w:tcW w:w="7283" w:type="dxa"/>
            <w:gridSpan w:val="6"/>
            <w:tcBorders>
              <w:top w:val="single" w:sz="12" w:space="0" w:color="auto"/>
              <w:left w:val="nil"/>
              <w:right w:val="nil"/>
            </w:tcBorders>
            <w:shd w:val="clear" w:color="auto" w:fill="auto"/>
          </w:tcPr>
          <w:p w14:paraId="0C28687A" w14:textId="77777777" w:rsidR="002130FD" w:rsidRPr="002130FD" w:rsidRDefault="002130FD" w:rsidP="002130FD">
            <w:pPr>
              <w:rPr>
                <w:rFonts w:ascii="Times New Roman" w:eastAsia="Calibri" w:hAnsi="Times New Roman" w:cs="Times New Roman"/>
                <w:i/>
                <w:sz w:val="20"/>
                <w:szCs w:val="20"/>
              </w:rPr>
            </w:pPr>
            <w:r w:rsidRPr="002130FD">
              <w:rPr>
                <w:rFonts w:ascii="Times New Roman" w:eastAsia="Calibri" w:hAnsi="Times New Roman" w:cs="Times New Roman"/>
                <w:i/>
                <w:sz w:val="20"/>
                <w:szCs w:val="20"/>
              </w:rPr>
              <w:t>definiție</w:t>
            </w:r>
          </w:p>
        </w:tc>
        <w:tc>
          <w:tcPr>
            <w:tcW w:w="692" w:type="dxa"/>
            <w:tcBorders>
              <w:top w:val="single" w:sz="12" w:space="0" w:color="auto"/>
              <w:left w:val="nil"/>
              <w:right w:val="nil"/>
            </w:tcBorders>
            <w:shd w:val="clear" w:color="auto" w:fill="auto"/>
          </w:tcPr>
          <w:p w14:paraId="053CD02A" w14:textId="77777777" w:rsidR="002130FD" w:rsidRPr="002130FD" w:rsidRDefault="002130FD" w:rsidP="002130FD">
            <w:pPr>
              <w:rPr>
                <w:rFonts w:ascii="Times New Roman" w:eastAsia="Calibri" w:hAnsi="Times New Roman" w:cs="Times New Roman"/>
                <w:i/>
                <w:sz w:val="20"/>
                <w:szCs w:val="20"/>
              </w:rPr>
            </w:pPr>
            <w:r w:rsidRPr="002130FD">
              <w:rPr>
                <w:rFonts w:ascii="Times New Roman" w:eastAsia="Calibri" w:hAnsi="Times New Roman" w:cs="Times New Roman"/>
                <w:i/>
                <w:sz w:val="20"/>
                <w:szCs w:val="20"/>
              </w:rPr>
              <w:t>scor</w:t>
            </w:r>
          </w:p>
        </w:tc>
      </w:tr>
      <w:tr w:rsidR="002130FD" w:rsidRPr="002130FD" w14:paraId="60FB085F" w14:textId="77777777" w:rsidTr="009961F1">
        <w:tblPrEx>
          <w:jc w:val="left"/>
        </w:tblPrEx>
        <w:trPr>
          <w:gridBefore w:val="1"/>
          <w:wBefore w:w="103" w:type="dxa"/>
        </w:trPr>
        <w:tc>
          <w:tcPr>
            <w:tcW w:w="1557" w:type="dxa"/>
            <w:gridSpan w:val="2"/>
            <w:tcBorders>
              <w:left w:val="nil"/>
              <w:right w:val="nil"/>
            </w:tcBorders>
            <w:shd w:val="clear" w:color="auto" w:fill="auto"/>
          </w:tcPr>
          <w:p w14:paraId="73AE2401"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crize epileptice</w:t>
            </w:r>
          </w:p>
        </w:tc>
        <w:tc>
          <w:tcPr>
            <w:tcW w:w="7283" w:type="dxa"/>
            <w:gridSpan w:val="6"/>
            <w:tcBorders>
              <w:left w:val="nil"/>
              <w:right w:val="nil"/>
            </w:tcBorders>
            <w:shd w:val="clear" w:color="auto" w:fill="auto"/>
          </w:tcPr>
          <w:p w14:paraId="7AA8200A"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debut recent (în ultimele 10 zile). Se exclud  boli metabolice, infecții, medicamente, crize epileptice cauzate de leziuni nervoase ireversibile anterioare.</w:t>
            </w:r>
          </w:p>
        </w:tc>
        <w:tc>
          <w:tcPr>
            <w:tcW w:w="692" w:type="dxa"/>
            <w:tcBorders>
              <w:left w:val="nil"/>
              <w:right w:val="nil"/>
            </w:tcBorders>
            <w:shd w:val="clear" w:color="auto" w:fill="auto"/>
          </w:tcPr>
          <w:p w14:paraId="1EE20C35"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8</w:t>
            </w:r>
          </w:p>
        </w:tc>
      </w:tr>
      <w:tr w:rsidR="002130FD" w:rsidRPr="002130FD" w14:paraId="6B80F427" w14:textId="77777777" w:rsidTr="009961F1">
        <w:tblPrEx>
          <w:jc w:val="left"/>
        </w:tblPrEx>
        <w:trPr>
          <w:gridBefore w:val="1"/>
          <w:wBefore w:w="103" w:type="dxa"/>
        </w:trPr>
        <w:tc>
          <w:tcPr>
            <w:tcW w:w="1557" w:type="dxa"/>
            <w:gridSpan w:val="2"/>
            <w:tcBorders>
              <w:left w:val="nil"/>
              <w:right w:val="nil"/>
            </w:tcBorders>
            <w:shd w:val="clear" w:color="auto" w:fill="auto"/>
          </w:tcPr>
          <w:p w14:paraId="197D0A6B"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psihoză</w:t>
            </w:r>
          </w:p>
        </w:tc>
        <w:tc>
          <w:tcPr>
            <w:tcW w:w="7283" w:type="dxa"/>
            <w:gridSpan w:val="6"/>
            <w:tcBorders>
              <w:left w:val="nil"/>
              <w:right w:val="nil"/>
            </w:tcBorders>
            <w:shd w:val="clear" w:color="auto" w:fill="auto"/>
          </w:tcPr>
          <w:p w14:paraId="6D055F8B"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afectarea capacității de a funcționa în activitatea normală din cauza tulburării severe în percepția realității. Include: halucinații, incoerență, asociații marcat imprecise, conținut sărăcit al gândirii, gândire marcat ilogică, comportament bizar, catatonic sau dezorganizat. Se exclud uremia și medicamentele.</w:t>
            </w:r>
          </w:p>
        </w:tc>
        <w:tc>
          <w:tcPr>
            <w:tcW w:w="692" w:type="dxa"/>
            <w:tcBorders>
              <w:left w:val="nil"/>
              <w:right w:val="nil"/>
            </w:tcBorders>
            <w:shd w:val="clear" w:color="auto" w:fill="auto"/>
          </w:tcPr>
          <w:p w14:paraId="022F4BF0"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8</w:t>
            </w:r>
          </w:p>
        </w:tc>
      </w:tr>
      <w:tr w:rsidR="002130FD" w:rsidRPr="002130FD" w14:paraId="0983A679" w14:textId="77777777" w:rsidTr="009961F1">
        <w:tblPrEx>
          <w:jc w:val="left"/>
        </w:tblPrEx>
        <w:trPr>
          <w:gridBefore w:val="1"/>
          <w:wBefore w:w="103" w:type="dxa"/>
        </w:trPr>
        <w:tc>
          <w:tcPr>
            <w:tcW w:w="1557" w:type="dxa"/>
            <w:gridSpan w:val="2"/>
            <w:tcBorders>
              <w:left w:val="nil"/>
              <w:right w:val="nil"/>
            </w:tcBorders>
            <w:shd w:val="clear" w:color="auto" w:fill="auto"/>
          </w:tcPr>
          <w:p w14:paraId="4D235E53"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sindrom organic cerebral</w:t>
            </w:r>
          </w:p>
        </w:tc>
        <w:tc>
          <w:tcPr>
            <w:tcW w:w="7283" w:type="dxa"/>
            <w:gridSpan w:val="6"/>
            <w:tcBorders>
              <w:left w:val="nil"/>
              <w:right w:val="nil"/>
            </w:tcBorders>
            <w:shd w:val="clear" w:color="auto" w:fill="auto"/>
          </w:tcPr>
          <w:p w14:paraId="60E6851F"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funcție mentală alterată cu afectarea orientării, memoriei și a altor funcții intelectuale, cu debut rapid și caracteristici clinice fluctuante. Include: tulburarea stării de conștiență cu reducerea capacității de concentrare și incapacitatea de susținere a atenției la mediu, plus cel puțin 2 din următoarele: tulburare a percepției, vorbire incoerentă, insomnia sau somnolență diurnă, creșterea sau descreșterea activității psihomotorii. Se exclud boli metabolice, infecții și medicamentele.</w:t>
            </w:r>
          </w:p>
        </w:tc>
        <w:tc>
          <w:tcPr>
            <w:tcW w:w="692" w:type="dxa"/>
            <w:tcBorders>
              <w:left w:val="nil"/>
              <w:right w:val="nil"/>
            </w:tcBorders>
            <w:shd w:val="clear" w:color="auto" w:fill="auto"/>
          </w:tcPr>
          <w:p w14:paraId="068DD07B"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8</w:t>
            </w:r>
          </w:p>
        </w:tc>
      </w:tr>
      <w:tr w:rsidR="002130FD" w:rsidRPr="002130FD" w14:paraId="0924039C" w14:textId="77777777" w:rsidTr="009961F1">
        <w:tblPrEx>
          <w:jc w:val="left"/>
        </w:tblPrEx>
        <w:trPr>
          <w:gridBefore w:val="1"/>
          <w:wBefore w:w="103" w:type="dxa"/>
        </w:trPr>
        <w:tc>
          <w:tcPr>
            <w:tcW w:w="1557" w:type="dxa"/>
            <w:gridSpan w:val="2"/>
            <w:tcBorders>
              <w:left w:val="nil"/>
              <w:right w:val="nil"/>
            </w:tcBorders>
            <w:shd w:val="clear" w:color="auto" w:fill="auto"/>
          </w:tcPr>
          <w:p w14:paraId="1A9634BE"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afectare vizuală</w:t>
            </w:r>
          </w:p>
        </w:tc>
        <w:tc>
          <w:tcPr>
            <w:tcW w:w="7283" w:type="dxa"/>
            <w:gridSpan w:val="6"/>
            <w:tcBorders>
              <w:left w:val="nil"/>
              <w:right w:val="nil"/>
            </w:tcBorders>
            <w:shd w:val="clear" w:color="auto" w:fill="auto"/>
          </w:tcPr>
          <w:p w14:paraId="0F722D20"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modificări oculare și retiniene de lupus. Include: corpi citoizi, hemoragii retiniene, exudat seros sau hemoragii în coroidă, nevrită optică. Se exclud hipertensiunea arterială, medicamentele și infecțiile.</w:t>
            </w:r>
          </w:p>
        </w:tc>
        <w:tc>
          <w:tcPr>
            <w:tcW w:w="692" w:type="dxa"/>
            <w:tcBorders>
              <w:left w:val="nil"/>
              <w:right w:val="nil"/>
            </w:tcBorders>
            <w:shd w:val="clear" w:color="auto" w:fill="auto"/>
          </w:tcPr>
          <w:p w14:paraId="2A39DEC5"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8</w:t>
            </w:r>
          </w:p>
        </w:tc>
      </w:tr>
      <w:tr w:rsidR="002130FD" w:rsidRPr="002130FD" w14:paraId="16D55FC0" w14:textId="77777777" w:rsidTr="009961F1">
        <w:tblPrEx>
          <w:jc w:val="left"/>
        </w:tblPrEx>
        <w:trPr>
          <w:gridBefore w:val="1"/>
          <w:wBefore w:w="103" w:type="dxa"/>
        </w:trPr>
        <w:tc>
          <w:tcPr>
            <w:tcW w:w="1557" w:type="dxa"/>
            <w:gridSpan w:val="2"/>
            <w:tcBorders>
              <w:left w:val="nil"/>
              <w:right w:val="nil"/>
            </w:tcBorders>
            <w:shd w:val="clear" w:color="auto" w:fill="auto"/>
          </w:tcPr>
          <w:p w14:paraId="45AB3B8F"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afectarea nervilor cranieni</w:t>
            </w:r>
          </w:p>
        </w:tc>
        <w:tc>
          <w:tcPr>
            <w:tcW w:w="7283" w:type="dxa"/>
            <w:gridSpan w:val="6"/>
            <w:tcBorders>
              <w:left w:val="nil"/>
              <w:right w:val="nil"/>
            </w:tcBorders>
            <w:shd w:val="clear" w:color="auto" w:fill="auto"/>
          </w:tcPr>
          <w:p w14:paraId="5518A627"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neuropatie senzitivă sau  motorie a unui nerv cranian, cu debut recent. Include vertijul din cadrul bolii.</w:t>
            </w:r>
          </w:p>
        </w:tc>
        <w:tc>
          <w:tcPr>
            <w:tcW w:w="692" w:type="dxa"/>
            <w:tcBorders>
              <w:left w:val="nil"/>
              <w:right w:val="nil"/>
            </w:tcBorders>
            <w:shd w:val="clear" w:color="auto" w:fill="auto"/>
          </w:tcPr>
          <w:p w14:paraId="2DAB11C4"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8</w:t>
            </w:r>
          </w:p>
        </w:tc>
      </w:tr>
      <w:tr w:rsidR="002130FD" w:rsidRPr="002130FD" w14:paraId="42B45FAF" w14:textId="77777777" w:rsidTr="009961F1">
        <w:tblPrEx>
          <w:jc w:val="left"/>
        </w:tblPrEx>
        <w:trPr>
          <w:gridBefore w:val="1"/>
          <w:wBefore w:w="103" w:type="dxa"/>
        </w:trPr>
        <w:tc>
          <w:tcPr>
            <w:tcW w:w="1557" w:type="dxa"/>
            <w:gridSpan w:val="2"/>
            <w:tcBorders>
              <w:left w:val="nil"/>
              <w:right w:val="nil"/>
            </w:tcBorders>
            <w:shd w:val="clear" w:color="auto" w:fill="auto"/>
          </w:tcPr>
          <w:p w14:paraId="12C71089"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cefalee lupică</w:t>
            </w:r>
          </w:p>
        </w:tc>
        <w:tc>
          <w:tcPr>
            <w:tcW w:w="7283" w:type="dxa"/>
            <w:gridSpan w:val="6"/>
            <w:tcBorders>
              <w:left w:val="nil"/>
              <w:right w:val="nil"/>
            </w:tcBorders>
            <w:shd w:val="clear" w:color="auto" w:fill="auto"/>
          </w:tcPr>
          <w:p w14:paraId="79D20BB1"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cefalee severă persistentă: poate fi migrenoasă, dar trebuie să fie neresponsivă la analgezice opiacee.</w:t>
            </w:r>
          </w:p>
        </w:tc>
        <w:tc>
          <w:tcPr>
            <w:tcW w:w="692" w:type="dxa"/>
            <w:tcBorders>
              <w:left w:val="nil"/>
              <w:right w:val="nil"/>
            </w:tcBorders>
            <w:shd w:val="clear" w:color="auto" w:fill="auto"/>
          </w:tcPr>
          <w:p w14:paraId="0A1780C9"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8</w:t>
            </w:r>
          </w:p>
        </w:tc>
      </w:tr>
      <w:tr w:rsidR="002130FD" w:rsidRPr="002130FD" w14:paraId="28B0D254" w14:textId="77777777" w:rsidTr="009961F1">
        <w:tblPrEx>
          <w:jc w:val="left"/>
        </w:tblPrEx>
        <w:trPr>
          <w:gridBefore w:val="1"/>
          <w:wBefore w:w="103" w:type="dxa"/>
        </w:trPr>
        <w:tc>
          <w:tcPr>
            <w:tcW w:w="1557" w:type="dxa"/>
            <w:gridSpan w:val="2"/>
            <w:tcBorders>
              <w:left w:val="nil"/>
              <w:right w:val="nil"/>
            </w:tcBorders>
            <w:shd w:val="clear" w:color="auto" w:fill="auto"/>
          </w:tcPr>
          <w:p w14:paraId="1CC78D0D"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cerebrovascular</w:t>
            </w:r>
          </w:p>
        </w:tc>
        <w:tc>
          <w:tcPr>
            <w:tcW w:w="7283" w:type="dxa"/>
            <w:gridSpan w:val="6"/>
            <w:tcBorders>
              <w:left w:val="nil"/>
              <w:right w:val="nil"/>
            </w:tcBorders>
            <w:shd w:val="clear" w:color="auto" w:fill="auto"/>
          </w:tcPr>
          <w:p w14:paraId="2E7AE259"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accident cerebrovascular cu debut recent. Se exclude arterioscleroza și hipertensiunea arterială.</w:t>
            </w:r>
          </w:p>
        </w:tc>
        <w:tc>
          <w:tcPr>
            <w:tcW w:w="692" w:type="dxa"/>
            <w:tcBorders>
              <w:left w:val="nil"/>
              <w:right w:val="nil"/>
            </w:tcBorders>
            <w:shd w:val="clear" w:color="auto" w:fill="auto"/>
          </w:tcPr>
          <w:p w14:paraId="3B4A33C5"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8</w:t>
            </w:r>
          </w:p>
        </w:tc>
      </w:tr>
      <w:tr w:rsidR="002130FD" w:rsidRPr="002130FD" w14:paraId="5612CAB6" w14:textId="77777777" w:rsidTr="009961F1">
        <w:tblPrEx>
          <w:jc w:val="left"/>
        </w:tblPrEx>
        <w:trPr>
          <w:gridBefore w:val="1"/>
          <w:wBefore w:w="103" w:type="dxa"/>
        </w:trPr>
        <w:tc>
          <w:tcPr>
            <w:tcW w:w="1557" w:type="dxa"/>
            <w:gridSpan w:val="2"/>
            <w:tcBorders>
              <w:left w:val="nil"/>
              <w:right w:val="nil"/>
            </w:tcBorders>
            <w:shd w:val="clear" w:color="auto" w:fill="auto"/>
          </w:tcPr>
          <w:p w14:paraId="2281981D"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vasculită</w:t>
            </w:r>
          </w:p>
        </w:tc>
        <w:tc>
          <w:tcPr>
            <w:tcW w:w="7283" w:type="dxa"/>
            <w:gridSpan w:val="6"/>
            <w:tcBorders>
              <w:left w:val="nil"/>
              <w:right w:val="nil"/>
            </w:tcBorders>
            <w:shd w:val="clear" w:color="auto" w:fill="auto"/>
          </w:tcPr>
          <w:p w14:paraId="60B561D5"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ulcerație, gangrenă, noduli dureroși ai degetelor, infarct periunghial, hemoragie subunghială „în așchie” SAU vasculită confirmată prin biopsie sau prin angiogramă.</w:t>
            </w:r>
          </w:p>
        </w:tc>
        <w:tc>
          <w:tcPr>
            <w:tcW w:w="692" w:type="dxa"/>
            <w:tcBorders>
              <w:left w:val="nil"/>
              <w:right w:val="nil"/>
            </w:tcBorders>
            <w:shd w:val="clear" w:color="auto" w:fill="auto"/>
          </w:tcPr>
          <w:p w14:paraId="2977054B"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8</w:t>
            </w:r>
          </w:p>
        </w:tc>
      </w:tr>
      <w:tr w:rsidR="002130FD" w:rsidRPr="002130FD" w14:paraId="789ADA02" w14:textId="77777777" w:rsidTr="009961F1">
        <w:tblPrEx>
          <w:jc w:val="left"/>
        </w:tblPrEx>
        <w:trPr>
          <w:gridBefore w:val="1"/>
          <w:wBefore w:w="103" w:type="dxa"/>
        </w:trPr>
        <w:tc>
          <w:tcPr>
            <w:tcW w:w="1557" w:type="dxa"/>
            <w:gridSpan w:val="2"/>
            <w:tcBorders>
              <w:left w:val="nil"/>
              <w:right w:val="nil"/>
            </w:tcBorders>
            <w:shd w:val="clear" w:color="auto" w:fill="auto"/>
          </w:tcPr>
          <w:p w14:paraId="29F7985D"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artrită</w:t>
            </w:r>
          </w:p>
        </w:tc>
        <w:tc>
          <w:tcPr>
            <w:tcW w:w="7283" w:type="dxa"/>
            <w:gridSpan w:val="6"/>
            <w:tcBorders>
              <w:left w:val="nil"/>
              <w:right w:val="nil"/>
            </w:tcBorders>
            <w:shd w:val="clear" w:color="auto" w:fill="auto"/>
          </w:tcPr>
          <w:p w14:paraId="1A9CDF03"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cel puțin 2 articulații cu durere și semne de inflamație (durere la examinare, tumefacție sau lichid articular).</w:t>
            </w:r>
          </w:p>
        </w:tc>
        <w:tc>
          <w:tcPr>
            <w:tcW w:w="692" w:type="dxa"/>
            <w:tcBorders>
              <w:left w:val="nil"/>
              <w:right w:val="nil"/>
            </w:tcBorders>
            <w:shd w:val="clear" w:color="auto" w:fill="auto"/>
          </w:tcPr>
          <w:p w14:paraId="0F24248C"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4</w:t>
            </w:r>
          </w:p>
        </w:tc>
      </w:tr>
      <w:tr w:rsidR="002130FD" w:rsidRPr="002130FD" w14:paraId="6BB43D4A" w14:textId="77777777" w:rsidTr="009961F1">
        <w:tblPrEx>
          <w:jc w:val="left"/>
        </w:tblPrEx>
        <w:trPr>
          <w:gridBefore w:val="1"/>
          <w:wBefore w:w="103" w:type="dxa"/>
        </w:trPr>
        <w:tc>
          <w:tcPr>
            <w:tcW w:w="1557" w:type="dxa"/>
            <w:gridSpan w:val="2"/>
            <w:tcBorders>
              <w:left w:val="nil"/>
              <w:right w:val="nil"/>
            </w:tcBorders>
            <w:shd w:val="clear" w:color="auto" w:fill="auto"/>
          </w:tcPr>
          <w:p w14:paraId="67AA860C"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miozită</w:t>
            </w:r>
          </w:p>
        </w:tc>
        <w:tc>
          <w:tcPr>
            <w:tcW w:w="7283" w:type="dxa"/>
            <w:gridSpan w:val="6"/>
            <w:tcBorders>
              <w:left w:val="nil"/>
              <w:right w:val="nil"/>
            </w:tcBorders>
            <w:shd w:val="clear" w:color="auto" w:fill="auto"/>
          </w:tcPr>
          <w:p w14:paraId="13E55600"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durere sau slăbiciune a musculaturii proximale asociate cu nivele crescute de CK/aldolaza SAU modificări electromiografice de afectare musculară SAU miozită confirmată prin biopsie musculară.</w:t>
            </w:r>
          </w:p>
        </w:tc>
        <w:tc>
          <w:tcPr>
            <w:tcW w:w="692" w:type="dxa"/>
            <w:tcBorders>
              <w:left w:val="nil"/>
              <w:right w:val="nil"/>
            </w:tcBorders>
            <w:shd w:val="clear" w:color="auto" w:fill="auto"/>
          </w:tcPr>
          <w:p w14:paraId="6020F718"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4</w:t>
            </w:r>
          </w:p>
        </w:tc>
      </w:tr>
      <w:tr w:rsidR="002130FD" w:rsidRPr="002130FD" w14:paraId="5E1594CD" w14:textId="77777777" w:rsidTr="009961F1">
        <w:tblPrEx>
          <w:jc w:val="left"/>
        </w:tblPrEx>
        <w:trPr>
          <w:gridBefore w:val="1"/>
          <w:wBefore w:w="103" w:type="dxa"/>
        </w:trPr>
        <w:tc>
          <w:tcPr>
            <w:tcW w:w="1557" w:type="dxa"/>
            <w:gridSpan w:val="2"/>
            <w:tcBorders>
              <w:left w:val="nil"/>
              <w:right w:val="nil"/>
            </w:tcBorders>
            <w:shd w:val="clear" w:color="auto" w:fill="auto"/>
          </w:tcPr>
          <w:p w14:paraId="7CA03D76"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cilindri urinari</w:t>
            </w:r>
          </w:p>
        </w:tc>
        <w:tc>
          <w:tcPr>
            <w:tcW w:w="7283" w:type="dxa"/>
            <w:gridSpan w:val="6"/>
            <w:tcBorders>
              <w:left w:val="nil"/>
              <w:right w:val="nil"/>
            </w:tcBorders>
            <w:shd w:val="clear" w:color="auto" w:fill="auto"/>
          </w:tcPr>
          <w:p w14:paraId="2A62C231"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cilindri hematici, granulari sau  eritrocitari.</w:t>
            </w:r>
          </w:p>
        </w:tc>
        <w:tc>
          <w:tcPr>
            <w:tcW w:w="692" w:type="dxa"/>
            <w:tcBorders>
              <w:left w:val="nil"/>
              <w:right w:val="nil"/>
            </w:tcBorders>
            <w:shd w:val="clear" w:color="auto" w:fill="auto"/>
          </w:tcPr>
          <w:p w14:paraId="29C0A20D"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4</w:t>
            </w:r>
          </w:p>
        </w:tc>
      </w:tr>
      <w:tr w:rsidR="002130FD" w:rsidRPr="002130FD" w14:paraId="1D1DD7D0" w14:textId="77777777" w:rsidTr="009961F1">
        <w:tblPrEx>
          <w:jc w:val="left"/>
        </w:tblPrEx>
        <w:trPr>
          <w:gridBefore w:val="1"/>
          <w:wBefore w:w="103" w:type="dxa"/>
        </w:trPr>
        <w:tc>
          <w:tcPr>
            <w:tcW w:w="1557" w:type="dxa"/>
            <w:gridSpan w:val="2"/>
            <w:tcBorders>
              <w:left w:val="nil"/>
              <w:right w:val="nil"/>
            </w:tcBorders>
            <w:shd w:val="clear" w:color="auto" w:fill="auto"/>
          </w:tcPr>
          <w:p w14:paraId="7CFA72A2"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hematurie</w:t>
            </w:r>
          </w:p>
        </w:tc>
        <w:tc>
          <w:tcPr>
            <w:tcW w:w="7283" w:type="dxa"/>
            <w:gridSpan w:val="6"/>
            <w:tcBorders>
              <w:left w:val="nil"/>
              <w:right w:val="nil"/>
            </w:tcBorders>
            <w:shd w:val="clear" w:color="auto" w:fill="auto"/>
          </w:tcPr>
          <w:p w14:paraId="2F0C9BDA"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&gt; 5 eritrocite/câmp microscopic. Se exclud litiază, infecțiile, alte cauze.</w:t>
            </w:r>
          </w:p>
        </w:tc>
        <w:tc>
          <w:tcPr>
            <w:tcW w:w="692" w:type="dxa"/>
            <w:tcBorders>
              <w:left w:val="nil"/>
              <w:right w:val="nil"/>
            </w:tcBorders>
            <w:shd w:val="clear" w:color="auto" w:fill="auto"/>
          </w:tcPr>
          <w:p w14:paraId="11C3BC5C"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4</w:t>
            </w:r>
          </w:p>
        </w:tc>
      </w:tr>
      <w:tr w:rsidR="002130FD" w:rsidRPr="002130FD" w14:paraId="284146E7" w14:textId="77777777" w:rsidTr="009961F1">
        <w:tblPrEx>
          <w:jc w:val="left"/>
        </w:tblPrEx>
        <w:trPr>
          <w:gridBefore w:val="1"/>
          <w:wBefore w:w="103" w:type="dxa"/>
        </w:trPr>
        <w:tc>
          <w:tcPr>
            <w:tcW w:w="1557" w:type="dxa"/>
            <w:gridSpan w:val="2"/>
            <w:tcBorders>
              <w:left w:val="nil"/>
              <w:right w:val="nil"/>
            </w:tcBorders>
            <w:shd w:val="clear" w:color="auto" w:fill="auto"/>
          </w:tcPr>
          <w:p w14:paraId="1CECF77E"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proteinurie</w:t>
            </w:r>
          </w:p>
        </w:tc>
        <w:tc>
          <w:tcPr>
            <w:tcW w:w="7283" w:type="dxa"/>
            <w:gridSpan w:val="6"/>
            <w:tcBorders>
              <w:left w:val="nil"/>
              <w:right w:val="nil"/>
            </w:tcBorders>
            <w:shd w:val="clear" w:color="auto" w:fill="auto"/>
          </w:tcPr>
          <w:p w14:paraId="49DF67B4"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&gt; 0,5 g/24 de ore, debut nou sau creștere recentă cu 0,5/24 de ore.</w:t>
            </w:r>
          </w:p>
        </w:tc>
        <w:tc>
          <w:tcPr>
            <w:tcW w:w="692" w:type="dxa"/>
            <w:tcBorders>
              <w:left w:val="nil"/>
              <w:right w:val="nil"/>
            </w:tcBorders>
            <w:shd w:val="clear" w:color="auto" w:fill="auto"/>
          </w:tcPr>
          <w:p w14:paraId="1A9A3072"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4</w:t>
            </w:r>
          </w:p>
        </w:tc>
      </w:tr>
      <w:tr w:rsidR="002130FD" w:rsidRPr="002130FD" w14:paraId="0174CED8" w14:textId="77777777" w:rsidTr="009961F1">
        <w:tblPrEx>
          <w:jc w:val="left"/>
        </w:tblPrEx>
        <w:trPr>
          <w:gridBefore w:val="1"/>
          <w:wBefore w:w="103" w:type="dxa"/>
        </w:trPr>
        <w:tc>
          <w:tcPr>
            <w:tcW w:w="1557" w:type="dxa"/>
            <w:gridSpan w:val="2"/>
            <w:tcBorders>
              <w:left w:val="nil"/>
              <w:right w:val="nil"/>
            </w:tcBorders>
            <w:shd w:val="clear" w:color="auto" w:fill="auto"/>
          </w:tcPr>
          <w:p w14:paraId="6B49DC50"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piurie</w:t>
            </w:r>
          </w:p>
        </w:tc>
        <w:tc>
          <w:tcPr>
            <w:tcW w:w="7283" w:type="dxa"/>
            <w:gridSpan w:val="6"/>
            <w:tcBorders>
              <w:left w:val="nil"/>
              <w:right w:val="nil"/>
            </w:tcBorders>
            <w:shd w:val="clear" w:color="auto" w:fill="auto"/>
          </w:tcPr>
          <w:p w14:paraId="0B95E572"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&gt; 5 leucocite/câmp microscopic. Se exclude infecția.</w:t>
            </w:r>
          </w:p>
        </w:tc>
        <w:tc>
          <w:tcPr>
            <w:tcW w:w="692" w:type="dxa"/>
            <w:tcBorders>
              <w:left w:val="nil"/>
              <w:right w:val="nil"/>
            </w:tcBorders>
            <w:shd w:val="clear" w:color="auto" w:fill="auto"/>
          </w:tcPr>
          <w:p w14:paraId="10900DF9"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4</w:t>
            </w:r>
          </w:p>
        </w:tc>
      </w:tr>
      <w:tr w:rsidR="002130FD" w:rsidRPr="002130FD" w14:paraId="77EA7417" w14:textId="77777777" w:rsidTr="009961F1">
        <w:tblPrEx>
          <w:jc w:val="left"/>
        </w:tblPrEx>
        <w:trPr>
          <w:gridBefore w:val="1"/>
          <w:wBefore w:w="103" w:type="dxa"/>
        </w:trPr>
        <w:tc>
          <w:tcPr>
            <w:tcW w:w="1557" w:type="dxa"/>
            <w:gridSpan w:val="2"/>
            <w:tcBorders>
              <w:left w:val="nil"/>
              <w:right w:val="nil"/>
            </w:tcBorders>
            <w:shd w:val="clear" w:color="auto" w:fill="auto"/>
          </w:tcPr>
          <w:p w14:paraId="792FEF96"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rash</w:t>
            </w:r>
          </w:p>
        </w:tc>
        <w:tc>
          <w:tcPr>
            <w:tcW w:w="7283" w:type="dxa"/>
            <w:gridSpan w:val="6"/>
            <w:tcBorders>
              <w:left w:val="nil"/>
              <w:right w:val="nil"/>
            </w:tcBorders>
            <w:shd w:val="clear" w:color="auto" w:fill="auto"/>
          </w:tcPr>
          <w:p w14:paraId="3F073365"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rash lupic inflamator, nou apărut sau recurent.</w:t>
            </w:r>
          </w:p>
        </w:tc>
        <w:tc>
          <w:tcPr>
            <w:tcW w:w="692" w:type="dxa"/>
            <w:tcBorders>
              <w:left w:val="nil"/>
              <w:right w:val="nil"/>
            </w:tcBorders>
            <w:shd w:val="clear" w:color="auto" w:fill="auto"/>
          </w:tcPr>
          <w:p w14:paraId="124B9045"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2</w:t>
            </w:r>
          </w:p>
        </w:tc>
      </w:tr>
      <w:tr w:rsidR="002130FD" w:rsidRPr="002130FD" w14:paraId="327E51C5" w14:textId="77777777" w:rsidTr="009961F1">
        <w:tblPrEx>
          <w:jc w:val="left"/>
        </w:tblPrEx>
        <w:trPr>
          <w:gridBefore w:val="1"/>
          <w:wBefore w:w="103" w:type="dxa"/>
        </w:trPr>
        <w:tc>
          <w:tcPr>
            <w:tcW w:w="1557" w:type="dxa"/>
            <w:gridSpan w:val="2"/>
            <w:tcBorders>
              <w:left w:val="nil"/>
              <w:right w:val="nil"/>
            </w:tcBorders>
            <w:shd w:val="clear" w:color="auto" w:fill="auto"/>
          </w:tcPr>
          <w:p w14:paraId="78748C11"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alopecie</w:t>
            </w:r>
          </w:p>
        </w:tc>
        <w:tc>
          <w:tcPr>
            <w:tcW w:w="7283" w:type="dxa"/>
            <w:gridSpan w:val="6"/>
            <w:tcBorders>
              <w:left w:val="nil"/>
              <w:right w:val="nil"/>
            </w:tcBorders>
            <w:shd w:val="clear" w:color="auto" w:fill="auto"/>
          </w:tcPr>
          <w:p w14:paraId="2A2E4FCE"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cădere curentă a părului, anormală, localizată sau difuză.</w:t>
            </w:r>
          </w:p>
        </w:tc>
        <w:tc>
          <w:tcPr>
            <w:tcW w:w="692" w:type="dxa"/>
            <w:tcBorders>
              <w:left w:val="nil"/>
              <w:right w:val="nil"/>
            </w:tcBorders>
            <w:shd w:val="clear" w:color="auto" w:fill="auto"/>
          </w:tcPr>
          <w:p w14:paraId="4DB84D67"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2</w:t>
            </w:r>
          </w:p>
        </w:tc>
      </w:tr>
      <w:tr w:rsidR="002130FD" w:rsidRPr="002130FD" w14:paraId="1B5F19F7" w14:textId="77777777" w:rsidTr="009961F1">
        <w:tblPrEx>
          <w:jc w:val="left"/>
        </w:tblPrEx>
        <w:trPr>
          <w:gridBefore w:val="1"/>
          <w:wBefore w:w="103" w:type="dxa"/>
        </w:trPr>
        <w:tc>
          <w:tcPr>
            <w:tcW w:w="1557" w:type="dxa"/>
            <w:gridSpan w:val="2"/>
            <w:tcBorders>
              <w:left w:val="nil"/>
              <w:right w:val="nil"/>
            </w:tcBorders>
            <w:shd w:val="clear" w:color="auto" w:fill="auto"/>
          </w:tcPr>
          <w:p w14:paraId="3313B4E1"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ulcere  mucoase</w:t>
            </w:r>
          </w:p>
        </w:tc>
        <w:tc>
          <w:tcPr>
            <w:tcW w:w="7283" w:type="dxa"/>
            <w:gridSpan w:val="6"/>
            <w:tcBorders>
              <w:left w:val="nil"/>
              <w:right w:val="nil"/>
            </w:tcBorders>
            <w:shd w:val="clear" w:color="auto" w:fill="auto"/>
          </w:tcPr>
          <w:p w14:paraId="160EEC10"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 xml:space="preserve">ulcere nazale sau orale, nou apărute sau recurente  </w:t>
            </w:r>
          </w:p>
        </w:tc>
        <w:tc>
          <w:tcPr>
            <w:tcW w:w="692" w:type="dxa"/>
            <w:tcBorders>
              <w:left w:val="nil"/>
              <w:right w:val="nil"/>
            </w:tcBorders>
            <w:shd w:val="clear" w:color="auto" w:fill="auto"/>
          </w:tcPr>
          <w:p w14:paraId="5582F0DC"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2</w:t>
            </w:r>
          </w:p>
        </w:tc>
      </w:tr>
      <w:tr w:rsidR="002130FD" w:rsidRPr="002130FD" w14:paraId="7169F014" w14:textId="77777777" w:rsidTr="009961F1">
        <w:tblPrEx>
          <w:jc w:val="left"/>
        </w:tblPrEx>
        <w:trPr>
          <w:gridBefore w:val="1"/>
          <w:wBefore w:w="103" w:type="dxa"/>
        </w:trPr>
        <w:tc>
          <w:tcPr>
            <w:tcW w:w="1557" w:type="dxa"/>
            <w:gridSpan w:val="2"/>
            <w:tcBorders>
              <w:left w:val="nil"/>
              <w:right w:val="nil"/>
            </w:tcBorders>
            <w:shd w:val="clear" w:color="auto" w:fill="auto"/>
          </w:tcPr>
          <w:p w14:paraId="2A73DDBE"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pleurezie</w:t>
            </w:r>
          </w:p>
        </w:tc>
        <w:tc>
          <w:tcPr>
            <w:tcW w:w="7283" w:type="dxa"/>
            <w:gridSpan w:val="6"/>
            <w:tcBorders>
              <w:left w:val="nil"/>
              <w:right w:val="nil"/>
            </w:tcBorders>
            <w:shd w:val="clear" w:color="auto" w:fill="auto"/>
          </w:tcPr>
          <w:p w14:paraId="3A0E80AA"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durere toracică pleuritică clasică și severă SAU frecătură pleurală SAU pleurezie SAU pahipleurită recentă cauzată de boală.</w:t>
            </w:r>
          </w:p>
        </w:tc>
        <w:tc>
          <w:tcPr>
            <w:tcW w:w="692" w:type="dxa"/>
            <w:tcBorders>
              <w:left w:val="nil"/>
              <w:right w:val="nil"/>
            </w:tcBorders>
            <w:shd w:val="clear" w:color="auto" w:fill="auto"/>
          </w:tcPr>
          <w:p w14:paraId="596ACDE7"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2</w:t>
            </w:r>
          </w:p>
        </w:tc>
      </w:tr>
      <w:tr w:rsidR="002130FD" w:rsidRPr="002130FD" w14:paraId="338EC2A7" w14:textId="77777777" w:rsidTr="009961F1">
        <w:tblPrEx>
          <w:jc w:val="left"/>
        </w:tblPrEx>
        <w:trPr>
          <w:gridBefore w:val="1"/>
          <w:wBefore w:w="103" w:type="dxa"/>
        </w:trPr>
        <w:tc>
          <w:tcPr>
            <w:tcW w:w="1557" w:type="dxa"/>
            <w:gridSpan w:val="2"/>
            <w:tcBorders>
              <w:left w:val="nil"/>
              <w:right w:val="nil"/>
            </w:tcBorders>
            <w:shd w:val="clear" w:color="auto" w:fill="auto"/>
          </w:tcPr>
          <w:p w14:paraId="082C3551"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pericardită</w:t>
            </w:r>
          </w:p>
        </w:tc>
        <w:tc>
          <w:tcPr>
            <w:tcW w:w="7283" w:type="dxa"/>
            <w:gridSpan w:val="6"/>
            <w:tcBorders>
              <w:left w:val="nil"/>
              <w:right w:val="nil"/>
            </w:tcBorders>
            <w:shd w:val="clear" w:color="auto" w:fill="auto"/>
          </w:tcPr>
          <w:p w14:paraId="23061641"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durere pericardică clasică și severă SAU frecătură pericardică SAU lichid pericardic SAU confirmare electrocardiografică.</w:t>
            </w:r>
          </w:p>
        </w:tc>
        <w:tc>
          <w:tcPr>
            <w:tcW w:w="692" w:type="dxa"/>
            <w:tcBorders>
              <w:left w:val="nil"/>
              <w:right w:val="nil"/>
            </w:tcBorders>
            <w:shd w:val="clear" w:color="auto" w:fill="auto"/>
          </w:tcPr>
          <w:p w14:paraId="3B908D70"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2</w:t>
            </w:r>
          </w:p>
        </w:tc>
      </w:tr>
      <w:tr w:rsidR="002130FD" w:rsidRPr="002130FD" w14:paraId="76118A67" w14:textId="77777777" w:rsidTr="009961F1">
        <w:tblPrEx>
          <w:jc w:val="left"/>
        </w:tblPrEx>
        <w:trPr>
          <w:gridBefore w:val="1"/>
          <w:wBefore w:w="103" w:type="dxa"/>
        </w:trPr>
        <w:tc>
          <w:tcPr>
            <w:tcW w:w="1557" w:type="dxa"/>
            <w:gridSpan w:val="2"/>
            <w:tcBorders>
              <w:left w:val="nil"/>
              <w:right w:val="nil"/>
            </w:tcBorders>
            <w:shd w:val="clear" w:color="auto" w:fill="auto"/>
          </w:tcPr>
          <w:p w14:paraId="06CE46A8"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complement scăzut</w:t>
            </w:r>
          </w:p>
        </w:tc>
        <w:tc>
          <w:tcPr>
            <w:tcW w:w="7283" w:type="dxa"/>
            <w:gridSpan w:val="6"/>
            <w:tcBorders>
              <w:left w:val="nil"/>
              <w:right w:val="nil"/>
            </w:tcBorders>
            <w:shd w:val="clear" w:color="auto" w:fill="auto"/>
          </w:tcPr>
          <w:p w14:paraId="3279412C"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scăderea nivelului de CH50, C3 sau C4 sub nivelul de referință al laboratorului</w:t>
            </w:r>
          </w:p>
        </w:tc>
        <w:tc>
          <w:tcPr>
            <w:tcW w:w="692" w:type="dxa"/>
            <w:tcBorders>
              <w:left w:val="nil"/>
              <w:right w:val="nil"/>
            </w:tcBorders>
            <w:shd w:val="clear" w:color="auto" w:fill="auto"/>
          </w:tcPr>
          <w:p w14:paraId="70C5F9EA"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2</w:t>
            </w:r>
          </w:p>
        </w:tc>
      </w:tr>
      <w:tr w:rsidR="002130FD" w:rsidRPr="002130FD" w14:paraId="6824718A" w14:textId="77777777" w:rsidTr="009961F1">
        <w:tblPrEx>
          <w:jc w:val="left"/>
        </w:tblPrEx>
        <w:trPr>
          <w:gridBefore w:val="1"/>
          <w:wBefore w:w="103" w:type="dxa"/>
        </w:trPr>
        <w:tc>
          <w:tcPr>
            <w:tcW w:w="1557" w:type="dxa"/>
            <w:gridSpan w:val="2"/>
            <w:tcBorders>
              <w:left w:val="nil"/>
              <w:right w:val="nil"/>
            </w:tcBorders>
            <w:shd w:val="clear" w:color="auto" w:fill="auto"/>
          </w:tcPr>
          <w:p w14:paraId="19F79020"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lastRenderedPageBreak/>
              <w:t>creșterea legării ADN</w:t>
            </w:r>
          </w:p>
        </w:tc>
        <w:tc>
          <w:tcPr>
            <w:tcW w:w="7283" w:type="dxa"/>
            <w:gridSpan w:val="6"/>
            <w:tcBorders>
              <w:left w:val="nil"/>
              <w:right w:val="nil"/>
            </w:tcBorders>
            <w:shd w:val="clear" w:color="auto" w:fill="auto"/>
          </w:tcPr>
          <w:p w14:paraId="4960D518"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&gt;25% legare a ADN-ului la testul Farr SAU peste nivelul de referință al laboratorului prin ELISA</w:t>
            </w:r>
          </w:p>
        </w:tc>
        <w:tc>
          <w:tcPr>
            <w:tcW w:w="692" w:type="dxa"/>
            <w:tcBorders>
              <w:left w:val="nil"/>
              <w:right w:val="nil"/>
            </w:tcBorders>
            <w:shd w:val="clear" w:color="auto" w:fill="auto"/>
          </w:tcPr>
          <w:p w14:paraId="22DBDFC6"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2</w:t>
            </w:r>
          </w:p>
        </w:tc>
      </w:tr>
      <w:tr w:rsidR="002130FD" w:rsidRPr="002130FD" w14:paraId="458A6E4B" w14:textId="77777777" w:rsidTr="009961F1">
        <w:tblPrEx>
          <w:jc w:val="left"/>
        </w:tblPrEx>
        <w:trPr>
          <w:gridBefore w:val="1"/>
          <w:wBefore w:w="103" w:type="dxa"/>
        </w:trPr>
        <w:tc>
          <w:tcPr>
            <w:tcW w:w="1557" w:type="dxa"/>
            <w:gridSpan w:val="2"/>
            <w:tcBorders>
              <w:left w:val="nil"/>
              <w:right w:val="nil"/>
            </w:tcBorders>
            <w:shd w:val="clear" w:color="auto" w:fill="auto"/>
          </w:tcPr>
          <w:p w14:paraId="5924A754"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 xml:space="preserve">febră </w:t>
            </w:r>
          </w:p>
        </w:tc>
        <w:tc>
          <w:tcPr>
            <w:tcW w:w="7283" w:type="dxa"/>
            <w:gridSpan w:val="6"/>
            <w:tcBorders>
              <w:left w:val="nil"/>
              <w:right w:val="nil"/>
            </w:tcBorders>
            <w:shd w:val="clear" w:color="auto" w:fill="auto"/>
          </w:tcPr>
          <w:p w14:paraId="6E342671"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&gt; 38° C în absența infecției.</w:t>
            </w:r>
          </w:p>
        </w:tc>
        <w:tc>
          <w:tcPr>
            <w:tcW w:w="692" w:type="dxa"/>
            <w:tcBorders>
              <w:left w:val="nil"/>
              <w:right w:val="nil"/>
            </w:tcBorders>
            <w:shd w:val="clear" w:color="auto" w:fill="auto"/>
          </w:tcPr>
          <w:p w14:paraId="61B3B097"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1</w:t>
            </w:r>
          </w:p>
        </w:tc>
      </w:tr>
      <w:tr w:rsidR="002130FD" w:rsidRPr="002130FD" w14:paraId="34AB69BB" w14:textId="77777777" w:rsidTr="009961F1">
        <w:tblPrEx>
          <w:jc w:val="left"/>
        </w:tblPrEx>
        <w:trPr>
          <w:gridBefore w:val="1"/>
          <w:wBefore w:w="103" w:type="dxa"/>
        </w:trPr>
        <w:tc>
          <w:tcPr>
            <w:tcW w:w="1557" w:type="dxa"/>
            <w:gridSpan w:val="2"/>
            <w:tcBorders>
              <w:left w:val="nil"/>
              <w:right w:val="nil"/>
            </w:tcBorders>
            <w:shd w:val="clear" w:color="auto" w:fill="auto"/>
          </w:tcPr>
          <w:p w14:paraId="6AB5FA20"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trombocitopenie</w:t>
            </w:r>
          </w:p>
        </w:tc>
        <w:tc>
          <w:tcPr>
            <w:tcW w:w="7283" w:type="dxa"/>
            <w:gridSpan w:val="6"/>
            <w:tcBorders>
              <w:left w:val="nil"/>
              <w:right w:val="nil"/>
            </w:tcBorders>
            <w:shd w:val="clear" w:color="auto" w:fill="auto"/>
          </w:tcPr>
          <w:p w14:paraId="62499762"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&lt; 100000/mm</w:t>
            </w:r>
            <w:r w:rsidRPr="002130FD">
              <w:rPr>
                <w:rFonts w:ascii="Times New Roman" w:eastAsia="Calibri" w:hAnsi="Times New Roman" w:cs="Times New Roman"/>
                <w:sz w:val="20"/>
                <w:szCs w:val="20"/>
                <w:vertAlign w:val="superscript"/>
              </w:rPr>
              <w:t>3</w:t>
            </w:r>
          </w:p>
        </w:tc>
        <w:tc>
          <w:tcPr>
            <w:tcW w:w="692" w:type="dxa"/>
            <w:tcBorders>
              <w:left w:val="nil"/>
              <w:right w:val="nil"/>
            </w:tcBorders>
            <w:shd w:val="clear" w:color="auto" w:fill="auto"/>
          </w:tcPr>
          <w:p w14:paraId="3C416ACF"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1</w:t>
            </w:r>
          </w:p>
        </w:tc>
      </w:tr>
      <w:tr w:rsidR="002130FD" w:rsidRPr="002130FD" w14:paraId="2B6B24AB" w14:textId="77777777" w:rsidTr="009961F1">
        <w:tblPrEx>
          <w:jc w:val="left"/>
        </w:tblPrEx>
        <w:trPr>
          <w:gridBefore w:val="1"/>
          <w:wBefore w:w="103" w:type="dxa"/>
        </w:trPr>
        <w:tc>
          <w:tcPr>
            <w:tcW w:w="1557" w:type="dxa"/>
            <w:gridSpan w:val="2"/>
            <w:tcBorders>
              <w:left w:val="nil"/>
              <w:bottom w:val="single" w:sz="12" w:space="0" w:color="auto"/>
              <w:right w:val="nil"/>
            </w:tcBorders>
            <w:shd w:val="clear" w:color="auto" w:fill="auto"/>
          </w:tcPr>
          <w:p w14:paraId="2F03FF4E"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leucopenie</w:t>
            </w:r>
          </w:p>
        </w:tc>
        <w:tc>
          <w:tcPr>
            <w:tcW w:w="7283" w:type="dxa"/>
            <w:gridSpan w:val="6"/>
            <w:tcBorders>
              <w:left w:val="nil"/>
              <w:bottom w:val="single" w:sz="12" w:space="0" w:color="auto"/>
              <w:right w:val="nil"/>
            </w:tcBorders>
            <w:shd w:val="clear" w:color="auto" w:fill="auto"/>
          </w:tcPr>
          <w:p w14:paraId="47661B0B"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&lt; 3000/mm</w:t>
            </w:r>
            <w:r w:rsidRPr="002130FD">
              <w:rPr>
                <w:rFonts w:ascii="Times New Roman" w:eastAsia="Calibri" w:hAnsi="Times New Roman" w:cs="Times New Roman"/>
                <w:sz w:val="20"/>
                <w:szCs w:val="20"/>
                <w:vertAlign w:val="superscript"/>
              </w:rPr>
              <w:t>3</w:t>
            </w:r>
            <w:r w:rsidRPr="002130FD">
              <w:rPr>
                <w:rFonts w:ascii="Times New Roman" w:eastAsia="Calibri" w:hAnsi="Times New Roman" w:cs="Times New Roman"/>
                <w:sz w:val="20"/>
                <w:szCs w:val="20"/>
              </w:rPr>
              <w:t xml:space="preserve"> în absența unor cauze medicamentoase.</w:t>
            </w:r>
          </w:p>
        </w:tc>
        <w:tc>
          <w:tcPr>
            <w:tcW w:w="692" w:type="dxa"/>
            <w:tcBorders>
              <w:left w:val="nil"/>
              <w:bottom w:val="single" w:sz="12" w:space="0" w:color="auto"/>
              <w:right w:val="nil"/>
            </w:tcBorders>
            <w:shd w:val="clear" w:color="auto" w:fill="auto"/>
          </w:tcPr>
          <w:p w14:paraId="33284851"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1</w:t>
            </w:r>
          </w:p>
        </w:tc>
      </w:tr>
    </w:tbl>
    <w:p w14:paraId="3700B424" w14:textId="77777777" w:rsidR="002130FD" w:rsidRPr="002130FD" w:rsidRDefault="002130FD" w:rsidP="002130FD">
      <w:pPr>
        <w:rPr>
          <w:rFonts w:ascii="Times New Roman" w:eastAsia="Calibri" w:hAnsi="Times New Roman" w:cs="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8"/>
        <w:gridCol w:w="4784"/>
      </w:tblGrid>
      <w:tr w:rsidR="002130FD" w:rsidRPr="002130FD" w14:paraId="24455C43" w14:textId="77777777" w:rsidTr="002130FD">
        <w:tc>
          <w:tcPr>
            <w:tcW w:w="10206" w:type="dxa"/>
            <w:gridSpan w:val="2"/>
            <w:tcBorders>
              <w:top w:val="nil"/>
              <w:left w:val="nil"/>
              <w:right w:val="nil"/>
            </w:tcBorders>
            <w:shd w:val="clear" w:color="auto" w:fill="auto"/>
          </w:tcPr>
          <w:p w14:paraId="310B944F" w14:textId="77777777" w:rsidR="002130FD" w:rsidRPr="002130FD" w:rsidRDefault="002130FD" w:rsidP="002130FD">
            <w:pPr>
              <w:rPr>
                <w:rFonts w:ascii="Times New Roman" w:eastAsia="Calibri" w:hAnsi="Times New Roman" w:cs="Times New Roman"/>
                <w:sz w:val="24"/>
                <w:szCs w:val="24"/>
              </w:rPr>
            </w:pPr>
            <w:r w:rsidRPr="002130FD">
              <w:rPr>
                <w:rFonts w:ascii="Times New Roman" w:eastAsia="Calibri" w:hAnsi="Times New Roman" w:cs="Times New Roman"/>
                <w:b/>
                <w:sz w:val="24"/>
                <w:szCs w:val="24"/>
              </w:rPr>
              <w:t>Tabel</w:t>
            </w:r>
            <w:r w:rsidRPr="002130FD">
              <w:rPr>
                <w:rFonts w:ascii="Times New Roman" w:eastAsia="Calibri" w:hAnsi="Times New Roman" w:cs="Times New Roman"/>
                <w:sz w:val="24"/>
                <w:szCs w:val="24"/>
              </w:rPr>
              <w:t xml:space="preserve"> 4. Indexul  de puseu de boală SELENA-SLEDAI FI pentru LES</w:t>
            </w:r>
          </w:p>
        </w:tc>
      </w:tr>
      <w:tr w:rsidR="002130FD" w:rsidRPr="002130FD" w14:paraId="27BCD09A" w14:textId="77777777" w:rsidTr="002130FD">
        <w:tc>
          <w:tcPr>
            <w:tcW w:w="5103" w:type="dxa"/>
            <w:tcBorders>
              <w:left w:val="nil"/>
              <w:right w:val="nil"/>
            </w:tcBorders>
            <w:shd w:val="clear" w:color="auto" w:fill="auto"/>
          </w:tcPr>
          <w:p w14:paraId="13F14DB6"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b/>
                <w:sz w:val="20"/>
                <w:szCs w:val="20"/>
              </w:rPr>
              <w:t>Puseu de boală ușor sau moderat</w:t>
            </w:r>
            <w:r w:rsidRPr="002130FD">
              <w:rPr>
                <w:rFonts w:ascii="Times New Roman" w:eastAsia="Calibri" w:hAnsi="Times New Roman" w:cs="Times New Roman"/>
                <w:sz w:val="20"/>
                <w:szCs w:val="20"/>
              </w:rPr>
              <w:t xml:space="preserve"> </w:t>
            </w:r>
          </w:p>
        </w:tc>
        <w:tc>
          <w:tcPr>
            <w:tcW w:w="5103" w:type="dxa"/>
            <w:tcBorders>
              <w:left w:val="nil"/>
              <w:right w:val="nil"/>
            </w:tcBorders>
            <w:shd w:val="clear" w:color="auto" w:fill="auto"/>
          </w:tcPr>
          <w:p w14:paraId="2B3EEAA7"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b/>
                <w:sz w:val="20"/>
                <w:szCs w:val="20"/>
              </w:rPr>
              <w:t>Puseu de boală sever</w:t>
            </w:r>
            <w:r w:rsidRPr="002130FD">
              <w:rPr>
                <w:rFonts w:ascii="Times New Roman" w:eastAsia="Calibri" w:hAnsi="Times New Roman" w:cs="Times New Roman"/>
                <w:sz w:val="20"/>
                <w:szCs w:val="20"/>
              </w:rPr>
              <w:t xml:space="preserve"> </w:t>
            </w:r>
          </w:p>
        </w:tc>
      </w:tr>
      <w:tr w:rsidR="002130FD" w:rsidRPr="002130FD" w14:paraId="62BA57AD" w14:textId="77777777" w:rsidTr="002130FD">
        <w:tc>
          <w:tcPr>
            <w:tcW w:w="5103" w:type="dxa"/>
            <w:tcBorders>
              <w:left w:val="nil"/>
              <w:bottom w:val="nil"/>
              <w:right w:val="nil"/>
            </w:tcBorders>
            <w:shd w:val="clear" w:color="auto" w:fill="auto"/>
          </w:tcPr>
          <w:p w14:paraId="119B65CF"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 creșterea SLEDAI cu &gt; 3 puncte</w:t>
            </w:r>
          </w:p>
        </w:tc>
        <w:tc>
          <w:tcPr>
            <w:tcW w:w="5103" w:type="dxa"/>
            <w:tcBorders>
              <w:left w:val="nil"/>
              <w:bottom w:val="nil"/>
              <w:right w:val="nil"/>
            </w:tcBorders>
            <w:shd w:val="clear" w:color="auto" w:fill="auto"/>
          </w:tcPr>
          <w:p w14:paraId="119D8314"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 xml:space="preserve"> creșterea SLEDAI cu &gt; 12 puncte</w:t>
            </w:r>
          </w:p>
        </w:tc>
      </w:tr>
      <w:tr w:rsidR="002130FD" w:rsidRPr="002130FD" w14:paraId="541A2A5B" w14:textId="77777777" w:rsidTr="002130FD">
        <w:trPr>
          <w:trHeight w:val="1988"/>
        </w:trPr>
        <w:tc>
          <w:tcPr>
            <w:tcW w:w="5103" w:type="dxa"/>
            <w:tcBorders>
              <w:top w:val="nil"/>
              <w:left w:val="nil"/>
              <w:bottom w:val="nil"/>
              <w:right w:val="nil"/>
            </w:tcBorders>
            <w:shd w:val="clear" w:color="auto" w:fill="auto"/>
          </w:tcPr>
          <w:p w14:paraId="21C277A5"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 xml:space="preserve"> apariție nouă sau agravare:</w:t>
            </w:r>
          </w:p>
          <w:p w14:paraId="3C74A8B8" w14:textId="77777777" w:rsidR="002130FD" w:rsidRPr="002130FD" w:rsidRDefault="002130FD" w:rsidP="002130FD">
            <w:pPr>
              <w:ind w:left="720" w:hanging="360"/>
              <w:rPr>
                <w:rFonts w:ascii="Times New Roman" w:eastAsia="Calibri" w:hAnsi="Times New Roman" w:cs="Times New Roman"/>
                <w:sz w:val="20"/>
                <w:szCs w:val="20"/>
              </w:rPr>
            </w:pPr>
            <w:r w:rsidRPr="002130FD">
              <w:rPr>
                <w:rFonts w:ascii="Times New Roman" w:eastAsia="Calibri" w:hAnsi="Times New Roman" w:cs="Times New Roman"/>
                <w:sz w:val="20"/>
                <w:szCs w:val="20"/>
              </w:rPr>
              <w:t>lupus cutanat (discoid, rash, profundus, vasculită cutanată, bulos);</w:t>
            </w:r>
          </w:p>
          <w:p w14:paraId="62796206" w14:textId="77777777" w:rsidR="002130FD" w:rsidRPr="002130FD" w:rsidRDefault="002130FD" w:rsidP="002130FD">
            <w:pPr>
              <w:ind w:left="720" w:hanging="360"/>
              <w:rPr>
                <w:rFonts w:ascii="Times New Roman" w:eastAsia="Calibri" w:hAnsi="Times New Roman" w:cs="Times New Roman"/>
                <w:sz w:val="20"/>
                <w:szCs w:val="20"/>
              </w:rPr>
            </w:pPr>
            <w:r w:rsidRPr="002130FD">
              <w:rPr>
                <w:rFonts w:ascii="Times New Roman" w:eastAsia="Calibri" w:hAnsi="Times New Roman" w:cs="Times New Roman"/>
                <w:sz w:val="20"/>
                <w:szCs w:val="20"/>
              </w:rPr>
              <w:t>ulcere nazo-faringiene;</w:t>
            </w:r>
          </w:p>
          <w:p w14:paraId="65B26F72" w14:textId="77777777" w:rsidR="002130FD" w:rsidRPr="002130FD" w:rsidRDefault="002130FD" w:rsidP="002130FD">
            <w:pPr>
              <w:ind w:left="720" w:hanging="360"/>
              <w:rPr>
                <w:rFonts w:ascii="Times New Roman" w:eastAsia="Calibri" w:hAnsi="Times New Roman" w:cs="Times New Roman"/>
                <w:sz w:val="20"/>
                <w:szCs w:val="20"/>
              </w:rPr>
            </w:pPr>
            <w:r w:rsidRPr="002130FD">
              <w:rPr>
                <w:rFonts w:ascii="Times New Roman" w:eastAsia="Calibri" w:hAnsi="Times New Roman" w:cs="Times New Roman"/>
                <w:sz w:val="20"/>
                <w:szCs w:val="20"/>
              </w:rPr>
              <w:t>pleurită;</w:t>
            </w:r>
          </w:p>
          <w:p w14:paraId="096A5E81" w14:textId="77777777" w:rsidR="002130FD" w:rsidRPr="002130FD" w:rsidRDefault="002130FD" w:rsidP="002130FD">
            <w:pPr>
              <w:ind w:left="720" w:hanging="360"/>
              <w:rPr>
                <w:rFonts w:ascii="Times New Roman" w:eastAsia="Calibri" w:hAnsi="Times New Roman" w:cs="Times New Roman"/>
                <w:sz w:val="20"/>
                <w:szCs w:val="20"/>
              </w:rPr>
            </w:pPr>
            <w:r w:rsidRPr="002130FD">
              <w:rPr>
                <w:rFonts w:ascii="Times New Roman" w:eastAsia="Calibri" w:hAnsi="Times New Roman" w:cs="Times New Roman"/>
                <w:sz w:val="20"/>
                <w:szCs w:val="20"/>
              </w:rPr>
              <w:t>pericardită;</w:t>
            </w:r>
          </w:p>
          <w:p w14:paraId="50B83887" w14:textId="77777777" w:rsidR="002130FD" w:rsidRPr="002130FD" w:rsidRDefault="002130FD" w:rsidP="002130FD">
            <w:pPr>
              <w:ind w:left="720" w:hanging="360"/>
              <w:rPr>
                <w:rFonts w:ascii="Times New Roman" w:eastAsia="Calibri" w:hAnsi="Times New Roman" w:cs="Times New Roman"/>
                <w:sz w:val="20"/>
                <w:szCs w:val="20"/>
              </w:rPr>
            </w:pPr>
            <w:r w:rsidRPr="002130FD">
              <w:rPr>
                <w:rFonts w:ascii="Times New Roman" w:eastAsia="Calibri" w:hAnsi="Times New Roman" w:cs="Times New Roman"/>
                <w:sz w:val="20"/>
                <w:szCs w:val="20"/>
              </w:rPr>
              <w:t>artrită;</w:t>
            </w:r>
          </w:p>
          <w:p w14:paraId="465D7FB0" w14:textId="77777777" w:rsidR="002130FD" w:rsidRPr="002130FD" w:rsidRDefault="002130FD" w:rsidP="002130FD">
            <w:pPr>
              <w:ind w:left="720" w:hanging="360"/>
              <w:rPr>
                <w:rFonts w:ascii="Times New Roman" w:eastAsia="Calibri" w:hAnsi="Times New Roman" w:cs="Times New Roman"/>
                <w:sz w:val="20"/>
                <w:szCs w:val="20"/>
              </w:rPr>
            </w:pPr>
            <w:r w:rsidRPr="002130FD">
              <w:rPr>
                <w:rFonts w:ascii="Times New Roman" w:eastAsia="Calibri" w:hAnsi="Times New Roman" w:cs="Times New Roman"/>
                <w:sz w:val="20"/>
                <w:szCs w:val="20"/>
              </w:rPr>
              <w:t>febră în cadrul bolii.</w:t>
            </w:r>
          </w:p>
        </w:tc>
        <w:tc>
          <w:tcPr>
            <w:tcW w:w="5103" w:type="dxa"/>
            <w:tcBorders>
              <w:top w:val="nil"/>
              <w:left w:val="nil"/>
              <w:bottom w:val="nil"/>
              <w:right w:val="nil"/>
            </w:tcBorders>
            <w:shd w:val="clear" w:color="auto" w:fill="auto"/>
          </w:tcPr>
          <w:p w14:paraId="0BF86B51"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 xml:space="preserve"> apariție nouă sau agravare:</w:t>
            </w:r>
          </w:p>
          <w:p w14:paraId="5439B6E0" w14:textId="77777777" w:rsidR="002130FD" w:rsidRPr="002130FD" w:rsidRDefault="002130FD" w:rsidP="002130FD">
            <w:pPr>
              <w:ind w:left="720" w:hanging="360"/>
              <w:rPr>
                <w:rFonts w:ascii="Times New Roman" w:eastAsia="Calibri" w:hAnsi="Times New Roman" w:cs="Times New Roman"/>
                <w:sz w:val="20"/>
                <w:szCs w:val="20"/>
              </w:rPr>
            </w:pPr>
            <w:r w:rsidRPr="002130FD">
              <w:rPr>
                <w:rFonts w:ascii="Times New Roman" w:eastAsia="Calibri" w:hAnsi="Times New Roman" w:cs="Times New Roman"/>
                <w:sz w:val="20"/>
                <w:szCs w:val="20"/>
              </w:rPr>
              <w:t>neuro-lupus;</w:t>
            </w:r>
          </w:p>
          <w:p w14:paraId="45298EE9" w14:textId="77777777" w:rsidR="002130FD" w:rsidRPr="002130FD" w:rsidRDefault="002130FD" w:rsidP="002130FD">
            <w:pPr>
              <w:ind w:left="720" w:hanging="360"/>
              <w:rPr>
                <w:rFonts w:ascii="Times New Roman" w:eastAsia="Calibri" w:hAnsi="Times New Roman" w:cs="Times New Roman"/>
                <w:sz w:val="20"/>
                <w:szCs w:val="20"/>
              </w:rPr>
            </w:pPr>
            <w:r w:rsidRPr="002130FD">
              <w:rPr>
                <w:rFonts w:ascii="Times New Roman" w:eastAsia="Calibri" w:hAnsi="Times New Roman" w:cs="Times New Roman"/>
                <w:sz w:val="20"/>
                <w:szCs w:val="20"/>
              </w:rPr>
              <w:t>vasculită;</w:t>
            </w:r>
          </w:p>
          <w:p w14:paraId="665C4AD2" w14:textId="77777777" w:rsidR="002130FD" w:rsidRPr="002130FD" w:rsidRDefault="002130FD" w:rsidP="002130FD">
            <w:pPr>
              <w:ind w:left="720" w:hanging="360"/>
              <w:rPr>
                <w:rFonts w:ascii="Times New Roman" w:eastAsia="Calibri" w:hAnsi="Times New Roman" w:cs="Times New Roman"/>
                <w:sz w:val="20"/>
                <w:szCs w:val="20"/>
              </w:rPr>
            </w:pPr>
            <w:r w:rsidRPr="002130FD">
              <w:rPr>
                <w:rFonts w:ascii="Times New Roman" w:eastAsia="Calibri" w:hAnsi="Times New Roman" w:cs="Times New Roman"/>
                <w:sz w:val="20"/>
                <w:szCs w:val="20"/>
              </w:rPr>
              <w:t>nefrită;</w:t>
            </w:r>
          </w:p>
          <w:p w14:paraId="7DAF53BF" w14:textId="77777777" w:rsidR="002130FD" w:rsidRPr="002130FD" w:rsidRDefault="002130FD" w:rsidP="002130FD">
            <w:pPr>
              <w:ind w:left="720" w:hanging="360"/>
              <w:rPr>
                <w:rFonts w:ascii="Times New Roman" w:eastAsia="Calibri" w:hAnsi="Times New Roman" w:cs="Times New Roman"/>
                <w:sz w:val="20"/>
                <w:szCs w:val="20"/>
              </w:rPr>
            </w:pPr>
            <w:r w:rsidRPr="002130FD">
              <w:rPr>
                <w:rFonts w:ascii="Times New Roman" w:eastAsia="Calibri" w:hAnsi="Times New Roman" w:cs="Times New Roman"/>
                <w:sz w:val="20"/>
                <w:szCs w:val="20"/>
              </w:rPr>
              <w:t>miozită;</w:t>
            </w:r>
          </w:p>
          <w:p w14:paraId="4A2CB116" w14:textId="77777777" w:rsidR="002130FD" w:rsidRPr="002130FD" w:rsidRDefault="002130FD" w:rsidP="002130FD">
            <w:pPr>
              <w:ind w:left="720" w:hanging="360"/>
              <w:rPr>
                <w:rFonts w:ascii="Times New Roman" w:eastAsia="Calibri" w:hAnsi="Times New Roman" w:cs="Times New Roman"/>
                <w:sz w:val="20"/>
                <w:szCs w:val="20"/>
              </w:rPr>
            </w:pPr>
            <w:r w:rsidRPr="002130FD">
              <w:rPr>
                <w:rFonts w:ascii="Times New Roman" w:eastAsia="Calibri" w:hAnsi="Times New Roman" w:cs="Times New Roman"/>
                <w:sz w:val="20"/>
                <w:szCs w:val="20"/>
              </w:rPr>
              <w:t>trombocite &lt; 60000/mm</w:t>
            </w:r>
            <w:r w:rsidRPr="002130FD">
              <w:rPr>
                <w:rFonts w:ascii="Times New Roman" w:eastAsia="Calibri" w:hAnsi="Times New Roman" w:cs="Times New Roman"/>
                <w:sz w:val="20"/>
                <w:szCs w:val="20"/>
                <w:vertAlign w:val="superscript"/>
              </w:rPr>
              <w:t>3</w:t>
            </w:r>
            <w:r w:rsidRPr="002130FD">
              <w:rPr>
                <w:rFonts w:ascii="Times New Roman" w:eastAsia="Calibri" w:hAnsi="Times New Roman" w:cs="Times New Roman"/>
                <w:sz w:val="20"/>
                <w:szCs w:val="20"/>
              </w:rPr>
              <w:t>;</w:t>
            </w:r>
          </w:p>
          <w:p w14:paraId="2F9265A5" w14:textId="77777777" w:rsidR="002130FD" w:rsidRPr="002130FD" w:rsidRDefault="002130FD" w:rsidP="002130FD">
            <w:pPr>
              <w:ind w:left="720" w:hanging="360"/>
              <w:rPr>
                <w:rFonts w:ascii="Times New Roman" w:eastAsia="Calibri" w:hAnsi="Times New Roman" w:cs="Times New Roman"/>
                <w:sz w:val="20"/>
                <w:szCs w:val="20"/>
              </w:rPr>
            </w:pPr>
            <w:r w:rsidRPr="002130FD">
              <w:rPr>
                <w:rFonts w:ascii="Times New Roman" w:eastAsia="Calibri" w:hAnsi="Times New Roman" w:cs="Times New Roman"/>
                <w:sz w:val="20"/>
                <w:szCs w:val="20"/>
              </w:rPr>
              <w:t>anemia (hemoglobină &lt; 7 g/dL) sau scăderea hemoglobinei cu &gt; 3 g/dL;</w:t>
            </w:r>
          </w:p>
          <w:p w14:paraId="1E523DD1" w14:textId="77777777" w:rsidR="002130FD" w:rsidRPr="002130FD" w:rsidRDefault="002130FD" w:rsidP="002130FD">
            <w:pPr>
              <w:ind w:left="720" w:hanging="360"/>
              <w:rPr>
                <w:rFonts w:ascii="Times New Roman" w:eastAsia="Calibri" w:hAnsi="Times New Roman" w:cs="Times New Roman"/>
                <w:sz w:val="20"/>
                <w:szCs w:val="20"/>
              </w:rPr>
            </w:pPr>
            <w:r w:rsidRPr="002130FD">
              <w:rPr>
                <w:rFonts w:ascii="Times New Roman" w:eastAsia="Calibri" w:hAnsi="Times New Roman" w:cs="Times New Roman"/>
                <w:sz w:val="20"/>
                <w:szCs w:val="20"/>
              </w:rPr>
              <w:t>manifestări care necesită dublarea dozelor de glucocorticoizi sau doze de &gt; 0,5 mg/kg corp/zi de spitalizare echivalent prednison.</w:t>
            </w:r>
          </w:p>
        </w:tc>
      </w:tr>
      <w:tr w:rsidR="002130FD" w:rsidRPr="002130FD" w14:paraId="4FBCB0A9" w14:textId="77777777" w:rsidTr="002130FD">
        <w:tc>
          <w:tcPr>
            <w:tcW w:w="5103" w:type="dxa"/>
            <w:tcBorders>
              <w:top w:val="nil"/>
              <w:left w:val="nil"/>
              <w:bottom w:val="nil"/>
              <w:right w:val="nil"/>
            </w:tcBorders>
            <w:shd w:val="clear" w:color="auto" w:fill="auto"/>
          </w:tcPr>
          <w:p w14:paraId="0AD7BE14"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 xml:space="preserve"> creșterea dozei dar nu peste &gt; 0,5 mg/kg corp/zi echivalent prednison</w:t>
            </w:r>
          </w:p>
        </w:tc>
        <w:tc>
          <w:tcPr>
            <w:tcW w:w="5103" w:type="dxa"/>
            <w:tcBorders>
              <w:top w:val="nil"/>
              <w:left w:val="nil"/>
              <w:bottom w:val="nil"/>
              <w:right w:val="nil"/>
            </w:tcBorders>
            <w:shd w:val="clear" w:color="auto" w:fill="auto"/>
          </w:tcPr>
          <w:p w14:paraId="11A3B0A7"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 xml:space="preserve"> tratament cu glucocorticoizi în doză de &gt; 0,5 mg/kg corp/zi echivalent prednison</w:t>
            </w:r>
          </w:p>
        </w:tc>
      </w:tr>
      <w:tr w:rsidR="002130FD" w:rsidRPr="002130FD" w14:paraId="6137B7F6" w14:textId="77777777" w:rsidTr="002130FD">
        <w:tc>
          <w:tcPr>
            <w:tcW w:w="5103" w:type="dxa"/>
            <w:tcBorders>
              <w:top w:val="nil"/>
              <w:left w:val="nil"/>
              <w:bottom w:val="nil"/>
              <w:right w:val="nil"/>
            </w:tcBorders>
            <w:shd w:val="clear" w:color="auto" w:fill="auto"/>
          </w:tcPr>
          <w:p w14:paraId="14D233DD"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 xml:space="preserve"> adăugarea antiinflamatoarelor nesteroidiene sau a antimalaricelor de sinteză</w:t>
            </w:r>
          </w:p>
        </w:tc>
        <w:tc>
          <w:tcPr>
            <w:tcW w:w="5103" w:type="dxa"/>
            <w:tcBorders>
              <w:top w:val="nil"/>
              <w:left w:val="nil"/>
              <w:bottom w:val="nil"/>
              <w:right w:val="nil"/>
            </w:tcBorders>
            <w:shd w:val="clear" w:color="auto" w:fill="auto"/>
          </w:tcPr>
          <w:p w14:paraId="5F1C7169"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 xml:space="preserve"> adăugarea imunosupresoarelor (ciclofosfamidă, azatioprină, metotrexat) sau spitalizare pentru LES</w:t>
            </w:r>
          </w:p>
        </w:tc>
      </w:tr>
      <w:tr w:rsidR="002130FD" w:rsidRPr="002130FD" w14:paraId="74C4034B" w14:textId="77777777" w:rsidTr="002130FD">
        <w:tc>
          <w:tcPr>
            <w:tcW w:w="5103" w:type="dxa"/>
            <w:tcBorders>
              <w:top w:val="nil"/>
              <w:left w:val="nil"/>
              <w:right w:val="nil"/>
            </w:tcBorders>
            <w:shd w:val="clear" w:color="auto" w:fill="auto"/>
          </w:tcPr>
          <w:p w14:paraId="31994B02"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 xml:space="preserve"> creșterea PGA cu ≥ 1, dar nu cu &gt; 2,5</w:t>
            </w:r>
          </w:p>
        </w:tc>
        <w:tc>
          <w:tcPr>
            <w:tcW w:w="5103" w:type="dxa"/>
            <w:tcBorders>
              <w:top w:val="nil"/>
              <w:left w:val="nil"/>
              <w:right w:val="nil"/>
            </w:tcBorders>
            <w:shd w:val="clear" w:color="auto" w:fill="auto"/>
          </w:tcPr>
          <w:p w14:paraId="60DF621E" w14:textId="77777777" w:rsidR="002130FD" w:rsidRPr="002130FD" w:rsidRDefault="002130FD" w:rsidP="002130FD">
            <w:pPr>
              <w:rPr>
                <w:rFonts w:ascii="Times New Roman" w:eastAsia="Calibri" w:hAnsi="Times New Roman" w:cs="Times New Roman"/>
                <w:sz w:val="20"/>
                <w:szCs w:val="20"/>
              </w:rPr>
            </w:pPr>
            <w:r w:rsidRPr="002130FD">
              <w:rPr>
                <w:rFonts w:ascii="Times New Roman" w:eastAsia="Calibri" w:hAnsi="Times New Roman" w:cs="Times New Roman"/>
                <w:sz w:val="20"/>
                <w:szCs w:val="20"/>
              </w:rPr>
              <w:t xml:space="preserve"> creșterea PGA cu &gt; 2,5</w:t>
            </w:r>
          </w:p>
        </w:tc>
      </w:tr>
    </w:tbl>
    <w:p w14:paraId="1EBF51C1" w14:textId="77777777" w:rsidR="002130FD" w:rsidRPr="002130FD" w:rsidRDefault="002130FD" w:rsidP="002130FD">
      <w:pPr>
        <w:rPr>
          <w:rFonts w:ascii="Times New Roman" w:eastAsia="Calibri" w:hAnsi="Times New Roman" w:cs="Times New Roman"/>
          <w:sz w:val="24"/>
          <w:szCs w:val="24"/>
        </w:rPr>
      </w:pPr>
    </w:p>
    <w:p w14:paraId="2CB0162E"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II.3. </w:t>
      </w:r>
      <w:r w:rsidRPr="002130FD">
        <w:rPr>
          <w:rFonts w:ascii="Times New Roman" w:eastAsia="Calibri" w:hAnsi="Times New Roman" w:cs="Times New Roman"/>
          <w:b/>
          <w:sz w:val="24"/>
          <w:szCs w:val="24"/>
        </w:rPr>
        <w:t>Tratamentul biologic cu belimumab și anifrolumab</w:t>
      </w:r>
    </w:p>
    <w:p w14:paraId="7A4FBDF8"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II.3.1. </w:t>
      </w:r>
      <w:r w:rsidRPr="002130FD">
        <w:rPr>
          <w:rFonts w:ascii="Times New Roman" w:eastAsia="Calibri" w:hAnsi="Times New Roman" w:cs="Times New Roman"/>
          <w:b/>
          <w:sz w:val="24"/>
          <w:szCs w:val="24"/>
        </w:rPr>
        <w:t>Criterii de includere a pacienților cu LES în tratamentul cu belimumab, anifrolumab</w:t>
      </w:r>
    </w:p>
    <w:p w14:paraId="6037DC70"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Pentru includerea unui pacient cu LES în terapia biologică cu belimumab sau anifrolumab este necesară îndeplinirea cumulativă a următoarelor criterii:</w:t>
      </w:r>
    </w:p>
    <w:p w14:paraId="5A108C94"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1. vârsta peste 18 ani pentru pacienți adulți; vârsta între 5 si 18 ani pentru pacienți pediatrici (doar Belimumab se poate administra la pacienții pediatrici)</w:t>
      </w:r>
    </w:p>
    <w:p w14:paraId="47EDE614"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2. diagnostic cert de LES care îndeplinește criteriile</w:t>
      </w:r>
      <w:r w:rsidRPr="002130FD">
        <w:rPr>
          <w:rFonts w:ascii="Times New Roman" w:eastAsia="Calibri" w:hAnsi="Times New Roman" w:cs="Times New Roman"/>
          <w:spacing w:val="-4"/>
          <w:sz w:val="24"/>
          <w:szCs w:val="24"/>
        </w:rPr>
        <w:t xml:space="preserve"> </w:t>
      </w:r>
      <w:r w:rsidRPr="002130FD">
        <w:rPr>
          <w:rFonts w:ascii="Times New Roman" w:eastAsia="Calibri" w:hAnsi="Times New Roman" w:cs="Times New Roman"/>
          <w:sz w:val="24"/>
          <w:szCs w:val="24"/>
        </w:rPr>
        <w:t>de</w:t>
      </w:r>
      <w:r w:rsidRPr="002130FD">
        <w:rPr>
          <w:rFonts w:ascii="Times New Roman" w:eastAsia="Calibri" w:hAnsi="Times New Roman" w:cs="Times New Roman"/>
          <w:spacing w:val="-6"/>
          <w:sz w:val="24"/>
          <w:szCs w:val="24"/>
        </w:rPr>
        <w:t xml:space="preserve"> </w:t>
      </w:r>
      <w:r w:rsidRPr="002130FD">
        <w:rPr>
          <w:rFonts w:ascii="Times New Roman" w:eastAsia="Calibri" w:hAnsi="Times New Roman" w:cs="Times New Roman"/>
          <w:sz w:val="24"/>
          <w:szCs w:val="24"/>
        </w:rPr>
        <w:t>clasificare</w:t>
      </w:r>
      <w:r w:rsidRPr="002130FD">
        <w:rPr>
          <w:rFonts w:ascii="Times New Roman" w:eastAsia="Calibri" w:hAnsi="Times New Roman" w:cs="Times New Roman"/>
          <w:spacing w:val="-4"/>
          <w:sz w:val="24"/>
          <w:szCs w:val="24"/>
        </w:rPr>
        <w:t xml:space="preserve"> </w:t>
      </w:r>
      <w:r w:rsidRPr="002130FD">
        <w:rPr>
          <w:rFonts w:ascii="Times New Roman" w:eastAsia="Calibri" w:hAnsi="Times New Roman" w:cs="Times New Roman"/>
          <w:spacing w:val="-2"/>
          <w:sz w:val="24"/>
          <w:szCs w:val="24"/>
        </w:rPr>
        <w:t>EULAR/ ACR 2019</w:t>
      </w:r>
      <w:r w:rsidRPr="002130FD">
        <w:rPr>
          <w:rFonts w:ascii="Times New Roman" w:eastAsia="Calibri" w:hAnsi="Times New Roman" w:cs="Times New Roman"/>
          <w:sz w:val="24"/>
          <w:szCs w:val="24"/>
        </w:rPr>
        <w:t>;</w:t>
      </w:r>
    </w:p>
    <w:p w14:paraId="0CA05EB7"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3. LES cu activitate moderată sau severă (SELENA-SLEDAI ≥ 6, calculat pe baza evaluărilor efectuate cu maximum 30 zile înainte de indicarea terapiei cu belimumab sau anifrolumab) în ciuda tratamentului medicamentos standard efectuat timp de minim 12 săptămâni înaintea deciziei privind indicația de belimumab </w:t>
      </w:r>
      <w:r w:rsidRPr="002130FD">
        <w:rPr>
          <w:rFonts w:ascii="Times New Roman" w:eastAsia="Calibri" w:hAnsi="Times New Roman" w:cs="Times New Roman"/>
          <w:color w:val="FF0000"/>
          <w:sz w:val="24"/>
          <w:szCs w:val="24"/>
        </w:rPr>
        <w:t>sau anifrolumab</w:t>
      </w:r>
      <w:r w:rsidRPr="002130FD">
        <w:rPr>
          <w:rFonts w:ascii="Times New Roman" w:eastAsia="Calibri" w:hAnsi="Times New Roman" w:cs="Times New Roman"/>
          <w:sz w:val="24"/>
          <w:szCs w:val="24"/>
        </w:rPr>
        <w:t>, cu cel puțin unul dintre următoarele medicamente (cu excepția cazurilor de intoleranță sau reacții adverse majore), în monoterapie sau în terapie combinată, indicate diferențiat, în funcție de forma de manifestare și de severitatea bolii (pentru cazurile de LES pediatric doar preparatele indicate, la care dozele se ajusteaza corespunzator):</w:t>
      </w:r>
    </w:p>
    <w:p w14:paraId="7F5E56F6" w14:textId="77777777" w:rsidR="002130FD" w:rsidRPr="002130FD" w:rsidRDefault="002130FD" w:rsidP="002161CA">
      <w:pPr>
        <w:numPr>
          <w:ilvl w:val="0"/>
          <w:numId w:val="166"/>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lastRenderedPageBreak/>
        <w:t xml:space="preserve">hidroxiclorochină 200-400 mg/zi; </w:t>
      </w:r>
    </w:p>
    <w:p w14:paraId="613B1C51" w14:textId="77777777" w:rsidR="002130FD" w:rsidRPr="002130FD" w:rsidRDefault="002130FD" w:rsidP="002161CA">
      <w:pPr>
        <w:numPr>
          <w:ilvl w:val="0"/>
          <w:numId w:val="166"/>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micofenolat mofetil 1-3 g/zi;</w:t>
      </w:r>
    </w:p>
    <w:p w14:paraId="33BA407E" w14:textId="77777777" w:rsidR="002130FD" w:rsidRPr="002130FD" w:rsidRDefault="002130FD" w:rsidP="002161CA">
      <w:pPr>
        <w:numPr>
          <w:ilvl w:val="0"/>
          <w:numId w:val="166"/>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ciclosporină A 2,5-5 mg/kg corp/zi;</w:t>
      </w:r>
    </w:p>
    <w:p w14:paraId="0B48FF4A" w14:textId="77777777" w:rsidR="002130FD" w:rsidRPr="002130FD" w:rsidRDefault="002130FD" w:rsidP="002161CA">
      <w:pPr>
        <w:numPr>
          <w:ilvl w:val="0"/>
          <w:numId w:val="166"/>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metotrexat 15-20 mg/săptămână;</w:t>
      </w:r>
    </w:p>
    <w:p w14:paraId="0A766160" w14:textId="77777777" w:rsidR="002130FD" w:rsidRPr="002130FD" w:rsidRDefault="002130FD" w:rsidP="002161CA">
      <w:pPr>
        <w:numPr>
          <w:ilvl w:val="0"/>
          <w:numId w:val="166"/>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leflunomidă 10-20 mg/ zi;</w:t>
      </w:r>
    </w:p>
    <w:p w14:paraId="7A8248C8" w14:textId="77777777" w:rsidR="002130FD" w:rsidRPr="002130FD" w:rsidRDefault="002130FD" w:rsidP="002161CA">
      <w:pPr>
        <w:numPr>
          <w:ilvl w:val="0"/>
          <w:numId w:val="166"/>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ciclofosfamidă puls-terapie (0,5-1 g/puls) sau oral (1-2 mg/kg corp/zi). </w:t>
      </w:r>
    </w:p>
    <w:p w14:paraId="732F2799" w14:textId="77777777" w:rsidR="002130FD" w:rsidRPr="002130FD" w:rsidRDefault="002130FD" w:rsidP="002130FD">
      <w:pPr>
        <w:spacing w:after="0" w:line="240" w:lineRule="auto"/>
        <w:ind w:left="1843"/>
        <w:jc w:val="both"/>
        <w:rPr>
          <w:rFonts w:ascii="Times New Roman" w:eastAsia="Calibri" w:hAnsi="Times New Roman" w:cs="Times New Roman"/>
          <w:sz w:val="24"/>
          <w:szCs w:val="24"/>
        </w:rPr>
      </w:pPr>
    </w:p>
    <w:p w14:paraId="730F1E07"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4. LES  în tratament cortizonic (cel puțin 5 mg/zi echivalent prednison, pentru cazurile de LES pediatric doar în cazurile indicate, la care dozele se ajustează corespunzător).</w:t>
      </w:r>
    </w:p>
    <w:p w14:paraId="25FFDFB7"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5. Autoimunitate de tip lupic (oricare dintre cei de mai jos), evaluare efectuată cu maximum 30 zile înainte de indicarea terapiei cu belimumab </w:t>
      </w:r>
      <w:r w:rsidRPr="002130FD">
        <w:rPr>
          <w:rFonts w:ascii="Times New Roman" w:eastAsia="Calibri" w:hAnsi="Times New Roman" w:cs="Times New Roman"/>
          <w:color w:val="FF0000"/>
          <w:sz w:val="24"/>
          <w:szCs w:val="24"/>
        </w:rPr>
        <w:t>sau anifrolumab</w:t>
      </w:r>
      <w:r w:rsidRPr="002130FD">
        <w:rPr>
          <w:rFonts w:ascii="Times New Roman" w:eastAsia="Calibri" w:hAnsi="Times New Roman" w:cs="Times New Roman"/>
          <w:sz w:val="24"/>
          <w:szCs w:val="24"/>
        </w:rPr>
        <w:t>:</w:t>
      </w:r>
    </w:p>
    <w:p w14:paraId="64363BFB" w14:textId="77777777" w:rsidR="002130FD" w:rsidRPr="002130FD" w:rsidRDefault="002130FD" w:rsidP="002161CA">
      <w:pPr>
        <w:numPr>
          <w:ilvl w:val="0"/>
          <w:numId w:val="167"/>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anticorpi anti-nucleari (ANA) în orice titru anormal (peste valoarea de referință a laboratorului);</w:t>
      </w:r>
    </w:p>
    <w:p w14:paraId="0FA7F77C" w14:textId="77777777" w:rsidR="002130FD" w:rsidRPr="002130FD" w:rsidRDefault="002130FD" w:rsidP="002161CA">
      <w:pPr>
        <w:numPr>
          <w:ilvl w:val="0"/>
          <w:numId w:val="167"/>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anticorpi anti-ADNdc în orice titru anormal (peste valoarea de referință a laboratorului sau dublul limitei superioare a normalului pentru metoda ELISA);</w:t>
      </w:r>
    </w:p>
    <w:p w14:paraId="39CE07B8" w14:textId="77777777" w:rsidR="002130FD" w:rsidRPr="002130FD" w:rsidRDefault="002130FD" w:rsidP="002161CA">
      <w:pPr>
        <w:numPr>
          <w:ilvl w:val="0"/>
          <w:numId w:val="167"/>
        </w:numPr>
        <w:spacing w:after="0" w:line="240" w:lineRule="auto"/>
        <w:ind w:left="851" w:hanging="425"/>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anticorpi anti-Sm în orice titru anormal (peste valoarea de referință a laboratorului);</w:t>
      </w:r>
    </w:p>
    <w:p w14:paraId="300AF61C"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6. Complement scăzut (oricare dintre: C3, C4, CH50) sub valoarea de referință a   laboratorului oricând pe parcursul evoluției bolii.</w:t>
      </w:r>
    </w:p>
    <w:p w14:paraId="2F9068F7"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7. Evaluarea activității bolii de către medic (PGA) de cel puțin 1 (evaluare efectuată cu maximum 30 zile înainte de indicarea terapiei cu belimumab sau anifrolumab).</w:t>
      </w:r>
    </w:p>
    <w:p w14:paraId="52178892" w14:textId="77777777" w:rsidR="002130FD" w:rsidRPr="002130FD" w:rsidRDefault="002130FD" w:rsidP="002130FD">
      <w:pPr>
        <w:autoSpaceDE w:val="0"/>
        <w:autoSpaceDN w:val="0"/>
        <w:adjustRightInd w:val="0"/>
        <w:spacing w:after="0" w:line="240" w:lineRule="auto"/>
        <w:ind w:left="720"/>
        <w:jc w:val="both"/>
        <w:rPr>
          <w:rFonts w:ascii="Times New Roman" w:eastAsia="Calibri" w:hAnsi="Times New Roman" w:cs="Times New Roman"/>
          <w:sz w:val="24"/>
          <w:szCs w:val="24"/>
        </w:rPr>
      </w:pPr>
    </w:p>
    <w:p w14:paraId="6BDF35C2" w14:textId="77777777" w:rsidR="002130FD" w:rsidRPr="002130FD" w:rsidRDefault="002130FD" w:rsidP="002130FD">
      <w:pPr>
        <w:jc w:val="both"/>
        <w:rPr>
          <w:rFonts w:ascii="Times New Roman" w:eastAsia="Calibri" w:hAnsi="Times New Roman" w:cs="Times New Roman"/>
          <w:b/>
          <w:sz w:val="24"/>
          <w:szCs w:val="24"/>
        </w:rPr>
      </w:pPr>
      <w:r w:rsidRPr="002130FD">
        <w:rPr>
          <w:rFonts w:ascii="Times New Roman" w:eastAsia="Calibri" w:hAnsi="Times New Roman" w:cs="Times New Roman"/>
          <w:sz w:val="24"/>
          <w:szCs w:val="24"/>
        </w:rPr>
        <w:t xml:space="preserve">II.3.2. </w:t>
      </w:r>
      <w:r w:rsidRPr="002130FD">
        <w:rPr>
          <w:rFonts w:ascii="Times New Roman" w:eastAsia="Calibri" w:hAnsi="Times New Roman" w:cs="Times New Roman"/>
          <w:b/>
          <w:sz w:val="24"/>
          <w:szCs w:val="24"/>
        </w:rPr>
        <w:t>Contraindicații și criterii de excludere din tratamentul biologic</w:t>
      </w:r>
    </w:p>
    <w:p w14:paraId="6D1E42D1" w14:textId="77777777" w:rsidR="002130FD" w:rsidRPr="002130FD" w:rsidRDefault="002130FD" w:rsidP="002161CA">
      <w:pPr>
        <w:numPr>
          <w:ilvl w:val="0"/>
          <w:numId w:val="168"/>
        </w:numPr>
        <w:ind w:left="284" w:hanging="284"/>
        <w:contextualSpacing/>
        <w:jc w:val="both"/>
        <w:rPr>
          <w:rFonts w:ascii="Times New Roman" w:eastAsia="Times New Roman" w:hAnsi="Times New Roman" w:cs="Times New Roman"/>
          <w:b/>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 xml:space="preserve"> Anticorpi anti-BlyS</w:t>
      </w:r>
      <w:r w:rsidRPr="002130FD">
        <w:rPr>
          <w:rFonts w:ascii="Times New Roman" w:eastAsia="Times New Roman" w:hAnsi="Times New Roman" w:cs="Times New Roman"/>
          <w:b/>
          <w:sz w:val="24"/>
          <w:szCs w:val="24"/>
          <w:u w:color="000000"/>
          <w:bdr w:val="nil"/>
          <w:lang w:val="en-US" w:eastAsia="ro-RO"/>
        </w:rPr>
        <w:t xml:space="preserve">: </w:t>
      </w:r>
      <w:r w:rsidRPr="002130FD">
        <w:rPr>
          <w:rFonts w:ascii="Times New Roman" w:eastAsia="Times New Roman" w:hAnsi="Times New Roman" w:cs="Times New Roman"/>
          <w:b/>
          <w:sz w:val="24"/>
          <w:szCs w:val="24"/>
          <w:u w:color="000000"/>
          <w:bdr w:val="nil"/>
          <w:lang w:eastAsia="ro-RO"/>
        </w:rPr>
        <w:t>Belimumab</w:t>
      </w:r>
    </w:p>
    <w:p w14:paraId="3CF64922"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LES cu afectare renală severă curentă: proteinurie &gt; 1,5  g/24 de ore și/sau clearance al creatininei ≤ 30 mL/minut/1.73 m</w:t>
      </w:r>
      <w:r w:rsidRPr="002130FD">
        <w:rPr>
          <w:rFonts w:ascii="Times New Roman" w:eastAsia="Times New Roman" w:hAnsi="Times New Roman" w:cs="Times New Roman"/>
          <w:sz w:val="24"/>
          <w:szCs w:val="24"/>
          <w:u w:color="000000"/>
          <w:bdr w:val="nil"/>
          <w:vertAlign w:val="superscript"/>
          <w:lang w:eastAsia="ro-RO"/>
        </w:rPr>
        <w:t xml:space="preserve">2 </w:t>
      </w:r>
      <w:r w:rsidRPr="002130FD">
        <w:rPr>
          <w:rFonts w:ascii="Times New Roman" w:eastAsia="Times New Roman" w:hAnsi="Times New Roman" w:cs="Times New Roman"/>
          <w:sz w:val="24"/>
          <w:szCs w:val="24"/>
          <w:u w:color="000000"/>
          <w:bdr w:val="nil"/>
          <w:lang w:eastAsia="ro-RO"/>
        </w:rPr>
        <w:t>(pacientul poate avea afectare renală severă în antecedente).</w:t>
      </w:r>
    </w:p>
    <w:p w14:paraId="4F6064E8"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LES cu afectare neurologică severă curentă.</w:t>
      </w:r>
    </w:p>
    <w:p w14:paraId="400C0407"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LES sever cu afectare de organ, în cursul tratamentului cu alte terapii biologice (de ex. rituximab), este permisă utilizarea de belimumab după perioada de wash-out.</w:t>
      </w:r>
    </w:p>
    <w:p w14:paraId="28036207"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LES în cursul tratamentului cu terapii experimentale; este permisă utilizarea de belimumab după perioada de wash-out.</w:t>
      </w:r>
    </w:p>
    <w:p w14:paraId="24D46616"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pacienți cu infecții severe (actuale, netratate) precum (dar nu limitativ): stări septice, abcese, tuberculoză activă, infecții oportuniste, hepatite virale B sau C, infecția cu HIV sau orice alte infecții considerate semnificative în opinia medicului curant.</w:t>
      </w:r>
    </w:p>
    <w:p w14:paraId="035D0EAC"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 xml:space="preserve">pacienți cu hipogammaglobulinemie (IgG seric &lt; 400 mg/dL) sau deficiență de IgA (IgA seric &lt; 10 mg/dL). </w:t>
      </w:r>
    </w:p>
    <w:p w14:paraId="24088433"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pacienți cu transplant de organ sau transplant de măduvă sau celule stem hematopoietice.</w:t>
      </w:r>
    </w:p>
    <w:p w14:paraId="75C45657"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hipersensibilitate sau alergie la belimumab sau la orice component din preparat.</w:t>
      </w:r>
    </w:p>
    <w:p w14:paraId="08314231"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sarcina și alăptarea.</w:t>
      </w:r>
    </w:p>
    <w:p w14:paraId="64C50B92"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pacienți cu stări de imunodeficiență severă.</w:t>
      </w:r>
    </w:p>
    <w:p w14:paraId="7659BB99"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administrarea vaccinurilor cu germeni vii concomitent cu belimumab sau în ultimele 30 de zile.</w:t>
      </w:r>
    </w:p>
    <w:p w14:paraId="6B7EDB6F"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afecțiuni maligne prezente sau afecțiuni maligne în ultimii 5 ani, fără avizul medicului oncolog.</w:t>
      </w:r>
    </w:p>
    <w:p w14:paraId="7CB51F17"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orice contraindicații menționate de rezumatul caracteristicilor produsului;</w:t>
      </w:r>
    </w:p>
    <w:p w14:paraId="4B76B99B"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atenționări: pacienții care se prezintă cu semne neurologice noi sau cu deteriorarea semnelor și simptomelor preexistente în cursul tratamentului cu belimumab trebuie evaluați pentru leucoencefalopatie progresivă multifocală; se recomandă precauţie dacă belimumab se administrează concomitent cu ciclofosfamidă.</w:t>
      </w:r>
    </w:p>
    <w:p w14:paraId="24BB39B7"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lipsa/retragerea consimțământului pacientului față de tratament.</w:t>
      </w:r>
    </w:p>
    <w:p w14:paraId="3DA1E31E"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lastRenderedPageBreak/>
        <w:t>pierderea calității de asigurat.</w:t>
      </w:r>
    </w:p>
    <w:p w14:paraId="0692D43D" w14:textId="77777777" w:rsidR="002130FD" w:rsidRPr="002130FD" w:rsidRDefault="002130FD" w:rsidP="002161CA">
      <w:pPr>
        <w:numPr>
          <w:ilvl w:val="0"/>
          <w:numId w:val="175"/>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pentru cazurile de LES pediatric se utilizeaza doar criteriile aplicabile acestei categorii de pacienti.</w:t>
      </w:r>
    </w:p>
    <w:p w14:paraId="49E4CF92" w14:textId="77777777" w:rsidR="002130FD" w:rsidRPr="002130FD" w:rsidRDefault="002130FD" w:rsidP="002130FD">
      <w:pPr>
        <w:pBdr>
          <w:top w:val="nil"/>
          <w:left w:val="nil"/>
          <w:bottom w:val="nil"/>
          <w:right w:val="nil"/>
          <w:between w:val="nil"/>
          <w:bar w:val="nil"/>
        </w:pBdr>
        <w:spacing w:after="0" w:line="240" w:lineRule="auto"/>
        <w:ind w:left="720"/>
        <w:jc w:val="both"/>
        <w:rPr>
          <w:rFonts w:ascii="Times New Roman" w:eastAsia="Times New Roman" w:hAnsi="Times New Roman" w:cs="Times New Roman"/>
          <w:sz w:val="24"/>
          <w:szCs w:val="24"/>
          <w:u w:color="000000"/>
          <w:bdr w:val="nil"/>
          <w:lang w:eastAsia="ro-RO"/>
        </w:rPr>
      </w:pPr>
    </w:p>
    <w:p w14:paraId="69FC02B5" w14:textId="77777777" w:rsidR="002130FD" w:rsidRPr="002130FD" w:rsidRDefault="002130FD" w:rsidP="002161CA">
      <w:pPr>
        <w:numPr>
          <w:ilvl w:val="0"/>
          <w:numId w:val="168"/>
        </w:numPr>
        <w:ind w:left="426" w:hanging="426"/>
        <w:contextualSpacing/>
        <w:jc w:val="both"/>
        <w:rPr>
          <w:rFonts w:ascii="Times New Roman" w:eastAsia="Times New Roman" w:hAnsi="Times New Roman" w:cs="Times New Roman"/>
          <w:b/>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Anticorpi anti-IFNAR1: Anifrolumab</w:t>
      </w:r>
    </w:p>
    <w:p w14:paraId="0400BE76" w14:textId="77777777" w:rsidR="002130FD" w:rsidRPr="002130FD" w:rsidRDefault="002130FD" w:rsidP="002161CA">
      <w:pPr>
        <w:widowControl w:val="0"/>
        <w:numPr>
          <w:ilvl w:val="0"/>
          <w:numId w:val="176"/>
        </w:numPr>
        <w:tabs>
          <w:tab w:val="left" w:pos="489"/>
        </w:tabs>
        <w:autoSpaceDE w:val="0"/>
        <w:autoSpaceDN w:val="0"/>
        <w:spacing w:after="0" w:line="256" w:lineRule="auto"/>
        <w:ind w:right="255"/>
        <w:contextualSpacing/>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LES cu afectare renală severă curentă: raport proteine urinare/creatinină urinară &gt; 2 mg/mg și/sau clearance al creatininei ≤ 30 mL/minut/1.73 m</w:t>
      </w:r>
      <w:r w:rsidRPr="002130FD">
        <w:rPr>
          <w:rFonts w:ascii="Times New Roman" w:eastAsia="Times New Roman" w:hAnsi="Times New Roman" w:cs="Times New Roman"/>
          <w:sz w:val="24"/>
          <w:szCs w:val="24"/>
          <w:u w:color="000000"/>
          <w:bdr w:val="nil"/>
          <w:vertAlign w:val="superscript"/>
          <w:lang w:eastAsia="ro-RO"/>
        </w:rPr>
        <w:t>2</w:t>
      </w:r>
      <w:r w:rsidRPr="002130FD">
        <w:rPr>
          <w:rFonts w:ascii="Times New Roman" w:eastAsia="Times New Roman" w:hAnsi="Times New Roman" w:cs="Times New Roman"/>
          <w:sz w:val="24"/>
          <w:szCs w:val="24"/>
          <w:u w:color="000000"/>
          <w:bdr w:val="nil"/>
          <w:lang w:eastAsia="ro-RO"/>
        </w:rPr>
        <w:t xml:space="preserve"> (pacientul poate avea afectare renală severă în antecedente). Au fost excluși din studii pacienții care prezentau nefrită lupică activă severă.</w:t>
      </w:r>
    </w:p>
    <w:p w14:paraId="2B976D24" w14:textId="77777777" w:rsidR="002130FD" w:rsidRPr="002130FD" w:rsidRDefault="002130FD" w:rsidP="002161CA">
      <w:pPr>
        <w:widowControl w:val="0"/>
        <w:numPr>
          <w:ilvl w:val="0"/>
          <w:numId w:val="176"/>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LES cu afectare severă curentă la nivelul sistemului nervos central</w:t>
      </w:r>
      <w:r w:rsidRPr="002130FD">
        <w:rPr>
          <w:rFonts w:ascii="Times New Roman" w:eastAsia="Times New Roman" w:hAnsi="Times New Roman" w:cs="Times New Roman"/>
          <w:spacing w:val="-2"/>
          <w:sz w:val="24"/>
          <w:szCs w:val="24"/>
          <w:u w:color="000000"/>
          <w:bdr w:val="nil"/>
          <w:lang w:eastAsia="ro-RO"/>
        </w:rPr>
        <w:t>.</w:t>
      </w:r>
    </w:p>
    <w:p w14:paraId="6B42C15D" w14:textId="77777777" w:rsidR="002130FD" w:rsidRPr="002130FD" w:rsidRDefault="002130FD" w:rsidP="002161CA">
      <w:pPr>
        <w:widowControl w:val="0"/>
        <w:numPr>
          <w:ilvl w:val="0"/>
          <w:numId w:val="176"/>
        </w:numPr>
        <w:tabs>
          <w:tab w:val="left" w:pos="479"/>
        </w:tabs>
        <w:autoSpaceDE w:val="0"/>
        <w:autoSpaceDN w:val="0"/>
        <w:spacing w:after="0" w:line="254" w:lineRule="auto"/>
        <w:ind w:right="255"/>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LES în terapie asociată cu alte terapii biologice. Este permisă utilizarea de anifrolumab după perioada de wash-out.</w:t>
      </w:r>
    </w:p>
    <w:p w14:paraId="7B00EAF7" w14:textId="77777777" w:rsidR="002130FD" w:rsidRPr="002130FD" w:rsidRDefault="002130FD" w:rsidP="002161CA">
      <w:pPr>
        <w:widowControl w:val="0"/>
        <w:numPr>
          <w:ilvl w:val="0"/>
          <w:numId w:val="176"/>
        </w:numPr>
        <w:tabs>
          <w:tab w:val="left" w:pos="479"/>
        </w:tabs>
        <w:autoSpaceDE w:val="0"/>
        <w:autoSpaceDN w:val="0"/>
        <w:spacing w:after="0" w:line="254" w:lineRule="auto"/>
        <w:ind w:right="255"/>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LES</w:t>
      </w:r>
      <w:r w:rsidRPr="002130FD">
        <w:rPr>
          <w:rFonts w:ascii="Times New Roman" w:eastAsia="Times New Roman" w:hAnsi="Times New Roman" w:cs="Times New Roman"/>
          <w:spacing w:val="40"/>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în</w:t>
      </w:r>
      <w:r w:rsidRPr="002130FD">
        <w:rPr>
          <w:rFonts w:ascii="Times New Roman" w:eastAsia="Times New Roman" w:hAnsi="Times New Roman" w:cs="Times New Roman"/>
          <w:spacing w:val="40"/>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cursul</w:t>
      </w:r>
      <w:r w:rsidRPr="002130FD">
        <w:rPr>
          <w:rFonts w:ascii="Times New Roman" w:eastAsia="Times New Roman" w:hAnsi="Times New Roman" w:cs="Times New Roman"/>
          <w:spacing w:val="39"/>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tratamentului</w:t>
      </w:r>
      <w:r w:rsidRPr="002130FD">
        <w:rPr>
          <w:rFonts w:ascii="Times New Roman" w:eastAsia="Times New Roman" w:hAnsi="Times New Roman" w:cs="Times New Roman"/>
          <w:spacing w:val="40"/>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cu</w:t>
      </w:r>
      <w:r w:rsidRPr="002130FD">
        <w:rPr>
          <w:rFonts w:ascii="Times New Roman" w:eastAsia="Times New Roman" w:hAnsi="Times New Roman" w:cs="Times New Roman"/>
          <w:spacing w:val="40"/>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terapii experimentale;</w:t>
      </w:r>
      <w:r w:rsidRPr="002130FD">
        <w:rPr>
          <w:rFonts w:ascii="Times New Roman" w:eastAsia="Times New Roman" w:hAnsi="Times New Roman" w:cs="Times New Roman"/>
          <w:spacing w:val="40"/>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este</w:t>
      </w:r>
      <w:r w:rsidRPr="002130FD">
        <w:rPr>
          <w:rFonts w:ascii="Times New Roman" w:eastAsia="Times New Roman" w:hAnsi="Times New Roman" w:cs="Times New Roman"/>
          <w:spacing w:val="40"/>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permisă</w:t>
      </w:r>
      <w:r w:rsidRPr="002130FD">
        <w:rPr>
          <w:rFonts w:ascii="Times New Roman" w:eastAsia="Times New Roman" w:hAnsi="Times New Roman" w:cs="Times New Roman"/>
          <w:spacing w:val="40"/>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utilizarea</w:t>
      </w:r>
      <w:r w:rsidRPr="002130FD">
        <w:rPr>
          <w:rFonts w:ascii="Times New Roman" w:eastAsia="Times New Roman" w:hAnsi="Times New Roman" w:cs="Times New Roman"/>
          <w:spacing w:val="40"/>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de</w:t>
      </w:r>
      <w:r w:rsidRPr="002130FD">
        <w:rPr>
          <w:rFonts w:ascii="Times New Roman" w:eastAsia="Times New Roman" w:hAnsi="Times New Roman" w:cs="Times New Roman"/>
          <w:spacing w:val="40"/>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anifrolumab</w:t>
      </w:r>
      <w:r w:rsidRPr="002130FD">
        <w:rPr>
          <w:rFonts w:ascii="Times New Roman" w:eastAsia="Times New Roman" w:hAnsi="Times New Roman" w:cs="Times New Roman"/>
          <w:spacing w:val="39"/>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după perioada de wash-out.</w:t>
      </w:r>
    </w:p>
    <w:p w14:paraId="6D43125E" w14:textId="77777777" w:rsidR="002130FD" w:rsidRPr="002130FD" w:rsidRDefault="002130FD" w:rsidP="002161CA">
      <w:pPr>
        <w:widowControl w:val="0"/>
        <w:numPr>
          <w:ilvl w:val="0"/>
          <w:numId w:val="176"/>
        </w:numPr>
        <w:tabs>
          <w:tab w:val="left" w:pos="479"/>
        </w:tabs>
        <w:autoSpaceDE w:val="0"/>
        <w:autoSpaceDN w:val="0"/>
        <w:spacing w:after="0" w:line="254" w:lineRule="auto"/>
        <w:ind w:right="255"/>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 xml:space="preserve">Pacienți cu infecție activă semnificativă din punct de vedere clinic până când infecția nu se rezolvă sau nu este tratată adecvat. Nu trebuie administrat la pacienții cu tuberculoză activă. </w:t>
      </w:r>
    </w:p>
    <w:p w14:paraId="41249E1A" w14:textId="77777777" w:rsidR="002130FD" w:rsidRPr="002130FD" w:rsidRDefault="002130FD" w:rsidP="002161CA">
      <w:pPr>
        <w:widowControl w:val="0"/>
        <w:numPr>
          <w:ilvl w:val="0"/>
          <w:numId w:val="176"/>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Hipersensibilitate</w:t>
      </w:r>
      <w:r w:rsidRPr="002130FD">
        <w:rPr>
          <w:rFonts w:ascii="Times New Roman" w:eastAsia="Times New Roman" w:hAnsi="Times New Roman" w:cs="Times New Roman"/>
          <w:spacing w:val="-6"/>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sau</w:t>
      </w:r>
      <w:r w:rsidRPr="002130FD">
        <w:rPr>
          <w:rFonts w:ascii="Times New Roman" w:eastAsia="Times New Roman" w:hAnsi="Times New Roman" w:cs="Times New Roman"/>
          <w:spacing w:val="-6"/>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alergie</w:t>
      </w:r>
      <w:r w:rsidRPr="002130FD">
        <w:rPr>
          <w:rFonts w:ascii="Times New Roman" w:eastAsia="Times New Roman" w:hAnsi="Times New Roman" w:cs="Times New Roman"/>
          <w:spacing w:val="-4"/>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la</w:t>
      </w:r>
      <w:r w:rsidRPr="002130FD">
        <w:rPr>
          <w:rFonts w:ascii="Times New Roman" w:eastAsia="Times New Roman" w:hAnsi="Times New Roman" w:cs="Times New Roman"/>
          <w:spacing w:val="-4"/>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anifrolumab</w:t>
      </w:r>
      <w:r w:rsidRPr="002130FD">
        <w:rPr>
          <w:rFonts w:ascii="Times New Roman" w:eastAsia="Times New Roman" w:hAnsi="Times New Roman" w:cs="Times New Roman"/>
          <w:spacing w:val="-7"/>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sau</w:t>
      </w:r>
      <w:r w:rsidRPr="002130FD">
        <w:rPr>
          <w:rFonts w:ascii="Times New Roman" w:eastAsia="Times New Roman" w:hAnsi="Times New Roman" w:cs="Times New Roman"/>
          <w:spacing w:val="-5"/>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la</w:t>
      </w:r>
      <w:r w:rsidRPr="002130FD">
        <w:rPr>
          <w:rFonts w:ascii="Times New Roman" w:eastAsia="Times New Roman" w:hAnsi="Times New Roman" w:cs="Times New Roman"/>
          <w:spacing w:val="-6"/>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orice</w:t>
      </w:r>
      <w:r w:rsidRPr="002130FD">
        <w:rPr>
          <w:rFonts w:ascii="Times New Roman" w:eastAsia="Times New Roman" w:hAnsi="Times New Roman" w:cs="Times New Roman"/>
          <w:spacing w:val="-4"/>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component</w:t>
      </w:r>
      <w:r w:rsidRPr="002130FD">
        <w:rPr>
          <w:rFonts w:ascii="Times New Roman" w:eastAsia="Times New Roman" w:hAnsi="Times New Roman" w:cs="Times New Roman"/>
          <w:spacing w:val="-5"/>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din</w:t>
      </w:r>
      <w:r w:rsidRPr="002130FD">
        <w:rPr>
          <w:rFonts w:ascii="Times New Roman" w:eastAsia="Times New Roman" w:hAnsi="Times New Roman" w:cs="Times New Roman"/>
          <w:spacing w:val="-5"/>
          <w:sz w:val="24"/>
          <w:szCs w:val="24"/>
          <w:u w:color="000000"/>
          <w:bdr w:val="nil"/>
          <w:lang w:eastAsia="ro-RO"/>
        </w:rPr>
        <w:t xml:space="preserve"> </w:t>
      </w:r>
      <w:r w:rsidRPr="002130FD">
        <w:rPr>
          <w:rFonts w:ascii="Times New Roman" w:eastAsia="Times New Roman" w:hAnsi="Times New Roman" w:cs="Times New Roman"/>
          <w:spacing w:val="-2"/>
          <w:sz w:val="24"/>
          <w:szCs w:val="24"/>
          <w:u w:color="000000"/>
          <w:bdr w:val="nil"/>
          <w:lang w:eastAsia="ro-RO"/>
        </w:rPr>
        <w:t>preparat.</w:t>
      </w:r>
    </w:p>
    <w:p w14:paraId="34D23253" w14:textId="77777777" w:rsidR="002130FD" w:rsidRPr="002130FD" w:rsidRDefault="002130FD" w:rsidP="002161CA">
      <w:pPr>
        <w:widowControl w:val="0"/>
        <w:numPr>
          <w:ilvl w:val="0"/>
          <w:numId w:val="176"/>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pacing w:val="-2"/>
          <w:sz w:val="24"/>
          <w:szCs w:val="24"/>
          <w:u w:color="000000"/>
          <w:bdr w:val="nil"/>
          <w:lang w:eastAsia="ro-RO"/>
        </w:rPr>
        <w:t>Nu este recomandat în timpul sarcinii, alăptării și la femeile cu potențial fertil care nu utilizează metode contraceptive, cu excepția cazului în care beneficiul posibil justifică riscul potențial.</w:t>
      </w:r>
    </w:p>
    <w:p w14:paraId="7EE15CAF" w14:textId="77777777" w:rsidR="002130FD" w:rsidRPr="002130FD" w:rsidRDefault="002130FD" w:rsidP="002161CA">
      <w:pPr>
        <w:widowControl w:val="0"/>
        <w:numPr>
          <w:ilvl w:val="0"/>
          <w:numId w:val="176"/>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Pacienți</w:t>
      </w:r>
      <w:r w:rsidRPr="002130FD">
        <w:rPr>
          <w:rFonts w:ascii="Times New Roman" w:eastAsia="Times New Roman" w:hAnsi="Times New Roman" w:cs="Times New Roman"/>
          <w:spacing w:val="-5"/>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cu</w:t>
      </w:r>
      <w:r w:rsidRPr="002130FD">
        <w:rPr>
          <w:rFonts w:ascii="Times New Roman" w:eastAsia="Times New Roman" w:hAnsi="Times New Roman" w:cs="Times New Roman"/>
          <w:spacing w:val="-4"/>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stări</w:t>
      </w:r>
      <w:r w:rsidRPr="002130FD">
        <w:rPr>
          <w:rFonts w:ascii="Times New Roman" w:eastAsia="Times New Roman" w:hAnsi="Times New Roman" w:cs="Times New Roman"/>
          <w:spacing w:val="-2"/>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de</w:t>
      </w:r>
      <w:r w:rsidRPr="002130FD">
        <w:rPr>
          <w:rFonts w:ascii="Times New Roman" w:eastAsia="Times New Roman" w:hAnsi="Times New Roman" w:cs="Times New Roman"/>
          <w:spacing w:val="-2"/>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imunodeficiență</w:t>
      </w:r>
      <w:r w:rsidRPr="002130FD">
        <w:rPr>
          <w:rFonts w:ascii="Times New Roman" w:eastAsia="Times New Roman" w:hAnsi="Times New Roman" w:cs="Times New Roman"/>
          <w:spacing w:val="-2"/>
          <w:sz w:val="24"/>
          <w:szCs w:val="24"/>
          <w:u w:color="000000"/>
          <w:bdr w:val="nil"/>
          <w:lang w:eastAsia="ro-RO"/>
        </w:rPr>
        <w:t xml:space="preserve"> severă primară.</w:t>
      </w:r>
    </w:p>
    <w:p w14:paraId="26ADB12B" w14:textId="77777777" w:rsidR="002130FD" w:rsidRPr="002130FD" w:rsidRDefault="002130FD" w:rsidP="002161CA">
      <w:pPr>
        <w:widowControl w:val="0"/>
        <w:numPr>
          <w:ilvl w:val="0"/>
          <w:numId w:val="176"/>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Administrarea</w:t>
      </w:r>
      <w:r w:rsidRPr="002130FD">
        <w:rPr>
          <w:rFonts w:ascii="Times New Roman" w:eastAsia="Times New Roman" w:hAnsi="Times New Roman" w:cs="Times New Roman"/>
          <w:spacing w:val="-7"/>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vaccinurilor</w:t>
      </w:r>
      <w:r w:rsidRPr="002130FD">
        <w:rPr>
          <w:rFonts w:ascii="Times New Roman" w:eastAsia="Times New Roman" w:hAnsi="Times New Roman" w:cs="Times New Roman"/>
          <w:spacing w:val="-4"/>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cu</w:t>
      </w:r>
      <w:r w:rsidRPr="002130FD">
        <w:rPr>
          <w:rFonts w:ascii="Times New Roman" w:eastAsia="Times New Roman" w:hAnsi="Times New Roman" w:cs="Times New Roman"/>
          <w:spacing w:val="-5"/>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virusuri</w:t>
      </w:r>
      <w:r w:rsidRPr="002130FD">
        <w:rPr>
          <w:rFonts w:ascii="Times New Roman" w:eastAsia="Times New Roman" w:hAnsi="Times New Roman" w:cs="Times New Roman"/>
          <w:spacing w:val="-5"/>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vii sau atenuate</w:t>
      </w:r>
      <w:r w:rsidRPr="002130FD">
        <w:rPr>
          <w:rFonts w:ascii="Times New Roman" w:eastAsia="Times New Roman" w:hAnsi="Times New Roman" w:cs="Times New Roman"/>
          <w:spacing w:val="-7"/>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concomitent</w:t>
      </w:r>
      <w:r w:rsidRPr="002130FD">
        <w:rPr>
          <w:rFonts w:ascii="Times New Roman" w:eastAsia="Times New Roman" w:hAnsi="Times New Roman" w:cs="Times New Roman"/>
          <w:spacing w:val="-3"/>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cu</w:t>
      </w:r>
      <w:r w:rsidRPr="002130FD">
        <w:rPr>
          <w:rFonts w:ascii="Times New Roman" w:eastAsia="Times New Roman" w:hAnsi="Times New Roman" w:cs="Times New Roman"/>
          <w:spacing w:val="-6"/>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anifrolumab</w:t>
      </w:r>
      <w:r w:rsidRPr="002130FD">
        <w:rPr>
          <w:rFonts w:ascii="Times New Roman" w:eastAsia="Times New Roman" w:hAnsi="Times New Roman" w:cs="Times New Roman"/>
          <w:spacing w:val="-5"/>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nu este recomandată</w:t>
      </w:r>
      <w:r w:rsidRPr="002130FD">
        <w:rPr>
          <w:rFonts w:ascii="Times New Roman" w:eastAsia="Times New Roman" w:hAnsi="Times New Roman" w:cs="Times New Roman"/>
          <w:spacing w:val="-2"/>
          <w:sz w:val="24"/>
          <w:szCs w:val="24"/>
          <w:u w:color="000000"/>
          <w:bdr w:val="nil"/>
          <w:lang w:eastAsia="ro-RO"/>
        </w:rPr>
        <w:t>.</w:t>
      </w:r>
    </w:p>
    <w:p w14:paraId="70728161" w14:textId="77777777" w:rsidR="002130FD" w:rsidRPr="002130FD" w:rsidRDefault="002130FD" w:rsidP="002161CA">
      <w:pPr>
        <w:widowControl w:val="0"/>
        <w:numPr>
          <w:ilvl w:val="0"/>
          <w:numId w:val="176"/>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Afecțiuni</w:t>
      </w:r>
      <w:r w:rsidRPr="002130FD">
        <w:rPr>
          <w:rFonts w:ascii="Times New Roman" w:eastAsia="Times New Roman" w:hAnsi="Times New Roman" w:cs="Times New Roman"/>
          <w:spacing w:val="-9"/>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maligne</w:t>
      </w:r>
      <w:r w:rsidRPr="002130FD">
        <w:rPr>
          <w:rFonts w:ascii="Times New Roman" w:eastAsia="Times New Roman" w:hAnsi="Times New Roman" w:cs="Times New Roman"/>
          <w:spacing w:val="-3"/>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prezente</w:t>
      </w:r>
      <w:r w:rsidRPr="002130FD">
        <w:rPr>
          <w:rFonts w:ascii="Times New Roman" w:eastAsia="Times New Roman" w:hAnsi="Times New Roman" w:cs="Times New Roman"/>
          <w:spacing w:val="-3"/>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sau</w:t>
      </w:r>
      <w:r w:rsidRPr="002130FD">
        <w:rPr>
          <w:rFonts w:ascii="Times New Roman" w:eastAsia="Times New Roman" w:hAnsi="Times New Roman" w:cs="Times New Roman"/>
          <w:spacing w:val="-5"/>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afecțiuni</w:t>
      </w:r>
      <w:r w:rsidRPr="002130FD">
        <w:rPr>
          <w:rFonts w:ascii="Times New Roman" w:eastAsia="Times New Roman" w:hAnsi="Times New Roman" w:cs="Times New Roman"/>
          <w:spacing w:val="-7"/>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maligne</w:t>
      </w:r>
      <w:r w:rsidRPr="002130FD">
        <w:rPr>
          <w:rFonts w:ascii="Times New Roman" w:eastAsia="Times New Roman" w:hAnsi="Times New Roman" w:cs="Times New Roman"/>
          <w:spacing w:val="-3"/>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în</w:t>
      </w:r>
      <w:r w:rsidRPr="002130FD">
        <w:rPr>
          <w:rFonts w:ascii="Times New Roman" w:eastAsia="Times New Roman" w:hAnsi="Times New Roman" w:cs="Times New Roman"/>
          <w:spacing w:val="-5"/>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ultimii</w:t>
      </w:r>
      <w:r w:rsidRPr="002130FD">
        <w:rPr>
          <w:rFonts w:ascii="Times New Roman" w:eastAsia="Times New Roman" w:hAnsi="Times New Roman" w:cs="Times New Roman"/>
          <w:spacing w:val="-7"/>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5</w:t>
      </w:r>
      <w:r w:rsidRPr="002130FD">
        <w:rPr>
          <w:rFonts w:ascii="Times New Roman" w:eastAsia="Times New Roman" w:hAnsi="Times New Roman" w:cs="Times New Roman"/>
          <w:spacing w:val="-3"/>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ani,</w:t>
      </w:r>
      <w:r w:rsidRPr="002130FD">
        <w:rPr>
          <w:rFonts w:ascii="Times New Roman" w:eastAsia="Times New Roman" w:hAnsi="Times New Roman" w:cs="Times New Roman"/>
          <w:spacing w:val="-4"/>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fără</w:t>
      </w:r>
      <w:r w:rsidRPr="002130FD">
        <w:rPr>
          <w:rFonts w:ascii="Times New Roman" w:eastAsia="Times New Roman" w:hAnsi="Times New Roman" w:cs="Times New Roman"/>
          <w:spacing w:val="-6"/>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avizul</w:t>
      </w:r>
      <w:r w:rsidRPr="002130FD">
        <w:rPr>
          <w:rFonts w:ascii="Times New Roman" w:eastAsia="Times New Roman" w:hAnsi="Times New Roman" w:cs="Times New Roman"/>
          <w:spacing w:val="-7"/>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medicului</w:t>
      </w:r>
      <w:r w:rsidRPr="002130FD">
        <w:rPr>
          <w:rFonts w:ascii="Times New Roman" w:eastAsia="Times New Roman" w:hAnsi="Times New Roman" w:cs="Times New Roman"/>
          <w:spacing w:val="-6"/>
          <w:sz w:val="24"/>
          <w:szCs w:val="24"/>
          <w:u w:color="000000"/>
          <w:bdr w:val="nil"/>
          <w:lang w:eastAsia="ro-RO"/>
        </w:rPr>
        <w:t xml:space="preserve"> </w:t>
      </w:r>
      <w:r w:rsidRPr="002130FD">
        <w:rPr>
          <w:rFonts w:ascii="Times New Roman" w:eastAsia="Times New Roman" w:hAnsi="Times New Roman" w:cs="Times New Roman"/>
          <w:spacing w:val="-2"/>
          <w:sz w:val="24"/>
          <w:szCs w:val="24"/>
          <w:u w:color="000000"/>
          <w:bdr w:val="nil"/>
          <w:lang w:eastAsia="ro-RO"/>
        </w:rPr>
        <w:t>oncolog.</w:t>
      </w:r>
    </w:p>
    <w:p w14:paraId="73DA605E" w14:textId="77777777" w:rsidR="002130FD" w:rsidRPr="002130FD" w:rsidRDefault="002130FD" w:rsidP="002161CA">
      <w:pPr>
        <w:widowControl w:val="0"/>
        <w:numPr>
          <w:ilvl w:val="0"/>
          <w:numId w:val="176"/>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Orice</w:t>
      </w:r>
      <w:r w:rsidRPr="002130FD">
        <w:rPr>
          <w:rFonts w:ascii="Times New Roman" w:eastAsia="Times New Roman" w:hAnsi="Times New Roman" w:cs="Times New Roman"/>
          <w:spacing w:val="-10"/>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contraindicații</w:t>
      </w:r>
      <w:r w:rsidRPr="002130FD">
        <w:rPr>
          <w:rFonts w:ascii="Times New Roman" w:eastAsia="Times New Roman" w:hAnsi="Times New Roman" w:cs="Times New Roman"/>
          <w:spacing w:val="-9"/>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menționate</w:t>
      </w:r>
      <w:r w:rsidRPr="002130FD">
        <w:rPr>
          <w:rFonts w:ascii="Times New Roman" w:eastAsia="Times New Roman" w:hAnsi="Times New Roman" w:cs="Times New Roman"/>
          <w:spacing w:val="-7"/>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de</w:t>
      </w:r>
      <w:r w:rsidRPr="002130FD">
        <w:rPr>
          <w:rFonts w:ascii="Times New Roman" w:eastAsia="Times New Roman" w:hAnsi="Times New Roman" w:cs="Times New Roman"/>
          <w:spacing w:val="-5"/>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rezumatul</w:t>
      </w:r>
      <w:r w:rsidRPr="002130FD">
        <w:rPr>
          <w:rFonts w:ascii="Times New Roman" w:eastAsia="Times New Roman" w:hAnsi="Times New Roman" w:cs="Times New Roman"/>
          <w:spacing w:val="-9"/>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caracteristicilor</w:t>
      </w:r>
      <w:r w:rsidRPr="002130FD">
        <w:rPr>
          <w:rFonts w:ascii="Times New Roman" w:eastAsia="Times New Roman" w:hAnsi="Times New Roman" w:cs="Times New Roman"/>
          <w:spacing w:val="-5"/>
          <w:sz w:val="24"/>
          <w:szCs w:val="24"/>
          <w:u w:color="000000"/>
          <w:bdr w:val="nil"/>
          <w:lang w:eastAsia="ro-RO"/>
        </w:rPr>
        <w:t xml:space="preserve"> </w:t>
      </w:r>
      <w:r w:rsidRPr="002130FD">
        <w:rPr>
          <w:rFonts w:ascii="Times New Roman" w:eastAsia="Times New Roman" w:hAnsi="Times New Roman" w:cs="Times New Roman"/>
          <w:spacing w:val="-2"/>
          <w:sz w:val="24"/>
          <w:szCs w:val="24"/>
          <w:u w:color="000000"/>
          <w:bdr w:val="nil"/>
          <w:lang w:eastAsia="ro-RO"/>
        </w:rPr>
        <w:t>produsului.</w:t>
      </w:r>
    </w:p>
    <w:p w14:paraId="1BAFF95A" w14:textId="77777777" w:rsidR="002130FD" w:rsidRPr="002130FD" w:rsidRDefault="002130FD" w:rsidP="002161CA">
      <w:pPr>
        <w:widowControl w:val="0"/>
        <w:numPr>
          <w:ilvl w:val="0"/>
          <w:numId w:val="176"/>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Lipsa/retragerea</w:t>
      </w:r>
      <w:r w:rsidRPr="002130FD">
        <w:rPr>
          <w:rFonts w:ascii="Times New Roman" w:eastAsia="Times New Roman" w:hAnsi="Times New Roman" w:cs="Times New Roman"/>
          <w:spacing w:val="-11"/>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consimțământului</w:t>
      </w:r>
      <w:r w:rsidRPr="002130FD">
        <w:rPr>
          <w:rFonts w:ascii="Times New Roman" w:eastAsia="Times New Roman" w:hAnsi="Times New Roman" w:cs="Times New Roman"/>
          <w:spacing w:val="-7"/>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pacientului</w:t>
      </w:r>
      <w:r w:rsidRPr="002130FD">
        <w:rPr>
          <w:rFonts w:ascii="Times New Roman" w:eastAsia="Times New Roman" w:hAnsi="Times New Roman" w:cs="Times New Roman"/>
          <w:spacing w:val="-7"/>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față</w:t>
      </w:r>
      <w:r w:rsidRPr="002130FD">
        <w:rPr>
          <w:rFonts w:ascii="Times New Roman" w:eastAsia="Times New Roman" w:hAnsi="Times New Roman" w:cs="Times New Roman"/>
          <w:spacing w:val="-9"/>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de</w:t>
      </w:r>
      <w:r w:rsidRPr="002130FD">
        <w:rPr>
          <w:rFonts w:ascii="Times New Roman" w:eastAsia="Times New Roman" w:hAnsi="Times New Roman" w:cs="Times New Roman"/>
          <w:spacing w:val="-6"/>
          <w:sz w:val="24"/>
          <w:szCs w:val="24"/>
          <w:u w:color="000000"/>
          <w:bdr w:val="nil"/>
          <w:lang w:eastAsia="ro-RO"/>
        </w:rPr>
        <w:t xml:space="preserve"> </w:t>
      </w:r>
      <w:r w:rsidRPr="002130FD">
        <w:rPr>
          <w:rFonts w:ascii="Times New Roman" w:eastAsia="Times New Roman" w:hAnsi="Times New Roman" w:cs="Times New Roman"/>
          <w:spacing w:val="-2"/>
          <w:sz w:val="24"/>
          <w:szCs w:val="24"/>
          <w:u w:color="000000"/>
          <w:bdr w:val="nil"/>
          <w:lang w:eastAsia="ro-RO"/>
        </w:rPr>
        <w:t>tratament.</w:t>
      </w:r>
    </w:p>
    <w:p w14:paraId="48FDA745" w14:textId="77777777" w:rsidR="002130FD" w:rsidRPr="002130FD" w:rsidRDefault="002130FD" w:rsidP="002161CA">
      <w:pPr>
        <w:widowControl w:val="0"/>
        <w:numPr>
          <w:ilvl w:val="0"/>
          <w:numId w:val="176"/>
        </w:numPr>
        <w:tabs>
          <w:tab w:val="left" w:pos="474"/>
        </w:tabs>
        <w:autoSpaceDE w:val="0"/>
        <w:autoSpaceDN w:val="0"/>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Pierderea</w:t>
      </w:r>
      <w:r w:rsidRPr="002130FD">
        <w:rPr>
          <w:rFonts w:ascii="Times New Roman" w:eastAsia="Times New Roman" w:hAnsi="Times New Roman" w:cs="Times New Roman"/>
          <w:spacing w:val="-7"/>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calității</w:t>
      </w:r>
      <w:r w:rsidRPr="002130FD">
        <w:rPr>
          <w:rFonts w:ascii="Times New Roman" w:eastAsia="Times New Roman" w:hAnsi="Times New Roman" w:cs="Times New Roman"/>
          <w:spacing w:val="-8"/>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de</w:t>
      </w:r>
      <w:r w:rsidRPr="002130FD">
        <w:rPr>
          <w:rFonts w:ascii="Times New Roman" w:eastAsia="Times New Roman" w:hAnsi="Times New Roman" w:cs="Times New Roman"/>
          <w:spacing w:val="-3"/>
          <w:sz w:val="24"/>
          <w:szCs w:val="24"/>
          <w:u w:color="000000"/>
          <w:bdr w:val="nil"/>
          <w:lang w:eastAsia="ro-RO"/>
        </w:rPr>
        <w:t xml:space="preserve"> </w:t>
      </w:r>
      <w:r w:rsidRPr="002130FD">
        <w:rPr>
          <w:rFonts w:ascii="Times New Roman" w:eastAsia="Times New Roman" w:hAnsi="Times New Roman" w:cs="Times New Roman"/>
          <w:spacing w:val="-2"/>
          <w:sz w:val="24"/>
          <w:szCs w:val="24"/>
          <w:u w:color="000000"/>
          <w:bdr w:val="nil"/>
          <w:lang w:eastAsia="ro-RO"/>
        </w:rPr>
        <w:t>asigurat.</w:t>
      </w:r>
    </w:p>
    <w:p w14:paraId="4606D709" w14:textId="77777777" w:rsidR="002130FD" w:rsidRPr="002130FD" w:rsidRDefault="002130FD" w:rsidP="002130FD">
      <w:pPr>
        <w:jc w:val="both"/>
        <w:rPr>
          <w:rFonts w:ascii="Times New Roman" w:eastAsia="Calibri" w:hAnsi="Times New Roman" w:cs="Times New Roman"/>
          <w:sz w:val="24"/>
          <w:szCs w:val="24"/>
        </w:rPr>
      </w:pPr>
    </w:p>
    <w:p w14:paraId="0F744D5D" w14:textId="77777777" w:rsidR="002130FD" w:rsidRPr="002130FD" w:rsidRDefault="002130FD" w:rsidP="002130FD">
      <w:pPr>
        <w:jc w:val="both"/>
        <w:rPr>
          <w:rFonts w:ascii="Times New Roman" w:eastAsia="Calibri" w:hAnsi="Times New Roman" w:cs="Times New Roman"/>
          <w:b/>
          <w:sz w:val="24"/>
          <w:szCs w:val="24"/>
        </w:rPr>
      </w:pPr>
      <w:r w:rsidRPr="002130FD">
        <w:rPr>
          <w:rFonts w:ascii="Times New Roman" w:eastAsia="Calibri" w:hAnsi="Times New Roman" w:cs="Times New Roman"/>
          <w:sz w:val="24"/>
          <w:szCs w:val="24"/>
        </w:rPr>
        <w:t xml:space="preserve">II.3.3. </w:t>
      </w:r>
      <w:r w:rsidRPr="002130FD">
        <w:rPr>
          <w:rFonts w:ascii="Times New Roman" w:eastAsia="Calibri" w:hAnsi="Times New Roman" w:cs="Times New Roman"/>
          <w:b/>
          <w:sz w:val="24"/>
          <w:szCs w:val="24"/>
        </w:rPr>
        <w:t>Criterii de continuare a terapiei cu belimumab sau anifrolumab</w:t>
      </w:r>
    </w:p>
    <w:p w14:paraId="7BC89B22"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Tratamentul se continuă ulterior după primele 24 săptămâni, atâta timp cât există beneficiul terapeutic obținut la prima evaluare și nu există reacții adverse care să impună oprirea acestuia.</w:t>
      </w:r>
    </w:p>
    <w:p w14:paraId="59F469F3"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Pentru continuarea terapiei biologice cu belimumab sau anifrolumab este necesară îndeplinirea a cel puțin unui criteriu la fiecare 24 săptămâni:</w:t>
      </w:r>
    </w:p>
    <w:p w14:paraId="10918033" w14:textId="77777777" w:rsidR="002130FD" w:rsidRPr="002130FD" w:rsidRDefault="002130FD" w:rsidP="002161CA">
      <w:pPr>
        <w:numPr>
          <w:ilvl w:val="0"/>
          <w:numId w:val="17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 xml:space="preserve">scăderea SELENA-SLEDAI </w:t>
      </w:r>
    </w:p>
    <w:p w14:paraId="38EFCDBD" w14:textId="77777777" w:rsidR="002130FD" w:rsidRPr="002130FD" w:rsidRDefault="002130FD" w:rsidP="002161CA">
      <w:pPr>
        <w:numPr>
          <w:ilvl w:val="0"/>
          <w:numId w:val="17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reducerea necesarului de glucocorticoizi față de doza inițială dinaintea începerii tratamentului biologic.</w:t>
      </w:r>
    </w:p>
    <w:p w14:paraId="62B4A1C0" w14:textId="77777777" w:rsidR="002130FD" w:rsidRPr="002130FD" w:rsidRDefault="002130FD" w:rsidP="002161CA">
      <w:pPr>
        <w:numPr>
          <w:ilvl w:val="0"/>
          <w:numId w:val="177"/>
        </w:numPr>
        <w:pBdr>
          <w:top w:val="nil"/>
          <w:left w:val="nil"/>
          <w:bottom w:val="nil"/>
          <w:right w:val="nil"/>
          <w:between w:val="nil"/>
          <w:bar w:val="nil"/>
        </w:pBdr>
        <w:spacing w:after="0" w:line="240" w:lineRule="auto"/>
        <w:jc w:val="both"/>
        <w:rPr>
          <w:rFonts w:ascii="Times New Roman" w:eastAsia="Times New Roman" w:hAnsi="Times New Roman" w:cs="Times New Roman"/>
          <w:strike/>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 xml:space="preserve">menținerea sau reducerea evaluării activității bolii de către medic (PGA) </w:t>
      </w:r>
    </w:p>
    <w:p w14:paraId="46AE37A3" w14:textId="77777777" w:rsidR="002130FD" w:rsidRPr="002130FD" w:rsidRDefault="002130FD" w:rsidP="002161CA">
      <w:pPr>
        <w:numPr>
          <w:ilvl w:val="0"/>
          <w:numId w:val="177"/>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absența puseelor de boală severe de la evaluarea precedentă.</w:t>
      </w:r>
    </w:p>
    <w:p w14:paraId="24994FD8" w14:textId="77777777" w:rsidR="002130FD" w:rsidRPr="002130FD" w:rsidRDefault="002130FD" w:rsidP="002130FD">
      <w:pPr>
        <w:jc w:val="both"/>
        <w:rPr>
          <w:rFonts w:ascii="Times New Roman" w:eastAsia="Calibri" w:hAnsi="Times New Roman" w:cs="Times New Roman"/>
          <w:sz w:val="24"/>
          <w:szCs w:val="24"/>
        </w:rPr>
      </w:pPr>
    </w:p>
    <w:p w14:paraId="2898CCF7"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Tratamentul biologic se întrerupe dacă nu sunt îndeplinite criteriile de continuare sau dacă apar reacții adverse severe la belimumab sau anifrolumab care să îndeplinească criteriile de excludere sau contraindicațiile față de tratamentul biologic. </w:t>
      </w:r>
    </w:p>
    <w:p w14:paraId="08FBDBC0"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Pentru cazurile de LES pediatric se utilizează doar criteriile aplicabile acestei categorii de pacienți.</w:t>
      </w:r>
    </w:p>
    <w:p w14:paraId="412A1B2F"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II.3.4. </w:t>
      </w:r>
      <w:r w:rsidRPr="002130FD">
        <w:rPr>
          <w:rFonts w:ascii="Times New Roman" w:eastAsia="Calibri" w:hAnsi="Times New Roman" w:cs="Times New Roman"/>
          <w:b/>
          <w:sz w:val="24"/>
          <w:szCs w:val="24"/>
        </w:rPr>
        <w:t>Screeningul anterior inițierii terapiei cu belimumab sau anifrolumab</w:t>
      </w:r>
    </w:p>
    <w:p w14:paraId="0761AA07"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Deși nu sunt relatate cazuri de activare a tuberculozei sau de reactivare a hepatitei cu virusurile hepatitice B și C, radiografia pulmonară, determinarea serologiei virusurilor B (antigen HBs, </w:t>
      </w:r>
      <w:r w:rsidRPr="002130FD">
        <w:rPr>
          <w:rFonts w:ascii="Times New Roman" w:eastAsia="Calibri" w:hAnsi="Times New Roman" w:cs="Times New Roman"/>
          <w:sz w:val="24"/>
          <w:szCs w:val="24"/>
        </w:rPr>
        <w:lastRenderedPageBreak/>
        <w:t>anticorpi anti-HBc, anticorpi anti-HBs) și C (anticorpi anti-HCV) sunt recomandate înaintea începerii tratamentului cu belimumab sau anifrolumab.</w:t>
      </w:r>
    </w:p>
    <w:p w14:paraId="48C47AC0" w14:textId="77777777" w:rsidR="002130FD" w:rsidRPr="002130FD" w:rsidRDefault="002130FD" w:rsidP="002130FD">
      <w:pPr>
        <w:jc w:val="both"/>
        <w:rPr>
          <w:rFonts w:ascii="Times New Roman" w:eastAsia="Calibri" w:hAnsi="Times New Roman" w:cs="Times New Roman"/>
          <w:b/>
          <w:sz w:val="24"/>
          <w:szCs w:val="24"/>
        </w:rPr>
      </w:pPr>
      <w:r w:rsidRPr="002130FD">
        <w:rPr>
          <w:rFonts w:ascii="Times New Roman" w:eastAsia="Calibri" w:hAnsi="Times New Roman" w:cs="Times New Roman"/>
          <w:sz w:val="24"/>
          <w:szCs w:val="24"/>
        </w:rPr>
        <w:t xml:space="preserve">II.3.5. </w:t>
      </w:r>
      <w:r w:rsidRPr="002130FD">
        <w:rPr>
          <w:rFonts w:ascii="Times New Roman" w:eastAsia="Calibri" w:hAnsi="Times New Roman" w:cs="Times New Roman"/>
          <w:b/>
          <w:sz w:val="24"/>
          <w:szCs w:val="24"/>
        </w:rPr>
        <w:t>Administrarea tratamentului biologic</w:t>
      </w:r>
    </w:p>
    <w:p w14:paraId="34A5F809" w14:textId="77777777" w:rsidR="002130FD" w:rsidRPr="002130FD" w:rsidRDefault="002130FD" w:rsidP="002161CA">
      <w:pPr>
        <w:numPr>
          <w:ilvl w:val="0"/>
          <w:numId w:val="169"/>
        </w:numPr>
        <w:spacing w:after="0"/>
        <w:ind w:left="426" w:hanging="426"/>
        <w:contextualSpacing/>
        <w:jc w:val="both"/>
        <w:rPr>
          <w:rFonts w:ascii="Times New Roman" w:eastAsia="Times New Roman" w:hAnsi="Times New Roman" w:cs="Times New Roman"/>
          <w:b/>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Anticorpi anti-BLyS</w:t>
      </w:r>
      <w:r w:rsidRPr="002130FD">
        <w:rPr>
          <w:rFonts w:ascii="Times New Roman" w:eastAsia="Times New Roman" w:hAnsi="Times New Roman" w:cs="Times New Roman"/>
          <w:b/>
          <w:sz w:val="24"/>
          <w:szCs w:val="24"/>
          <w:u w:color="000000"/>
          <w:bdr w:val="nil"/>
          <w:lang w:val="en-US" w:eastAsia="ro-RO"/>
        </w:rPr>
        <w:t xml:space="preserve">: </w:t>
      </w:r>
      <w:r w:rsidRPr="002130FD">
        <w:rPr>
          <w:rFonts w:ascii="Times New Roman" w:eastAsia="Times New Roman" w:hAnsi="Times New Roman" w:cs="Times New Roman"/>
          <w:b/>
          <w:sz w:val="24"/>
          <w:szCs w:val="24"/>
          <w:u w:color="000000"/>
          <w:bdr w:val="nil"/>
          <w:lang w:eastAsia="ro-RO"/>
        </w:rPr>
        <w:t>Belimumab</w:t>
      </w:r>
    </w:p>
    <w:p w14:paraId="5E293467" w14:textId="77777777" w:rsidR="002130FD" w:rsidRPr="002130FD" w:rsidRDefault="002130FD" w:rsidP="002161CA">
      <w:pPr>
        <w:numPr>
          <w:ilvl w:val="0"/>
          <w:numId w:val="165"/>
        </w:numPr>
        <w:autoSpaceDE w:val="0"/>
        <w:autoSpaceDN w:val="0"/>
        <w:adjustRightInd w:val="0"/>
        <w:spacing w:after="0" w:line="240" w:lineRule="auto"/>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Tratamentul cu belimumab trebuie iniţiat şi supravegheat de către un medic calificat cu experienţă în diagnosticarea şi tratarea LES, care lucrează într-o secție/compartiment de reumatologie, medicină internă sau reumatologie pediatrică/pediatrie, ce posedă dotările și personalul calificat necesare pentru supravegherea terapiei cu belimumab.</w:t>
      </w:r>
    </w:p>
    <w:p w14:paraId="6DCC4A07" w14:textId="77777777" w:rsidR="002130FD" w:rsidRPr="002130FD" w:rsidRDefault="002130FD" w:rsidP="002161CA">
      <w:pPr>
        <w:numPr>
          <w:ilvl w:val="0"/>
          <w:numId w:val="165"/>
        </w:numPr>
        <w:autoSpaceDE w:val="0"/>
        <w:autoSpaceDN w:val="0"/>
        <w:adjustRightInd w:val="0"/>
        <w:spacing w:after="0" w:line="240" w:lineRule="auto"/>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Belimumab se administrează intravenos prin perfuzie pe parcursul unei perioade de 1 oră şi trebuie reconstituit şi diluat înainte de administrare. Schema de doze recomandată este de 10 mg/kg corp belimumab în zilele 0, 14 şi 28, şi apoi la intervale de 4 săptămâni. Premedicaţia, incluzând un antihistaminic în asociere sau nu cu un antipiretic, poate fi administrată înainte de perfuzia cu belimumab.</w:t>
      </w:r>
    </w:p>
    <w:p w14:paraId="5140DCFD" w14:textId="77777777" w:rsidR="002130FD" w:rsidRPr="002130FD" w:rsidRDefault="002130FD" w:rsidP="002161CA">
      <w:pPr>
        <w:numPr>
          <w:ilvl w:val="0"/>
          <w:numId w:val="165"/>
        </w:numPr>
        <w:autoSpaceDE w:val="0"/>
        <w:autoSpaceDN w:val="0"/>
        <w:adjustRightInd w:val="0"/>
        <w:spacing w:after="0" w:line="240" w:lineRule="auto"/>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Administrarea belimumab poate conduce la reacţii de hipersensibilitate severe care pot pune viaţa în pericol şi la reacţii cauzate de perfuzie. Riscul cel mai mare al reacțiilor de hipersensibilitate se manifestă mai frecvent la primele 2 doze, dar el trebuie luat în considerație la fiecare administrare. Pacienții cu antecedente de alergii sau reacții de hipersensibilitate la medicamente pot avea un risc mai mare de reacții de hipersensibilitate la belimumab. Perfuziile cu belimumab trebuie administrate de către personal medical calificat instruit pentru administrarea tratamentului prin perfuzie, în centre în care sunt imediat disponibile resurse pentru gestionarea acestor reacţii. Pacienţii trebuie să rămână sub supraveghere clinică pentru o perioadă prelungită de timp (câteva ore), luând în considerare posibilitatea unui debut întârziat al reacţiei.</w:t>
      </w:r>
    </w:p>
    <w:p w14:paraId="406AA5DC" w14:textId="77777777" w:rsidR="002130FD" w:rsidRPr="002130FD" w:rsidRDefault="002130FD" w:rsidP="002130FD">
      <w:pPr>
        <w:jc w:val="both"/>
        <w:rPr>
          <w:rFonts w:ascii="Times New Roman" w:eastAsia="Calibri" w:hAnsi="Times New Roman" w:cs="Times New Roman"/>
          <w:sz w:val="24"/>
          <w:szCs w:val="24"/>
        </w:rPr>
      </w:pPr>
    </w:p>
    <w:p w14:paraId="5669BB7E" w14:textId="77777777" w:rsidR="002130FD" w:rsidRPr="002130FD" w:rsidRDefault="002130FD" w:rsidP="002161CA">
      <w:pPr>
        <w:numPr>
          <w:ilvl w:val="0"/>
          <w:numId w:val="169"/>
        </w:numPr>
        <w:spacing w:after="0"/>
        <w:ind w:left="426" w:hanging="426"/>
        <w:contextualSpacing/>
        <w:jc w:val="both"/>
        <w:rPr>
          <w:rFonts w:ascii="Times New Roman" w:eastAsia="Times New Roman" w:hAnsi="Times New Roman" w:cs="Times New Roman"/>
          <w:b/>
          <w:sz w:val="24"/>
          <w:szCs w:val="24"/>
          <w:u w:color="000000"/>
          <w:bdr w:val="nil"/>
          <w:lang w:eastAsia="ro-RO"/>
        </w:rPr>
      </w:pPr>
      <w:r w:rsidRPr="002130FD">
        <w:rPr>
          <w:rFonts w:ascii="Times New Roman" w:eastAsia="Times New Roman" w:hAnsi="Times New Roman" w:cs="Times New Roman"/>
          <w:b/>
          <w:sz w:val="24"/>
          <w:szCs w:val="24"/>
          <w:u w:color="000000"/>
          <w:bdr w:val="nil"/>
          <w:lang w:eastAsia="ro-RO"/>
        </w:rPr>
        <w:t>Anticorpi anti-IFNAR1: Anifrolumab</w:t>
      </w:r>
    </w:p>
    <w:p w14:paraId="314AB10F" w14:textId="77777777" w:rsidR="002130FD" w:rsidRPr="002130FD" w:rsidRDefault="002130FD" w:rsidP="002161CA">
      <w:pPr>
        <w:numPr>
          <w:ilvl w:val="0"/>
          <w:numId w:val="165"/>
        </w:numPr>
        <w:contextualSpacing/>
        <w:jc w:val="both"/>
        <w:rPr>
          <w:rFonts w:ascii="Times New Roman" w:eastAsia="Times New Roman" w:hAnsi="Times New Roman" w:cs="Times New Roman"/>
          <w:b/>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Tratamentul trebuie iniţiat şi supravegheat de către un medic cu experienţă în tratarea LES.</w:t>
      </w:r>
    </w:p>
    <w:p w14:paraId="19774F96" w14:textId="77777777" w:rsidR="002130FD" w:rsidRPr="002130FD" w:rsidRDefault="002130FD" w:rsidP="002161CA">
      <w:pPr>
        <w:numPr>
          <w:ilvl w:val="0"/>
          <w:numId w:val="165"/>
        </w:numPr>
        <w:contextualSpacing/>
        <w:jc w:val="both"/>
        <w:rPr>
          <w:rFonts w:ascii="Times New Roman" w:eastAsia="Times New Roman" w:hAnsi="Times New Roman" w:cs="Times New Roman"/>
          <w:b/>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Doza recomandată este de 300 mg, administrată ca perfuzie intravenoasă pe o perioadă de 30 de minute, la interval de 4 săptămâni. Dacă este omisă o perfuzie planificată, tratamentul trebuie administrat cât mai curând posibil. Trebuie menținut un interval minim de 14 zile între doze.</w:t>
      </w:r>
    </w:p>
    <w:p w14:paraId="1134FDBE" w14:textId="77777777" w:rsidR="002130FD" w:rsidRPr="002130FD" w:rsidRDefault="002130FD" w:rsidP="002161CA">
      <w:pPr>
        <w:numPr>
          <w:ilvl w:val="0"/>
          <w:numId w:val="165"/>
        </w:numPr>
        <w:contextualSpacing/>
        <w:jc w:val="both"/>
        <w:rPr>
          <w:rFonts w:ascii="Times New Roman" w:eastAsia="Times New Roman" w:hAnsi="Times New Roman" w:cs="Times New Roman"/>
          <w:b/>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Administrarea de anifrolumab poate determina reacții grave de hipersensibilitate, inclusiv anafilaxie. La pacienții cu istoric de reacții legate de administrarea în perfuzie, premedicația (de exemplu, un antihistaminic) poate fi administrată înainte de perfuzia cu anifrolumab. Dacă apare o reacție gravă legată de perfuzie sau de hipersensibilitate (de exemplu, anafilaxie), administrarea anifrolumab trebuie întreruptă imediat și trebuie inițiat un tratament adecvat.</w:t>
      </w:r>
    </w:p>
    <w:p w14:paraId="38F72A1B" w14:textId="77777777" w:rsidR="002130FD" w:rsidRPr="002130FD" w:rsidRDefault="002130FD" w:rsidP="002161CA">
      <w:pPr>
        <w:numPr>
          <w:ilvl w:val="0"/>
          <w:numId w:val="165"/>
        </w:numPr>
        <w:contextualSpacing/>
        <w:jc w:val="both"/>
        <w:rPr>
          <w:rFonts w:ascii="Times New Roman" w:eastAsia="Times New Roman" w:hAnsi="Times New Roman" w:cs="Times New Roman"/>
          <w:b/>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 xml:space="preserve">Toate reacțiile de hipersensibilitate la anifrolumab au fost raportate la primele 6 perfuzii, dar riscul de apariție a unei astfel de reacții trebuie luat în considerație la fiecare administrare. Reacțiile de hipersensibilitate au fost predominant de intensitate ușoară până la moderată și nu au determinat întreruperea tratamentului cu anifrolumab. </w:t>
      </w:r>
    </w:p>
    <w:p w14:paraId="7D171D9B" w14:textId="77777777" w:rsidR="002130FD" w:rsidRPr="002130FD" w:rsidRDefault="002130FD" w:rsidP="002161CA">
      <w:pPr>
        <w:numPr>
          <w:ilvl w:val="0"/>
          <w:numId w:val="165"/>
        </w:numPr>
        <w:contextualSpacing/>
        <w:jc w:val="both"/>
        <w:rPr>
          <w:rFonts w:ascii="Times New Roman" w:eastAsia="Times New Roman" w:hAnsi="Times New Roman" w:cs="Times New Roman"/>
          <w:b/>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Pacienții cu antecedente de alergii sau reacții de hipersensibilitate la medicamente pot avea un risc mai mare de reacții de hipersensibilitate la anifrolumab. Perfuziile cu anifrolumab trebuie administrate de către personal medical calificat instruit pentru administrarea tratamentului prin perfuzie, în centre în care sunt imediat disponibile resurse pentru gestionarea acestor reacţii. Pacienţii trebuie să rămână sub supraveghere</w:t>
      </w:r>
      <w:r w:rsidRPr="002130FD">
        <w:rPr>
          <w:rFonts w:ascii="Times New Roman" w:eastAsia="Times New Roman" w:hAnsi="Times New Roman" w:cs="Times New Roman"/>
          <w:spacing w:val="-1"/>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clinică pentru</w:t>
      </w:r>
      <w:r w:rsidRPr="002130FD">
        <w:rPr>
          <w:rFonts w:ascii="Times New Roman" w:eastAsia="Times New Roman" w:hAnsi="Times New Roman" w:cs="Times New Roman"/>
          <w:spacing w:val="-2"/>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o perioadă prelungită de timp (câteva ore), luând în considerare posibilitatea unui debut întârziat</w:t>
      </w:r>
      <w:r w:rsidRPr="002130FD">
        <w:rPr>
          <w:rFonts w:ascii="Times New Roman" w:eastAsia="Times New Roman" w:hAnsi="Times New Roman" w:cs="Times New Roman"/>
          <w:spacing w:val="40"/>
          <w:sz w:val="24"/>
          <w:szCs w:val="24"/>
          <w:u w:color="000000"/>
          <w:bdr w:val="nil"/>
          <w:lang w:eastAsia="ro-RO"/>
        </w:rPr>
        <w:t xml:space="preserve"> </w:t>
      </w:r>
      <w:r w:rsidRPr="002130FD">
        <w:rPr>
          <w:rFonts w:ascii="Times New Roman" w:eastAsia="Times New Roman" w:hAnsi="Times New Roman" w:cs="Times New Roman"/>
          <w:sz w:val="24"/>
          <w:szCs w:val="24"/>
          <w:u w:color="000000"/>
          <w:bdr w:val="nil"/>
          <w:lang w:eastAsia="ro-RO"/>
        </w:rPr>
        <w:t>al reacţiei.</w:t>
      </w:r>
    </w:p>
    <w:p w14:paraId="7AD7AE4E"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II.3.6. </w:t>
      </w:r>
      <w:r w:rsidRPr="002130FD">
        <w:rPr>
          <w:rFonts w:ascii="Times New Roman" w:eastAsia="Calibri" w:hAnsi="Times New Roman" w:cs="Times New Roman"/>
          <w:b/>
          <w:sz w:val="24"/>
          <w:szCs w:val="24"/>
        </w:rPr>
        <w:t>Prescrierea tratamentului cu belimumab sau anifrolumab</w:t>
      </w:r>
    </w:p>
    <w:p w14:paraId="3F46CEDC"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 xml:space="preserve">Medicul de specialitate (reumatologie, nefrologie, boli infecțioase, pediatrie sau medicină internă) care are dreptul de a prescrie tratament specific în conformitate cu </w:t>
      </w:r>
      <w:bookmarkStart w:id="13" w:name="REF121"/>
      <w:bookmarkEnd w:id="13"/>
      <w:r w:rsidRPr="002130FD">
        <w:rPr>
          <w:rFonts w:ascii="Times New Roman" w:eastAsia="Calibri" w:hAnsi="Times New Roman" w:cs="Times New Roman"/>
          <w:sz w:val="24"/>
          <w:szCs w:val="24"/>
        </w:rPr>
        <w:t xml:space="preserve">Hotărârea Guvernului nr. 720/2008 pentru aprobarea Listei cuprinzând denumirile comune internaționale corespunzătoare </w:t>
      </w:r>
      <w:r w:rsidRPr="002130FD">
        <w:rPr>
          <w:rFonts w:ascii="Times New Roman" w:eastAsia="Calibri" w:hAnsi="Times New Roman" w:cs="Times New Roman"/>
          <w:sz w:val="24"/>
          <w:szCs w:val="24"/>
        </w:rPr>
        <w:lastRenderedPageBreak/>
        <w:t>medicamentelor de care beneficiază asigurații, cu sau fără contribuție personală, pe bază de prescripție medicală, în sistemul de asigurări sociale de sănătate, precum și denumirile comune internaționale corespunzătoare medicamentelor care se acordă în cadrul programelor naționale de sănătate, republicată, cu modificările și completările ulterioare, va completa o foaie de observație clinică generală/fișă medicală care va conține evaluările clinice și de laborator sau imagistice necesare, datele fiind introduse în aplicația informatică Registrul Român de Boli Reumatice.</w:t>
      </w:r>
    </w:p>
    <w:p w14:paraId="1A7AB6C0" w14:textId="77777777" w:rsidR="002130FD" w:rsidRPr="002130FD" w:rsidRDefault="002130FD" w:rsidP="002130FD">
      <w:pPr>
        <w:spacing w:after="0"/>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Se recomandă înregistrarea următoarelor date, atât la inițierea terapiei, cât și pe parcursul evoluției bolii sub tratament:</w:t>
      </w:r>
    </w:p>
    <w:p w14:paraId="70C19BA5" w14:textId="77777777" w:rsidR="002130FD" w:rsidRPr="002130FD" w:rsidRDefault="002130FD" w:rsidP="002161CA">
      <w:pPr>
        <w:numPr>
          <w:ilvl w:val="0"/>
          <w:numId w:val="17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informații demografice și generale despre pacient;</w:t>
      </w:r>
    </w:p>
    <w:p w14:paraId="4E7CF61D" w14:textId="77777777" w:rsidR="002130FD" w:rsidRPr="002130FD" w:rsidRDefault="002130FD" w:rsidP="002161CA">
      <w:pPr>
        <w:numPr>
          <w:ilvl w:val="0"/>
          <w:numId w:val="17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diagnosticul cert de LES, care îndeplinește criteriile EULAR/ACR 2019;</w:t>
      </w:r>
    </w:p>
    <w:p w14:paraId="2AFA830A" w14:textId="77777777" w:rsidR="002130FD" w:rsidRPr="002130FD" w:rsidRDefault="002130FD" w:rsidP="002161CA">
      <w:pPr>
        <w:numPr>
          <w:ilvl w:val="0"/>
          <w:numId w:val="17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istoricul bolii (debut, evoluție, scheme terapeutice anterioare: preparate, doze, data inițierii și data opririi tratamentului, evoluție sub tratament);</w:t>
      </w:r>
    </w:p>
    <w:p w14:paraId="6781DB91" w14:textId="77777777" w:rsidR="002130FD" w:rsidRPr="002130FD" w:rsidRDefault="002130FD" w:rsidP="002161CA">
      <w:pPr>
        <w:numPr>
          <w:ilvl w:val="0"/>
          <w:numId w:val="17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antecedente semnificative și comorbidități;</w:t>
      </w:r>
    </w:p>
    <w:p w14:paraId="7BD127B5" w14:textId="77777777" w:rsidR="002130FD" w:rsidRPr="002130FD" w:rsidRDefault="002130FD" w:rsidP="002161CA">
      <w:pPr>
        <w:numPr>
          <w:ilvl w:val="0"/>
          <w:numId w:val="17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evaluarea activității bolii conform cu SELENA-SLEDAI;</w:t>
      </w:r>
    </w:p>
    <w:p w14:paraId="21ED4963" w14:textId="77777777" w:rsidR="002130FD" w:rsidRPr="002130FD" w:rsidRDefault="002130FD" w:rsidP="002161CA">
      <w:pPr>
        <w:numPr>
          <w:ilvl w:val="0"/>
          <w:numId w:val="17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evaluarea activității bolii de către medic (PGA);</w:t>
      </w:r>
    </w:p>
    <w:p w14:paraId="27250D8B" w14:textId="77777777" w:rsidR="002130FD" w:rsidRPr="002130FD" w:rsidRDefault="002130FD" w:rsidP="002161CA">
      <w:pPr>
        <w:numPr>
          <w:ilvl w:val="0"/>
          <w:numId w:val="17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evaluarea puseelor de activitate a bolii  conform cu SELENA-SLEDAI FI;</w:t>
      </w:r>
    </w:p>
    <w:p w14:paraId="53855846" w14:textId="77777777" w:rsidR="002130FD" w:rsidRPr="002130FD" w:rsidRDefault="002130FD" w:rsidP="002161CA">
      <w:pPr>
        <w:numPr>
          <w:ilvl w:val="0"/>
          <w:numId w:val="17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rezultatele testelor pentru hepatitele virale B și C, avizul medicului gastroenterolog sau infecționist în cazul unui rezultat pozitiv;</w:t>
      </w:r>
    </w:p>
    <w:p w14:paraId="3D9859E9" w14:textId="77777777" w:rsidR="002130FD" w:rsidRPr="002130FD" w:rsidRDefault="002130FD" w:rsidP="002161CA">
      <w:pPr>
        <w:numPr>
          <w:ilvl w:val="0"/>
          <w:numId w:val="17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alte teste de laborator relevante;</w:t>
      </w:r>
    </w:p>
    <w:p w14:paraId="18BE0960" w14:textId="77777777" w:rsidR="002130FD" w:rsidRPr="002130FD" w:rsidRDefault="002130FD" w:rsidP="002161CA">
      <w:pPr>
        <w:numPr>
          <w:ilvl w:val="0"/>
          <w:numId w:val="17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justificarea recomandării tratamentului biologic (verificarea îndeplinirii criteriilor de protocol);</w:t>
      </w:r>
    </w:p>
    <w:p w14:paraId="4D7A7786" w14:textId="77777777" w:rsidR="002130FD" w:rsidRPr="002130FD" w:rsidRDefault="002130FD" w:rsidP="002161CA">
      <w:pPr>
        <w:numPr>
          <w:ilvl w:val="0"/>
          <w:numId w:val="17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preparatul biologic recomandat: denumirea comună internațională și denumirea comercială, precizând doza și schema terapeutică;</w:t>
      </w:r>
    </w:p>
    <w:p w14:paraId="6E482CBD" w14:textId="77777777" w:rsidR="002130FD" w:rsidRPr="002130FD" w:rsidRDefault="002130FD" w:rsidP="002161CA">
      <w:pPr>
        <w:numPr>
          <w:ilvl w:val="0"/>
          <w:numId w:val="178"/>
        </w:num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u w:color="000000"/>
          <w:bdr w:val="nil"/>
          <w:lang w:eastAsia="ro-RO"/>
        </w:rPr>
      </w:pPr>
      <w:r w:rsidRPr="002130FD">
        <w:rPr>
          <w:rFonts w:ascii="Times New Roman" w:eastAsia="Times New Roman" w:hAnsi="Times New Roman" w:cs="Times New Roman"/>
          <w:sz w:val="24"/>
          <w:szCs w:val="24"/>
          <w:u w:color="000000"/>
          <w:bdr w:val="nil"/>
          <w:lang w:eastAsia="ro-RO"/>
        </w:rPr>
        <w:t>apariția și evoluția în caz de reacții adverse post-terapeutice, complicații, comorbidități.</w:t>
      </w:r>
    </w:p>
    <w:p w14:paraId="61E93F6D"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Scala analogă vizuală (VAS) pentru evaluarea globală a activității bolii de către medic (PGA) este completată direct pe fișă, acesta semnând și datând personal.</w:t>
      </w:r>
    </w:p>
    <w:p w14:paraId="4C3320AC" w14:textId="77777777" w:rsidR="002130FD" w:rsidRP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Pentru inițierea terapiei biologice cu belimumab sau anifrolumab se recomandă obținerea unei a doua opinii de la un medic primar în specialitatea reumatologie dintr-un centru universitar (București, Iași, Cluj, Târgu Mureș, Constanța, Craiova, Timișoara) privind diagnosticul, gradul de activitate a bolii și necesitatea instituirii tratamentului biologic cu belimumab sau anifrolumab. Pentru medicul care oferă a doua opinie se aplică aceleași reguli ca pentru medicul care inițiază și supraveghează tratamentul cu belimumab sau anifrolumab (vezi cap. II.3.5).</w:t>
      </w:r>
    </w:p>
    <w:p w14:paraId="60794BC9" w14:textId="77777777" w:rsidR="002130FD" w:rsidRDefault="002130FD" w:rsidP="002130FD">
      <w:pPr>
        <w:jc w:val="both"/>
        <w:rPr>
          <w:rFonts w:ascii="Times New Roman" w:eastAsia="Calibri" w:hAnsi="Times New Roman" w:cs="Times New Roman"/>
          <w:sz w:val="24"/>
          <w:szCs w:val="24"/>
        </w:rPr>
      </w:pPr>
      <w:r w:rsidRPr="002130FD">
        <w:rPr>
          <w:rFonts w:ascii="Times New Roman" w:eastAsia="Calibri" w:hAnsi="Times New Roman" w:cs="Times New Roman"/>
          <w:sz w:val="24"/>
          <w:szCs w:val="24"/>
        </w:rPr>
        <w:t>Medicul curant are obligația să discute cu pacientul (pentru cazurile de LES pediatric cu părintele sau reprezentantul legal) starea evolutivă a bolii, prognosticul și riscurile de complicații, justificând indicația de tratament biologic. Vor fi detaliate atât beneficiile previzibile, cât și limitele și riscurile potențiale ale acestei terapii, vor fi discutate diversele variante de tratament disponibil (preparate și scheme terapeutice), precum și monitorizarea necesară, astfel încât pacientul (pentru cazurile de LES pediatric parintele sau reprezentantul legal) să fie complet informat asupra tuturor aspectelor legate de tratamentul biologic recomandat. Medicul curant va solicita pacientului (pentru cazurile de LES pediatric parintelui sau reprezentantului legal) să semneze o declarație de consimțământ informat privind tratamentul recomandat, care va include în clar denumirea comună internațională și numele comercial al preparatului recomandat și va fi semnată și datată personal de către pacient (pentru cazurile de LES pediatric de catre parinte sau reprezentantul legal). Consimțământul este obligatoriu la inițierea tratamentului biologic precum și pe parcursul acestuia, dacă pacientul trece în grija altui medic curant. Medicul curant are obligația de a păstra originalul consimțământului informat.”</w:t>
      </w:r>
    </w:p>
    <w:p w14:paraId="2D106F9A" w14:textId="77777777" w:rsidR="00C26280" w:rsidRDefault="00C26280" w:rsidP="002130FD">
      <w:pPr>
        <w:jc w:val="both"/>
        <w:rPr>
          <w:rFonts w:ascii="Times New Roman" w:eastAsia="Calibri" w:hAnsi="Times New Roman" w:cs="Times New Roman"/>
          <w:sz w:val="24"/>
          <w:szCs w:val="24"/>
        </w:rPr>
      </w:pPr>
    </w:p>
    <w:p w14:paraId="6A963B63" w14:textId="77777777" w:rsidR="00C26280" w:rsidRDefault="00C26280" w:rsidP="002130FD">
      <w:pPr>
        <w:jc w:val="both"/>
        <w:rPr>
          <w:rFonts w:ascii="Times New Roman" w:eastAsia="Calibri" w:hAnsi="Times New Roman" w:cs="Times New Roman"/>
          <w:sz w:val="24"/>
          <w:szCs w:val="24"/>
        </w:rPr>
      </w:pPr>
    </w:p>
    <w:p w14:paraId="32CB0790" w14:textId="77777777" w:rsidR="00C26280" w:rsidRDefault="00C26280" w:rsidP="002130FD">
      <w:pPr>
        <w:jc w:val="both"/>
        <w:rPr>
          <w:rFonts w:ascii="Times New Roman" w:eastAsia="Calibri" w:hAnsi="Times New Roman" w:cs="Times New Roman"/>
          <w:sz w:val="24"/>
          <w:szCs w:val="24"/>
        </w:rPr>
      </w:pPr>
    </w:p>
    <w:p w14:paraId="16E4B9D3" w14:textId="623D7FE4" w:rsidR="00C26280" w:rsidRPr="002130FD" w:rsidRDefault="00C26280" w:rsidP="00C26280">
      <w:pPr>
        <w:pStyle w:val="ListParagraph"/>
        <w:numPr>
          <w:ilvl w:val="0"/>
          <w:numId w:val="9"/>
        </w:numPr>
        <w:tabs>
          <w:tab w:val="left" w:pos="426"/>
        </w:tabs>
        <w:jc w:val="both"/>
        <w:rPr>
          <w:rFonts w:eastAsia="Arial"/>
          <w:b/>
          <w:bCs/>
          <w:color w:val="FF0000"/>
          <w:lang w:val="en-US"/>
        </w:rPr>
      </w:pPr>
      <w:r w:rsidRPr="002130FD">
        <w:rPr>
          <w:rFonts w:eastAsia="Arial"/>
          <w:b/>
          <w:bCs/>
          <w:color w:val="FF0000"/>
          <w:lang w:val="en-US"/>
        </w:rPr>
        <w:lastRenderedPageBreak/>
        <w:t xml:space="preserve">La anexa nr. 2, protocolul terapeutic corespunzător poziţiei nr. </w:t>
      </w:r>
      <w:r w:rsidRPr="00C26280">
        <w:rPr>
          <w:rFonts w:eastAsia="Arial"/>
          <w:b/>
          <w:bCs/>
          <w:color w:val="FF0000"/>
          <w:lang w:val="en-US"/>
        </w:rPr>
        <w:t>14 cod (L034K): BOALA CRONICĂ INFLAMATORIE INTESTINALĂ</w:t>
      </w:r>
      <w:r w:rsidRPr="002130FD">
        <w:rPr>
          <w:color w:val="FF0000"/>
          <w:bdr w:val="none" w:sz="0" w:space="0" w:color="auto" w:frame="1"/>
          <w:lang w:val="en-US"/>
        </w:rPr>
        <w:t xml:space="preserve"> </w:t>
      </w:r>
      <w:r w:rsidRPr="002130FD">
        <w:rPr>
          <w:rFonts w:eastAsia="Arial"/>
          <w:b/>
          <w:bCs/>
          <w:color w:val="FF0000"/>
          <w:lang w:val="en-US"/>
        </w:rPr>
        <w:t>se modifică și se înlocuiește cu următorul protocol:</w:t>
      </w:r>
    </w:p>
    <w:p w14:paraId="5FB9A0C0" w14:textId="77777777" w:rsidR="00C26280" w:rsidRPr="0049126A" w:rsidRDefault="00C26280" w:rsidP="00C26280">
      <w:pPr>
        <w:pStyle w:val="ListParagraph"/>
        <w:tabs>
          <w:tab w:val="left" w:pos="426"/>
        </w:tabs>
        <w:jc w:val="both"/>
        <w:rPr>
          <w:rFonts w:eastAsia="Arial"/>
          <w:b/>
          <w:bCs/>
          <w:color w:val="auto"/>
          <w:lang w:val="en-US"/>
        </w:rPr>
      </w:pPr>
    </w:p>
    <w:p w14:paraId="6F58E26E" w14:textId="77777777" w:rsidR="00C26280" w:rsidRPr="002130FD" w:rsidRDefault="00C26280" w:rsidP="00C26280">
      <w:pPr>
        <w:tabs>
          <w:tab w:val="left" w:pos="426"/>
        </w:tabs>
        <w:jc w:val="both"/>
        <w:rPr>
          <w:rFonts w:ascii="Calibri" w:eastAsia="Arial" w:hAnsi="Calibri" w:cs="Times New Roman"/>
          <w:b/>
          <w:bCs/>
        </w:rPr>
      </w:pPr>
    </w:p>
    <w:p w14:paraId="31EDF8EE" w14:textId="59405622" w:rsidR="00C26280" w:rsidRDefault="00C26280" w:rsidP="00C26280">
      <w:pPr>
        <w:autoSpaceDE w:val="0"/>
        <w:autoSpaceDN w:val="0"/>
        <w:adjustRightInd w:val="0"/>
        <w:jc w:val="both"/>
        <w:rPr>
          <w:rFonts w:ascii="Times New Roman" w:eastAsia="Arial" w:hAnsi="Times New Roman" w:cs="Times New Roman"/>
          <w:b/>
          <w:bCs/>
          <w:sz w:val="24"/>
          <w:szCs w:val="24"/>
        </w:rPr>
      </w:pPr>
      <w:r w:rsidRPr="002130FD">
        <w:rPr>
          <w:rFonts w:ascii="Times New Roman" w:eastAsia="Arial" w:hAnsi="Times New Roman" w:cs="Times New Roman"/>
          <w:b/>
          <w:bCs/>
          <w:sz w:val="24"/>
          <w:szCs w:val="24"/>
        </w:rPr>
        <w:t>”</w:t>
      </w:r>
      <w:r w:rsidRPr="002130FD">
        <w:rPr>
          <w:rFonts w:ascii="Times New Roman" w:eastAsia="Arial" w:hAnsi="Times New Roman" w:cs="Times New Roman"/>
          <w:b/>
          <w:bCs/>
          <w:sz w:val="24"/>
          <w:szCs w:val="24"/>
          <w:lang w:eastAsia="ro-RO"/>
        </w:rPr>
        <w:t xml:space="preserve">Protocol terapeutic corespunzător poziției nr. </w:t>
      </w:r>
      <w:r w:rsidRPr="00C26280">
        <w:rPr>
          <w:rFonts w:ascii="Times New Roman" w:eastAsia="Arial" w:hAnsi="Times New Roman" w:cs="Times New Roman"/>
          <w:b/>
          <w:bCs/>
          <w:sz w:val="24"/>
          <w:szCs w:val="24"/>
        </w:rPr>
        <w:t>14 cod (L034K): BOALA CRONICĂ INFLAMATORIE INTESTINALĂ</w:t>
      </w:r>
    </w:p>
    <w:p w14:paraId="143530CB" w14:textId="77777777" w:rsidR="00C26280" w:rsidRDefault="00C26280" w:rsidP="00C26280">
      <w:pPr>
        <w:autoSpaceDE w:val="0"/>
        <w:autoSpaceDN w:val="0"/>
        <w:adjustRightInd w:val="0"/>
        <w:jc w:val="both"/>
        <w:rPr>
          <w:rFonts w:ascii="Times New Roman" w:eastAsia="Arial" w:hAnsi="Times New Roman" w:cs="Times New Roman"/>
          <w:b/>
          <w:bCs/>
          <w:sz w:val="24"/>
          <w:szCs w:val="24"/>
        </w:rPr>
      </w:pPr>
    </w:p>
    <w:p w14:paraId="1E4DA4C8"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Boala inflamatorie intestinală (BII) cuprinde B. Crohn (BC), colita ulcerativă (CU) şi colita în curs de clasificare (Colita nedeterminată).</w:t>
      </w:r>
    </w:p>
    <w:p w14:paraId="23B73D23"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47B12F32"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 xml:space="preserve">Diagnosticul complet şi stabilirea strategiei terapeutice, inclusiv indicaţia tratamentului biologic se face prin internare în serviciile de Gastroenterologie care au dotările minime necesare: laborator performant, (şi calprotectina, eventual şi cu evaluarea nivelului seric şi al anticorpilor împotriva produşilor biologici), posibilitatea efectuării endoscopiei digestive superioare şi inferioare, Ecografie, ecoendoscopie, imagistică (enteroCT, RMN, Capsula endoscopică). Decizia de întrerupere sau schimbare a agentului terapeutic se face de asemenea prin internare în servicii de gastroenterologie. Urmărirea periodică a pacienţilor cu BII se poate face şi prin ambulatoriile de gastroenterologie sau internare de zi.    </w:t>
      </w:r>
    </w:p>
    <w:p w14:paraId="719F27D3"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736C75F1"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 xml:space="preserve">Pentru administrarea agenţilor biologici, pacientul trebuie să semneze Formularul de Consimţământ Informat al pacientului.    </w:t>
      </w:r>
    </w:p>
    <w:p w14:paraId="22F58428"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Pacienţii vor fi înscrişi în Registrul naţional de BII: IBD-Prospect (la data la care acesta va deveni operaţional)</w:t>
      </w:r>
    </w:p>
    <w:p w14:paraId="3FDBB1B2"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6A3CD839"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b/>
          <w:bCs/>
          <w:iCs/>
          <w:sz w:val="24"/>
          <w:szCs w:val="24"/>
        </w:rPr>
      </w:pPr>
      <w:r w:rsidRPr="00867C2E">
        <w:rPr>
          <w:rFonts w:ascii="Times New Roman" w:eastAsia="Times New Roman" w:hAnsi="Times New Roman" w:cs="Times New Roman"/>
          <w:b/>
          <w:bCs/>
          <w:iCs/>
          <w:sz w:val="24"/>
          <w:szCs w:val="24"/>
        </w:rPr>
        <w:t>I. Criterii de diagnostic</w:t>
      </w:r>
    </w:p>
    <w:p w14:paraId="3B3FE563"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1. Pentru diagnosticul de boală Crohn este necesară existenţa criteriilor clinice (numărul scaunelor/24 h, sensibilitate abdominală, scădere din greutate, febră, tahicardie), biologice (VSH, PCR, calprotectina, lactoferina, anemie, hipoalbuminemie) endoscopice (VCE): (afte, ulcere serpigionoase, aspect de piatră de pavaj, afectarea lumenului) histologice (când este posibilă biopsia) (inflamaţie trasmurală, granulom inflamator). Evaluarea gravităţii se poate face complementar şi prin calcularea scorului CDAI.</w:t>
      </w:r>
    </w:p>
    <w:p w14:paraId="1D4FE946"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1DB4E1E5"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2. Pentru diagnosticul de colită ulcerativă - scaune diareice cel mai adesea cu sânge, tahicardie, sensibilitate abdominală, febră, probe inflamatorii (VSH, leucocitoza, PCR; calprotectina, anemie) endoscopic sunt prezente parţial sau în totalitate: dispariţia desenului vascular, friabilitate, eroziuni, ulcere, sângerări spontane iar histologic se constată infiltrat inflamator în lamina proprie, cript-abcese. Colita ulceroasă fulminantă şi colita în curs de clasificare se prezintă cu leziuni extinse (colita stângă extinsă, pancolită) şi cu toate criteriile de diagnostic amintite foarte alterate (mai mult de 10 scaune cu sânge, febră, VSH, PCR, calprotectina la valori ridicate etc).</w:t>
      </w:r>
    </w:p>
    <w:p w14:paraId="3F4AE243"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36D6F689"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3. Pentru ambele afecţiuni este necesar să existe la iniţierea terapiei biologice:</w:t>
      </w:r>
    </w:p>
    <w:p w14:paraId="6FBCC992" w14:textId="77777777" w:rsidR="00C26280" w:rsidRPr="00867C2E" w:rsidRDefault="00C26280" w:rsidP="00054402">
      <w:pPr>
        <w:numPr>
          <w:ilvl w:val="0"/>
          <w:numId w:val="539"/>
        </w:num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Consimţământul informat al pacientului</w:t>
      </w:r>
    </w:p>
    <w:p w14:paraId="388DE425" w14:textId="77777777" w:rsidR="00C26280" w:rsidRPr="00867C2E" w:rsidRDefault="00C26280" w:rsidP="00054402">
      <w:pPr>
        <w:numPr>
          <w:ilvl w:val="0"/>
          <w:numId w:val="539"/>
        </w:num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Excluderea altor cauze de colită (infecţioasă, cu atenţie la C. difficile, cu CMV, de iradiere, ischemică, diverticulară, medicamentoasă)</w:t>
      </w:r>
    </w:p>
    <w:p w14:paraId="36762DE4" w14:textId="77777777" w:rsidR="00C26280" w:rsidRPr="00867C2E" w:rsidRDefault="00C26280" w:rsidP="00054402">
      <w:pPr>
        <w:numPr>
          <w:ilvl w:val="0"/>
          <w:numId w:val="539"/>
        </w:num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lastRenderedPageBreak/>
        <w:t>Screening infecţios - pentru infecţiile sistemice semnificative (HIV; VHB; VHC, TBC), tratamentul anti TNF α se va iniţia numai după obţinerea avizului favorabil al specialistului pneumolog (în cazul TB). Infecţia cu VHC nu este o contraindicaţie, dar pacientul trebuie monitorizat; infecţia cu VHB este o contraindicaţie relativă; dacă tratamentul cu antiTNF este indispensabil, trebuie precedat de iniţierea tratamentului antiviral cu analogi nucleozidici/nucleotidici, iar pacientul trebuie monitorizat adecvat.</w:t>
      </w:r>
    </w:p>
    <w:p w14:paraId="6ECB647C" w14:textId="77777777" w:rsidR="00C26280" w:rsidRPr="00867C2E" w:rsidRDefault="00C26280" w:rsidP="00054402">
      <w:pPr>
        <w:numPr>
          <w:ilvl w:val="0"/>
          <w:numId w:val="539"/>
        </w:num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Screening pentru neoplazii, afecţiuni autoimune sau demielinizante, în funcţie de riscul individualizat al pacientului</w:t>
      </w:r>
    </w:p>
    <w:p w14:paraId="0BDACF07" w14:textId="77777777" w:rsidR="00C26280" w:rsidRPr="00867C2E" w:rsidRDefault="00C26280" w:rsidP="00054402">
      <w:pPr>
        <w:numPr>
          <w:ilvl w:val="0"/>
          <w:numId w:val="539"/>
        </w:num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Screening imagistic (RMN) pentru abcese (intraabdominale/pelvine) care ar contraindica terapia, la pacienţii cu boala Crohn forma fistulizantă</w:t>
      </w:r>
    </w:p>
    <w:p w14:paraId="6444FB42" w14:textId="77777777" w:rsidR="00C26280" w:rsidRPr="00867C2E" w:rsidRDefault="00C26280" w:rsidP="00054402">
      <w:pPr>
        <w:numPr>
          <w:ilvl w:val="0"/>
          <w:numId w:val="539"/>
        </w:num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Verificarea inexistenţei contraindicaţiilor pentru tratamentul biologic.</w:t>
      </w:r>
    </w:p>
    <w:p w14:paraId="45680A43" w14:textId="77777777" w:rsidR="00C26280" w:rsidRPr="00867C2E" w:rsidRDefault="00C26280" w:rsidP="00054402">
      <w:pPr>
        <w:numPr>
          <w:ilvl w:val="0"/>
          <w:numId w:val="539"/>
        </w:num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Verificarea tuturor caracteristicilor prezentate în RCP-ul şi aprobarea ANMDMR a medicamentului prescris (indicaţii, contraindicaţii, mod de preparare şi administrare, reacţii adverse, etc.)</w:t>
      </w:r>
    </w:p>
    <w:p w14:paraId="435E8CC6"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b/>
          <w:bCs/>
          <w:iCs/>
          <w:sz w:val="24"/>
          <w:szCs w:val="24"/>
        </w:rPr>
      </w:pPr>
    </w:p>
    <w:p w14:paraId="1D4B5901"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b/>
          <w:bCs/>
          <w:iCs/>
          <w:sz w:val="24"/>
          <w:szCs w:val="24"/>
        </w:rPr>
      </w:pPr>
      <w:r w:rsidRPr="00867C2E">
        <w:rPr>
          <w:rFonts w:ascii="Times New Roman" w:eastAsia="Times New Roman" w:hAnsi="Times New Roman" w:cs="Times New Roman"/>
          <w:b/>
          <w:bCs/>
          <w:iCs/>
          <w:sz w:val="24"/>
          <w:szCs w:val="24"/>
        </w:rPr>
        <w:t>II. Principii terapeutice în BII</w:t>
      </w:r>
    </w:p>
    <w:p w14:paraId="6EA2435E" w14:textId="77777777" w:rsidR="00C26280" w:rsidRPr="00867C2E" w:rsidRDefault="00C26280" w:rsidP="00054402">
      <w:pPr>
        <w:numPr>
          <w:ilvl w:val="1"/>
          <w:numId w:val="540"/>
        </w:numPr>
        <w:autoSpaceDE w:val="0"/>
        <w:autoSpaceDN w:val="0"/>
        <w:adjustRightInd w:val="0"/>
        <w:spacing w:after="0" w:line="276" w:lineRule="auto"/>
        <w:ind w:left="709" w:hanging="425"/>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Tratamentul BII urmăreşte amendarea fazei acute sau a reaprinderilor, instalarea remisiunii şi menţinerea stării de remisiune.</w:t>
      </w:r>
    </w:p>
    <w:p w14:paraId="61FF5C57" w14:textId="77777777" w:rsidR="00C26280" w:rsidRPr="00867C2E" w:rsidRDefault="00C26280" w:rsidP="00054402">
      <w:pPr>
        <w:numPr>
          <w:ilvl w:val="1"/>
          <w:numId w:val="540"/>
        </w:numPr>
        <w:autoSpaceDE w:val="0"/>
        <w:autoSpaceDN w:val="0"/>
        <w:adjustRightInd w:val="0"/>
        <w:spacing w:after="0" w:line="276" w:lineRule="auto"/>
        <w:ind w:left="709" w:hanging="425"/>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Cu excepţia unor forme grave tratamentul BII se desfăşoară în trepte pe principiul step-up, adică se începe cu terapia standard monoterapie, standard-terapie asociată, terapie biologică.</w:t>
      </w:r>
    </w:p>
    <w:p w14:paraId="1C8664BA" w14:textId="77777777" w:rsidR="00C26280" w:rsidRPr="00867C2E" w:rsidRDefault="00C26280" w:rsidP="00054402">
      <w:pPr>
        <w:numPr>
          <w:ilvl w:val="1"/>
          <w:numId w:val="540"/>
        </w:numPr>
        <w:autoSpaceDE w:val="0"/>
        <w:autoSpaceDN w:val="0"/>
        <w:adjustRightInd w:val="0"/>
        <w:spacing w:after="0" w:line="276" w:lineRule="auto"/>
        <w:ind w:left="709" w:hanging="425"/>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În formele acute sunt indicate: preparatele 5-ASA, prednisonul şi terapia biologică (nu imunomodulatoarele, cu excepţia metotrexatului)</w:t>
      </w:r>
    </w:p>
    <w:p w14:paraId="6AD2F55B" w14:textId="77777777" w:rsidR="00C26280" w:rsidRPr="00867C2E" w:rsidRDefault="00C26280" w:rsidP="00054402">
      <w:pPr>
        <w:numPr>
          <w:ilvl w:val="1"/>
          <w:numId w:val="540"/>
        </w:numPr>
        <w:autoSpaceDE w:val="0"/>
        <w:autoSpaceDN w:val="0"/>
        <w:adjustRightInd w:val="0"/>
        <w:spacing w:after="0" w:line="276" w:lineRule="auto"/>
        <w:ind w:left="709" w:hanging="425"/>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 xml:space="preserve">Pentru tratamentul de menţinere a remisiunii sunt indicate preparatele 5-ASA, imunomodulatoarele, şi tratamentul biologic (nu corticoizii)    </w:t>
      </w:r>
    </w:p>
    <w:p w14:paraId="3A1B9055"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4E7CD27D"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b/>
          <w:bCs/>
          <w:iCs/>
          <w:sz w:val="24"/>
          <w:szCs w:val="24"/>
        </w:rPr>
      </w:pPr>
      <w:r w:rsidRPr="00867C2E">
        <w:rPr>
          <w:rFonts w:ascii="Times New Roman" w:eastAsia="Times New Roman" w:hAnsi="Times New Roman" w:cs="Times New Roman"/>
          <w:b/>
          <w:bCs/>
          <w:iCs/>
          <w:sz w:val="24"/>
          <w:szCs w:val="24"/>
        </w:rPr>
        <w:t>III. Tratamentul standard</w:t>
      </w:r>
    </w:p>
    <w:p w14:paraId="25A3D56F"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193FDCDE"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b/>
          <w:iCs/>
          <w:sz w:val="24"/>
          <w:szCs w:val="24"/>
          <w:u w:val="single"/>
        </w:rPr>
      </w:pPr>
      <w:r w:rsidRPr="00867C2E">
        <w:rPr>
          <w:rFonts w:ascii="Times New Roman" w:eastAsia="Times New Roman" w:hAnsi="Times New Roman" w:cs="Times New Roman"/>
          <w:b/>
          <w:iCs/>
          <w:sz w:val="24"/>
          <w:szCs w:val="24"/>
        </w:rPr>
        <w:t xml:space="preserve">1. </w:t>
      </w:r>
      <w:r w:rsidRPr="00867C2E">
        <w:rPr>
          <w:rFonts w:ascii="Times New Roman" w:eastAsia="Times New Roman" w:hAnsi="Times New Roman" w:cs="Times New Roman"/>
          <w:b/>
          <w:iCs/>
          <w:sz w:val="24"/>
          <w:szCs w:val="24"/>
          <w:u w:val="single"/>
        </w:rPr>
        <w:t>Colita ulcerativă:</w:t>
      </w:r>
    </w:p>
    <w:p w14:paraId="4208E672"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 xml:space="preserve">a. </w:t>
      </w:r>
      <w:r w:rsidRPr="00867C2E">
        <w:rPr>
          <w:rFonts w:ascii="Times New Roman" w:eastAsia="Times New Roman" w:hAnsi="Times New Roman" w:cs="Times New Roman"/>
          <w:b/>
          <w:bCs/>
          <w:iCs/>
          <w:sz w:val="24"/>
          <w:szCs w:val="24"/>
        </w:rPr>
        <w:t>Preparatele 5-ASA</w:t>
      </w:r>
      <w:r w:rsidRPr="00867C2E">
        <w:rPr>
          <w:rFonts w:ascii="Times New Roman" w:eastAsia="Times New Roman" w:hAnsi="Times New Roman" w:cs="Times New Roman"/>
          <w:iCs/>
          <w:sz w:val="24"/>
          <w:szCs w:val="24"/>
        </w:rPr>
        <w:t xml:space="preserve"> (sulfasalazină-tb, mesalazină:-tb, supozitoare, clismă, olsalazină-tb) reprezintă prima treaptă de tratament în CU în toate formele evolutive atât în inducţia remisiunii şi pentru menţinerea acesteia. Cel mai utilizat preparat este mesalazina (Salofalk, Pentasa) cu următoarele indicaţii:</w:t>
      </w:r>
    </w:p>
    <w:p w14:paraId="6A7D8D49" w14:textId="77777777" w:rsidR="00C26280" w:rsidRPr="00867C2E" w:rsidRDefault="00C26280" w:rsidP="00054402">
      <w:pPr>
        <w:numPr>
          <w:ilvl w:val="0"/>
          <w:numId w:val="521"/>
        </w:numPr>
        <w:autoSpaceDE w:val="0"/>
        <w:autoSpaceDN w:val="0"/>
        <w:adjustRightInd w:val="0"/>
        <w:spacing w:after="0" w:line="276" w:lineRule="auto"/>
        <w:ind w:left="270" w:firstLine="14"/>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Supozitoare: 1 g/24 în proctite (rectite)</w:t>
      </w:r>
    </w:p>
    <w:p w14:paraId="6DA21C9B" w14:textId="77777777" w:rsidR="00C26280" w:rsidRPr="00867C2E" w:rsidRDefault="00C26280" w:rsidP="00054402">
      <w:pPr>
        <w:numPr>
          <w:ilvl w:val="0"/>
          <w:numId w:val="521"/>
        </w:numPr>
        <w:autoSpaceDE w:val="0"/>
        <w:autoSpaceDN w:val="0"/>
        <w:adjustRightInd w:val="0"/>
        <w:spacing w:after="0" w:line="276" w:lineRule="auto"/>
        <w:ind w:left="270" w:firstLine="14"/>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Clisme sau spume: 1 g - 4g)/24 h în proctite şi colite stângi (până la 60 cm)</w:t>
      </w:r>
    </w:p>
    <w:p w14:paraId="7F306682" w14:textId="77777777" w:rsidR="00C26280" w:rsidRPr="00867C2E" w:rsidRDefault="00C26280" w:rsidP="00054402">
      <w:pPr>
        <w:numPr>
          <w:ilvl w:val="0"/>
          <w:numId w:val="521"/>
        </w:numPr>
        <w:autoSpaceDE w:val="0"/>
        <w:autoSpaceDN w:val="0"/>
        <w:adjustRightInd w:val="0"/>
        <w:spacing w:after="0" w:line="276" w:lineRule="auto"/>
        <w:ind w:left="270" w:firstLine="14"/>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Comprimate: 2 - 4 g/zi. Colite stângi, colite stângi extinse, pancolite.</w:t>
      </w:r>
    </w:p>
    <w:p w14:paraId="7ED98155"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În remisiune - menţinerea remisiunii dozele se reduc, prin tatonare, la jumătate.</w:t>
      </w:r>
    </w:p>
    <w:p w14:paraId="5485062B"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7943A0AC"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 xml:space="preserve">b. </w:t>
      </w:r>
      <w:r w:rsidRPr="00867C2E">
        <w:rPr>
          <w:rFonts w:ascii="Times New Roman" w:eastAsia="Times New Roman" w:hAnsi="Times New Roman" w:cs="Times New Roman"/>
          <w:b/>
          <w:bCs/>
          <w:iCs/>
          <w:sz w:val="24"/>
          <w:szCs w:val="24"/>
        </w:rPr>
        <w:t>Corticosteroizii</w:t>
      </w:r>
      <w:r w:rsidRPr="00867C2E">
        <w:rPr>
          <w:rFonts w:ascii="Times New Roman" w:eastAsia="Times New Roman" w:hAnsi="Times New Roman" w:cs="Times New Roman"/>
          <w:iCs/>
          <w:sz w:val="24"/>
          <w:szCs w:val="24"/>
        </w:rPr>
        <w:t xml:space="preserve"> (Prednison, Metylprednisolon, Hidrocortison) se administrează în formele refractare la terapia cu compuşii 5-ASA şi în formele moderat-severe şi severe de CU. Prednisonul se administrează în doze de (0,5-1 mg/kgc sau echivalentul metilprednisolon oral) maxim 40 - 60 mg/24 h.</w:t>
      </w:r>
    </w:p>
    <w:p w14:paraId="3277DDFF"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Metylprednisolonul (50 - 60 mg/zi), Hidrocortisonul (200 - 300 mg/zi) (200-400 mg/zi) se administrează iv în formele severe.</w:t>
      </w:r>
    </w:p>
    <w:p w14:paraId="3B8C4EB0"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Corticoticoizii nu sunt indicaţi în remisiune şi menţinerea remisiunii.</w:t>
      </w:r>
    </w:p>
    <w:p w14:paraId="0E4A8082"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10B3819E"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 xml:space="preserve">c. </w:t>
      </w:r>
      <w:r w:rsidRPr="00867C2E">
        <w:rPr>
          <w:rFonts w:ascii="Times New Roman" w:eastAsia="Times New Roman" w:hAnsi="Times New Roman" w:cs="Times New Roman"/>
          <w:b/>
          <w:bCs/>
          <w:iCs/>
          <w:sz w:val="24"/>
          <w:szCs w:val="24"/>
        </w:rPr>
        <w:t>Imunomodulatoarele</w:t>
      </w:r>
      <w:r w:rsidRPr="00867C2E">
        <w:rPr>
          <w:rFonts w:ascii="Times New Roman" w:eastAsia="Times New Roman" w:hAnsi="Times New Roman" w:cs="Times New Roman"/>
          <w:iCs/>
          <w:sz w:val="24"/>
          <w:szCs w:val="24"/>
        </w:rPr>
        <w:t xml:space="preserve">: Azathioprina (AZA) 2,5 mg/Kg corp/24 h, 6-mercaptopurina (6-MP) 1,5 mg/Kg corp/24 h, sunt utile pentru menţinerea remisiunii. Efectul lor devine evident după 3 - 4 luni </w:t>
      </w:r>
      <w:r w:rsidRPr="00867C2E">
        <w:rPr>
          <w:rFonts w:ascii="Times New Roman" w:eastAsia="Times New Roman" w:hAnsi="Times New Roman" w:cs="Times New Roman"/>
          <w:iCs/>
          <w:sz w:val="24"/>
          <w:szCs w:val="24"/>
        </w:rPr>
        <w:lastRenderedPageBreak/>
        <w:t>de administrare. Se administrează încă din faza acută sau la intrarea în remisiune odată cu reducerea treptată a dozelor de corticosteroizi.</w:t>
      </w:r>
    </w:p>
    <w:p w14:paraId="51804F68"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Metotrexatul (25 mg im/săptămână) poate fi administrat şi în faza acută.</w:t>
      </w:r>
    </w:p>
    <w:p w14:paraId="42732DC9"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7DF0CEEA"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1A3EE57D" w14:textId="1BE830AB" w:rsidR="00C26280" w:rsidRPr="00C26280" w:rsidRDefault="00C26280" w:rsidP="00C26280">
      <w:pPr>
        <w:autoSpaceDE w:val="0"/>
        <w:autoSpaceDN w:val="0"/>
        <w:adjustRightInd w:val="0"/>
        <w:spacing w:line="276" w:lineRule="auto"/>
        <w:contextualSpacing/>
        <w:jc w:val="both"/>
        <w:rPr>
          <w:rFonts w:ascii="Times New Roman" w:hAnsi="Times New Roman" w:cs="Times New Roman"/>
          <w:b/>
          <w:iCs/>
          <w:sz w:val="24"/>
          <w:szCs w:val="24"/>
          <w:u w:val="single"/>
        </w:rPr>
      </w:pPr>
      <w:r w:rsidRPr="00C26280">
        <w:rPr>
          <w:rFonts w:ascii="Times New Roman" w:hAnsi="Times New Roman" w:cs="Times New Roman"/>
          <w:b/>
          <w:iCs/>
          <w:sz w:val="24"/>
          <w:szCs w:val="24"/>
        </w:rPr>
        <w:t xml:space="preserve">2. </w:t>
      </w:r>
      <w:r w:rsidRPr="00C26280">
        <w:rPr>
          <w:rFonts w:ascii="Times New Roman" w:hAnsi="Times New Roman" w:cs="Times New Roman"/>
          <w:b/>
          <w:iCs/>
          <w:sz w:val="24"/>
          <w:szCs w:val="24"/>
          <w:u w:val="single"/>
        </w:rPr>
        <w:t>Boala Crohn (BC)</w:t>
      </w:r>
    </w:p>
    <w:p w14:paraId="2B57CE84"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08E170CA"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a. Preparatele 5-ASA - sunt indicate doar în formele uşoare şi moderate cu localizare ileocolică sau colonică (Pentasa 2 - 4 g/24 h, Salofalk 3 - 4,5 g/zi) atât la iniţiere cât şi pentru menţinerea remisiunii dacă aceasta s-a obţinut.</w:t>
      </w:r>
    </w:p>
    <w:p w14:paraId="7891279A"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4BB0BB24" w14:textId="63B3820D"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b. Corticosteroizii: (Prednison, Metylprednisolon, Hidrocortison, Budesonid) se administrează la formele refractare la terapia cu compuşii 5-ASA şi în formele moderat-severe şi severe de BC. Prednisonul se administrează în doze de 0,5-1 mg/kgc maxim 40 - 60 mg/24 h. Budesonidul (3 - 9 mg/24 h) poate fi o alternativă cu efecte adverse mai reduse.</w:t>
      </w:r>
    </w:p>
    <w:p w14:paraId="5608320A"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Metylprednisolonul (50 - 60 mg/zi), Hidrocortizonul (200-400 mg/zi) se administrează iv în formele severe.</w:t>
      </w:r>
    </w:p>
    <w:p w14:paraId="13747AEF"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Corticoticoizii nu sunt indicaţi în remisiune şi menţinerea remisiunii.</w:t>
      </w:r>
    </w:p>
    <w:p w14:paraId="73A93AF3"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769CD95E"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c. Imunomodulatoarele: Azathioprina (AZA) 2,5 mg/Kg corp/24 h, 6-mercaptopurina (6-MP) 1,5 mg/Kg corp/24 h, sunt utile pentru menţinerea remisiunii. Efectul lor devine evident după 3 - 4 luni de administrare. Se administrează încă din faza acută sau la intrarea în remisiune odată cu reducerea treptată a dozelor de corticosteroizi.</w:t>
      </w:r>
    </w:p>
    <w:p w14:paraId="3E476DCB"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7A4BF457"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d. Metotrexatul (25 mg im/săptămână poate fi administrat şi în faza acută</w:t>
      </w:r>
    </w:p>
    <w:p w14:paraId="554BE5C7"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4EE99DEC"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e. Antibioticele cu spectru larg (Metronidazol, Ciprofloxacina, Rifaximina) sunt utilizate în tratamentul complicaţiilor supurative ale BC (abcese supuraţii perianale, exacerbări bacteriene suprastricturale)</w:t>
      </w:r>
    </w:p>
    <w:p w14:paraId="5BBAE5BF"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36C40674"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b/>
          <w:bCs/>
          <w:iCs/>
          <w:sz w:val="24"/>
          <w:szCs w:val="24"/>
        </w:rPr>
      </w:pPr>
      <w:r w:rsidRPr="00867C2E">
        <w:rPr>
          <w:rFonts w:ascii="Times New Roman" w:eastAsia="Times New Roman" w:hAnsi="Times New Roman" w:cs="Times New Roman"/>
          <w:b/>
          <w:bCs/>
          <w:iCs/>
          <w:sz w:val="24"/>
          <w:szCs w:val="24"/>
        </w:rPr>
        <w:t xml:space="preserve">IV. Tratamentul biologic (agenti biologici si alte produse de sinteză </w:t>
      </w:r>
      <w:r w:rsidRPr="00867C2E">
        <w:rPr>
          <w:rFonts w:ascii="Times New Roman" w:eastAsia="Times New Roman" w:hAnsi="Times New Roman" w:cs="Times New Roman"/>
          <w:b/>
          <w:bCs/>
          <w:iCs/>
          <w:color w:val="FF0000"/>
          <w:sz w:val="24"/>
          <w:szCs w:val="24"/>
        </w:rPr>
        <w:t>țintite</w:t>
      </w:r>
      <w:r w:rsidRPr="00867C2E">
        <w:rPr>
          <w:rFonts w:ascii="Times New Roman" w:eastAsia="Times New Roman" w:hAnsi="Times New Roman" w:cs="Times New Roman"/>
          <w:b/>
          <w:bCs/>
          <w:iCs/>
          <w:sz w:val="24"/>
          <w:szCs w:val="24"/>
        </w:rPr>
        <w:t>)</w:t>
      </w:r>
    </w:p>
    <w:p w14:paraId="2C0CC427"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193857B3"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 xml:space="preserve">Indicaţiile tratamentului biologic (infliximab - original şi biosimilar cu administrare intravenoasa sau subcutana, adalimumab - original şi biosimilar, vedolizumab, ustekinumab, tofacitinib, </w:t>
      </w:r>
      <w:r w:rsidRPr="00867C2E">
        <w:rPr>
          <w:rFonts w:ascii="Times New Roman" w:eastAsia="Times New Roman" w:hAnsi="Times New Roman" w:cs="Times New Roman"/>
          <w:iCs/>
          <w:color w:val="FF0000"/>
          <w:sz w:val="24"/>
          <w:szCs w:val="24"/>
        </w:rPr>
        <w:t>upadacitinib</w:t>
      </w:r>
      <w:r w:rsidRPr="00867C2E">
        <w:rPr>
          <w:rFonts w:ascii="Times New Roman" w:eastAsia="Times New Roman" w:hAnsi="Times New Roman" w:cs="Times New Roman"/>
          <w:iCs/>
          <w:sz w:val="24"/>
          <w:szCs w:val="24"/>
        </w:rPr>
        <w:t>):</w:t>
      </w:r>
    </w:p>
    <w:p w14:paraId="629A6AC1"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278624A1"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b/>
          <w:iCs/>
          <w:sz w:val="24"/>
          <w:szCs w:val="24"/>
          <w:u w:val="single"/>
        </w:rPr>
      </w:pPr>
      <w:r w:rsidRPr="00867C2E">
        <w:rPr>
          <w:rFonts w:ascii="Times New Roman" w:eastAsia="Times New Roman" w:hAnsi="Times New Roman" w:cs="Times New Roman"/>
          <w:b/>
          <w:iCs/>
          <w:sz w:val="24"/>
          <w:szCs w:val="24"/>
        </w:rPr>
        <w:t xml:space="preserve">1. </w:t>
      </w:r>
      <w:r w:rsidRPr="00867C2E">
        <w:rPr>
          <w:rFonts w:ascii="Times New Roman" w:eastAsia="Times New Roman" w:hAnsi="Times New Roman" w:cs="Times New Roman"/>
          <w:b/>
          <w:iCs/>
          <w:sz w:val="24"/>
          <w:szCs w:val="24"/>
          <w:u w:val="single"/>
        </w:rPr>
        <w:t>Boala Crohn:</w:t>
      </w:r>
    </w:p>
    <w:p w14:paraId="58FE65EC" w14:textId="3298F995"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a. Pacienţi adulţi, cu boala Crohn moderată sau severă, cu eşec la tratamentul standard corect condus: corticosteroizi (40 - 60 mg + Imunomodulatori (Azatioprină - 2,5 mg/kg, sau -6 MP - 1,5 mg/kg, sau Metotrexat 25 mg intramuscular/săpt) sau la pacienţii cu cortico-dependenţă, intoleranţă sau contraindicaţii la corticoizi.</w:t>
      </w:r>
    </w:p>
    <w:p w14:paraId="3137B0FE"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668CA134"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b. Boala Crohn fistulizantă, fără răspuns la tratamentul standard, în absenţa abceselor (ecoendoscopie endorectală, RMN)</w:t>
      </w:r>
    </w:p>
    <w:p w14:paraId="408DD0BF"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3C112C12"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c. Postoperator la pacienţii cu risc de reactivare a b. Crohn (clinic, biologic, endoscopic)</w:t>
      </w:r>
    </w:p>
    <w:p w14:paraId="3E648463"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79D482C1"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lastRenderedPageBreak/>
        <w:t>d. Pacienţi cu boala Crohn severă - (fulminantă) care nu răspund în 3 - 5 zile la tratamentul intens cu corticoizi iv (echivalent 60 mg metilprednisolon/zi), sau la pacienţii cu boală severă şi minim 2 dintre următoarele caracteristici: debutul sub 40 ani, markerii inflamaţiei peste valorile normale, prezenţa afectării perianale de la debut, pacienţi cu fenotip fistulizant sau stenozant). În aceste cazuri terapia biologică singură sau în asociere cu un imunosupresor poate constitui prima linie de tratament.</w:t>
      </w:r>
    </w:p>
    <w:p w14:paraId="1B8E0C60"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68A92C9B"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e. Copiii mai mari de 6 ani, cu boala Crohn, cu răspuns inadecvat la terapia standard incluzand terapia nutrițională, corticoterapia și/sau imunomodulatoare (Azatioprina sau 6-mercaptupurina și/sau Metrotrexat), sau care au intoleranță la aceste tratamente sau cărora aceste tratamente le sunt contraindicate din motive medicale pot fi trataţi cu adalimumab (forme moderate sau severe de boală) sau cu infliximab (forme severe).</w:t>
      </w:r>
    </w:p>
    <w:p w14:paraId="337D8250"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3E7A0E29"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b/>
          <w:iCs/>
          <w:sz w:val="24"/>
          <w:szCs w:val="24"/>
          <w:u w:val="single"/>
        </w:rPr>
      </w:pPr>
      <w:r w:rsidRPr="00867C2E">
        <w:rPr>
          <w:rFonts w:ascii="Times New Roman" w:eastAsia="Times New Roman" w:hAnsi="Times New Roman" w:cs="Times New Roman"/>
          <w:b/>
          <w:iCs/>
          <w:sz w:val="24"/>
          <w:szCs w:val="24"/>
        </w:rPr>
        <w:t xml:space="preserve">2. </w:t>
      </w:r>
      <w:r w:rsidRPr="00867C2E">
        <w:rPr>
          <w:rFonts w:ascii="Times New Roman" w:eastAsia="Times New Roman" w:hAnsi="Times New Roman" w:cs="Times New Roman"/>
          <w:b/>
          <w:iCs/>
          <w:sz w:val="24"/>
          <w:szCs w:val="24"/>
          <w:u w:val="single"/>
        </w:rPr>
        <w:t>Colita ulcerativă</w:t>
      </w:r>
    </w:p>
    <w:p w14:paraId="70FCFCD1"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5B8A2906"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a. Colită ulcerativă activă moderată sau severă, cu localizare stângă sau stângă extinsă - pancolită, la pacienţii adulţi, aflaţi în eşec terapeutic la terapia standard (5-ASA: 2 - 4 g + Prednison (40 - 60 mg) + Imunomodulator (AZA 2 - 2,5 mg/kg, sau 6-MP 1,5 mg/kg, sau Metotrexat 25 mg im/săpt)</w:t>
      </w:r>
    </w:p>
    <w:p w14:paraId="347BE240"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5E54B580"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b. Copii de la vârsta de 6 ani, cu colită ulcerativă activă, cu răspuns inadecvat la tratamentul standard, inclusiv la corticosteroizi și/sau 6-mercaptopurina (6-MP) sau azatioprina sau care au intoleranță la aceste tratamente sau cărora aceste tratamente le sunt contraindicate din motive medicale, pot fi tratați cu adalimumab (forme moderate sau severe de boală) sau cu infliximab (forme severe de boală).</w:t>
      </w:r>
    </w:p>
    <w:p w14:paraId="0FA382B3"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72C3E609"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c. Colită ulcerativă/colită în curs de clasificare, acută gravă (colită fulminantă), în cazul eşecului terapiei după 3 - 5 zile cu corticoizi iv (echivalent 60 mg metilprednisolon) cu dimensiunile lumenului colonului sub 5,5 cm (eco, CT) - indicaţie numai pentru infliximab.</w:t>
      </w:r>
    </w:p>
    <w:p w14:paraId="0ED9D184" w14:textId="77777777" w:rsidR="00C26280"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6F764FF0"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 xml:space="preserve">NOTĂ  </w:t>
      </w:r>
    </w:p>
    <w:p w14:paraId="28E5A7FE" w14:textId="77777777" w:rsidR="00C26280" w:rsidRPr="00867C2E" w:rsidRDefault="00C26280" w:rsidP="00054402">
      <w:pPr>
        <w:numPr>
          <w:ilvl w:val="0"/>
          <w:numId w:val="541"/>
        </w:num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b/>
          <w:bCs/>
          <w:iCs/>
          <w:sz w:val="24"/>
          <w:szCs w:val="24"/>
        </w:rPr>
        <w:t>Vedolizumab</w:t>
      </w:r>
      <w:r w:rsidRPr="00867C2E">
        <w:rPr>
          <w:rFonts w:ascii="Times New Roman" w:eastAsia="Times New Roman" w:hAnsi="Times New Roman" w:cs="Times New Roman"/>
          <w:iCs/>
          <w:sz w:val="24"/>
          <w:szCs w:val="24"/>
        </w:rPr>
        <w:t xml:space="preserve"> se poate administra la pacienţii adulţi cu Boala Crohn sau colită ulcerativă, forme clinice moderat până la sever active, care au prezentat un răspuns inadecvat, nu au mai prezentat răspuns sau au prezentat intoleranţă la tratamentul convenţional sau la un antagonist al factorului alfa de necroză tumorală (TNFα).</w:t>
      </w:r>
    </w:p>
    <w:p w14:paraId="0D6A9437" w14:textId="77777777" w:rsidR="00C26280" w:rsidRPr="00867C2E" w:rsidRDefault="00C26280" w:rsidP="00054402">
      <w:pPr>
        <w:numPr>
          <w:ilvl w:val="0"/>
          <w:numId w:val="541"/>
        </w:num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b/>
          <w:bCs/>
          <w:iCs/>
          <w:sz w:val="24"/>
          <w:szCs w:val="24"/>
        </w:rPr>
        <w:t>Vedolizumab</w:t>
      </w:r>
      <w:r w:rsidRPr="00867C2E">
        <w:rPr>
          <w:rFonts w:ascii="Times New Roman" w:eastAsia="Times New Roman" w:hAnsi="Times New Roman" w:cs="Times New Roman"/>
          <w:iCs/>
          <w:sz w:val="24"/>
          <w:szCs w:val="24"/>
        </w:rPr>
        <w:t xml:space="preserve"> se poate administra și ca tratament biologic de prima linie la pacienţii adulţi cu Boala Crohn, forme clinice moderat până la sever active, naivi la anti-TNF alfa, care au prezentat un răspuns inadecvat, nu au mai prezentat răspuns sau au prezentat intoleranţă la tratamentul convenţional </w:t>
      </w:r>
    </w:p>
    <w:p w14:paraId="4CC4CCC2" w14:textId="77777777" w:rsidR="00C26280" w:rsidRPr="00867C2E" w:rsidRDefault="00C26280" w:rsidP="00054402">
      <w:pPr>
        <w:numPr>
          <w:ilvl w:val="0"/>
          <w:numId w:val="541"/>
        </w:num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b/>
          <w:bCs/>
          <w:iCs/>
          <w:sz w:val="24"/>
          <w:szCs w:val="24"/>
        </w:rPr>
        <w:t>Ustekinumab</w:t>
      </w:r>
      <w:r w:rsidRPr="00867C2E">
        <w:rPr>
          <w:rFonts w:ascii="Times New Roman" w:eastAsia="Times New Roman" w:hAnsi="Times New Roman" w:cs="Times New Roman"/>
          <w:iCs/>
          <w:sz w:val="24"/>
          <w:szCs w:val="24"/>
        </w:rPr>
        <w:t xml:space="preserve"> se poate administra la pacienţii adulţi cu boala Crohn activa sau colită ulcerativă activă, forme moderate pana la severe, care au avut un raspuns necorespunzător, au incetat să mai raspundă sau au dezvoltat intoleranţă fie la tratamentele convenţionale, fie la medicamentele anti TNF-alfa sau in cazul in care aceste tratamente le sunt contraindicate din punct de vedere medical”</w:t>
      </w:r>
    </w:p>
    <w:p w14:paraId="34F012F5" w14:textId="77777777" w:rsidR="00C26280" w:rsidRPr="00867C2E" w:rsidRDefault="00C26280" w:rsidP="00054402">
      <w:pPr>
        <w:numPr>
          <w:ilvl w:val="0"/>
          <w:numId w:val="541"/>
        </w:numPr>
        <w:spacing w:after="0" w:line="276" w:lineRule="auto"/>
        <w:contextualSpacing/>
        <w:jc w:val="both"/>
        <w:rPr>
          <w:rFonts w:ascii="Times New Roman" w:eastAsia="Times New Roman" w:hAnsi="Times New Roman" w:cs="Times New Roman"/>
          <w:sz w:val="24"/>
          <w:szCs w:val="24"/>
        </w:rPr>
      </w:pPr>
      <w:r w:rsidRPr="00867C2E">
        <w:rPr>
          <w:rFonts w:ascii="Times New Roman" w:eastAsia="Times New Roman" w:hAnsi="Times New Roman" w:cs="Times New Roman"/>
          <w:b/>
          <w:iCs/>
          <w:sz w:val="24"/>
          <w:szCs w:val="24"/>
        </w:rPr>
        <w:t>Tofacitinib</w:t>
      </w:r>
      <w:r w:rsidRPr="00867C2E">
        <w:rPr>
          <w:rFonts w:ascii="Times New Roman" w:eastAsia="Times New Roman" w:hAnsi="Times New Roman" w:cs="Times New Roman"/>
          <w:iCs/>
          <w:sz w:val="24"/>
          <w:szCs w:val="24"/>
        </w:rPr>
        <w:t xml:space="preserve"> se poate administra la pacienţii adulţi cu colită ulcerativă activă, formă moderată pana la severă, care au avut un raspuns inadecvat, au pierdut răspunsul</w:t>
      </w:r>
      <w:r w:rsidRPr="00867C2E">
        <w:rPr>
          <w:rFonts w:ascii="Times New Roman" w:eastAsia="Times New Roman" w:hAnsi="Times New Roman" w:cs="Times New Roman"/>
          <w:sz w:val="24"/>
          <w:szCs w:val="24"/>
        </w:rPr>
        <w:t xml:space="preserve"> terapeutic sau nu au tolerat fie tratamentul conven</w:t>
      </w:r>
      <w:r w:rsidRPr="00867C2E">
        <w:rPr>
          <w:rFonts w:ascii="Times New Roman" w:eastAsia="Times New Roman" w:hAnsi="Times New Roman" w:cs="Times New Roman"/>
          <w:iCs/>
          <w:sz w:val="24"/>
          <w:szCs w:val="24"/>
        </w:rPr>
        <w:t>ţ</w:t>
      </w:r>
      <w:r w:rsidRPr="00867C2E">
        <w:rPr>
          <w:rFonts w:ascii="Times New Roman" w:eastAsia="Times New Roman" w:hAnsi="Times New Roman" w:cs="Times New Roman"/>
          <w:sz w:val="24"/>
          <w:szCs w:val="24"/>
        </w:rPr>
        <w:t>ional, fie un agent biologic.</w:t>
      </w:r>
    </w:p>
    <w:p w14:paraId="79140ABB" w14:textId="77777777" w:rsidR="00C26280" w:rsidRPr="00867C2E" w:rsidRDefault="00C26280" w:rsidP="00054402">
      <w:pPr>
        <w:numPr>
          <w:ilvl w:val="0"/>
          <w:numId w:val="541"/>
        </w:numPr>
        <w:spacing w:after="0" w:line="276" w:lineRule="auto"/>
        <w:contextualSpacing/>
        <w:jc w:val="both"/>
        <w:rPr>
          <w:rFonts w:ascii="Times New Roman" w:eastAsia="Times New Roman" w:hAnsi="Times New Roman" w:cs="Times New Roman"/>
          <w:b/>
          <w:bCs/>
          <w:color w:val="FF0000"/>
          <w:sz w:val="24"/>
          <w:szCs w:val="24"/>
        </w:rPr>
      </w:pPr>
      <w:r w:rsidRPr="00867C2E">
        <w:rPr>
          <w:rFonts w:ascii="Times New Roman" w:eastAsia="Times New Roman" w:hAnsi="Times New Roman" w:cs="Times New Roman"/>
          <w:b/>
          <w:bCs/>
          <w:color w:val="FF0000"/>
          <w:sz w:val="24"/>
          <w:szCs w:val="24"/>
        </w:rPr>
        <w:t xml:space="preserve">Upadacitinib se poate administra la pacienții adulți cu colită ulcerativă activă sau boala Crohn activă, forme moderate până la severe, care au avut un răspuns inadecvat, nu au </w:t>
      </w:r>
      <w:r w:rsidRPr="00867C2E">
        <w:rPr>
          <w:rFonts w:ascii="Times New Roman" w:eastAsia="Times New Roman" w:hAnsi="Times New Roman" w:cs="Times New Roman"/>
          <w:b/>
          <w:bCs/>
          <w:color w:val="FF0000"/>
          <w:sz w:val="24"/>
          <w:szCs w:val="24"/>
        </w:rPr>
        <w:lastRenderedPageBreak/>
        <w:t>mai răspuns sau au prezentat intoleranță la terapia convențională sau la un medicament biologic.</w:t>
      </w:r>
    </w:p>
    <w:p w14:paraId="10EC9DF3" w14:textId="77777777" w:rsidR="00C26280" w:rsidRPr="00867C2E" w:rsidRDefault="00C26280" w:rsidP="00C26280">
      <w:pPr>
        <w:spacing w:after="0" w:line="276" w:lineRule="auto"/>
        <w:ind w:firstLine="720"/>
        <w:contextualSpacing/>
        <w:jc w:val="both"/>
        <w:rPr>
          <w:rFonts w:ascii="Times New Roman" w:eastAsia="Times New Roman" w:hAnsi="Times New Roman" w:cs="Times New Roman"/>
          <w:b/>
          <w:sz w:val="24"/>
          <w:szCs w:val="24"/>
        </w:rPr>
      </w:pPr>
    </w:p>
    <w:p w14:paraId="60742A0C" w14:textId="77777777" w:rsidR="00C26280" w:rsidRPr="00AA40CA" w:rsidRDefault="00C26280" w:rsidP="00C26280">
      <w:pPr>
        <w:autoSpaceDE w:val="0"/>
        <w:autoSpaceDN w:val="0"/>
        <w:adjustRightInd w:val="0"/>
        <w:spacing w:after="0" w:line="276" w:lineRule="auto"/>
        <w:jc w:val="both"/>
        <w:rPr>
          <w:rFonts w:ascii="Times New Roman" w:eastAsia="Times New Roman" w:hAnsi="Times New Roman" w:cs="Times New Roman"/>
          <w:b/>
          <w:iCs/>
          <w:sz w:val="24"/>
          <w:szCs w:val="24"/>
        </w:rPr>
      </w:pPr>
      <w:r w:rsidRPr="00AA40CA">
        <w:rPr>
          <w:rFonts w:ascii="Times New Roman" w:eastAsia="Times New Roman" w:hAnsi="Times New Roman" w:cs="Times New Roman"/>
          <w:b/>
          <w:iCs/>
          <w:sz w:val="24"/>
          <w:szCs w:val="24"/>
        </w:rPr>
        <w:t xml:space="preserve">A. </w:t>
      </w:r>
      <w:r w:rsidRPr="00AA40CA">
        <w:rPr>
          <w:rFonts w:ascii="Times New Roman" w:eastAsia="Times New Roman" w:hAnsi="Times New Roman" w:cs="Times New Roman"/>
          <w:b/>
          <w:bCs/>
          <w:iCs/>
          <w:sz w:val="24"/>
          <w:szCs w:val="24"/>
        </w:rPr>
        <w:t>Tratamentul de inducţie:</w:t>
      </w:r>
    </w:p>
    <w:p w14:paraId="637E0618" w14:textId="77777777" w:rsidR="00C26280" w:rsidRPr="00867C2E" w:rsidRDefault="00C26280" w:rsidP="00054402">
      <w:pPr>
        <w:numPr>
          <w:ilvl w:val="0"/>
          <w:numId w:val="522"/>
        </w:numPr>
        <w:autoSpaceDE w:val="0"/>
        <w:autoSpaceDN w:val="0"/>
        <w:adjustRightInd w:val="0"/>
        <w:spacing w:after="0" w:line="276" w:lineRule="auto"/>
        <w:ind w:left="284" w:hanging="284"/>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Adalimumab - original şi biosimilar cu administrare subcutanată:</w:t>
      </w:r>
    </w:p>
    <w:p w14:paraId="74BCAA98" w14:textId="77777777" w:rsidR="00C26280" w:rsidRPr="00867C2E" w:rsidRDefault="00C26280" w:rsidP="00054402">
      <w:pPr>
        <w:pStyle w:val="ListParagraph"/>
        <w:numPr>
          <w:ilvl w:val="0"/>
          <w:numId w:val="5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la adulţi - 160 mg iniţial, urmat de 80 mg la 2 săptămâni şi, ulterior, 40 mg la fiecare 2 săptămâni în colita ulcerativă</w:t>
      </w:r>
    </w:p>
    <w:p w14:paraId="04E98E4C" w14:textId="77777777" w:rsidR="00C26280" w:rsidRPr="00867C2E" w:rsidRDefault="00C26280" w:rsidP="00054402">
      <w:pPr>
        <w:pStyle w:val="ListParagraph"/>
        <w:numPr>
          <w:ilvl w:val="0"/>
          <w:numId w:val="5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la adulţi - 160 mg iniţial (sau 80 mg) urmat de 80 mg (sau 40 mg) la două săptămâni, în b. Crohn</w:t>
      </w:r>
    </w:p>
    <w:p w14:paraId="0F049D81" w14:textId="77777777" w:rsidR="00C26280" w:rsidRPr="00867C2E" w:rsidRDefault="00C26280" w:rsidP="00054402">
      <w:pPr>
        <w:pStyle w:val="ListParagraph"/>
        <w:numPr>
          <w:ilvl w:val="0"/>
          <w:numId w:val="5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copii cu greutatea &lt; 40 kg - 40 mg iniţial, urmat de 20 mg la 2 săptămâni; în cazul în care este necesar un răspuns mai rapid la tratament poate fi utilizată doza de 80 mg în săptămâna 0 şi 40 mg în săptămâna 2. Ulterior, doza recomandată, în ambele scheme, este de 20 mg la fiecare 2 săptămâni în b. Crohn; în colita ulcerativă - 80 mg inițial (săptămâna 0) urmată de 40 mg in săptămâna 2, doza de întreținere recomandată, începând cu săptămâna 4 fiind de 40 mg la 2 săptămâni</w:t>
      </w:r>
    </w:p>
    <w:p w14:paraId="3F1B1190" w14:textId="77777777" w:rsidR="00C26280" w:rsidRPr="00867C2E" w:rsidRDefault="00C26280" w:rsidP="00054402">
      <w:pPr>
        <w:pStyle w:val="ListParagraph"/>
        <w:numPr>
          <w:ilvl w:val="0"/>
          <w:numId w:val="5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 xml:space="preserve">copii cu greutatea ≥ 40 kg - 80 mg iniţial, urmat de 40 mg în săptămâna 2, iar ulterior - 40 mg la fiecare </w:t>
      </w:r>
      <w:r w:rsidRPr="00867C2E">
        <w:rPr>
          <w:b/>
          <w:bCs/>
          <w:iCs/>
        </w:rPr>
        <w:t>2</w:t>
      </w:r>
      <w:r w:rsidRPr="00867C2E">
        <w:rPr>
          <w:iCs/>
        </w:rPr>
        <w:t xml:space="preserve">  săptămâni. În cazul în care este necesar un răspuns mai rapid la tratament poate fi utilizată doza de 160 mg în săptămâna 0, urmată de 80 mg în săptămâna 2 şi câte 40 mg la fiecare 2 săptămâni ulterior - în b. Crohn; în colita ulcerativă - 160 mg inițial (săptămâna 0) urmată de 80 mg in săptămâna 2, doza de întreținere recomandată, începând cu săptămâna 4 fiind de 80 mg la 2 săptămâni</w:t>
      </w:r>
      <w:r w:rsidRPr="00867C2E" w:rsidDel="00A5036C">
        <w:rPr>
          <w:iCs/>
        </w:rPr>
        <w:t xml:space="preserve"> </w:t>
      </w:r>
    </w:p>
    <w:p w14:paraId="0C7DA7E5"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4B9EA2DB" w14:textId="77777777" w:rsidR="00C26280" w:rsidRPr="00867C2E" w:rsidRDefault="00C26280" w:rsidP="00054402">
      <w:pPr>
        <w:numPr>
          <w:ilvl w:val="0"/>
          <w:numId w:val="522"/>
        </w:numPr>
        <w:autoSpaceDE w:val="0"/>
        <w:autoSpaceDN w:val="0"/>
        <w:adjustRightInd w:val="0"/>
        <w:spacing w:after="0" w:line="276" w:lineRule="auto"/>
        <w:ind w:left="284" w:hanging="284"/>
        <w:jc w:val="both"/>
        <w:rPr>
          <w:rFonts w:ascii="Times New Roman" w:eastAsia="Times New Roman" w:hAnsi="Times New Roman" w:cs="Times New Roman"/>
          <w:b/>
          <w:bCs/>
          <w:iCs/>
          <w:sz w:val="24"/>
          <w:szCs w:val="24"/>
        </w:rPr>
      </w:pPr>
      <w:r w:rsidRPr="00867C2E">
        <w:rPr>
          <w:rFonts w:ascii="Times New Roman" w:eastAsia="Times New Roman" w:hAnsi="Times New Roman" w:cs="Times New Roman"/>
          <w:b/>
          <w:bCs/>
          <w:iCs/>
          <w:sz w:val="24"/>
          <w:szCs w:val="24"/>
        </w:rPr>
        <w:t>Infliximab - original şi biosimilar</w:t>
      </w:r>
    </w:p>
    <w:p w14:paraId="1FDA7AE9" w14:textId="77777777" w:rsidR="00C26280" w:rsidRPr="00867C2E" w:rsidRDefault="00C26280" w:rsidP="00054402">
      <w:pPr>
        <w:pStyle w:val="ListParagraph"/>
        <w:numPr>
          <w:ilvl w:val="0"/>
          <w:numId w:val="52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la adulţi şi copii &gt; 6 ani inducţia se face doar cu infliximab cu administrare intravenoasa cu 5 mg/kg, în perfuzie lentă, cu durată de minim 2 ore, 3 aplicaţii (la 0, 2 şi 6 săptămâni) - în b. Crohn şi colita ulcerativă.</w:t>
      </w:r>
    </w:p>
    <w:p w14:paraId="1BA9FDD6"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637BAF44" w14:textId="77777777" w:rsidR="00C26280" w:rsidRPr="00867C2E" w:rsidRDefault="00C26280" w:rsidP="00AA40CA">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 xml:space="preserve">NOTĂ - </w:t>
      </w:r>
      <w:r w:rsidRPr="00867C2E">
        <w:rPr>
          <w:rFonts w:ascii="Times New Roman" w:eastAsia="Times New Roman" w:hAnsi="Times New Roman" w:cs="Times New Roman"/>
          <w:b/>
          <w:iCs/>
          <w:sz w:val="24"/>
          <w:szCs w:val="24"/>
        </w:rPr>
        <w:t>I</w:t>
      </w:r>
      <w:r w:rsidRPr="00867C2E">
        <w:rPr>
          <w:rFonts w:ascii="Times New Roman" w:eastAsia="Times New Roman" w:hAnsi="Times New Roman" w:cs="Times New Roman"/>
          <w:b/>
          <w:sz w:val="24"/>
          <w:szCs w:val="24"/>
        </w:rPr>
        <w:t xml:space="preserve">nfliximab cu administrare subcutană (120 mg pen preumplut) – </w:t>
      </w:r>
      <w:r w:rsidRPr="00867C2E">
        <w:rPr>
          <w:rFonts w:ascii="Times New Roman" w:eastAsia="Times New Roman" w:hAnsi="Times New Roman" w:cs="Times New Roman"/>
          <w:sz w:val="24"/>
          <w:szCs w:val="24"/>
        </w:rPr>
        <w:t xml:space="preserve">se administrează doar după </w:t>
      </w:r>
      <w:r w:rsidRPr="00867C2E">
        <w:rPr>
          <w:rFonts w:ascii="Times New Roman" w:eastAsia="Times New Roman" w:hAnsi="Times New Roman" w:cs="Times New Roman"/>
          <w:iCs/>
          <w:sz w:val="24"/>
          <w:szCs w:val="24"/>
        </w:rPr>
        <w:t>inducţia cu infliximab administrat intravenos 5 mg/kg, în perfuzie lentă, cu durată de minim 2 ore, 2 aplicaţii (</w:t>
      </w:r>
      <w:r w:rsidRPr="00867C2E">
        <w:rPr>
          <w:rFonts w:ascii="Times New Roman" w:eastAsia="Times New Roman" w:hAnsi="Times New Roman" w:cs="Times New Roman"/>
          <w:sz w:val="24"/>
          <w:szCs w:val="24"/>
        </w:rPr>
        <w:t>în săptămânile 0 și 2), la distanța de 4 săptămâni (săptămâna 6) ca tratament de intretinere.</w:t>
      </w:r>
    </w:p>
    <w:p w14:paraId="1AFFAA35"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5D31794F" w14:textId="77777777" w:rsidR="00C26280" w:rsidRPr="00867C2E" w:rsidRDefault="00C26280" w:rsidP="00054402">
      <w:pPr>
        <w:numPr>
          <w:ilvl w:val="0"/>
          <w:numId w:val="522"/>
        </w:numPr>
        <w:autoSpaceDE w:val="0"/>
        <w:autoSpaceDN w:val="0"/>
        <w:adjustRightInd w:val="0"/>
        <w:spacing w:after="0" w:line="276" w:lineRule="auto"/>
        <w:ind w:left="284" w:hanging="284"/>
        <w:jc w:val="both"/>
        <w:rPr>
          <w:rFonts w:ascii="Times New Roman" w:eastAsia="Times New Roman" w:hAnsi="Times New Roman" w:cs="Times New Roman"/>
          <w:b/>
          <w:bCs/>
          <w:iCs/>
          <w:sz w:val="24"/>
          <w:szCs w:val="24"/>
        </w:rPr>
      </w:pPr>
      <w:r w:rsidRPr="00867C2E">
        <w:rPr>
          <w:rFonts w:ascii="Times New Roman" w:eastAsia="Times New Roman" w:hAnsi="Times New Roman" w:cs="Times New Roman"/>
          <w:b/>
          <w:bCs/>
          <w:iCs/>
          <w:sz w:val="24"/>
          <w:szCs w:val="24"/>
        </w:rPr>
        <w:t>Vedolizumab</w:t>
      </w:r>
    </w:p>
    <w:p w14:paraId="4E07C588" w14:textId="77777777" w:rsidR="00C26280" w:rsidRPr="00867C2E" w:rsidRDefault="00C26280" w:rsidP="00054402">
      <w:pPr>
        <w:pStyle w:val="ListParagraph"/>
        <w:numPr>
          <w:ilvl w:val="0"/>
          <w:numId w:val="5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La adulţi - 300 mg în perfuzie intravenoasă la 0, 2 şi 6 săptămâni- în b. Crohn şi colită ulcerativă.</w:t>
      </w:r>
    </w:p>
    <w:p w14:paraId="1B31D996" w14:textId="77777777" w:rsidR="00C26280" w:rsidRPr="00867C2E" w:rsidRDefault="00C26280" w:rsidP="00054402">
      <w:pPr>
        <w:pStyle w:val="ListParagraph"/>
        <w:numPr>
          <w:ilvl w:val="0"/>
          <w:numId w:val="5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pacienţii cu boală Crohn care nu au răspuns la tratament în săptămânile 0, 2, 6 pot beneficia de administrarea unei perfuzii adiţionale de Vedolizumab 300 mg în săptămâna 10.</w:t>
      </w:r>
    </w:p>
    <w:p w14:paraId="62750789" w14:textId="77777777" w:rsidR="00C26280" w:rsidRPr="00867C2E" w:rsidRDefault="00C26280" w:rsidP="00054402">
      <w:pPr>
        <w:pStyle w:val="ListParagraph"/>
        <w:numPr>
          <w:ilvl w:val="0"/>
          <w:numId w:val="52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În b. Crohn, pentru Vedolizumab administrat ca prima linie tratament biologic la pacienţii naivi la anti TNFalfa,  tratamentul de inducţie (S0, S2 si S6)  va fi suportat integral de către compania deţinătoare a autorizaţiei de punere pe piaţă pentru pacienţii eligibili, pe măsura înrolării acestora în tratament.</w:t>
      </w:r>
    </w:p>
    <w:p w14:paraId="3EAF0DE1"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5CB434EC" w14:textId="77777777" w:rsidR="00C26280" w:rsidRPr="00867C2E" w:rsidRDefault="00C26280" w:rsidP="00054402">
      <w:pPr>
        <w:numPr>
          <w:ilvl w:val="0"/>
          <w:numId w:val="522"/>
        </w:numPr>
        <w:autoSpaceDE w:val="0"/>
        <w:autoSpaceDN w:val="0"/>
        <w:adjustRightInd w:val="0"/>
        <w:spacing w:after="0" w:line="276" w:lineRule="auto"/>
        <w:ind w:left="284" w:hanging="284"/>
        <w:jc w:val="both"/>
        <w:rPr>
          <w:rFonts w:ascii="Times New Roman" w:eastAsia="Times New Roman" w:hAnsi="Times New Roman" w:cs="Times New Roman"/>
          <w:b/>
          <w:bCs/>
          <w:iCs/>
          <w:sz w:val="24"/>
          <w:szCs w:val="24"/>
        </w:rPr>
      </w:pPr>
      <w:r w:rsidRPr="00867C2E">
        <w:rPr>
          <w:rFonts w:ascii="Times New Roman" w:eastAsia="Times New Roman" w:hAnsi="Times New Roman" w:cs="Times New Roman"/>
          <w:b/>
          <w:bCs/>
          <w:iCs/>
          <w:sz w:val="24"/>
          <w:szCs w:val="24"/>
        </w:rPr>
        <w:t>Ustekinumab</w:t>
      </w:r>
    </w:p>
    <w:p w14:paraId="085F26D1" w14:textId="77777777" w:rsidR="00C26280" w:rsidRPr="00867C2E" w:rsidRDefault="00C26280" w:rsidP="00054402">
      <w:pPr>
        <w:pStyle w:val="ListParagraph"/>
        <w:numPr>
          <w:ilvl w:val="0"/>
          <w:numId w:val="5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Tratamentul de inducţie va fi suportat integral de către compania deţinătoare a autorizaţiei de punere pe piaţă pentru pacienţii eligibili, pe măsura înrolării acestora în tratament.</w:t>
      </w:r>
    </w:p>
    <w:p w14:paraId="4560D4AD" w14:textId="77777777" w:rsidR="00C26280" w:rsidRPr="00867C2E" w:rsidRDefault="00C26280" w:rsidP="00054402">
      <w:pPr>
        <w:pStyle w:val="ListParagraph"/>
        <w:numPr>
          <w:ilvl w:val="0"/>
          <w:numId w:val="5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Tratamentul se va iniţia cu o singură doză cu administrare intravenoasă pe o perioadă de cel puţin 1 oră în funcţie de greutatea corporală, care se va calcula conform tabelului. (Tabel 1).</w:t>
      </w:r>
    </w:p>
    <w:p w14:paraId="5A739BE3" w14:textId="77777777" w:rsidR="00C26280" w:rsidRDefault="00C26280" w:rsidP="00AA40CA">
      <w:pPr>
        <w:autoSpaceDE w:val="0"/>
        <w:autoSpaceDN w:val="0"/>
        <w:adjustRightInd w:val="0"/>
        <w:spacing w:after="0" w:line="276" w:lineRule="auto"/>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lastRenderedPageBreak/>
        <w:t>Tabel 1. Doza tratamentului de inducţie cu ustekinumab (se utilizează exclusiv flacoanele de 130 mg).</w:t>
      </w:r>
    </w:p>
    <w:p w14:paraId="529EFA84" w14:textId="77777777" w:rsidR="00AA40CA" w:rsidRPr="00867C2E" w:rsidRDefault="00AA40CA" w:rsidP="00AA40CA">
      <w:pPr>
        <w:autoSpaceDE w:val="0"/>
        <w:autoSpaceDN w:val="0"/>
        <w:adjustRightInd w:val="0"/>
        <w:spacing w:after="0" w:line="276" w:lineRule="auto"/>
        <w:rPr>
          <w:rFonts w:ascii="Times New Roman" w:eastAsia="Times New Roman" w:hAnsi="Times New Roman" w:cs="Times New Roman"/>
          <w:iCs/>
          <w:sz w:val="24"/>
          <w:szCs w:val="24"/>
        </w:rPr>
      </w:pPr>
    </w:p>
    <w:tbl>
      <w:tblPr>
        <w:tblW w:w="8100" w:type="dxa"/>
        <w:tblInd w:w="1005" w:type="dxa"/>
        <w:tblLayout w:type="fixed"/>
        <w:tblCellMar>
          <w:left w:w="105" w:type="dxa"/>
          <w:right w:w="105" w:type="dxa"/>
        </w:tblCellMar>
        <w:tblLook w:val="0000" w:firstRow="0" w:lastRow="0" w:firstColumn="0" w:lastColumn="0" w:noHBand="0" w:noVBand="0"/>
      </w:tblPr>
      <w:tblGrid>
        <w:gridCol w:w="3920"/>
        <w:gridCol w:w="4180"/>
      </w:tblGrid>
      <w:tr w:rsidR="00C26280" w:rsidRPr="00AA40CA" w14:paraId="590BC0C5" w14:textId="77777777" w:rsidTr="00C26280">
        <w:tc>
          <w:tcPr>
            <w:tcW w:w="3920" w:type="dxa"/>
            <w:tcBorders>
              <w:top w:val="single" w:sz="6" w:space="0" w:color="000000"/>
              <w:left w:val="single" w:sz="6" w:space="0" w:color="000000"/>
              <w:bottom w:val="single" w:sz="6" w:space="0" w:color="000000"/>
              <w:right w:val="single" w:sz="6" w:space="0" w:color="000000"/>
            </w:tcBorders>
          </w:tcPr>
          <w:p w14:paraId="20302810" w14:textId="77777777" w:rsidR="00C26280" w:rsidRPr="00AA40CA"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0"/>
                <w:szCs w:val="20"/>
              </w:rPr>
            </w:pPr>
            <w:r w:rsidRPr="00AA40CA">
              <w:rPr>
                <w:rFonts w:ascii="Times New Roman" w:eastAsia="Times New Roman" w:hAnsi="Times New Roman" w:cs="Times New Roman"/>
                <w:iCs/>
                <w:sz w:val="20"/>
                <w:szCs w:val="20"/>
              </w:rPr>
              <w:t>Greutatea pacientului</w:t>
            </w:r>
          </w:p>
        </w:tc>
        <w:tc>
          <w:tcPr>
            <w:tcW w:w="4180" w:type="dxa"/>
            <w:tcBorders>
              <w:top w:val="single" w:sz="6" w:space="0" w:color="000000"/>
              <w:left w:val="single" w:sz="6" w:space="0" w:color="000000"/>
              <w:bottom w:val="single" w:sz="6" w:space="0" w:color="000000"/>
              <w:right w:val="single" w:sz="6" w:space="0" w:color="000000"/>
            </w:tcBorders>
          </w:tcPr>
          <w:p w14:paraId="727DA40F" w14:textId="77777777" w:rsidR="00C26280" w:rsidRPr="00AA40CA" w:rsidRDefault="00C26280" w:rsidP="00C26280">
            <w:pPr>
              <w:autoSpaceDE w:val="0"/>
              <w:autoSpaceDN w:val="0"/>
              <w:adjustRightInd w:val="0"/>
              <w:spacing w:after="0" w:line="276" w:lineRule="auto"/>
              <w:ind w:firstLine="720"/>
              <w:rPr>
                <w:rFonts w:ascii="Times New Roman" w:eastAsia="Times New Roman" w:hAnsi="Times New Roman" w:cs="Times New Roman"/>
                <w:iCs/>
                <w:sz w:val="20"/>
                <w:szCs w:val="20"/>
              </w:rPr>
            </w:pPr>
            <w:r w:rsidRPr="00AA40CA">
              <w:rPr>
                <w:rFonts w:ascii="Times New Roman" w:eastAsia="Times New Roman" w:hAnsi="Times New Roman" w:cs="Times New Roman"/>
                <w:iCs/>
                <w:sz w:val="20"/>
                <w:szCs w:val="20"/>
              </w:rPr>
              <w:t>Doza recomandată</w:t>
            </w:r>
          </w:p>
        </w:tc>
      </w:tr>
      <w:tr w:rsidR="00C26280" w:rsidRPr="00AA40CA" w14:paraId="468F4CA8" w14:textId="77777777" w:rsidTr="00C26280">
        <w:tc>
          <w:tcPr>
            <w:tcW w:w="3920" w:type="dxa"/>
            <w:tcBorders>
              <w:top w:val="single" w:sz="6" w:space="0" w:color="000000"/>
              <w:left w:val="single" w:sz="6" w:space="0" w:color="000000"/>
              <w:bottom w:val="single" w:sz="6" w:space="0" w:color="000000"/>
              <w:right w:val="single" w:sz="6" w:space="0" w:color="000000"/>
            </w:tcBorders>
          </w:tcPr>
          <w:p w14:paraId="32EF2002" w14:textId="77777777" w:rsidR="00C26280" w:rsidRPr="00AA40CA"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0"/>
                <w:szCs w:val="20"/>
              </w:rPr>
            </w:pPr>
            <w:r w:rsidRPr="00AA40CA">
              <w:rPr>
                <w:rFonts w:ascii="Times New Roman" w:eastAsia="Times New Roman" w:hAnsi="Times New Roman" w:cs="Times New Roman"/>
                <w:iCs/>
                <w:sz w:val="20"/>
                <w:szCs w:val="20"/>
              </w:rPr>
              <w:t>≤ 55 kg</w:t>
            </w:r>
          </w:p>
        </w:tc>
        <w:tc>
          <w:tcPr>
            <w:tcW w:w="4180" w:type="dxa"/>
            <w:tcBorders>
              <w:top w:val="single" w:sz="6" w:space="0" w:color="000000"/>
              <w:left w:val="single" w:sz="6" w:space="0" w:color="000000"/>
              <w:bottom w:val="single" w:sz="6" w:space="0" w:color="000000"/>
              <w:right w:val="single" w:sz="6" w:space="0" w:color="000000"/>
            </w:tcBorders>
          </w:tcPr>
          <w:p w14:paraId="1AABA96C" w14:textId="77777777" w:rsidR="00C26280" w:rsidRPr="00AA40CA" w:rsidRDefault="00C26280" w:rsidP="00C26280">
            <w:pPr>
              <w:autoSpaceDE w:val="0"/>
              <w:autoSpaceDN w:val="0"/>
              <w:adjustRightInd w:val="0"/>
              <w:spacing w:after="0" w:line="276" w:lineRule="auto"/>
              <w:ind w:firstLine="720"/>
              <w:rPr>
                <w:rFonts w:ascii="Times New Roman" w:eastAsia="Times New Roman" w:hAnsi="Times New Roman" w:cs="Times New Roman"/>
                <w:iCs/>
                <w:sz w:val="20"/>
                <w:szCs w:val="20"/>
              </w:rPr>
            </w:pPr>
            <w:r w:rsidRPr="00AA40CA">
              <w:rPr>
                <w:rFonts w:ascii="Times New Roman" w:eastAsia="Times New Roman" w:hAnsi="Times New Roman" w:cs="Times New Roman"/>
                <w:iCs/>
                <w:sz w:val="20"/>
                <w:szCs w:val="20"/>
              </w:rPr>
              <w:t>260 mg - 2 flacoane</w:t>
            </w:r>
          </w:p>
        </w:tc>
      </w:tr>
      <w:tr w:rsidR="00C26280" w:rsidRPr="00AA40CA" w14:paraId="23AE7F8B" w14:textId="77777777" w:rsidTr="00C26280">
        <w:tc>
          <w:tcPr>
            <w:tcW w:w="3920" w:type="dxa"/>
            <w:tcBorders>
              <w:top w:val="single" w:sz="6" w:space="0" w:color="000000"/>
              <w:left w:val="single" w:sz="6" w:space="0" w:color="000000"/>
              <w:bottom w:val="single" w:sz="6" w:space="0" w:color="000000"/>
              <w:right w:val="single" w:sz="6" w:space="0" w:color="000000"/>
            </w:tcBorders>
          </w:tcPr>
          <w:p w14:paraId="027C9A42" w14:textId="77777777" w:rsidR="00C26280" w:rsidRPr="00AA40CA"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0"/>
                <w:szCs w:val="20"/>
              </w:rPr>
            </w:pPr>
            <w:r w:rsidRPr="00AA40CA">
              <w:rPr>
                <w:rFonts w:ascii="Times New Roman" w:eastAsia="Times New Roman" w:hAnsi="Times New Roman" w:cs="Times New Roman"/>
                <w:iCs/>
                <w:sz w:val="20"/>
                <w:szCs w:val="20"/>
              </w:rPr>
              <w:t>&gt; 55 kg până la ≤ 85 kg</w:t>
            </w:r>
          </w:p>
        </w:tc>
        <w:tc>
          <w:tcPr>
            <w:tcW w:w="4180" w:type="dxa"/>
            <w:tcBorders>
              <w:top w:val="single" w:sz="6" w:space="0" w:color="000000"/>
              <w:left w:val="single" w:sz="6" w:space="0" w:color="000000"/>
              <w:bottom w:val="single" w:sz="6" w:space="0" w:color="000000"/>
              <w:right w:val="single" w:sz="6" w:space="0" w:color="000000"/>
            </w:tcBorders>
          </w:tcPr>
          <w:p w14:paraId="0136858F" w14:textId="77777777" w:rsidR="00C26280" w:rsidRPr="00AA40CA" w:rsidRDefault="00C26280" w:rsidP="00C26280">
            <w:pPr>
              <w:autoSpaceDE w:val="0"/>
              <w:autoSpaceDN w:val="0"/>
              <w:adjustRightInd w:val="0"/>
              <w:spacing w:after="0" w:line="276" w:lineRule="auto"/>
              <w:ind w:firstLine="720"/>
              <w:rPr>
                <w:rFonts w:ascii="Times New Roman" w:eastAsia="Times New Roman" w:hAnsi="Times New Roman" w:cs="Times New Roman"/>
                <w:iCs/>
                <w:sz w:val="20"/>
                <w:szCs w:val="20"/>
              </w:rPr>
            </w:pPr>
            <w:r w:rsidRPr="00AA40CA">
              <w:rPr>
                <w:rFonts w:ascii="Times New Roman" w:eastAsia="Times New Roman" w:hAnsi="Times New Roman" w:cs="Times New Roman"/>
                <w:iCs/>
                <w:sz w:val="20"/>
                <w:szCs w:val="20"/>
              </w:rPr>
              <w:t>390 mg - 3 flacoane</w:t>
            </w:r>
          </w:p>
        </w:tc>
      </w:tr>
      <w:tr w:rsidR="00C26280" w:rsidRPr="00AA40CA" w14:paraId="34CF42F1" w14:textId="77777777" w:rsidTr="00C26280">
        <w:tc>
          <w:tcPr>
            <w:tcW w:w="3920" w:type="dxa"/>
            <w:tcBorders>
              <w:top w:val="single" w:sz="6" w:space="0" w:color="000000"/>
              <w:left w:val="single" w:sz="6" w:space="0" w:color="000000"/>
              <w:bottom w:val="single" w:sz="6" w:space="0" w:color="000000"/>
              <w:right w:val="single" w:sz="6" w:space="0" w:color="000000"/>
            </w:tcBorders>
          </w:tcPr>
          <w:p w14:paraId="785FB1A2" w14:textId="77777777" w:rsidR="00C26280" w:rsidRPr="00AA40CA"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0"/>
                <w:szCs w:val="20"/>
              </w:rPr>
            </w:pPr>
            <w:r w:rsidRPr="00AA40CA">
              <w:rPr>
                <w:rFonts w:ascii="Times New Roman" w:eastAsia="Times New Roman" w:hAnsi="Times New Roman" w:cs="Times New Roman"/>
                <w:iCs/>
                <w:sz w:val="20"/>
                <w:szCs w:val="20"/>
              </w:rPr>
              <w:t>&gt; 85 kg</w:t>
            </w:r>
          </w:p>
        </w:tc>
        <w:tc>
          <w:tcPr>
            <w:tcW w:w="4180" w:type="dxa"/>
            <w:tcBorders>
              <w:top w:val="single" w:sz="6" w:space="0" w:color="000000"/>
              <w:left w:val="single" w:sz="6" w:space="0" w:color="000000"/>
              <w:bottom w:val="single" w:sz="6" w:space="0" w:color="000000"/>
              <w:right w:val="single" w:sz="6" w:space="0" w:color="000000"/>
            </w:tcBorders>
          </w:tcPr>
          <w:p w14:paraId="0A2E7F1D" w14:textId="77777777" w:rsidR="00C26280" w:rsidRPr="00AA40CA" w:rsidRDefault="00C26280" w:rsidP="00054402">
            <w:pPr>
              <w:pStyle w:val="ListParagraph"/>
              <w:numPr>
                <w:ilvl w:val="0"/>
                <w:numId w:val="53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rPr>
                <w:iCs/>
                <w:sz w:val="20"/>
                <w:szCs w:val="20"/>
              </w:rPr>
            </w:pPr>
            <w:r w:rsidRPr="00AA40CA">
              <w:rPr>
                <w:iCs/>
                <w:sz w:val="20"/>
                <w:szCs w:val="20"/>
              </w:rPr>
              <w:t xml:space="preserve"> mg - 4 flacoane</w:t>
            </w:r>
          </w:p>
        </w:tc>
      </w:tr>
    </w:tbl>
    <w:p w14:paraId="0E47F55D"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799CB424" w14:textId="77777777" w:rsidR="00C26280" w:rsidRPr="00867C2E" w:rsidRDefault="00C26280" w:rsidP="00054402">
      <w:pPr>
        <w:numPr>
          <w:ilvl w:val="0"/>
          <w:numId w:val="522"/>
        </w:numPr>
        <w:spacing w:after="0" w:line="276" w:lineRule="auto"/>
        <w:ind w:left="284" w:hanging="284"/>
        <w:contextualSpacing/>
        <w:jc w:val="both"/>
        <w:rPr>
          <w:rFonts w:ascii="Times New Roman" w:eastAsia="Times New Roman" w:hAnsi="Times New Roman" w:cs="Times New Roman"/>
          <w:b/>
          <w:bCs/>
          <w:sz w:val="24"/>
          <w:szCs w:val="24"/>
        </w:rPr>
      </w:pPr>
      <w:r w:rsidRPr="00867C2E">
        <w:rPr>
          <w:rFonts w:ascii="Times New Roman" w:eastAsia="Times New Roman" w:hAnsi="Times New Roman" w:cs="Times New Roman"/>
          <w:b/>
          <w:bCs/>
          <w:sz w:val="24"/>
          <w:szCs w:val="24"/>
        </w:rPr>
        <w:t>Tofacitinib</w:t>
      </w:r>
    </w:p>
    <w:p w14:paraId="0BB7D499" w14:textId="77777777" w:rsidR="00C26280" w:rsidRPr="00867C2E" w:rsidRDefault="00C26280" w:rsidP="00054402">
      <w:pPr>
        <w:pStyle w:val="ListParagraph"/>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lang w:eastAsia="en-US"/>
        </w:rPr>
      </w:pPr>
      <w:r w:rsidRPr="00867C2E">
        <w:t xml:space="preserve">Tratamentul se va iniţia prin administrarea a unei doze de 10 mg pe cale orală de două ori pe zi, pentru perioada de inducție, timp de 8 săptămâni. Pentru pacienții care nu ating beneficiul terapeutic adecvat înainte de săptămâna 8, doza de inducție de 10 mg de două ori pe zi poate fi extinsă pentru o perioadă suplimentară de 8 săptămâni (16 săptămâniîn total), urmată de 5 mg de două ori pe zi pentru menținere. </w:t>
      </w:r>
    </w:p>
    <w:p w14:paraId="2663AD74" w14:textId="77777777" w:rsidR="00C26280" w:rsidRPr="00867C2E" w:rsidRDefault="00C26280" w:rsidP="00054402">
      <w:pPr>
        <w:pStyle w:val="ListParagraph"/>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lang w:eastAsia="en-US"/>
        </w:rPr>
      </w:pPr>
      <w:r w:rsidRPr="00867C2E">
        <w:t>Tratamentul de inducție cu tofacitinib trebuie întrerupt la orice pacient care nu prezintă nici o dovadă de beneficiu terapeutic până în săptămâna a 16 -a.</w:t>
      </w:r>
    </w:p>
    <w:p w14:paraId="5901F3A3" w14:textId="77777777" w:rsidR="00C26280" w:rsidRPr="00867C2E" w:rsidRDefault="00C26280" w:rsidP="00054402">
      <w:pPr>
        <w:pStyle w:val="ListParagraph"/>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rPr>
          <w:lang w:eastAsia="en-US"/>
        </w:rPr>
      </w:pPr>
      <w:r w:rsidRPr="00867C2E">
        <w:t xml:space="preserve">Se recomandă ca tratamentul să nu fie inițiat la pacienții cu risc pentru accidente tromboembolice, inclusiv pacienţi ≥ 65 ani, fumători sau foşti mari fumători, cu un număr absolut de limfocite mai mic de 750 celule/mm3, </w:t>
      </w:r>
      <w:r w:rsidRPr="00867C2E">
        <w:rPr>
          <w:shd w:val="clear" w:color="auto" w:fill="FFFFFF"/>
        </w:rPr>
        <w:t>numar total de neutrofile &lt; 1000 /mm</w:t>
      </w:r>
      <w:r w:rsidRPr="00867C2E">
        <w:rPr>
          <w:shd w:val="clear" w:color="auto" w:fill="FFFFFF"/>
          <w:vertAlign w:val="superscript"/>
        </w:rPr>
        <w:t>3</w:t>
      </w:r>
      <w:r w:rsidRPr="00867C2E">
        <w:rPr>
          <w:shd w:val="clear" w:color="auto" w:fill="FFFFFF"/>
        </w:rPr>
        <w:t>, valoarea Hb&lt; 9g/dl</w:t>
      </w:r>
    </w:p>
    <w:p w14:paraId="3AEC8C68" w14:textId="77777777" w:rsidR="00C26280" w:rsidRPr="00867C2E" w:rsidRDefault="00C26280" w:rsidP="00C26280">
      <w:pPr>
        <w:pBdr>
          <w:top w:val="nil"/>
          <w:left w:val="nil"/>
          <w:bottom w:val="nil"/>
          <w:right w:val="nil"/>
          <w:between w:val="nil"/>
          <w:bar w:val="nil"/>
        </w:pBdr>
        <w:autoSpaceDE w:val="0"/>
        <w:autoSpaceDN w:val="0"/>
        <w:adjustRightInd w:val="0"/>
        <w:spacing w:after="0" w:line="276" w:lineRule="auto"/>
        <w:ind w:left="720" w:firstLine="720"/>
        <w:jc w:val="both"/>
        <w:rPr>
          <w:rFonts w:ascii="Times New Roman" w:eastAsia="Times New Roman" w:hAnsi="Times New Roman" w:cs="Times New Roman"/>
          <w:sz w:val="24"/>
          <w:szCs w:val="24"/>
          <w:shd w:val="clear" w:color="auto" w:fill="FFFFFF"/>
          <w:lang w:eastAsia="ro-RO"/>
        </w:rPr>
      </w:pPr>
    </w:p>
    <w:p w14:paraId="1FD3439B" w14:textId="77777777" w:rsidR="00C26280" w:rsidRPr="00867C2E" w:rsidRDefault="00C26280" w:rsidP="00054402">
      <w:pPr>
        <w:pStyle w:val="ListParagraph"/>
        <w:numPr>
          <w:ilvl w:val="0"/>
          <w:numId w:val="522"/>
        </w:numPr>
        <w:autoSpaceDE w:val="0"/>
        <w:autoSpaceDN w:val="0"/>
        <w:adjustRightInd w:val="0"/>
        <w:spacing w:line="276" w:lineRule="auto"/>
        <w:ind w:left="284" w:hanging="284"/>
        <w:contextualSpacing/>
        <w:jc w:val="both"/>
        <w:rPr>
          <w:b/>
          <w:bCs/>
          <w:color w:val="FF0000"/>
        </w:rPr>
      </w:pPr>
      <w:r w:rsidRPr="00867C2E">
        <w:rPr>
          <w:b/>
          <w:bCs/>
          <w:color w:val="FF0000"/>
        </w:rPr>
        <w:t xml:space="preserve">Upadacitinib </w:t>
      </w:r>
    </w:p>
    <w:p w14:paraId="06D55246" w14:textId="77777777" w:rsidR="00C26280" w:rsidRPr="00867C2E" w:rsidRDefault="00C26280" w:rsidP="00054402">
      <w:pPr>
        <w:pStyle w:val="ListParagraph"/>
        <w:numPr>
          <w:ilvl w:val="0"/>
          <w:numId w:val="532"/>
        </w:numPr>
        <w:autoSpaceDE w:val="0"/>
        <w:autoSpaceDN w:val="0"/>
        <w:adjustRightInd w:val="0"/>
        <w:spacing w:line="276" w:lineRule="auto"/>
        <w:contextualSpacing/>
        <w:jc w:val="both"/>
        <w:rPr>
          <w:color w:val="FF0000"/>
        </w:rPr>
      </w:pPr>
      <w:r w:rsidRPr="00867C2E">
        <w:rPr>
          <w:color w:val="FF0000"/>
        </w:rPr>
        <w:t>Doza de inducție recomandată pentru colita ulcerativă este de 45 mg, administrată pe cale orală, o dată pe zi, timp de 8 săptămâni.</w:t>
      </w:r>
    </w:p>
    <w:p w14:paraId="40C20D6A" w14:textId="77777777" w:rsidR="00C26280" w:rsidRPr="00867C2E" w:rsidRDefault="00C26280" w:rsidP="00054402">
      <w:pPr>
        <w:pStyle w:val="ListParagraph"/>
        <w:numPr>
          <w:ilvl w:val="0"/>
          <w:numId w:val="532"/>
        </w:numPr>
        <w:autoSpaceDE w:val="0"/>
        <w:autoSpaceDN w:val="0"/>
        <w:adjustRightInd w:val="0"/>
        <w:spacing w:line="276" w:lineRule="auto"/>
        <w:contextualSpacing/>
        <w:jc w:val="both"/>
        <w:rPr>
          <w:color w:val="FF0000"/>
        </w:rPr>
      </w:pPr>
      <w:r w:rsidRPr="00867C2E">
        <w:rPr>
          <w:color w:val="FF0000"/>
        </w:rPr>
        <w:t xml:space="preserve">La pacienții care nu obțin un beneficiu terapeutic adecvat până în săptămâna 8, se poate continua administrarea dozei de 45 mg upadacitinib, o dată pe zi, timp de încă 8 săptămâni. </w:t>
      </w:r>
    </w:p>
    <w:p w14:paraId="6F896802" w14:textId="77777777" w:rsidR="00C26280" w:rsidRPr="00867C2E" w:rsidRDefault="00C26280" w:rsidP="00054402">
      <w:pPr>
        <w:pStyle w:val="ListParagraph"/>
        <w:numPr>
          <w:ilvl w:val="0"/>
          <w:numId w:val="532"/>
        </w:numPr>
        <w:autoSpaceDE w:val="0"/>
        <w:autoSpaceDN w:val="0"/>
        <w:adjustRightInd w:val="0"/>
        <w:spacing w:line="276" w:lineRule="auto"/>
        <w:contextualSpacing/>
        <w:jc w:val="both"/>
        <w:rPr>
          <w:color w:val="FF0000"/>
        </w:rPr>
      </w:pPr>
      <w:r w:rsidRPr="00867C2E">
        <w:rPr>
          <w:color w:val="FF0000"/>
        </w:rPr>
        <w:t xml:space="preserve">Administrarea de upadacitinib trebuie întreruptă în cazul oricărui pacient care nu prezintă dovezi ale unui beneficiu terapeutic până în săptămâna 16. </w:t>
      </w:r>
    </w:p>
    <w:p w14:paraId="05680007" w14:textId="77777777" w:rsidR="00C26280" w:rsidRPr="00867C2E" w:rsidRDefault="00C26280" w:rsidP="00054402">
      <w:pPr>
        <w:pStyle w:val="ListParagraph"/>
        <w:numPr>
          <w:ilvl w:val="0"/>
          <w:numId w:val="532"/>
        </w:numPr>
        <w:autoSpaceDE w:val="0"/>
        <w:autoSpaceDN w:val="0"/>
        <w:adjustRightInd w:val="0"/>
        <w:spacing w:line="276" w:lineRule="auto"/>
        <w:contextualSpacing/>
        <w:jc w:val="both"/>
        <w:rPr>
          <w:color w:val="FF0000"/>
        </w:rPr>
      </w:pPr>
      <w:r w:rsidRPr="00867C2E">
        <w:rPr>
          <w:color w:val="FF0000"/>
        </w:rPr>
        <w:t xml:space="preserve">Doza de inducție recomandată pentru boala Crohn este de 45 mg, administrată pe cale orală , o dată pe zi, timp de 12 săptămâni. </w:t>
      </w:r>
    </w:p>
    <w:p w14:paraId="01D5C438" w14:textId="77777777" w:rsidR="00C26280" w:rsidRPr="00867C2E" w:rsidRDefault="00C26280" w:rsidP="00054402">
      <w:pPr>
        <w:pStyle w:val="ListParagraph"/>
        <w:numPr>
          <w:ilvl w:val="0"/>
          <w:numId w:val="532"/>
        </w:numPr>
        <w:autoSpaceDE w:val="0"/>
        <w:autoSpaceDN w:val="0"/>
        <w:adjustRightInd w:val="0"/>
        <w:spacing w:line="276" w:lineRule="auto"/>
        <w:contextualSpacing/>
        <w:jc w:val="both"/>
        <w:rPr>
          <w:color w:val="FF0000"/>
        </w:rPr>
      </w:pPr>
      <w:r w:rsidRPr="00867C2E">
        <w:rPr>
          <w:color w:val="FF0000"/>
        </w:rPr>
        <w:t>La pacienții care nu au obținut un beneficiu terapeutic adecvat după inducția inițială cu durata de 12 săptămâni, poate fi luată în considerare o inducție prelungită timp de încă 12 săptămâni, cu o doză de 30 mg, o dată pe zi.</w:t>
      </w:r>
    </w:p>
    <w:p w14:paraId="00D54A40" w14:textId="77777777" w:rsidR="00C26280" w:rsidRPr="00867C2E" w:rsidRDefault="00C26280" w:rsidP="00054402">
      <w:pPr>
        <w:pStyle w:val="ListParagraph"/>
        <w:numPr>
          <w:ilvl w:val="0"/>
          <w:numId w:val="532"/>
        </w:numPr>
        <w:autoSpaceDE w:val="0"/>
        <w:autoSpaceDN w:val="0"/>
        <w:adjustRightInd w:val="0"/>
        <w:spacing w:line="276" w:lineRule="auto"/>
        <w:contextualSpacing/>
        <w:jc w:val="both"/>
        <w:rPr>
          <w:color w:val="FF0000"/>
        </w:rPr>
      </w:pPr>
      <w:r w:rsidRPr="00867C2E">
        <w:rPr>
          <w:color w:val="FF0000"/>
        </w:rPr>
        <w:t>La acești pacienți, administrarea de upadacitinib trebuie întreruptă în cazul în care nu prezintă dovezi ale unui beneficiu terapeutic după 24 de săptămâni de tratament.</w:t>
      </w:r>
    </w:p>
    <w:p w14:paraId="118E2BAF" w14:textId="77777777" w:rsidR="00C26280" w:rsidRPr="00867C2E" w:rsidRDefault="00C26280" w:rsidP="00054402">
      <w:pPr>
        <w:pStyle w:val="ListParagraph"/>
        <w:numPr>
          <w:ilvl w:val="0"/>
          <w:numId w:val="532"/>
        </w:numPr>
        <w:autoSpaceDE w:val="0"/>
        <w:autoSpaceDN w:val="0"/>
        <w:adjustRightInd w:val="0"/>
        <w:spacing w:line="276" w:lineRule="auto"/>
        <w:contextualSpacing/>
        <w:jc w:val="both"/>
        <w:rPr>
          <w:color w:val="FF0000"/>
        </w:rPr>
      </w:pPr>
      <w:r w:rsidRPr="00867C2E">
        <w:rPr>
          <w:color w:val="FF0000"/>
        </w:rPr>
        <w:t xml:space="preserve">Upadacitinib trebuie administrat numai dacă nu sunt disponibile alternative de tratament adecvate pentru pacienții: </w:t>
      </w:r>
    </w:p>
    <w:p w14:paraId="162E860D" w14:textId="77777777" w:rsidR="00C26280" w:rsidRPr="00867C2E" w:rsidRDefault="00C26280" w:rsidP="00054402">
      <w:pPr>
        <w:pStyle w:val="ListParagraph"/>
        <w:numPr>
          <w:ilvl w:val="0"/>
          <w:numId w:val="533"/>
        </w:numPr>
        <w:autoSpaceDE w:val="0"/>
        <w:autoSpaceDN w:val="0"/>
        <w:adjustRightInd w:val="0"/>
        <w:spacing w:line="276" w:lineRule="auto"/>
        <w:ind w:hanging="270"/>
        <w:contextualSpacing/>
        <w:jc w:val="both"/>
        <w:rPr>
          <w:color w:val="FF0000"/>
        </w:rPr>
      </w:pPr>
      <w:r w:rsidRPr="00867C2E">
        <w:rPr>
          <w:color w:val="FF0000"/>
        </w:rPr>
        <w:t xml:space="preserve">cu vârsta de 65 de ani și peste; </w:t>
      </w:r>
    </w:p>
    <w:p w14:paraId="11D97141" w14:textId="77777777" w:rsidR="00C26280" w:rsidRPr="00867C2E" w:rsidRDefault="00C26280" w:rsidP="00054402">
      <w:pPr>
        <w:pStyle w:val="ListParagraph"/>
        <w:numPr>
          <w:ilvl w:val="0"/>
          <w:numId w:val="533"/>
        </w:numPr>
        <w:autoSpaceDE w:val="0"/>
        <w:autoSpaceDN w:val="0"/>
        <w:adjustRightInd w:val="0"/>
        <w:spacing w:line="276" w:lineRule="auto"/>
        <w:ind w:hanging="270"/>
        <w:contextualSpacing/>
        <w:jc w:val="both"/>
        <w:rPr>
          <w:color w:val="FF0000"/>
        </w:rPr>
      </w:pPr>
      <w:r w:rsidRPr="00867C2E">
        <w:rPr>
          <w:color w:val="FF0000"/>
        </w:rPr>
        <w:t xml:space="preserve">cu antecedente de boli cardiovasculare aterosclerotice sau alți factori de risc cardiovascular (precum fumătorii actuali sau foștii fumători care au fumat o perioadă îndelungată); </w:t>
      </w:r>
    </w:p>
    <w:p w14:paraId="5DDA900D" w14:textId="77777777" w:rsidR="00C26280" w:rsidRPr="00867C2E" w:rsidRDefault="00C26280" w:rsidP="00054402">
      <w:pPr>
        <w:pStyle w:val="ListParagraph"/>
        <w:numPr>
          <w:ilvl w:val="0"/>
          <w:numId w:val="533"/>
        </w:numPr>
        <w:autoSpaceDE w:val="0"/>
        <w:autoSpaceDN w:val="0"/>
        <w:adjustRightInd w:val="0"/>
        <w:spacing w:line="276" w:lineRule="auto"/>
        <w:ind w:hanging="270"/>
        <w:contextualSpacing/>
        <w:jc w:val="both"/>
        <w:rPr>
          <w:color w:val="FF0000"/>
        </w:rPr>
      </w:pPr>
      <w:r w:rsidRPr="00867C2E">
        <w:rPr>
          <w:color w:val="FF0000"/>
        </w:rPr>
        <w:t>cu factori de risc pentru malignități (de exemplu, neoplazie curentă sau antecedente de neoplazie);</w:t>
      </w:r>
    </w:p>
    <w:p w14:paraId="24D53306" w14:textId="77777777" w:rsidR="00C26280" w:rsidRPr="00867C2E" w:rsidRDefault="00C26280" w:rsidP="00C26280">
      <w:pPr>
        <w:pBdr>
          <w:top w:val="nil"/>
          <w:left w:val="nil"/>
          <w:bottom w:val="nil"/>
          <w:right w:val="nil"/>
          <w:between w:val="nil"/>
          <w:bar w:val="nil"/>
        </w:pBdr>
        <w:autoSpaceDE w:val="0"/>
        <w:autoSpaceDN w:val="0"/>
        <w:adjustRightInd w:val="0"/>
        <w:spacing w:after="0" w:line="276" w:lineRule="auto"/>
        <w:ind w:left="446"/>
        <w:jc w:val="both"/>
        <w:rPr>
          <w:rFonts w:ascii="Times New Roman" w:hAnsi="Times New Roman" w:cs="Times New Roman"/>
          <w:color w:val="FF0000"/>
          <w:sz w:val="24"/>
          <w:szCs w:val="24"/>
        </w:rPr>
      </w:pPr>
      <w:r w:rsidRPr="00867C2E">
        <w:rPr>
          <w:rFonts w:ascii="Times New Roman" w:hAnsi="Times New Roman" w:cs="Times New Roman"/>
          <w:color w:val="FF0000"/>
          <w:sz w:val="24"/>
          <w:szCs w:val="24"/>
        </w:rPr>
        <w:t>- Tratamentul nu trebuie iniţiat la pacienţi cu un număr absolut de limfocite (NAL) &lt; 0,5 x 10</w:t>
      </w:r>
      <w:r w:rsidRPr="00867C2E">
        <w:rPr>
          <w:rFonts w:ascii="Times New Roman" w:hAnsi="Times New Roman" w:cs="Times New Roman"/>
          <w:color w:val="FF0000"/>
          <w:sz w:val="24"/>
          <w:szCs w:val="24"/>
          <w:vertAlign w:val="superscript"/>
        </w:rPr>
        <w:t>9</w:t>
      </w:r>
      <w:r w:rsidRPr="00867C2E">
        <w:rPr>
          <w:rFonts w:ascii="Times New Roman" w:hAnsi="Times New Roman" w:cs="Times New Roman"/>
          <w:color w:val="FF0000"/>
          <w:sz w:val="24"/>
          <w:szCs w:val="24"/>
        </w:rPr>
        <w:t xml:space="preserve"> celule/l, un număr absolut de neutrofile (NAN) &lt; 1 x 10</w:t>
      </w:r>
      <w:r w:rsidRPr="00867C2E">
        <w:rPr>
          <w:rFonts w:ascii="Times New Roman" w:hAnsi="Times New Roman" w:cs="Times New Roman"/>
          <w:color w:val="FF0000"/>
          <w:sz w:val="24"/>
          <w:szCs w:val="24"/>
          <w:vertAlign w:val="superscript"/>
        </w:rPr>
        <w:t>9</w:t>
      </w:r>
      <w:r w:rsidRPr="00867C2E">
        <w:rPr>
          <w:rFonts w:ascii="Times New Roman" w:hAnsi="Times New Roman" w:cs="Times New Roman"/>
          <w:color w:val="FF0000"/>
          <w:sz w:val="24"/>
          <w:szCs w:val="24"/>
        </w:rPr>
        <w:t xml:space="preserve"> celule/l sau cu valori ale hemoglobinei (Hb) &lt; 8 g/dl. </w:t>
      </w:r>
    </w:p>
    <w:p w14:paraId="7016A495" w14:textId="77777777" w:rsidR="00AA40CA" w:rsidRDefault="00AA40CA" w:rsidP="00AA40CA">
      <w:pPr>
        <w:autoSpaceDE w:val="0"/>
        <w:autoSpaceDN w:val="0"/>
        <w:adjustRightInd w:val="0"/>
        <w:spacing w:after="0" w:line="276" w:lineRule="auto"/>
        <w:jc w:val="both"/>
        <w:rPr>
          <w:rFonts w:ascii="Times New Roman" w:eastAsia="Times New Roman" w:hAnsi="Times New Roman" w:cs="Times New Roman"/>
          <w:iCs/>
          <w:sz w:val="24"/>
          <w:szCs w:val="24"/>
        </w:rPr>
      </w:pPr>
    </w:p>
    <w:p w14:paraId="2FB4CCE9" w14:textId="77777777" w:rsidR="00AA40CA" w:rsidRDefault="00AA40CA" w:rsidP="00AA40CA">
      <w:pPr>
        <w:autoSpaceDE w:val="0"/>
        <w:autoSpaceDN w:val="0"/>
        <w:adjustRightInd w:val="0"/>
        <w:spacing w:after="0" w:line="276" w:lineRule="auto"/>
        <w:jc w:val="both"/>
        <w:rPr>
          <w:rFonts w:ascii="Times New Roman" w:eastAsia="Times New Roman" w:hAnsi="Times New Roman" w:cs="Times New Roman"/>
          <w:iCs/>
          <w:sz w:val="24"/>
          <w:szCs w:val="24"/>
        </w:rPr>
      </w:pPr>
    </w:p>
    <w:p w14:paraId="2213333D" w14:textId="77777777" w:rsidR="00C26280" w:rsidRDefault="00C26280" w:rsidP="00AA40CA">
      <w:pPr>
        <w:autoSpaceDE w:val="0"/>
        <w:autoSpaceDN w:val="0"/>
        <w:adjustRightInd w:val="0"/>
        <w:spacing w:after="0" w:line="276" w:lineRule="auto"/>
        <w:jc w:val="both"/>
        <w:rPr>
          <w:rFonts w:ascii="Times New Roman" w:eastAsia="Times New Roman" w:hAnsi="Times New Roman" w:cs="Times New Roman"/>
          <w:b/>
          <w:bCs/>
          <w:iCs/>
          <w:sz w:val="24"/>
          <w:szCs w:val="24"/>
        </w:rPr>
      </w:pPr>
      <w:r w:rsidRPr="00AA40CA">
        <w:rPr>
          <w:rFonts w:ascii="Times New Roman" w:eastAsia="Times New Roman" w:hAnsi="Times New Roman" w:cs="Times New Roman"/>
          <w:b/>
          <w:iCs/>
          <w:sz w:val="24"/>
          <w:szCs w:val="24"/>
        </w:rPr>
        <w:lastRenderedPageBreak/>
        <w:t>B</w:t>
      </w:r>
      <w:r w:rsidRPr="00AA40CA">
        <w:rPr>
          <w:rFonts w:ascii="Times New Roman" w:eastAsia="Times New Roman" w:hAnsi="Times New Roman" w:cs="Times New Roman"/>
          <w:b/>
          <w:bCs/>
          <w:iCs/>
          <w:sz w:val="24"/>
          <w:szCs w:val="24"/>
        </w:rPr>
        <w:t>. Tratamentul</w:t>
      </w:r>
      <w:r w:rsidRPr="00867C2E">
        <w:rPr>
          <w:rFonts w:ascii="Times New Roman" w:eastAsia="Times New Roman" w:hAnsi="Times New Roman" w:cs="Times New Roman"/>
          <w:b/>
          <w:bCs/>
          <w:iCs/>
          <w:sz w:val="24"/>
          <w:szCs w:val="24"/>
        </w:rPr>
        <w:t xml:space="preserve"> de menţinere a remisiunii:</w:t>
      </w:r>
    </w:p>
    <w:p w14:paraId="4625C5F5" w14:textId="77777777" w:rsidR="00AA40CA" w:rsidRPr="00867C2E" w:rsidRDefault="00AA40CA" w:rsidP="00AA40CA">
      <w:pPr>
        <w:autoSpaceDE w:val="0"/>
        <w:autoSpaceDN w:val="0"/>
        <w:adjustRightInd w:val="0"/>
        <w:spacing w:after="0" w:line="276" w:lineRule="auto"/>
        <w:jc w:val="both"/>
        <w:rPr>
          <w:rFonts w:ascii="Times New Roman" w:eastAsia="Times New Roman" w:hAnsi="Times New Roman" w:cs="Times New Roman"/>
          <w:iCs/>
          <w:sz w:val="24"/>
          <w:szCs w:val="24"/>
        </w:rPr>
      </w:pPr>
    </w:p>
    <w:p w14:paraId="55A17EA1" w14:textId="77777777" w:rsidR="00C26280" w:rsidRDefault="00C26280" w:rsidP="00054402">
      <w:pPr>
        <w:numPr>
          <w:ilvl w:val="0"/>
          <w:numId w:val="522"/>
        </w:numPr>
        <w:autoSpaceDE w:val="0"/>
        <w:autoSpaceDN w:val="0"/>
        <w:adjustRightInd w:val="0"/>
        <w:spacing w:after="0" w:line="276" w:lineRule="auto"/>
        <w:ind w:left="284" w:hanging="284"/>
        <w:jc w:val="both"/>
        <w:rPr>
          <w:rFonts w:ascii="Times New Roman" w:eastAsia="Times New Roman" w:hAnsi="Times New Roman" w:cs="Times New Roman"/>
          <w:iCs/>
          <w:sz w:val="24"/>
          <w:szCs w:val="24"/>
        </w:rPr>
      </w:pPr>
      <w:r w:rsidRPr="00867C2E">
        <w:rPr>
          <w:rFonts w:ascii="Times New Roman" w:eastAsia="Times New Roman" w:hAnsi="Times New Roman" w:cs="Times New Roman"/>
          <w:b/>
          <w:iCs/>
          <w:sz w:val="24"/>
          <w:szCs w:val="24"/>
          <w:u w:val="single"/>
        </w:rPr>
        <w:t>Infliximab</w:t>
      </w:r>
      <w:r w:rsidRPr="00867C2E">
        <w:rPr>
          <w:rFonts w:ascii="Times New Roman" w:eastAsia="Times New Roman" w:hAnsi="Times New Roman" w:cs="Times New Roman"/>
          <w:iCs/>
          <w:sz w:val="24"/>
          <w:szCs w:val="24"/>
        </w:rPr>
        <w:t xml:space="preserve"> (original si biosimilar) 5 mg/kg în perfuzie lentă, la interval de 8 săptămâni în perfuzie intravenoasă. </w:t>
      </w:r>
      <w:r w:rsidRPr="00867C2E">
        <w:rPr>
          <w:rFonts w:ascii="Times New Roman" w:eastAsia="Times New Roman" w:hAnsi="Times New Roman" w:cs="Times New Roman"/>
          <w:b/>
          <w:iCs/>
          <w:sz w:val="24"/>
          <w:szCs w:val="24"/>
        </w:rPr>
        <w:t>I</w:t>
      </w:r>
      <w:r w:rsidRPr="00867C2E">
        <w:rPr>
          <w:rFonts w:ascii="Times New Roman" w:eastAsia="Times New Roman" w:hAnsi="Times New Roman" w:cs="Times New Roman"/>
          <w:b/>
          <w:sz w:val="24"/>
          <w:szCs w:val="24"/>
        </w:rPr>
        <w:t xml:space="preserve">nfliximab cu administrare subcutana </w:t>
      </w:r>
      <w:r w:rsidRPr="00867C2E">
        <w:rPr>
          <w:rFonts w:ascii="Times New Roman" w:eastAsia="Times New Roman" w:hAnsi="Times New Roman" w:cs="Times New Roman"/>
          <w:iCs/>
          <w:sz w:val="24"/>
          <w:szCs w:val="24"/>
        </w:rPr>
        <w:t xml:space="preserve">- 120mg subcutanat la fiecare 2 săptămâni. </w:t>
      </w:r>
    </w:p>
    <w:p w14:paraId="7108CECF" w14:textId="77777777" w:rsidR="00AA40CA" w:rsidRPr="00867C2E" w:rsidRDefault="00AA40CA" w:rsidP="00AA40CA">
      <w:pPr>
        <w:autoSpaceDE w:val="0"/>
        <w:autoSpaceDN w:val="0"/>
        <w:adjustRightInd w:val="0"/>
        <w:spacing w:after="0" w:line="276" w:lineRule="auto"/>
        <w:ind w:left="284"/>
        <w:jc w:val="both"/>
        <w:rPr>
          <w:rFonts w:ascii="Times New Roman" w:eastAsia="Times New Roman" w:hAnsi="Times New Roman" w:cs="Times New Roman"/>
          <w:iCs/>
          <w:sz w:val="24"/>
          <w:szCs w:val="24"/>
        </w:rPr>
      </w:pPr>
    </w:p>
    <w:p w14:paraId="2F83CDAA" w14:textId="77777777" w:rsidR="00C26280" w:rsidRPr="00867C2E" w:rsidRDefault="00C26280" w:rsidP="00054402">
      <w:pPr>
        <w:numPr>
          <w:ilvl w:val="0"/>
          <w:numId w:val="522"/>
        </w:numPr>
        <w:spacing w:after="0" w:line="276" w:lineRule="auto"/>
        <w:ind w:left="270" w:hanging="270"/>
        <w:contextualSpacing/>
        <w:jc w:val="both"/>
        <w:rPr>
          <w:rFonts w:ascii="Times New Roman" w:eastAsia="Times New Roman" w:hAnsi="Times New Roman" w:cs="Times New Roman"/>
          <w:b/>
          <w:sz w:val="24"/>
          <w:szCs w:val="24"/>
          <w:u w:color="000000"/>
          <w:bdr w:val="nil"/>
          <w:lang w:eastAsia="ro-RO"/>
        </w:rPr>
      </w:pPr>
      <w:r w:rsidRPr="00867C2E">
        <w:rPr>
          <w:rFonts w:ascii="Times New Roman" w:eastAsia="Times New Roman" w:hAnsi="Times New Roman" w:cs="Times New Roman"/>
          <w:b/>
          <w:sz w:val="24"/>
          <w:szCs w:val="24"/>
          <w:u w:color="000000"/>
          <w:bdr w:val="nil"/>
          <w:lang w:eastAsia="ro-RO"/>
        </w:rPr>
        <w:t xml:space="preserve">Switch-ul la si de la infliximab subcutanat </w:t>
      </w:r>
    </w:p>
    <w:p w14:paraId="6E75D12A" w14:textId="77777777" w:rsidR="00C26280" w:rsidRPr="00867C2E" w:rsidRDefault="00C26280" w:rsidP="00054402">
      <w:pPr>
        <w:pStyle w:val="ListParagraph"/>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sidRPr="00867C2E">
        <w:t xml:space="preserve">In schema de mentinere </w:t>
      </w:r>
      <w:r w:rsidRPr="00867C2E">
        <w:rPr>
          <w:b/>
          <w:i/>
        </w:rPr>
        <w:t>switch-ul de la infliximab intravenos ( in schema de mentinere)</w:t>
      </w:r>
      <w:r w:rsidRPr="00867C2E">
        <w:t xml:space="preserve"> la infliximab subcutanat trebuie sa se efectueze cu prima administrare de infliximab subcutanat la 8 saptamani de la ultima administrare a dozei de infliximab intravenos ( adica in locul dozei programate pentru administrarea iv).</w:t>
      </w:r>
    </w:p>
    <w:p w14:paraId="38E6335E" w14:textId="77777777" w:rsidR="00C26280" w:rsidRPr="00867C2E" w:rsidRDefault="00C26280" w:rsidP="00054402">
      <w:pPr>
        <w:pStyle w:val="ListParagraph"/>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sidRPr="00867C2E">
        <w:t>Există date insuficiente referitoare la switch-ul de la infliximab intravenos la infliximab subcutanat la pacientii care au primit mai mult de 5 mg/kgc infliximab intravenos la 8 saptamani.</w:t>
      </w:r>
    </w:p>
    <w:p w14:paraId="724D6168" w14:textId="77777777" w:rsidR="00C26280" w:rsidRPr="00867C2E" w:rsidRDefault="00C26280" w:rsidP="00054402">
      <w:pPr>
        <w:pStyle w:val="ListParagraph"/>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sidRPr="00867C2E">
        <w:t xml:space="preserve">Nu sunt disponibile informatii privind switch-ul de la infliximab subcutanat la infliximab intravenos. </w:t>
      </w:r>
    </w:p>
    <w:p w14:paraId="1D9EBED5" w14:textId="77777777" w:rsidR="00C26280" w:rsidRPr="00867C2E" w:rsidRDefault="00C26280" w:rsidP="00054402">
      <w:pPr>
        <w:pStyle w:val="ListParagraph"/>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sidRPr="00867C2E">
        <w:t>In cazul omiterii unei doze de infliximab subcutanat aceasta trebuie administrata imediat daca au trecut mai putin de 7 zile de la doza programata, iar in cazul omiterii dozei mai mult de 8 zile se va astepta pana la data corespunzatoare programarii din regimul initial , ulterior se continua cu administrarea  regimului original.</w:t>
      </w:r>
    </w:p>
    <w:p w14:paraId="6E0BA228" w14:textId="77777777" w:rsidR="00C26280" w:rsidRPr="00867C2E" w:rsidRDefault="00C26280" w:rsidP="00054402">
      <w:pPr>
        <w:pStyle w:val="ListParagraph"/>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sidRPr="00867C2E">
        <w:t>Dacă un pacient cu boala Crohn activa, fistulizata nu prezintă răspuns terapeutic după 6 doze (adică 2 perfuzii intravenoase și 4 injecții subcutanate), nu trebuie administrat în continuare tratament cu infliximab.</w:t>
      </w:r>
    </w:p>
    <w:p w14:paraId="4F58BBE3" w14:textId="77777777" w:rsidR="00C26280" w:rsidRPr="00867C2E" w:rsidRDefault="00C26280" w:rsidP="00054402">
      <w:pPr>
        <w:pStyle w:val="ListParagraph"/>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contextualSpacing/>
        <w:jc w:val="both"/>
      </w:pPr>
      <w:r w:rsidRPr="00867C2E">
        <w:t>Dacă un pacient cu colită ulcerativă nu prezintă răspuns terapeutic după 6 doze (adică 2 perfuzii intravenoase și 4 injecții subcutanate), continuarea terapiei trebuie reevaluată cu atenție.</w:t>
      </w:r>
    </w:p>
    <w:p w14:paraId="1A2CC7E9" w14:textId="77777777" w:rsidR="00C26280" w:rsidRPr="00867C2E" w:rsidRDefault="00C26280" w:rsidP="00C26280">
      <w:pPr>
        <w:pStyle w:val="ListParagraph"/>
        <w:spacing w:line="276" w:lineRule="auto"/>
        <w:jc w:val="both"/>
      </w:pPr>
    </w:p>
    <w:p w14:paraId="42FE0452" w14:textId="77777777" w:rsidR="00C26280" w:rsidRPr="00867C2E" w:rsidRDefault="00C26280" w:rsidP="00054402">
      <w:pPr>
        <w:numPr>
          <w:ilvl w:val="0"/>
          <w:numId w:val="522"/>
        </w:numPr>
        <w:autoSpaceDE w:val="0"/>
        <w:autoSpaceDN w:val="0"/>
        <w:adjustRightInd w:val="0"/>
        <w:spacing w:after="0" w:line="276" w:lineRule="auto"/>
        <w:ind w:left="270" w:hanging="270"/>
        <w:jc w:val="both"/>
        <w:rPr>
          <w:rFonts w:ascii="Times New Roman" w:eastAsia="Times New Roman" w:hAnsi="Times New Roman" w:cs="Times New Roman"/>
          <w:iCs/>
          <w:sz w:val="24"/>
          <w:szCs w:val="24"/>
        </w:rPr>
      </w:pPr>
      <w:r w:rsidRPr="00867C2E">
        <w:rPr>
          <w:rFonts w:ascii="Times New Roman" w:eastAsia="Times New Roman" w:hAnsi="Times New Roman" w:cs="Times New Roman"/>
          <w:b/>
          <w:iCs/>
          <w:sz w:val="24"/>
          <w:szCs w:val="24"/>
          <w:u w:val="single"/>
        </w:rPr>
        <w:t>Adalimumab</w:t>
      </w:r>
      <w:r w:rsidRPr="00867C2E">
        <w:rPr>
          <w:rFonts w:ascii="Times New Roman" w:eastAsia="Times New Roman" w:hAnsi="Times New Roman" w:cs="Times New Roman"/>
          <w:iCs/>
          <w:sz w:val="24"/>
          <w:szCs w:val="24"/>
        </w:rPr>
        <w:t>, (original si biosimilar) subcutanat, 40 mg la fiecare 2 săptămâni pentru pacienții adulți.</w:t>
      </w:r>
      <w:r w:rsidRPr="00867C2E">
        <w:rPr>
          <w:rFonts w:ascii="Times New Roman" w:eastAsia="Calibri" w:hAnsi="Times New Roman" w:cs="Times New Roman"/>
          <w:sz w:val="24"/>
          <w:szCs w:val="24"/>
        </w:rPr>
        <w:t xml:space="preserve"> </w:t>
      </w:r>
      <w:r w:rsidRPr="00867C2E">
        <w:rPr>
          <w:rFonts w:ascii="Times New Roman" w:eastAsia="Times New Roman" w:hAnsi="Times New Roman" w:cs="Times New Roman"/>
          <w:iCs/>
          <w:sz w:val="24"/>
          <w:szCs w:val="24"/>
        </w:rPr>
        <w:t xml:space="preserve">Pentru copii cu greutatea &lt; 40 kg - 20 mg la fiecare 2 săptămâni - în b. Crohn si 40 mg la fiecare 2 săptămâni - în colita ulcerativă. Pentru copii cu greutatea ≥ 40 kg- 40 mg la fiecare 2 săptămâni - în b. Crohn si 80 mg la fiecare 2 săptămâni - în colita ulcerativă. </w:t>
      </w:r>
    </w:p>
    <w:p w14:paraId="25F88CFD" w14:textId="77777777" w:rsidR="00C26280" w:rsidRPr="00867C2E" w:rsidRDefault="00C26280" w:rsidP="00C26280">
      <w:pPr>
        <w:autoSpaceDE w:val="0"/>
        <w:autoSpaceDN w:val="0"/>
        <w:adjustRightInd w:val="0"/>
        <w:spacing w:after="0" w:line="276" w:lineRule="auto"/>
        <w:ind w:left="284" w:firstLine="720"/>
        <w:jc w:val="both"/>
        <w:rPr>
          <w:rFonts w:ascii="Times New Roman" w:eastAsia="Times New Roman" w:hAnsi="Times New Roman" w:cs="Times New Roman"/>
          <w:iCs/>
          <w:sz w:val="24"/>
          <w:szCs w:val="24"/>
        </w:rPr>
      </w:pPr>
    </w:p>
    <w:p w14:paraId="4905BACF" w14:textId="18F84346" w:rsidR="00C26280" w:rsidRPr="00AA40CA" w:rsidRDefault="00C26280" w:rsidP="00054402">
      <w:pPr>
        <w:numPr>
          <w:ilvl w:val="0"/>
          <w:numId w:val="522"/>
        </w:numPr>
        <w:autoSpaceDE w:val="0"/>
        <w:autoSpaceDN w:val="0"/>
        <w:adjustRightInd w:val="0"/>
        <w:spacing w:after="0" w:line="276" w:lineRule="auto"/>
        <w:ind w:left="284" w:hanging="284"/>
        <w:jc w:val="both"/>
        <w:rPr>
          <w:rFonts w:ascii="Times New Roman" w:eastAsia="Times New Roman" w:hAnsi="Times New Roman" w:cs="Times New Roman"/>
          <w:iCs/>
          <w:sz w:val="24"/>
          <w:szCs w:val="24"/>
        </w:rPr>
      </w:pPr>
      <w:r w:rsidRPr="00867C2E">
        <w:rPr>
          <w:rFonts w:ascii="Times New Roman" w:eastAsia="Times New Roman" w:hAnsi="Times New Roman" w:cs="Times New Roman"/>
          <w:b/>
          <w:iCs/>
          <w:sz w:val="24"/>
          <w:szCs w:val="24"/>
          <w:u w:val="single"/>
        </w:rPr>
        <w:t>Vedolizumab</w:t>
      </w:r>
      <w:r w:rsidRPr="00867C2E">
        <w:rPr>
          <w:rFonts w:ascii="Times New Roman" w:eastAsia="Times New Roman" w:hAnsi="Times New Roman" w:cs="Times New Roman"/>
          <w:iCs/>
          <w:sz w:val="24"/>
          <w:szCs w:val="24"/>
        </w:rPr>
        <w:t xml:space="preserve"> - 300 mg în perfuzie intravenoasă la fiecare 8 săptămâni SAU Vedolizumab 108 mg cu administrare subcutanată la fiecare 2 săptămâni (nota - </w:t>
      </w:r>
      <w:r w:rsidRPr="00867C2E">
        <w:rPr>
          <w:rFonts w:ascii="Times New Roman" w:eastAsia="Times New Roman" w:hAnsi="Times New Roman" w:cs="Times New Roman"/>
          <w:sz w:val="24"/>
          <w:szCs w:val="24"/>
        </w:rPr>
        <w:t>vedolizumab  cu administrare subcutanata se poate utiliza după cel puțin 2 perfuzii intravenoase,iar prima doză trebuie administrată sub supraveghere medicala la data corespunzatoare următoarei doze care ar fi fost programate prin perfuzie intravenoasă).</w:t>
      </w:r>
    </w:p>
    <w:p w14:paraId="7BDC7CF3" w14:textId="77777777" w:rsidR="00C26280" w:rsidRPr="00867C2E" w:rsidRDefault="00C26280" w:rsidP="00054402">
      <w:pPr>
        <w:pStyle w:val="ListParagraph"/>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La pacienții cu boala Crohn, naivi la anti-TNF alfa, pentru care s-a inițiat tratamentul cu Vedolizumab ca primă linie de tratament biologic, se utilizează în tratamentul de menținere a remisiunii doar Vedolizumab 108 mg cu administrare subcutană la fiecare 2 săptămâni.</w:t>
      </w:r>
    </w:p>
    <w:p w14:paraId="54B269BE" w14:textId="77777777" w:rsidR="00C26280" w:rsidRPr="00867C2E" w:rsidRDefault="00C26280" w:rsidP="00054402">
      <w:pPr>
        <w:pStyle w:val="ListParagraph"/>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 xml:space="preserve">La adulţii care au prezentat o diminuare a răspunsului la Vedolizumab cu administrare intravenoasa (300 mg) se poate optimiza tratamentul prin administrarea Vedolizumab 300 mg în perfuzie intravenoasă la fiecare 4 săptămâni. </w:t>
      </w:r>
    </w:p>
    <w:p w14:paraId="5B8F746A" w14:textId="77777777" w:rsidR="00C26280" w:rsidRPr="00867C2E" w:rsidRDefault="00C26280" w:rsidP="00054402">
      <w:pPr>
        <w:pStyle w:val="ListParagraph"/>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t>Nu sunt disponibile suficiente date pentru a determina dacă pacienții care prezintă o descreștere a răspunsului la tratamentul de întreținere cu vedolizumab cu administrare subcutanată (108 mg) ar beneficia de o creștere a frecvenței de administrare, si nici privind tranziția pacienților de la vedolizumab cu administrare subcutanată la vedolizumab prin perfuzie intravenoasă.</w:t>
      </w:r>
    </w:p>
    <w:p w14:paraId="2971F0E8" w14:textId="77777777" w:rsidR="00C26280" w:rsidRPr="00867C2E" w:rsidRDefault="00C26280" w:rsidP="00054402">
      <w:pPr>
        <w:pStyle w:val="ListParagraph"/>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lastRenderedPageBreak/>
        <w:t>Este necesară respectarea procedurii de preparare şi administrare conform RCP.</w:t>
      </w:r>
    </w:p>
    <w:p w14:paraId="1333CB6D" w14:textId="77777777" w:rsidR="00C26280" w:rsidRPr="00867C2E" w:rsidRDefault="00C26280" w:rsidP="00C26280">
      <w:pPr>
        <w:autoSpaceDE w:val="0"/>
        <w:autoSpaceDN w:val="0"/>
        <w:adjustRightInd w:val="0"/>
        <w:spacing w:after="0" w:line="276" w:lineRule="auto"/>
        <w:ind w:left="720" w:firstLine="720"/>
        <w:jc w:val="both"/>
        <w:rPr>
          <w:rFonts w:ascii="Times New Roman" w:eastAsia="Times New Roman" w:hAnsi="Times New Roman" w:cs="Times New Roman"/>
          <w:iCs/>
          <w:sz w:val="24"/>
          <w:szCs w:val="24"/>
        </w:rPr>
      </w:pPr>
    </w:p>
    <w:p w14:paraId="450FD197" w14:textId="77777777" w:rsidR="00C26280" w:rsidRPr="00867C2E" w:rsidRDefault="00C26280" w:rsidP="00054402">
      <w:pPr>
        <w:numPr>
          <w:ilvl w:val="0"/>
          <w:numId w:val="526"/>
        </w:numPr>
        <w:tabs>
          <w:tab w:val="left" w:pos="993"/>
        </w:tabs>
        <w:autoSpaceDE w:val="0"/>
        <w:autoSpaceDN w:val="0"/>
        <w:adjustRightInd w:val="0"/>
        <w:spacing w:after="0" w:line="276" w:lineRule="auto"/>
        <w:ind w:left="284" w:hanging="284"/>
        <w:jc w:val="both"/>
        <w:rPr>
          <w:rFonts w:ascii="Times New Roman" w:eastAsia="Times New Roman" w:hAnsi="Times New Roman" w:cs="Times New Roman"/>
          <w:iCs/>
          <w:sz w:val="24"/>
          <w:szCs w:val="24"/>
        </w:rPr>
      </w:pPr>
      <w:r w:rsidRPr="00867C2E">
        <w:rPr>
          <w:rFonts w:ascii="Times New Roman" w:eastAsia="Times New Roman" w:hAnsi="Times New Roman" w:cs="Times New Roman"/>
          <w:b/>
          <w:iCs/>
          <w:sz w:val="24"/>
          <w:szCs w:val="24"/>
          <w:u w:val="single"/>
        </w:rPr>
        <w:t>Ustekinumab</w:t>
      </w:r>
      <w:r w:rsidRPr="00867C2E">
        <w:rPr>
          <w:rFonts w:ascii="Times New Roman" w:eastAsia="Times New Roman" w:hAnsi="Times New Roman" w:cs="Times New Roman"/>
          <w:iCs/>
          <w:sz w:val="24"/>
          <w:szCs w:val="24"/>
        </w:rPr>
        <w:t xml:space="preserve"> - subcutan, 90 mg. Prima administrare va fi efectuată la 8 săptămâni de la doza de inducţie, ulterior la fiecare 12 săptămâni.</w:t>
      </w:r>
    </w:p>
    <w:p w14:paraId="0AE86227" w14:textId="77777777" w:rsidR="00C26280" w:rsidRPr="00867C2E" w:rsidRDefault="00C26280" w:rsidP="00054402">
      <w:pPr>
        <w:pStyle w:val="ListParagraph"/>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Pacienţii cu răspuns inadecvat la 8 săptămâni după prima administrare subcutanată, pot primi o a doua doză subcutanată la acest moment.</w:t>
      </w:r>
    </w:p>
    <w:p w14:paraId="100A32E9" w14:textId="77777777" w:rsidR="00C26280" w:rsidRPr="00867C2E" w:rsidRDefault="00C26280" w:rsidP="00054402">
      <w:pPr>
        <w:pStyle w:val="ListParagraph"/>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Pacienţii care pierd răspunsul la administrarea la 12 săptămâni pot optimiza tratamentul prin creşterea frecvenţei de administrare la fiecare 8 săptămâni.</w:t>
      </w:r>
    </w:p>
    <w:p w14:paraId="724FC5B8" w14:textId="77777777" w:rsidR="00C26280" w:rsidRPr="00867C2E" w:rsidRDefault="00C26280" w:rsidP="00054402">
      <w:pPr>
        <w:pStyle w:val="ListParagraph"/>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Ulterior pacienţii beneficiază de administrarea de ustekinumab subcutanat la 8 sau la 12 săptămâni în funcţie de evaluarea clinică.</w:t>
      </w:r>
    </w:p>
    <w:p w14:paraId="79612312" w14:textId="77777777" w:rsidR="00C26280" w:rsidRPr="00867C2E" w:rsidRDefault="00C26280" w:rsidP="00C26280">
      <w:pPr>
        <w:autoSpaceDE w:val="0"/>
        <w:autoSpaceDN w:val="0"/>
        <w:adjustRightInd w:val="0"/>
        <w:spacing w:after="0" w:line="276" w:lineRule="auto"/>
        <w:ind w:left="720" w:firstLine="720"/>
        <w:jc w:val="both"/>
        <w:rPr>
          <w:rFonts w:ascii="Times New Roman" w:eastAsia="Times New Roman" w:hAnsi="Times New Roman" w:cs="Times New Roman"/>
          <w:iCs/>
          <w:sz w:val="24"/>
          <w:szCs w:val="24"/>
        </w:rPr>
      </w:pPr>
    </w:p>
    <w:p w14:paraId="1E8B53DD" w14:textId="77777777" w:rsidR="00C26280" w:rsidRPr="00867C2E" w:rsidRDefault="00C26280" w:rsidP="00C26280">
      <w:pPr>
        <w:autoSpaceDE w:val="0"/>
        <w:autoSpaceDN w:val="0"/>
        <w:adjustRightInd w:val="0"/>
        <w:spacing w:after="0" w:line="276" w:lineRule="auto"/>
        <w:ind w:left="720" w:firstLine="720"/>
        <w:jc w:val="both"/>
        <w:rPr>
          <w:rFonts w:ascii="Times New Roman" w:eastAsia="Times New Roman" w:hAnsi="Times New Roman" w:cs="Times New Roman"/>
          <w:iCs/>
          <w:sz w:val="24"/>
          <w:szCs w:val="24"/>
        </w:rPr>
      </w:pPr>
    </w:p>
    <w:p w14:paraId="621D1588" w14:textId="77777777" w:rsidR="00C26280" w:rsidRPr="00867C2E" w:rsidRDefault="00C26280" w:rsidP="00054402">
      <w:pPr>
        <w:numPr>
          <w:ilvl w:val="0"/>
          <w:numId w:val="526"/>
        </w:numPr>
        <w:autoSpaceDE w:val="0"/>
        <w:autoSpaceDN w:val="0"/>
        <w:adjustRightInd w:val="0"/>
        <w:spacing w:after="0" w:line="276" w:lineRule="auto"/>
        <w:ind w:left="284" w:hanging="284"/>
        <w:contextualSpacing/>
        <w:jc w:val="both"/>
        <w:rPr>
          <w:rFonts w:ascii="Times New Roman" w:eastAsia="Times New Roman" w:hAnsi="Times New Roman" w:cs="Times New Roman"/>
          <w:sz w:val="24"/>
          <w:szCs w:val="24"/>
        </w:rPr>
      </w:pPr>
      <w:r w:rsidRPr="00867C2E">
        <w:rPr>
          <w:rFonts w:ascii="Times New Roman" w:eastAsia="Times New Roman" w:hAnsi="Times New Roman" w:cs="Times New Roman"/>
          <w:b/>
          <w:sz w:val="24"/>
          <w:szCs w:val="24"/>
          <w:u w:val="single"/>
        </w:rPr>
        <w:t>Tofacitinib</w:t>
      </w:r>
      <w:r w:rsidRPr="00867C2E">
        <w:rPr>
          <w:rFonts w:ascii="Times New Roman" w:eastAsia="Times New Roman" w:hAnsi="Times New Roman" w:cs="Times New Roman"/>
          <w:sz w:val="24"/>
          <w:szCs w:val="24"/>
        </w:rPr>
        <w:t xml:space="preserve"> - Doza recomandată este de 5 mg, administrata pe cale orală de două ori pe zi.</w:t>
      </w:r>
    </w:p>
    <w:p w14:paraId="10CFF0DB" w14:textId="77777777" w:rsidR="00C26280" w:rsidRPr="00867C2E" w:rsidRDefault="00C26280" w:rsidP="00054402">
      <w:pPr>
        <w:pStyle w:val="ListParagraph"/>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pPr>
      <w:r w:rsidRPr="00867C2E">
        <w:t>Nu este recomandat tratamentul de mentinere la pacienții cu CU care prezintă factori de risc pentru accidente tromboembolice, inclusiv pacienţi ≥ 65 ani, fumători sau foşti mari fumători la o doza de 10 mg, administrata pe cale orală de două ori pe zi cu excepția situației în care nu există o alternativă adecvată de tratament disponibilă.</w:t>
      </w:r>
    </w:p>
    <w:p w14:paraId="1457AAFF" w14:textId="77777777" w:rsidR="00C26280" w:rsidRPr="00867C2E" w:rsidRDefault="00C26280" w:rsidP="00054402">
      <w:pPr>
        <w:pStyle w:val="ListParagraph"/>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pPr>
      <w:r w:rsidRPr="00867C2E">
        <w:t>Pentru pacienții cu CU care nu prezintă un risc crescut de</w:t>
      </w:r>
      <w:r w:rsidRPr="00867C2E">
        <w:rPr>
          <w:strike/>
        </w:rPr>
        <w:t xml:space="preserve"> </w:t>
      </w:r>
      <w:r w:rsidRPr="00867C2E">
        <w:rPr>
          <w:rFonts w:eastAsia="Calibri"/>
        </w:rPr>
        <w:t>pentru accidente tromboembolice, inclusiv pacienţi ≥ 65 ani, fumători sau foşti mari fumători</w:t>
      </w:r>
      <w:r w:rsidRPr="00867C2E">
        <w:t xml:space="preserve">, tofacitinib 10 mg pe cale orală de două  ori pe zi poate fi avut  în vedere dacă pacientul prezintă o scădere a răspunsului la tofacitinib 5 mg de două ori pe zi și nu a răspuns la opțiunile alternative de tratament pentru colita ulcerativă, precum tratamentul cu inhibitori ai factorului de necroză tumorală (inhibitori de TNF). </w:t>
      </w:r>
    </w:p>
    <w:p w14:paraId="0247BD46" w14:textId="77777777" w:rsidR="00C26280" w:rsidRPr="00867C2E" w:rsidRDefault="00C26280" w:rsidP="00054402">
      <w:pPr>
        <w:pStyle w:val="ListParagraph"/>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pPr>
      <w:r w:rsidRPr="00867C2E">
        <w:t xml:space="preserve">Tofacitinib 10 mg de două ori pe zi pentru tratamentul de menținere trebuie utilizat pentru cea mai scurtă durată posibilă. Trebuie utilizată cea mai mică doză eficientă necesară pentru menținerea răspunsului. </w:t>
      </w:r>
    </w:p>
    <w:p w14:paraId="1534E898" w14:textId="77777777" w:rsidR="00C26280" w:rsidRPr="00867C2E" w:rsidRDefault="00C26280" w:rsidP="00054402">
      <w:pPr>
        <w:pStyle w:val="ListParagraph"/>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pPr>
      <w:r w:rsidRPr="00867C2E">
        <w:t>La pacienții care au răspuns la tratamentul cu tofacitinib, tratamentul cu corticosteroizi poate fi redus și/sau întrerupt, în conformitate cu standardul de îngrijire.</w:t>
      </w:r>
    </w:p>
    <w:p w14:paraId="29CBD19C" w14:textId="77777777" w:rsidR="00C26280" w:rsidRPr="00867C2E" w:rsidRDefault="00C26280" w:rsidP="00C26280">
      <w:pPr>
        <w:pStyle w:val="ListParagraph"/>
        <w:autoSpaceDE w:val="0"/>
        <w:autoSpaceDN w:val="0"/>
        <w:adjustRightInd w:val="0"/>
        <w:spacing w:line="276" w:lineRule="auto"/>
        <w:jc w:val="both"/>
        <w:rPr>
          <w:b/>
          <w:bCs/>
        </w:rPr>
      </w:pPr>
      <w:r w:rsidRPr="00867C2E">
        <w:rPr>
          <w:b/>
          <w:bCs/>
        </w:rPr>
        <w:t>Nota bene!</w:t>
      </w:r>
    </w:p>
    <w:p w14:paraId="0B35159B" w14:textId="77777777" w:rsidR="00C26280" w:rsidRPr="00867C2E" w:rsidRDefault="00C26280" w:rsidP="00054402">
      <w:pPr>
        <w:pStyle w:val="ListParagraph"/>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pPr>
      <w:r w:rsidRPr="00867C2E">
        <w:t>Se recomandă examinarea periodică a pielii tuturor pacienților pentru a exlude melanomul.</w:t>
      </w:r>
    </w:p>
    <w:p w14:paraId="0E8A9D2D" w14:textId="77777777" w:rsidR="00C26280" w:rsidRPr="00867C2E" w:rsidRDefault="00C26280" w:rsidP="00054402">
      <w:pPr>
        <w:pStyle w:val="ListParagraph"/>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pPr>
      <w:r w:rsidRPr="00867C2E">
        <w:t>Medicii prescriptori trebuie să discute cu pacienții despre riscurile asociate administrării de JAK.</w:t>
      </w:r>
    </w:p>
    <w:p w14:paraId="76BC6DDC"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35CF78B3" w14:textId="77777777" w:rsidR="00C26280" w:rsidRPr="00867C2E" w:rsidRDefault="00C26280" w:rsidP="00054402">
      <w:pPr>
        <w:pStyle w:val="ListParagraph"/>
        <w:numPr>
          <w:ilvl w:val="0"/>
          <w:numId w:val="5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hanging="284"/>
        <w:contextualSpacing/>
        <w:jc w:val="both"/>
        <w:rPr>
          <w:b/>
          <w:bCs/>
          <w:iCs/>
          <w:color w:val="FF0000"/>
        </w:rPr>
      </w:pPr>
      <w:r w:rsidRPr="00867C2E">
        <w:rPr>
          <w:b/>
          <w:bCs/>
          <w:iCs/>
          <w:color w:val="FF0000"/>
        </w:rPr>
        <w:t xml:space="preserve">Upadacitinib </w:t>
      </w:r>
    </w:p>
    <w:p w14:paraId="73563487" w14:textId="77777777" w:rsidR="00C26280" w:rsidRPr="00867C2E" w:rsidRDefault="00C26280" w:rsidP="00054402">
      <w:pPr>
        <w:pStyle w:val="ListParagraph"/>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b/>
          <w:bCs/>
          <w:iCs/>
          <w:color w:val="FF0000"/>
        </w:rPr>
      </w:pPr>
      <w:r w:rsidRPr="00867C2E">
        <w:rPr>
          <w:iCs/>
          <w:color w:val="FF0000"/>
        </w:rPr>
        <w:t xml:space="preserve">Doza de întreținere recomandată pentru colita ulcerativă este de 15 mg sau 30 mg, administrată o dată pe zi, în funcție de tabloul clinic al fiecărui pacient: </w:t>
      </w:r>
    </w:p>
    <w:p w14:paraId="4D2A2683" w14:textId="77777777" w:rsidR="00C26280" w:rsidRPr="00867C2E" w:rsidRDefault="00C26280" w:rsidP="00054402">
      <w:pPr>
        <w:pStyle w:val="ListParagraph"/>
        <w:numPr>
          <w:ilvl w:val="1"/>
          <w:numId w:val="53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260"/>
        <w:contextualSpacing/>
        <w:jc w:val="both"/>
        <w:rPr>
          <w:iCs/>
          <w:color w:val="FF0000"/>
        </w:rPr>
      </w:pPr>
      <w:r w:rsidRPr="00867C2E">
        <w:rPr>
          <w:iCs/>
          <w:color w:val="FF0000"/>
        </w:rPr>
        <w:t>doză de 15 mg este recomandată pentru pacienții cu risc mai mare de TEV, MACE și neoplazie.</w:t>
      </w:r>
    </w:p>
    <w:p w14:paraId="65145903" w14:textId="77777777" w:rsidR="00C26280" w:rsidRPr="00867C2E" w:rsidRDefault="00C26280" w:rsidP="00054402">
      <w:pPr>
        <w:pStyle w:val="ListParagraph"/>
        <w:numPr>
          <w:ilvl w:val="1"/>
          <w:numId w:val="53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260"/>
        <w:contextualSpacing/>
        <w:jc w:val="both"/>
        <w:rPr>
          <w:iCs/>
          <w:color w:val="FF0000"/>
        </w:rPr>
      </w:pPr>
      <w:r w:rsidRPr="00867C2E">
        <w:rPr>
          <w:iCs/>
          <w:color w:val="FF0000"/>
        </w:rPr>
        <w:t xml:space="preserve">La unii pacienți, cum sunt cei cu activitate crescută a bolii sau cei care necesită tratament de inducție de 16 săptămâni și care nu prezintă un risc mai mare de TEV, MACE și neoplazie sau care nu prezintă un beneficiu terapeutic adecvat la doza de 15 mg o dată pe zi, poate fi adecvată administrarea unei doze de 30 mg o dată pe zi. </w:t>
      </w:r>
    </w:p>
    <w:p w14:paraId="58A7B7BB" w14:textId="77777777" w:rsidR="00C26280" w:rsidRPr="00867C2E" w:rsidRDefault="00C26280" w:rsidP="00054402">
      <w:pPr>
        <w:pStyle w:val="ListParagraph"/>
        <w:numPr>
          <w:ilvl w:val="1"/>
          <w:numId w:val="53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260"/>
        <w:contextualSpacing/>
        <w:jc w:val="both"/>
        <w:rPr>
          <w:iCs/>
          <w:color w:val="FF0000"/>
        </w:rPr>
      </w:pPr>
      <w:r w:rsidRPr="00867C2E">
        <w:rPr>
          <w:iCs/>
          <w:color w:val="FF0000"/>
        </w:rPr>
        <w:t xml:space="preserve">Pentru menținerea răspunsului, trebuie utilizată doza minimă eficace. </w:t>
      </w:r>
    </w:p>
    <w:p w14:paraId="35407380" w14:textId="37354618" w:rsidR="00C26280" w:rsidRPr="00AA40CA" w:rsidRDefault="00C26280" w:rsidP="00054402">
      <w:pPr>
        <w:pStyle w:val="ListParagraph"/>
        <w:numPr>
          <w:ilvl w:val="0"/>
          <w:numId w:val="542"/>
        </w:numPr>
        <w:autoSpaceDE w:val="0"/>
        <w:autoSpaceDN w:val="0"/>
        <w:adjustRightInd w:val="0"/>
        <w:spacing w:line="276" w:lineRule="auto"/>
        <w:jc w:val="both"/>
        <w:rPr>
          <w:iCs/>
          <w:color w:val="FF0000"/>
        </w:rPr>
      </w:pPr>
      <w:r w:rsidRPr="00AA40CA">
        <w:rPr>
          <w:iCs/>
          <w:color w:val="FF0000"/>
        </w:rPr>
        <w:t>La pacienții cu vârsta de 65 de ani și peste, se recomandă administrarea dozei de 15 mg o dată pe zi.</w:t>
      </w:r>
    </w:p>
    <w:p w14:paraId="049BC4EE" w14:textId="268BF36C" w:rsidR="00C26280" w:rsidRPr="00AA40CA" w:rsidRDefault="00C26280" w:rsidP="00054402">
      <w:pPr>
        <w:pStyle w:val="ListParagraph"/>
        <w:numPr>
          <w:ilvl w:val="0"/>
          <w:numId w:val="542"/>
        </w:numPr>
        <w:autoSpaceDE w:val="0"/>
        <w:autoSpaceDN w:val="0"/>
        <w:adjustRightInd w:val="0"/>
        <w:spacing w:line="276" w:lineRule="auto"/>
        <w:jc w:val="both"/>
        <w:rPr>
          <w:iCs/>
          <w:color w:val="FF0000"/>
        </w:rPr>
      </w:pPr>
      <w:r w:rsidRPr="00AA40CA">
        <w:rPr>
          <w:iCs/>
          <w:color w:val="FF0000"/>
        </w:rPr>
        <w:t>În cazul pacienților care au răspuns la tratamentul cu upadacitinib, administrarea de corticosteroizi poate fi redusă și/sau întreruptă, conform standardului de îngrijire medicală.</w:t>
      </w:r>
    </w:p>
    <w:p w14:paraId="66DE8040" w14:textId="7BEC31BC" w:rsidR="00C26280" w:rsidRPr="00AA40CA" w:rsidRDefault="00C26280" w:rsidP="00054402">
      <w:pPr>
        <w:pStyle w:val="ListParagraph"/>
        <w:numPr>
          <w:ilvl w:val="0"/>
          <w:numId w:val="542"/>
        </w:numPr>
        <w:autoSpaceDE w:val="0"/>
        <w:autoSpaceDN w:val="0"/>
        <w:adjustRightInd w:val="0"/>
        <w:spacing w:line="276" w:lineRule="auto"/>
        <w:jc w:val="both"/>
        <w:rPr>
          <w:iCs/>
          <w:color w:val="FF0000"/>
        </w:rPr>
      </w:pPr>
      <w:r w:rsidRPr="00AA40CA">
        <w:rPr>
          <w:iCs/>
          <w:color w:val="FF0000"/>
        </w:rPr>
        <w:lastRenderedPageBreak/>
        <w:t>Doza de întreținere recomandată pentru boala Crohn este de 15 mg sau 30 mg, administrată o dată pe zi, în funcție de tabloul clinic al fiecărui pacient:</w:t>
      </w:r>
    </w:p>
    <w:p w14:paraId="00EB1462" w14:textId="77777777" w:rsidR="00C26280" w:rsidRPr="00867C2E" w:rsidRDefault="00C26280" w:rsidP="00054402">
      <w:pPr>
        <w:pStyle w:val="ListParagraph"/>
        <w:numPr>
          <w:ilvl w:val="1"/>
          <w:numId w:val="5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170"/>
        <w:contextualSpacing/>
        <w:jc w:val="both"/>
        <w:rPr>
          <w:iCs/>
          <w:color w:val="FF0000"/>
        </w:rPr>
      </w:pPr>
      <w:r w:rsidRPr="00867C2E">
        <w:rPr>
          <w:iCs/>
          <w:color w:val="FF0000"/>
        </w:rPr>
        <w:t>O doză de 15 mg este recomandată pentru pacienții cu risc mai mare de TEV, MACE și neoplazie.</w:t>
      </w:r>
    </w:p>
    <w:p w14:paraId="5579B41D" w14:textId="77777777" w:rsidR="00C26280" w:rsidRPr="00867C2E" w:rsidRDefault="00C26280" w:rsidP="00054402">
      <w:pPr>
        <w:pStyle w:val="ListParagraph"/>
        <w:numPr>
          <w:ilvl w:val="1"/>
          <w:numId w:val="5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170"/>
        <w:contextualSpacing/>
        <w:jc w:val="both"/>
        <w:rPr>
          <w:iCs/>
          <w:color w:val="FF0000"/>
        </w:rPr>
      </w:pPr>
      <w:r w:rsidRPr="00867C2E">
        <w:rPr>
          <w:iCs/>
          <w:color w:val="FF0000"/>
        </w:rPr>
        <w:t>La unii pacienți, cum sunt cei cu activitate crescută a bolii și care nu prezintă un risc mai mare de TEV, MACE și neoplazie sau care nu prezintă un beneficiu terapeutic adecvat la doza de 15 mg o dată pe zi, poate fi adecvată administrarea unei doze de 30 mg o dată pe zi.</w:t>
      </w:r>
    </w:p>
    <w:p w14:paraId="38FFA570" w14:textId="77777777" w:rsidR="00C26280" w:rsidRPr="00867C2E" w:rsidRDefault="00C26280" w:rsidP="00054402">
      <w:pPr>
        <w:pStyle w:val="ListParagraph"/>
        <w:numPr>
          <w:ilvl w:val="1"/>
          <w:numId w:val="53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1170"/>
        <w:contextualSpacing/>
        <w:jc w:val="both"/>
        <w:rPr>
          <w:iCs/>
          <w:color w:val="FF0000"/>
        </w:rPr>
      </w:pPr>
      <w:r w:rsidRPr="00867C2E">
        <w:rPr>
          <w:iCs/>
          <w:color w:val="FF0000"/>
        </w:rPr>
        <w:t>Pentru menținerea răspunsului, trebuie utilizată doza minimă eficace.</w:t>
      </w:r>
    </w:p>
    <w:p w14:paraId="427A8404" w14:textId="1B5395C9" w:rsidR="00C26280" w:rsidRPr="00AA40CA" w:rsidRDefault="00C26280" w:rsidP="00054402">
      <w:pPr>
        <w:pStyle w:val="ListParagraph"/>
        <w:numPr>
          <w:ilvl w:val="0"/>
          <w:numId w:val="543"/>
        </w:numPr>
        <w:autoSpaceDE w:val="0"/>
        <w:autoSpaceDN w:val="0"/>
        <w:adjustRightInd w:val="0"/>
        <w:spacing w:line="276" w:lineRule="auto"/>
        <w:jc w:val="both"/>
        <w:rPr>
          <w:iCs/>
          <w:color w:val="FF0000"/>
        </w:rPr>
      </w:pPr>
      <w:r w:rsidRPr="00AA40CA">
        <w:rPr>
          <w:iCs/>
          <w:color w:val="FF0000"/>
        </w:rPr>
        <w:t>La pacienții cu vârsta de 65 de ani și peste, se recomandă administrarea dozei de 15 mg o dată pe zi.</w:t>
      </w:r>
    </w:p>
    <w:p w14:paraId="71276E7C" w14:textId="4D3FE32A" w:rsidR="00C26280" w:rsidRPr="00AA40CA" w:rsidRDefault="00C26280" w:rsidP="00054402">
      <w:pPr>
        <w:pStyle w:val="ListParagraph"/>
        <w:numPr>
          <w:ilvl w:val="0"/>
          <w:numId w:val="543"/>
        </w:numPr>
        <w:autoSpaceDE w:val="0"/>
        <w:autoSpaceDN w:val="0"/>
        <w:adjustRightInd w:val="0"/>
        <w:spacing w:line="276" w:lineRule="auto"/>
        <w:jc w:val="both"/>
        <w:rPr>
          <w:iCs/>
          <w:color w:val="FF0000"/>
        </w:rPr>
      </w:pPr>
      <w:r w:rsidRPr="00AA40CA">
        <w:rPr>
          <w:iCs/>
          <w:color w:val="FF0000"/>
        </w:rPr>
        <w:t>În cazul pacienților care au răspuns la tratamentul cu upadacitinib, administrarea de corticosteroizi poate fi redusă și/sau întreruptă, conform standardului de îngrijire medicală.</w:t>
      </w:r>
    </w:p>
    <w:p w14:paraId="10C66D82" w14:textId="77777777" w:rsidR="00C26280" w:rsidRPr="00867C2E" w:rsidRDefault="00C26280" w:rsidP="00C26280">
      <w:pPr>
        <w:autoSpaceDE w:val="0"/>
        <w:autoSpaceDN w:val="0"/>
        <w:adjustRightInd w:val="0"/>
        <w:spacing w:after="0" w:line="276" w:lineRule="auto"/>
        <w:jc w:val="both"/>
        <w:rPr>
          <w:rFonts w:ascii="Times New Roman" w:eastAsia="Times New Roman" w:hAnsi="Times New Roman" w:cs="Times New Roman"/>
          <w:iCs/>
          <w:sz w:val="24"/>
          <w:szCs w:val="24"/>
        </w:rPr>
      </w:pPr>
    </w:p>
    <w:p w14:paraId="2763BB6A" w14:textId="77777777" w:rsidR="00C26280" w:rsidRDefault="00C26280" w:rsidP="00AA40CA">
      <w:pPr>
        <w:autoSpaceDE w:val="0"/>
        <w:autoSpaceDN w:val="0"/>
        <w:adjustRightInd w:val="0"/>
        <w:spacing w:after="0" w:line="276" w:lineRule="auto"/>
        <w:jc w:val="both"/>
        <w:rPr>
          <w:rFonts w:ascii="Times New Roman" w:eastAsia="Times New Roman" w:hAnsi="Times New Roman" w:cs="Times New Roman"/>
          <w:b/>
          <w:bCs/>
          <w:iCs/>
          <w:sz w:val="24"/>
          <w:szCs w:val="24"/>
        </w:rPr>
      </w:pPr>
      <w:r w:rsidRPr="00867C2E">
        <w:rPr>
          <w:rFonts w:ascii="Times New Roman" w:eastAsia="Times New Roman" w:hAnsi="Times New Roman" w:cs="Times New Roman"/>
          <w:b/>
          <w:bCs/>
          <w:iCs/>
          <w:sz w:val="24"/>
          <w:szCs w:val="24"/>
        </w:rPr>
        <w:t>C. Evaluarea răspunsului terapeutic</w:t>
      </w:r>
    </w:p>
    <w:p w14:paraId="15E11404" w14:textId="77777777" w:rsidR="00AA40CA" w:rsidRPr="00867C2E" w:rsidRDefault="00AA40CA" w:rsidP="00AA40CA">
      <w:pPr>
        <w:autoSpaceDE w:val="0"/>
        <w:autoSpaceDN w:val="0"/>
        <w:adjustRightInd w:val="0"/>
        <w:spacing w:after="0" w:line="276" w:lineRule="auto"/>
        <w:jc w:val="both"/>
        <w:rPr>
          <w:rFonts w:ascii="Times New Roman" w:eastAsia="Times New Roman" w:hAnsi="Times New Roman" w:cs="Times New Roman"/>
          <w:b/>
          <w:bCs/>
          <w:iCs/>
          <w:sz w:val="24"/>
          <w:szCs w:val="24"/>
        </w:rPr>
      </w:pPr>
    </w:p>
    <w:p w14:paraId="3819AB46" w14:textId="77777777" w:rsidR="00C26280" w:rsidRPr="00867C2E" w:rsidRDefault="00C26280" w:rsidP="00AA40CA">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b/>
          <w:bCs/>
          <w:iCs/>
          <w:sz w:val="24"/>
          <w:szCs w:val="24"/>
        </w:rPr>
        <w:t>Răspunsul terapeutic la medicamentele anti TNF</w:t>
      </w:r>
      <w:r w:rsidRPr="00867C2E">
        <w:rPr>
          <w:rFonts w:ascii="Times New Roman" w:eastAsia="Times New Roman" w:hAnsi="Times New Roman" w:cs="Times New Roman"/>
          <w:iCs/>
          <w:sz w:val="24"/>
          <w:szCs w:val="24"/>
        </w:rPr>
        <w:t xml:space="preserve"> va fi evaluat la 12 săptămâni de la iniţierea terapiei şi, ulterior, la interval de maxim 6 luni sau de câte ori se suspectează pierderea răspunsului. Lipsa răspunsului primar la 12 săptămâni impune renunţarea la terapia iniţiată.</w:t>
      </w:r>
    </w:p>
    <w:p w14:paraId="5855AF4C" w14:textId="77777777" w:rsidR="00AA40CA" w:rsidRDefault="00AA40CA" w:rsidP="00AA40CA">
      <w:pPr>
        <w:autoSpaceDE w:val="0"/>
        <w:autoSpaceDN w:val="0"/>
        <w:adjustRightInd w:val="0"/>
        <w:spacing w:after="0" w:line="276" w:lineRule="auto"/>
        <w:jc w:val="both"/>
        <w:rPr>
          <w:rFonts w:ascii="Times New Roman" w:eastAsia="Times New Roman" w:hAnsi="Times New Roman" w:cs="Times New Roman"/>
          <w:b/>
          <w:bCs/>
          <w:iCs/>
          <w:sz w:val="24"/>
          <w:szCs w:val="24"/>
        </w:rPr>
      </w:pPr>
    </w:p>
    <w:p w14:paraId="4BCC6722" w14:textId="77777777" w:rsidR="00C26280" w:rsidRPr="00867C2E" w:rsidRDefault="00C26280" w:rsidP="00AA40CA">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b/>
          <w:bCs/>
          <w:iCs/>
          <w:sz w:val="24"/>
          <w:szCs w:val="24"/>
        </w:rPr>
        <w:t>Răspunsul terapeutic la Vedolizumab</w:t>
      </w:r>
      <w:r w:rsidRPr="00867C2E">
        <w:rPr>
          <w:rFonts w:ascii="Times New Roman" w:eastAsia="Times New Roman" w:hAnsi="Times New Roman" w:cs="Times New Roman"/>
          <w:iCs/>
          <w:sz w:val="24"/>
          <w:szCs w:val="24"/>
        </w:rPr>
        <w:t xml:space="preserve"> va fi evaluat la 10 săptămâni de la iniţierea terapiei, la pacienţii cu colită ulcerativă şi boala Crohn şi la săptămâna 14 pentru pacienţii cu boală Crohn care au beneficiat de perfuzia adiţională la săptămâna 10, ulterior la interval de maxim 6 luni sau de câte ori se suspectează pierderea răspunsului.</w:t>
      </w:r>
      <w:r w:rsidRPr="00867C2E">
        <w:rPr>
          <w:rFonts w:ascii="Times New Roman" w:hAnsi="Times New Roman" w:cs="Times New Roman"/>
          <w:sz w:val="24"/>
          <w:szCs w:val="24"/>
        </w:rPr>
        <w:t xml:space="preserve"> </w:t>
      </w:r>
      <w:r w:rsidRPr="00867C2E">
        <w:rPr>
          <w:rFonts w:ascii="Times New Roman" w:eastAsia="Times New Roman" w:hAnsi="Times New Roman" w:cs="Times New Roman"/>
          <w:iCs/>
          <w:sz w:val="24"/>
          <w:szCs w:val="24"/>
        </w:rPr>
        <w:t>La pacienții cu boala Crohn tratamentul trebuie oprit dacă nu se observă niciun beneficiu terapeutic până în săptămâna 14.</w:t>
      </w:r>
      <w:r w:rsidRPr="00867C2E">
        <w:rPr>
          <w:rFonts w:ascii="Times New Roman" w:hAnsi="Times New Roman" w:cs="Times New Roman"/>
          <w:sz w:val="24"/>
          <w:szCs w:val="24"/>
        </w:rPr>
        <w:t xml:space="preserve"> </w:t>
      </w:r>
      <w:r w:rsidRPr="00867C2E">
        <w:rPr>
          <w:rFonts w:ascii="Times New Roman" w:eastAsia="Times New Roman" w:hAnsi="Times New Roman" w:cs="Times New Roman"/>
          <w:iCs/>
          <w:sz w:val="24"/>
          <w:szCs w:val="24"/>
        </w:rPr>
        <w:t>Tratamentul la pacienții cu colită ulcerativă trebuie oprit dacă nu se observă niciun beneficiu terapeutic până în săptămâna 10.</w:t>
      </w:r>
    </w:p>
    <w:p w14:paraId="6A32DC6F" w14:textId="77777777" w:rsidR="00AA40CA" w:rsidRDefault="00AA40CA" w:rsidP="00AA40CA">
      <w:pPr>
        <w:autoSpaceDE w:val="0"/>
        <w:autoSpaceDN w:val="0"/>
        <w:adjustRightInd w:val="0"/>
        <w:spacing w:after="0" w:line="276" w:lineRule="auto"/>
        <w:jc w:val="both"/>
        <w:rPr>
          <w:rFonts w:ascii="Times New Roman" w:eastAsia="Times New Roman" w:hAnsi="Times New Roman" w:cs="Times New Roman"/>
          <w:b/>
          <w:bCs/>
          <w:iCs/>
          <w:sz w:val="24"/>
          <w:szCs w:val="24"/>
        </w:rPr>
      </w:pPr>
    </w:p>
    <w:p w14:paraId="7B9D60DC" w14:textId="77777777" w:rsidR="00C26280" w:rsidRPr="00867C2E" w:rsidRDefault="00C26280" w:rsidP="00AA40CA">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b/>
          <w:bCs/>
          <w:iCs/>
          <w:sz w:val="24"/>
          <w:szCs w:val="24"/>
        </w:rPr>
        <w:t>Evaluarea răspunsului la ustekinumab</w:t>
      </w:r>
      <w:r w:rsidRPr="00867C2E">
        <w:rPr>
          <w:rFonts w:ascii="Times New Roman" w:eastAsia="Times New Roman" w:hAnsi="Times New Roman" w:cs="Times New Roman"/>
          <w:iCs/>
          <w:sz w:val="24"/>
          <w:szCs w:val="24"/>
        </w:rPr>
        <w:t xml:space="preserve"> se va face la 8 săptămâni de la administrarea dozei de inducţie intravenos şi la 16 săptămâni de la trecerea la doza de menţinere administrată la 8 săptămâni, ulterior la un interval de maxim 6 luni sau ori de câte ori se suspectează pierderea răspunsului. Se va lua în considerare oprirea tratamentului dacă nu există un răspuns terapeutic la 16 săptămâni de la administrarea dozei de inducţie intravenos sau la 16 săptămâni de la trecerea la doza de menţinere administrate la 8 săptămâni.</w:t>
      </w:r>
    </w:p>
    <w:p w14:paraId="3C3F88C2" w14:textId="77777777" w:rsidR="00AA40CA" w:rsidRDefault="00AA40CA" w:rsidP="00AA40CA">
      <w:pPr>
        <w:autoSpaceDE w:val="0"/>
        <w:autoSpaceDN w:val="0"/>
        <w:adjustRightInd w:val="0"/>
        <w:spacing w:after="0" w:line="276" w:lineRule="auto"/>
        <w:jc w:val="both"/>
        <w:rPr>
          <w:rFonts w:ascii="Times New Roman" w:eastAsia="Times New Roman" w:hAnsi="Times New Roman" w:cs="Times New Roman"/>
          <w:b/>
          <w:bCs/>
          <w:iCs/>
          <w:sz w:val="24"/>
          <w:szCs w:val="24"/>
        </w:rPr>
      </w:pPr>
    </w:p>
    <w:p w14:paraId="5F99CC22" w14:textId="77777777" w:rsidR="00C26280" w:rsidRPr="00867C2E" w:rsidRDefault="00C26280" w:rsidP="00AA40CA">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b/>
          <w:bCs/>
          <w:iCs/>
          <w:sz w:val="24"/>
          <w:szCs w:val="24"/>
        </w:rPr>
        <w:t>Evaluarea răspunsului la tofacitinib</w:t>
      </w:r>
      <w:r w:rsidRPr="00867C2E">
        <w:rPr>
          <w:rFonts w:ascii="Times New Roman" w:eastAsia="Times New Roman" w:hAnsi="Times New Roman" w:cs="Times New Roman"/>
          <w:iCs/>
          <w:sz w:val="24"/>
          <w:szCs w:val="24"/>
        </w:rPr>
        <w:t xml:space="preserve"> se va face la 8 săptămâni de la iniţierea terapiei. In cazul raspunsului clinic, se continua cu doza de intretinere de 5 mg de 2 ori pe zi,iar  in cazul lipsei de raspuns, la 8 saptamani se poate continua pana la 16 săptămâni doza de10 mg de 2 ori pe zi.  Dupa obtinerea remisiunii clinice, monitorizarea ulterioara se face la un interval de maxim 6 luni sau ori de câte ori se suspectează pierderea răspunsului. Se va lua în considerare oprirea tratamentului dacă nu există un răspuns terapeutic la 16 săptămâni de la inceperea tratamentului.  Dupa intreruperea tratamentului, posibilitatea reluarii acestuia se poate face la decizia medicului prescriptor in conformitate cu RCP produs.</w:t>
      </w:r>
    </w:p>
    <w:p w14:paraId="6C6E4CAC" w14:textId="77777777" w:rsidR="00AA40CA" w:rsidRDefault="00AA40CA" w:rsidP="00AA40CA">
      <w:pPr>
        <w:autoSpaceDE w:val="0"/>
        <w:autoSpaceDN w:val="0"/>
        <w:adjustRightInd w:val="0"/>
        <w:spacing w:after="0" w:line="276" w:lineRule="auto"/>
        <w:jc w:val="both"/>
        <w:rPr>
          <w:rFonts w:ascii="Times New Roman" w:eastAsia="Times New Roman" w:hAnsi="Times New Roman" w:cs="Times New Roman"/>
          <w:b/>
          <w:bCs/>
          <w:iCs/>
          <w:color w:val="FF0000"/>
          <w:sz w:val="24"/>
          <w:szCs w:val="24"/>
        </w:rPr>
      </w:pPr>
    </w:p>
    <w:p w14:paraId="2A392A11" w14:textId="77777777" w:rsidR="00C26280" w:rsidRPr="00867C2E" w:rsidRDefault="00C26280" w:rsidP="00AA40CA">
      <w:pPr>
        <w:autoSpaceDE w:val="0"/>
        <w:autoSpaceDN w:val="0"/>
        <w:adjustRightInd w:val="0"/>
        <w:spacing w:after="0" w:line="276" w:lineRule="auto"/>
        <w:jc w:val="both"/>
        <w:rPr>
          <w:rFonts w:ascii="Times New Roman" w:eastAsia="Times New Roman" w:hAnsi="Times New Roman" w:cs="Times New Roman"/>
          <w:iCs/>
          <w:color w:val="FF0000"/>
          <w:sz w:val="24"/>
          <w:szCs w:val="24"/>
        </w:rPr>
      </w:pPr>
      <w:r w:rsidRPr="00867C2E">
        <w:rPr>
          <w:rFonts w:ascii="Times New Roman" w:eastAsia="Times New Roman" w:hAnsi="Times New Roman" w:cs="Times New Roman"/>
          <w:b/>
          <w:bCs/>
          <w:iCs/>
          <w:color w:val="FF0000"/>
          <w:sz w:val="24"/>
          <w:szCs w:val="24"/>
        </w:rPr>
        <w:t>Evaluarea răspunsului la upadacitinib</w:t>
      </w:r>
      <w:r w:rsidRPr="00867C2E">
        <w:rPr>
          <w:rFonts w:ascii="Times New Roman" w:eastAsia="Times New Roman" w:hAnsi="Times New Roman" w:cs="Times New Roman"/>
          <w:iCs/>
          <w:color w:val="FF0000"/>
          <w:sz w:val="24"/>
          <w:szCs w:val="24"/>
        </w:rPr>
        <w:t xml:space="preserve"> se va face la 8 săptămâni de la iniţierea terapiei în colita ulcerativă și la 12 săptămâni în boala Crohn. La pacienții cu colita ulcerativă, care nu obțin un beneficiu terapeutic adecvat până în săptămâna 8, se poate continua administrarea dozei de 45 mg upadacitinib, o dată pe zi, timp de încă 8 săptămâni. Administrarea de upadacitinib trebuie întreruptă </w:t>
      </w:r>
      <w:r w:rsidRPr="00867C2E">
        <w:rPr>
          <w:rFonts w:ascii="Times New Roman" w:eastAsia="Times New Roman" w:hAnsi="Times New Roman" w:cs="Times New Roman"/>
          <w:iCs/>
          <w:color w:val="FF0000"/>
          <w:sz w:val="24"/>
          <w:szCs w:val="24"/>
        </w:rPr>
        <w:lastRenderedPageBreak/>
        <w:t>în cazul oricărui pacient care nu prezintă dovezi ale unui beneficiu terapeutic până în săptămâna 16.  La pacienții cu boală Crohn care nu au obținut un beneficiu terapeutic adecvat după inducția inițială cu durata de 12 săptămâni, poate fi luată în considerare o inducție prelungită timp de încă 12 săptămâni, cu o doză de 30 mg, o dată pe zi Administrarea de upadacitinib trebuie întreruptă în cazul oricărui pacient care nu prezintă dovezi ale unui beneficiu terapeutic dupa 24 de săptămâni de tratament.</w:t>
      </w:r>
    </w:p>
    <w:p w14:paraId="6E0F8F5C" w14:textId="77777777" w:rsidR="00C26280" w:rsidRPr="00867C2E" w:rsidRDefault="00C26280" w:rsidP="00AA40CA">
      <w:pPr>
        <w:autoSpaceDE w:val="0"/>
        <w:autoSpaceDN w:val="0"/>
        <w:adjustRightInd w:val="0"/>
        <w:spacing w:after="0" w:line="276" w:lineRule="auto"/>
        <w:jc w:val="both"/>
        <w:rPr>
          <w:rFonts w:ascii="Times New Roman" w:eastAsia="Times New Roman" w:hAnsi="Times New Roman" w:cs="Times New Roman"/>
          <w:iCs/>
          <w:color w:val="FF0000"/>
          <w:sz w:val="24"/>
          <w:szCs w:val="24"/>
        </w:rPr>
      </w:pPr>
      <w:r w:rsidRPr="00867C2E">
        <w:rPr>
          <w:rFonts w:ascii="Times New Roman" w:eastAsia="Times New Roman" w:hAnsi="Times New Roman" w:cs="Times New Roman"/>
          <w:iCs/>
          <w:color w:val="FF0000"/>
          <w:sz w:val="24"/>
          <w:szCs w:val="24"/>
        </w:rPr>
        <w:t>După obținerea remisiunii clinice, monitorizarea ulterioară se face la un interval de maxim 6 luni sau ori de câte ori se suspectează pierderea răspunsului.</w:t>
      </w:r>
    </w:p>
    <w:p w14:paraId="65FBBDAC"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05A85611" w14:textId="77777777" w:rsidR="00C26280" w:rsidRPr="00867C2E" w:rsidRDefault="00C26280" w:rsidP="00AA40CA">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Răspunsul terapeutic va fi apreciat prin încadrarea într-una dintre următoarele categorii:</w:t>
      </w:r>
    </w:p>
    <w:p w14:paraId="25FA70D7"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13C7B775" w14:textId="77777777" w:rsidR="00C26280" w:rsidRPr="00867C2E" w:rsidRDefault="00C26280" w:rsidP="00054402">
      <w:pPr>
        <w:pStyle w:val="ListParagraph"/>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hanging="284"/>
        <w:contextualSpacing/>
        <w:jc w:val="both"/>
        <w:rPr>
          <w:iCs/>
        </w:rPr>
      </w:pPr>
      <w:r w:rsidRPr="00867C2E">
        <w:rPr>
          <w:b/>
          <w:bCs/>
          <w:i/>
        </w:rPr>
        <w:t>Pentru boala Crohn</w:t>
      </w:r>
      <w:r w:rsidRPr="00867C2E">
        <w:rPr>
          <w:iCs/>
        </w:rPr>
        <w:t>:</w:t>
      </w:r>
    </w:p>
    <w:p w14:paraId="6FD5C4B0" w14:textId="77777777" w:rsidR="00C26280" w:rsidRPr="00867C2E" w:rsidRDefault="00C26280" w:rsidP="00054402">
      <w:pPr>
        <w:pStyle w:val="ListParagraph"/>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Remisiune clinică (dispariţia simptomelor clinice) clinico-biologică (dispariţia simptomelor şi a alterărilor biologice existente) endoscopică (vindecarea mucosală) histologică (fără elemente inflamatorii) - Fistulele se închid iar scorul CDAI &lt; 150 puncte.</w:t>
      </w:r>
    </w:p>
    <w:p w14:paraId="76E79530" w14:textId="77777777" w:rsidR="00C26280" w:rsidRPr="00867C2E" w:rsidRDefault="00C26280" w:rsidP="00054402">
      <w:pPr>
        <w:pStyle w:val="ListParagraph"/>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Răspuns parţial - ameliorare clinico-biologică (ameliorarea simptomelor, reducerea cu 50% a valorilor probelor biologice faţă de start) scăderea scorului CDAI cu &gt; 100 puncte scăderea drenajului fistulelor cu &gt; 50%.</w:t>
      </w:r>
    </w:p>
    <w:p w14:paraId="2D533904" w14:textId="77777777" w:rsidR="00C26280" w:rsidRDefault="00C26280" w:rsidP="00054402">
      <w:pPr>
        <w:pStyle w:val="ListParagraph"/>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Recădere - pierderea răspunsului: reapariţia simptomelor, a modificărilor biologice, endoscopice. Valoare predictivă ridicată: creşterea calprotectinei fecale.</w:t>
      </w:r>
    </w:p>
    <w:p w14:paraId="0D6D5EC7" w14:textId="77777777" w:rsidR="00AA40CA" w:rsidRPr="00867C2E" w:rsidRDefault="00AA40CA" w:rsidP="00AA40CA">
      <w:pPr>
        <w:pStyle w:val="ListParagraph"/>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p>
    <w:p w14:paraId="6CBF1B8D" w14:textId="77777777" w:rsidR="00C26280" w:rsidRPr="00867C2E" w:rsidRDefault="00C26280" w:rsidP="00054402">
      <w:pPr>
        <w:pStyle w:val="ListParagraph"/>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ind w:left="284" w:hanging="284"/>
        <w:contextualSpacing/>
        <w:jc w:val="both"/>
        <w:rPr>
          <w:iCs/>
        </w:rPr>
      </w:pPr>
      <w:r w:rsidRPr="00867C2E">
        <w:rPr>
          <w:b/>
          <w:bCs/>
          <w:i/>
        </w:rPr>
        <w:t>Pentru colita ulcerativă</w:t>
      </w:r>
      <w:r w:rsidRPr="00867C2E">
        <w:rPr>
          <w:iCs/>
        </w:rPr>
        <w:t>:</w:t>
      </w:r>
    </w:p>
    <w:p w14:paraId="7A90ECE6" w14:textId="77777777" w:rsidR="00C26280" w:rsidRPr="00867C2E" w:rsidRDefault="00C26280" w:rsidP="00054402">
      <w:pPr>
        <w:pStyle w:val="ListParagraph"/>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Remisiune clinică - dispariţia simptomelor, clinico-biologică (fără simptome şi probe biologice normale), endoscopică (vindecare mucosală) histologică (fără elemente inflamatorii de tip acut):</w:t>
      </w:r>
    </w:p>
    <w:p w14:paraId="24DD3D5A" w14:textId="77777777" w:rsidR="00C26280" w:rsidRPr="00867C2E" w:rsidRDefault="00C26280" w:rsidP="00054402">
      <w:pPr>
        <w:pStyle w:val="ListParagraph"/>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Răspuns terapeutic: ameliorare clinico-biologică, eventual endoscopică cu persistenţa eritemului, granulaţiei şi ştergerea desenului vascular</w:t>
      </w:r>
    </w:p>
    <w:p w14:paraId="56875AAB" w14:textId="77777777" w:rsidR="00C26280" w:rsidRPr="00867C2E" w:rsidRDefault="00C26280" w:rsidP="00054402">
      <w:pPr>
        <w:pStyle w:val="ListParagraph"/>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Recădere - pierderea răspunsului terapeutic: reapariţia simptomelor, modificărilor biologice (valoare predictivă calprotectina fecală), endoscopice şi histologice.</w:t>
      </w:r>
    </w:p>
    <w:p w14:paraId="21AE3C12" w14:textId="77777777" w:rsidR="00C26280" w:rsidRPr="00867C2E" w:rsidRDefault="00C26280" w:rsidP="00054402">
      <w:pPr>
        <w:pStyle w:val="ListParagraph"/>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Monitorizare după obţinerea remisiunii</w:t>
      </w:r>
    </w:p>
    <w:p w14:paraId="3443523C" w14:textId="77777777" w:rsidR="00C26280" w:rsidRPr="00867C2E" w:rsidRDefault="00C26280" w:rsidP="00C26280">
      <w:pPr>
        <w:autoSpaceDE w:val="0"/>
        <w:autoSpaceDN w:val="0"/>
        <w:adjustRightInd w:val="0"/>
        <w:spacing w:after="0" w:line="276" w:lineRule="auto"/>
        <w:ind w:left="709" w:firstLine="720"/>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Din 6 luni în 6 luni prin examinare clinică, biochimică, calprotectina fecală, eventual endoscopică/RMN dacă valoarea calprotectinei este crescută.</w:t>
      </w:r>
    </w:p>
    <w:p w14:paraId="15B69D85" w14:textId="77777777" w:rsidR="00C26280" w:rsidRPr="00867C2E" w:rsidRDefault="00C26280" w:rsidP="00054402">
      <w:pPr>
        <w:pStyle w:val="ListParagraph"/>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Recăderea sau pierderea secundară a răspunsului la tratament.</w:t>
      </w:r>
    </w:p>
    <w:p w14:paraId="19C5A301" w14:textId="77777777" w:rsidR="00C26280" w:rsidRPr="00867C2E" w:rsidRDefault="00C26280" w:rsidP="00C26280">
      <w:pPr>
        <w:autoSpaceDE w:val="0"/>
        <w:autoSpaceDN w:val="0"/>
        <w:adjustRightInd w:val="0"/>
        <w:spacing w:after="0" w:line="276" w:lineRule="auto"/>
        <w:ind w:firstLine="720"/>
        <w:jc w:val="both"/>
        <w:rPr>
          <w:rFonts w:ascii="Times New Roman" w:eastAsia="Times New Roman" w:hAnsi="Times New Roman" w:cs="Times New Roman"/>
          <w:iCs/>
          <w:sz w:val="24"/>
          <w:szCs w:val="24"/>
        </w:rPr>
      </w:pPr>
    </w:p>
    <w:p w14:paraId="4E0B0CDE" w14:textId="77777777" w:rsidR="00C26280" w:rsidRPr="00867C2E" w:rsidRDefault="00C26280" w:rsidP="00AA40CA">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Recomandări:</w:t>
      </w:r>
    </w:p>
    <w:p w14:paraId="18F980A2" w14:textId="77777777" w:rsidR="00C26280" w:rsidRPr="00867C2E" w:rsidRDefault="00C26280" w:rsidP="00054402">
      <w:pPr>
        <w:pStyle w:val="ListParagraph"/>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Verificarea complianţei la tratament</w:t>
      </w:r>
    </w:p>
    <w:p w14:paraId="36C8947A" w14:textId="77777777" w:rsidR="00C26280" w:rsidRPr="00867C2E" w:rsidRDefault="00C26280" w:rsidP="00054402">
      <w:pPr>
        <w:pStyle w:val="ListParagraph"/>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Excluderea unei alte cauze a simptomatologiei (prezenţa unui abces, infecţia cu CMV sau C. difficile, etc.) şi reevaluarea răspunsului terapeutic după corectarea cauzei respective.</w:t>
      </w:r>
    </w:p>
    <w:p w14:paraId="47F4ED0D" w14:textId="77777777" w:rsidR="00C26280" w:rsidRPr="00867C2E" w:rsidRDefault="00C26280" w:rsidP="00054402">
      <w:pPr>
        <w:pStyle w:val="ListParagraph"/>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Optimizare a terapiei prin una dintre variantele:</w:t>
      </w:r>
    </w:p>
    <w:p w14:paraId="1A36F8AC" w14:textId="77777777" w:rsidR="00C26280" w:rsidRPr="00867C2E" w:rsidRDefault="00C26280" w:rsidP="00054402">
      <w:pPr>
        <w:pStyle w:val="ListParagraph"/>
        <w:numPr>
          <w:ilvl w:val="1"/>
          <w:numId w:val="5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Creşterea empirică a dozelor şi/sau scăderea intervalului de administrare pentru biologicul/biosimilarului antiTNF folosit anterior, urmată de reevaluarea răspunsului terapeutic la 12 săptămâni.</w:t>
      </w:r>
    </w:p>
    <w:p w14:paraId="49EE9602" w14:textId="77777777" w:rsidR="00C26280" w:rsidRPr="00867C2E" w:rsidRDefault="00C26280" w:rsidP="00054402">
      <w:pPr>
        <w:pStyle w:val="ListParagraph"/>
        <w:numPr>
          <w:ilvl w:val="1"/>
          <w:numId w:val="53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 xml:space="preserve">Schimbarea agentului anti-TNF/Vedolizumab cu Vedolizumab/anti-TNF, sau anti-TNF/Ustekinumab cu Ustekinumab/anti-TNF sau anti-TNF/tofacitinib cu tofacitinib/anti-TNF, </w:t>
      </w:r>
      <w:r w:rsidRPr="00867C2E">
        <w:rPr>
          <w:iCs/>
          <w:color w:val="FF0000"/>
        </w:rPr>
        <w:t xml:space="preserve">anti-TNF/Upadacitinib cu Upadacitinib/anti-TNF </w:t>
      </w:r>
      <w:r w:rsidRPr="00867C2E">
        <w:rPr>
          <w:iCs/>
        </w:rPr>
        <w:t xml:space="preserve">pentru situaţiile în care pacientul nu a obţinut remisiunea clinică după perioada de inducţie </w:t>
      </w:r>
      <w:r w:rsidRPr="00867C2E">
        <w:rPr>
          <w:iCs/>
        </w:rPr>
        <w:lastRenderedPageBreak/>
        <w:t>sau după creşterea dozelor şi sau scăderea intervalului de administrare, precum şi pentru situaţiile de recădere sau intoleranţa inacceptabilă la tratament.</w:t>
      </w:r>
    </w:p>
    <w:p w14:paraId="246F1923" w14:textId="77777777" w:rsidR="00AA40CA" w:rsidRDefault="00AA40CA" w:rsidP="00AA40CA">
      <w:pPr>
        <w:autoSpaceDE w:val="0"/>
        <w:autoSpaceDN w:val="0"/>
        <w:adjustRightInd w:val="0"/>
        <w:spacing w:after="0" w:line="276" w:lineRule="auto"/>
        <w:jc w:val="both"/>
        <w:rPr>
          <w:rFonts w:ascii="Times New Roman" w:eastAsia="Times New Roman" w:hAnsi="Times New Roman" w:cs="Times New Roman"/>
          <w:iCs/>
          <w:sz w:val="24"/>
          <w:szCs w:val="24"/>
        </w:rPr>
      </w:pPr>
    </w:p>
    <w:p w14:paraId="60FD950E" w14:textId="77777777" w:rsidR="00C26280" w:rsidRPr="00867C2E" w:rsidRDefault="00C26280" w:rsidP="00AA40CA">
      <w:pPr>
        <w:autoSpaceDE w:val="0"/>
        <w:autoSpaceDN w:val="0"/>
        <w:adjustRightInd w:val="0"/>
        <w:spacing w:after="0" w:line="276" w:lineRule="auto"/>
        <w:jc w:val="both"/>
        <w:rPr>
          <w:rFonts w:ascii="Times New Roman" w:eastAsia="Times New Roman" w:hAnsi="Times New Roman" w:cs="Times New Roman"/>
          <w:iCs/>
          <w:sz w:val="24"/>
          <w:szCs w:val="24"/>
        </w:rPr>
      </w:pPr>
      <w:r w:rsidRPr="00867C2E">
        <w:rPr>
          <w:rFonts w:ascii="Times New Roman" w:eastAsia="Times New Roman" w:hAnsi="Times New Roman" w:cs="Times New Roman"/>
          <w:iCs/>
          <w:sz w:val="24"/>
          <w:szCs w:val="24"/>
        </w:rPr>
        <w:t>Adăugarea unui imunomodulator (AZA) - poate ameliora răspunsul şi prelungi remisiunea.</w:t>
      </w:r>
    </w:p>
    <w:p w14:paraId="7B4C1B1D" w14:textId="77777777" w:rsidR="00C26280" w:rsidRPr="00867C2E" w:rsidRDefault="00C26280" w:rsidP="00054402">
      <w:pPr>
        <w:pStyle w:val="ListParagraph"/>
        <w:numPr>
          <w:ilvl w:val="0"/>
          <w:numId w:val="5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Verificarea nivelului seric al agentului antiTNF şi anticorpilor antidrog specifici şi ghidarea terapiei în funcţie de rezultatul acestor determinări (opţiune ideală dar cu accesibilitate foarte limitată în prezent): oprirea tratamentului (nivel normal - fără anticorpi), creşterea dozelor (sau scurtarea intervalului) la nivel scăzut fără anticorpi, schimbarea agentului biologic la nivel scăzut şi prezenţa anticorpilor - (ultimele două variante doar pentru infliximab).</w:t>
      </w:r>
    </w:p>
    <w:p w14:paraId="31B9305B" w14:textId="77777777" w:rsidR="00C26280" w:rsidRPr="00867C2E" w:rsidRDefault="00C26280" w:rsidP="00054402">
      <w:pPr>
        <w:pStyle w:val="ListParagraph"/>
        <w:numPr>
          <w:ilvl w:val="0"/>
          <w:numId w:val="5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Schimbarea (swich-ul) tratamentului de la originalul de antiTNF la biosimilar si invers sau intre biosimilare fara avizul/recomandarea medicului prescriptor nu este acceptata.</w:t>
      </w:r>
    </w:p>
    <w:p w14:paraId="2880E09C" w14:textId="77777777" w:rsidR="00C26280" w:rsidRPr="00867C2E" w:rsidRDefault="00C26280" w:rsidP="00054402">
      <w:pPr>
        <w:pStyle w:val="ListParagraph"/>
        <w:numPr>
          <w:ilvl w:val="0"/>
          <w:numId w:val="5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contextualSpacing/>
        <w:jc w:val="both"/>
        <w:rPr>
          <w:iCs/>
        </w:rPr>
      </w:pPr>
      <w:r w:rsidRPr="00867C2E">
        <w:rPr>
          <w:iCs/>
        </w:rPr>
        <w:t>La pacienţii cu boala Crohn care au întrerupt tratamentul cu ustekinumb, reluarea tratamentului cu administrarea subcutanată la 8 săptămâni este sigură şi eficientă.</w:t>
      </w:r>
    </w:p>
    <w:p w14:paraId="73359A6F" w14:textId="77777777" w:rsidR="00C26280" w:rsidRPr="00867C2E" w:rsidRDefault="00C26280" w:rsidP="00C26280">
      <w:pPr>
        <w:autoSpaceDE w:val="0"/>
        <w:autoSpaceDN w:val="0"/>
        <w:adjustRightInd w:val="0"/>
        <w:spacing w:after="0" w:line="276" w:lineRule="auto"/>
        <w:ind w:firstLine="720"/>
        <w:contextualSpacing/>
        <w:jc w:val="both"/>
        <w:rPr>
          <w:rFonts w:ascii="Times New Roman" w:eastAsia="Times New Roman" w:hAnsi="Times New Roman" w:cs="Times New Roman"/>
          <w:iCs/>
          <w:sz w:val="24"/>
          <w:szCs w:val="24"/>
        </w:rPr>
      </w:pPr>
    </w:p>
    <w:p w14:paraId="6A728564" w14:textId="77777777" w:rsidR="00C26280" w:rsidRPr="00867C2E" w:rsidRDefault="00C26280" w:rsidP="00AA40CA">
      <w:pPr>
        <w:autoSpaceDE w:val="0"/>
        <w:autoSpaceDN w:val="0"/>
        <w:adjustRightInd w:val="0"/>
        <w:spacing w:after="0" w:line="276" w:lineRule="auto"/>
        <w:contextualSpacing/>
        <w:jc w:val="both"/>
        <w:rPr>
          <w:rFonts w:ascii="Times New Roman" w:eastAsia="Arial" w:hAnsi="Times New Roman" w:cs="Times New Roman"/>
          <w:b/>
          <w:bCs/>
          <w:sz w:val="24"/>
          <w:szCs w:val="24"/>
        </w:rPr>
      </w:pPr>
      <w:r w:rsidRPr="00867C2E">
        <w:rPr>
          <w:rFonts w:ascii="Times New Roman" w:eastAsia="Times New Roman" w:hAnsi="Times New Roman" w:cs="Times New Roman"/>
          <w:b/>
          <w:iCs/>
          <w:sz w:val="24"/>
          <w:szCs w:val="24"/>
        </w:rPr>
        <w:t>V. Prescriptori</w:t>
      </w:r>
      <w:r w:rsidRPr="00867C2E">
        <w:rPr>
          <w:rFonts w:ascii="Times New Roman" w:eastAsia="Times New Roman" w:hAnsi="Times New Roman" w:cs="Times New Roman"/>
          <w:iCs/>
          <w:sz w:val="24"/>
          <w:szCs w:val="24"/>
        </w:rPr>
        <w:t xml:space="preserve"> - tratamentul se prescrie şi se monitorizează de către medicii in specialitățile gastroenterologie (toate terapiile), pediatrie (pentru terapiile accesibile copiilor), gastroenterologie pediatrică (pentru terapiile accesibile copiilor), medicina internă (pentru toate terapiile), chirurgie (pentru tratamentul standard) medicina de familie (pentru tratamentul standard la indicaţia medicului specialist) aflaţi în contract cu o casă de asigurări de sănătate.</w:t>
      </w:r>
      <w:r w:rsidRPr="00867C2E">
        <w:rPr>
          <w:rFonts w:ascii="Times New Roman" w:eastAsia="Arial" w:hAnsi="Times New Roman" w:cs="Times New Roman"/>
          <w:bCs/>
          <w:sz w:val="24"/>
          <w:szCs w:val="24"/>
        </w:rPr>
        <w:t>”</w:t>
      </w:r>
    </w:p>
    <w:p w14:paraId="46742AEA" w14:textId="77777777" w:rsidR="00C26280" w:rsidRPr="00867C2E" w:rsidRDefault="00C26280" w:rsidP="00C26280">
      <w:pPr>
        <w:spacing w:line="276" w:lineRule="auto"/>
        <w:ind w:firstLine="720"/>
        <w:jc w:val="both"/>
        <w:rPr>
          <w:rFonts w:ascii="Times New Roman" w:hAnsi="Times New Roman" w:cs="Times New Roman"/>
          <w:sz w:val="24"/>
          <w:szCs w:val="24"/>
        </w:rPr>
      </w:pPr>
    </w:p>
    <w:p w14:paraId="579D9870" w14:textId="77777777" w:rsidR="00C26280" w:rsidRDefault="00C26280" w:rsidP="00C26280">
      <w:pPr>
        <w:autoSpaceDE w:val="0"/>
        <w:autoSpaceDN w:val="0"/>
        <w:adjustRightInd w:val="0"/>
        <w:jc w:val="both"/>
        <w:rPr>
          <w:rFonts w:ascii="Times New Roman" w:eastAsia="Calibri" w:hAnsi="Times New Roman" w:cs="Times New Roman"/>
          <w:sz w:val="24"/>
          <w:szCs w:val="24"/>
        </w:rPr>
      </w:pPr>
    </w:p>
    <w:p w14:paraId="285D4E0A" w14:textId="77777777" w:rsidR="002130FD" w:rsidRDefault="002130FD" w:rsidP="002130FD">
      <w:pPr>
        <w:rPr>
          <w:rFonts w:ascii="Times New Roman" w:eastAsia="Calibri" w:hAnsi="Times New Roman" w:cs="Times New Roman"/>
          <w:b/>
          <w:bCs/>
          <w:sz w:val="24"/>
          <w:szCs w:val="24"/>
          <w:lang w:val="en-US"/>
        </w:rPr>
      </w:pPr>
    </w:p>
    <w:p w14:paraId="53EDDF79" w14:textId="77777777" w:rsidR="00C26280" w:rsidRDefault="00C26280" w:rsidP="002130FD">
      <w:pPr>
        <w:rPr>
          <w:rFonts w:ascii="Times New Roman" w:eastAsia="Calibri" w:hAnsi="Times New Roman" w:cs="Times New Roman"/>
          <w:b/>
          <w:bCs/>
          <w:sz w:val="24"/>
          <w:szCs w:val="24"/>
          <w:lang w:val="en-US"/>
        </w:rPr>
      </w:pPr>
    </w:p>
    <w:p w14:paraId="67A2F62D" w14:textId="77777777" w:rsidR="00C26280" w:rsidRDefault="00C26280" w:rsidP="002130FD">
      <w:pPr>
        <w:rPr>
          <w:rFonts w:ascii="Times New Roman" w:eastAsia="Calibri" w:hAnsi="Times New Roman" w:cs="Times New Roman"/>
          <w:b/>
          <w:bCs/>
          <w:sz w:val="24"/>
          <w:szCs w:val="24"/>
          <w:lang w:val="en-US"/>
        </w:rPr>
      </w:pPr>
    </w:p>
    <w:p w14:paraId="71CB18A7" w14:textId="77777777" w:rsidR="00C26280" w:rsidRDefault="00C26280" w:rsidP="002130FD">
      <w:pPr>
        <w:rPr>
          <w:rFonts w:ascii="Times New Roman" w:eastAsia="Calibri" w:hAnsi="Times New Roman" w:cs="Times New Roman"/>
          <w:b/>
          <w:bCs/>
          <w:sz w:val="24"/>
          <w:szCs w:val="24"/>
          <w:lang w:val="en-US"/>
        </w:rPr>
      </w:pPr>
    </w:p>
    <w:p w14:paraId="177DA59F" w14:textId="77777777" w:rsidR="00C26280" w:rsidRDefault="00C26280" w:rsidP="002130FD">
      <w:pPr>
        <w:rPr>
          <w:rFonts w:ascii="Times New Roman" w:eastAsia="Calibri" w:hAnsi="Times New Roman" w:cs="Times New Roman"/>
          <w:b/>
          <w:bCs/>
          <w:sz w:val="24"/>
          <w:szCs w:val="24"/>
          <w:lang w:val="en-US"/>
        </w:rPr>
      </w:pPr>
    </w:p>
    <w:p w14:paraId="4A478E6A" w14:textId="77777777" w:rsidR="00C26280" w:rsidRDefault="00C26280" w:rsidP="002130FD">
      <w:pPr>
        <w:rPr>
          <w:rFonts w:ascii="Times New Roman" w:eastAsia="Calibri" w:hAnsi="Times New Roman" w:cs="Times New Roman"/>
          <w:b/>
          <w:bCs/>
          <w:sz w:val="24"/>
          <w:szCs w:val="24"/>
          <w:lang w:val="en-US"/>
        </w:rPr>
      </w:pPr>
    </w:p>
    <w:p w14:paraId="362F678D" w14:textId="77777777" w:rsidR="00C26280" w:rsidRDefault="00C26280" w:rsidP="002130FD">
      <w:pPr>
        <w:rPr>
          <w:rFonts w:ascii="Times New Roman" w:eastAsia="Calibri" w:hAnsi="Times New Roman" w:cs="Times New Roman"/>
          <w:b/>
          <w:bCs/>
          <w:sz w:val="24"/>
          <w:szCs w:val="24"/>
          <w:lang w:val="en-US"/>
        </w:rPr>
      </w:pPr>
    </w:p>
    <w:p w14:paraId="53A46D67" w14:textId="77777777" w:rsidR="00C26280" w:rsidRDefault="00C26280" w:rsidP="002130FD">
      <w:pPr>
        <w:rPr>
          <w:rFonts w:ascii="Times New Roman" w:eastAsia="Calibri" w:hAnsi="Times New Roman" w:cs="Times New Roman"/>
          <w:b/>
          <w:bCs/>
          <w:sz w:val="24"/>
          <w:szCs w:val="24"/>
          <w:lang w:val="en-US"/>
        </w:rPr>
      </w:pPr>
    </w:p>
    <w:p w14:paraId="6605F8CF" w14:textId="77777777" w:rsidR="00C26280" w:rsidRDefault="00C26280" w:rsidP="002130FD">
      <w:pPr>
        <w:rPr>
          <w:rFonts w:ascii="Times New Roman" w:eastAsia="Calibri" w:hAnsi="Times New Roman" w:cs="Times New Roman"/>
          <w:b/>
          <w:bCs/>
          <w:sz w:val="24"/>
          <w:szCs w:val="24"/>
          <w:lang w:val="en-US"/>
        </w:rPr>
      </w:pPr>
    </w:p>
    <w:p w14:paraId="0E2708BA" w14:textId="77777777" w:rsidR="00C26280" w:rsidRDefault="00C26280" w:rsidP="002130FD">
      <w:pPr>
        <w:rPr>
          <w:rFonts w:ascii="Times New Roman" w:eastAsia="Calibri" w:hAnsi="Times New Roman" w:cs="Times New Roman"/>
          <w:b/>
          <w:bCs/>
          <w:sz w:val="24"/>
          <w:szCs w:val="24"/>
          <w:lang w:val="en-US"/>
        </w:rPr>
      </w:pPr>
    </w:p>
    <w:p w14:paraId="0A866DCA" w14:textId="77777777" w:rsidR="00C26280" w:rsidRDefault="00C26280" w:rsidP="002130FD">
      <w:pPr>
        <w:rPr>
          <w:rFonts w:ascii="Times New Roman" w:eastAsia="Calibri" w:hAnsi="Times New Roman" w:cs="Times New Roman"/>
          <w:b/>
          <w:bCs/>
          <w:sz w:val="24"/>
          <w:szCs w:val="24"/>
          <w:lang w:val="en-US"/>
        </w:rPr>
      </w:pPr>
    </w:p>
    <w:p w14:paraId="622E83EC" w14:textId="77777777" w:rsidR="00C26280" w:rsidRDefault="00C26280" w:rsidP="002130FD">
      <w:pPr>
        <w:rPr>
          <w:rFonts w:ascii="Times New Roman" w:eastAsia="Calibri" w:hAnsi="Times New Roman" w:cs="Times New Roman"/>
          <w:b/>
          <w:bCs/>
          <w:sz w:val="24"/>
          <w:szCs w:val="24"/>
          <w:lang w:val="en-US"/>
        </w:rPr>
      </w:pPr>
    </w:p>
    <w:p w14:paraId="2D87CEA6" w14:textId="77777777" w:rsidR="00C26280" w:rsidRDefault="00C26280" w:rsidP="002130FD">
      <w:pPr>
        <w:rPr>
          <w:rFonts w:ascii="Times New Roman" w:eastAsia="Calibri" w:hAnsi="Times New Roman" w:cs="Times New Roman"/>
          <w:b/>
          <w:bCs/>
          <w:sz w:val="24"/>
          <w:szCs w:val="24"/>
          <w:lang w:val="en-US"/>
        </w:rPr>
      </w:pPr>
    </w:p>
    <w:p w14:paraId="4E0F8EF2" w14:textId="77777777" w:rsidR="00C26280" w:rsidRDefault="00C26280" w:rsidP="002130FD">
      <w:pPr>
        <w:rPr>
          <w:rFonts w:ascii="Times New Roman" w:eastAsia="Calibri" w:hAnsi="Times New Roman" w:cs="Times New Roman"/>
          <w:b/>
          <w:bCs/>
          <w:sz w:val="24"/>
          <w:szCs w:val="24"/>
          <w:lang w:val="en-US"/>
        </w:rPr>
      </w:pPr>
    </w:p>
    <w:p w14:paraId="45EBAF2F" w14:textId="77777777" w:rsidR="00C26280" w:rsidRDefault="00C26280" w:rsidP="002130FD">
      <w:pPr>
        <w:rPr>
          <w:rFonts w:ascii="Times New Roman" w:eastAsia="Calibri" w:hAnsi="Times New Roman" w:cs="Times New Roman"/>
          <w:b/>
          <w:bCs/>
          <w:sz w:val="24"/>
          <w:szCs w:val="24"/>
          <w:lang w:val="en-US"/>
        </w:rPr>
      </w:pPr>
    </w:p>
    <w:p w14:paraId="7DAC6CAC" w14:textId="77777777" w:rsidR="00C26280" w:rsidRDefault="00C26280" w:rsidP="002130FD">
      <w:pPr>
        <w:rPr>
          <w:rFonts w:ascii="Times New Roman" w:eastAsia="Calibri" w:hAnsi="Times New Roman" w:cs="Times New Roman"/>
          <w:b/>
          <w:bCs/>
          <w:sz w:val="24"/>
          <w:szCs w:val="24"/>
          <w:lang w:val="en-US"/>
        </w:rPr>
      </w:pPr>
    </w:p>
    <w:p w14:paraId="610D8D57" w14:textId="77777777" w:rsidR="009961F1" w:rsidRPr="002130FD" w:rsidRDefault="009961F1" w:rsidP="002130FD">
      <w:pPr>
        <w:rPr>
          <w:rFonts w:ascii="Calibri" w:eastAsia="Calibri" w:hAnsi="Calibri" w:cs="Times New Roman"/>
        </w:rPr>
      </w:pPr>
    </w:p>
    <w:p w14:paraId="31ABD336" w14:textId="718ED462" w:rsidR="00A42AE3" w:rsidRPr="00300738" w:rsidRDefault="00A42AE3" w:rsidP="00C26280">
      <w:pPr>
        <w:pStyle w:val="ListParagraph"/>
        <w:numPr>
          <w:ilvl w:val="0"/>
          <w:numId w:val="9"/>
        </w:numPr>
        <w:tabs>
          <w:tab w:val="left" w:pos="426"/>
        </w:tabs>
        <w:jc w:val="both"/>
        <w:rPr>
          <w:rFonts w:eastAsia="Arial"/>
          <w:b/>
          <w:bCs/>
          <w:color w:val="FF0000"/>
          <w:lang w:val="en-US"/>
        </w:rPr>
      </w:pPr>
      <w:r w:rsidRPr="00300738">
        <w:rPr>
          <w:rFonts w:eastAsia="Arial"/>
          <w:b/>
          <w:bCs/>
          <w:color w:val="FF0000"/>
          <w:lang w:val="en-US"/>
        </w:rPr>
        <w:lastRenderedPageBreak/>
        <w:t>La anexa nr. 2, protocolul terapeutic corespunzător poziţiei nr. 16 cod (L040M): ARTROPATIA PSORIAZICĂ - AGENŢI BIOLOGICI: ADALIMUMABUM</w:t>
      </w:r>
      <w:r w:rsidRPr="00300738">
        <w:rPr>
          <w:rFonts w:eastAsia="Arial"/>
          <w:b/>
          <w:bCs/>
          <w:color w:val="FF0000"/>
          <w:vertAlign w:val="superscript"/>
          <w:lang w:val="en-US"/>
        </w:rPr>
        <w:t>**1</w:t>
      </w:r>
      <w:r w:rsidRPr="00300738">
        <w:rPr>
          <w:rFonts w:eastAsia="Arial"/>
          <w:b/>
          <w:bCs/>
          <w:color w:val="FF0000"/>
          <w:lang w:val="en-US"/>
        </w:rPr>
        <w:t xml:space="preserve"> (ORIGINAL ŞI BIOSIMILAR), CERTOLIZUMABUM</w:t>
      </w:r>
      <w:r w:rsidRPr="00300738">
        <w:rPr>
          <w:rFonts w:eastAsia="Arial"/>
          <w:b/>
          <w:bCs/>
          <w:color w:val="FF0000"/>
          <w:vertAlign w:val="superscript"/>
          <w:lang w:val="en-US"/>
        </w:rPr>
        <w:t>**1</w:t>
      </w:r>
      <w:r w:rsidRPr="00300738">
        <w:rPr>
          <w:rFonts w:eastAsia="Arial"/>
          <w:b/>
          <w:bCs/>
          <w:color w:val="FF0000"/>
          <w:lang w:val="en-US"/>
        </w:rPr>
        <w:t>, ETANERCEPTUM</w:t>
      </w:r>
      <w:r w:rsidRPr="00300738">
        <w:rPr>
          <w:rFonts w:eastAsia="Arial"/>
          <w:b/>
          <w:bCs/>
          <w:color w:val="FF0000"/>
          <w:vertAlign w:val="superscript"/>
          <w:lang w:val="en-US"/>
        </w:rPr>
        <w:t>**1</w:t>
      </w:r>
      <w:r w:rsidRPr="00300738">
        <w:rPr>
          <w:rFonts w:eastAsia="Arial"/>
          <w:b/>
          <w:bCs/>
          <w:color w:val="FF0000"/>
          <w:lang w:val="en-US"/>
        </w:rPr>
        <w:t xml:space="preserve"> (ORIGINAL ŞI BIOSIMILAR), GOLIMUMABUM</w:t>
      </w:r>
      <w:r w:rsidRPr="00300738">
        <w:rPr>
          <w:rFonts w:eastAsia="Arial"/>
          <w:b/>
          <w:bCs/>
          <w:color w:val="FF0000"/>
          <w:vertAlign w:val="superscript"/>
          <w:lang w:val="en-US"/>
        </w:rPr>
        <w:t>**1</w:t>
      </w:r>
      <w:r w:rsidRPr="00300738">
        <w:rPr>
          <w:rFonts w:eastAsia="Arial"/>
          <w:b/>
          <w:bCs/>
          <w:color w:val="FF0000"/>
          <w:lang w:val="en-US"/>
        </w:rPr>
        <w:t>, INFLIXIMABUM</w:t>
      </w:r>
      <w:r w:rsidRPr="00300738">
        <w:rPr>
          <w:rFonts w:eastAsia="Arial"/>
          <w:b/>
          <w:bCs/>
          <w:color w:val="FF0000"/>
          <w:vertAlign w:val="superscript"/>
          <w:lang w:val="en-US"/>
        </w:rPr>
        <w:t>**1</w:t>
      </w:r>
      <w:r w:rsidRPr="00300738">
        <w:rPr>
          <w:rFonts w:eastAsia="Arial"/>
          <w:b/>
          <w:bCs/>
          <w:color w:val="FF0000"/>
          <w:lang w:val="en-US"/>
        </w:rPr>
        <w:t xml:space="preserve"> (ORIGINAL ŞI BIOSIMILAR), SECUKINUMABUM</w:t>
      </w:r>
      <w:r w:rsidRPr="00300738">
        <w:rPr>
          <w:rFonts w:eastAsia="Arial"/>
          <w:b/>
          <w:bCs/>
          <w:color w:val="FF0000"/>
          <w:vertAlign w:val="superscript"/>
          <w:lang w:val="en-US"/>
        </w:rPr>
        <w:t>**1</w:t>
      </w:r>
      <w:r w:rsidRPr="00300738">
        <w:rPr>
          <w:rFonts w:eastAsia="Arial"/>
          <w:b/>
          <w:bCs/>
          <w:color w:val="FF0000"/>
          <w:lang w:val="en-US"/>
        </w:rPr>
        <w:t>, IXEKIZUMABUM</w:t>
      </w:r>
      <w:r w:rsidRPr="00300738">
        <w:rPr>
          <w:rFonts w:eastAsia="Arial"/>
          <w:b/>
          <w:bCs/>
          <w:color w:val="FF0000"/>
          <w:vertAlign w:val="superscript"/>
          <w:lang w:val="en-US"/>
        </w:rPr>
        <w:t>**1</w:t>
      </w:r>
      <w:r w:rsidRPr="00300738">
        <w:rPr>
          <w:rFonts w:eastAsia="Arial"/>
          <w:b/>
          <w:bCs/>
          <w:color w:val="FF0000"/>
          <w:lang w:val="en-US"/>
        </w:rPr>
        <w:t>, GUSELKUMABUM</w:t>
      </w:r>
      <w:r w:rsidRPr="00300738">
        <w:rPr>
          <w:rFonts w:eastAsia="Arial"/>
          <w:b/>
          <w:bCs/>
          <w:color w:val="FF0000"/>
          <w:vertAlign w:val="superscript"/>
          <w:lang w:val="en-US"/>
        </w:rPr>
        <w:t>**1Ω</w:t>
      </w:r>
      <w:r w:rsidRPr="00300738">
        <w:rPr>
          <w:rFonts w:eastAsia="Arial"/>
          <w:b/>
          <w:bCs/>
          <w:color w:val="FF0000"/>
          <w:lang w:val="en-US"/>
        </w:rPr>
        <w:t xml:space="preserve"> ŞI REMISIVE SINTETICE ŢINTITE (ts - DMARDs): TOFACITINIB</w:t>
      </w:r>
      <w:r w:rsidRPr="00300738">
        <w:rPr>
          <w:rFonts w:eastAsia="Arial"/>
          <w:b/>
          <w:bCs/>
          <w:color w:val="FF0000"/>
          <w:vertAlign w:val="superscript"/>
          <w:lang w:val="en-US"/>
        </w:rPr>
        <w:t>**1</w:t>
      </w:r>
      <w:r w:rsidRPr="00300738">
        <w:rPr>
          <w:rFonts w:eastAsia="Arial"/>
          <w:b/>
          <w:bCs/>
          <w:color w:val="FF0000"/>
          <w:lang w:val="en-US"/>
        </w:rPr>
        <w:t xml:space="preserve"> se modifică și se înlocuiește cu următorul protocol:</w:t>
      </w:r>
    </w:p>
    <w:p w14:paraId="27D28E58" w14:textId="77777777" w:rsidR="00A42AE3" w:rsidRPr="0049126A" w:rsidRDefault="00A42AE3" w:rsidP="00A42AE3">
      <w:pPr>
        <w:pStyle w:val="ListParagraph"/>
        <w:tabs>
          <w:tab w:val="left" w:pos="426"/>
        </w:tabs>
        <w:jc w:val="both"/>
        <w:rPr>
          <w:rFonts w:eastAsia="Arial"/>
          <w:b/>
          <w:bCs/>
          <w:color w:val="auto"/>
          <w:lang w:val="en-US"/>
        </w:rPr>
      </w:pPr>
    </w:p>
    <w:p w14:paraId="728C3438" w14:textId="77777777" w:rsidR="00300738" w:rsidRPr="00300738" w:rsidRDefault="00300738" w:rsidP="00300738">
      <w:pPr>
        <w:autoSpaceDE w:val="0"/>
        <w:autoSpaceDN w:val="0"/>
        <w:adjustRightInd w:val="0"/>
        <w:jc w:val="both"/>
        <w:rPr>
          <w:rFonts w:ascii="Times New Roman" w:eastAsia="Times New Roman" w:hAnsi="Times New Roman" w:cs="Times New Roman"/>
          <w:iCs/>
          <w:sz w:val="24"/>
          <w:szCs w:val="24"/>
          <w:vertAlign w:val="superscript"/>
          <w:lang w:eastAsia="ro-RO"/>
        </w:rPr>
      </w:pPr>
      <w:r w:rsidRPr="00300738">
        <w:rPr>
          <w:rFonts w:ascii="Times New Roman" w:eastAsia="Arial" w:hAnsi="Times New Roman" w:cs="Times New Roman"/>
          <w:b/>
          <w:bCs/>
          <w:sz w:val="24"/>
          <w:szCs w:val="24"/>
        </w:rPr>
        <w:t>”</w:t>
      </w:r>
      <w:r w:rsidRPr="00300738">
        <w:rPr>
          <w:rFonts w:ascii="Times New Roman" w:eastAsia="Arial" w:hAnsi="Times New Roman" w:cs="Times New Roman"/>
          <w:b/>
          <w:bCs/>
          <w:sz w:val="24"/>
          <w:szCs w:val="24"/>
          <w:lang w:eastAsia="ro-RO"/>
        </w:rPr>
        <w:t>Protocol terapeutic corespunzător poziției nr. 16 cod (L040M): ARTRITA PSORIAZICĂ – AGENŢI BIOLOGICI: ADALIMUMABUM</w:t>
      </w:r>
      <w:r w:rsidRPr="00300738">
        <w:rPr>
          <w:rFonts w:ascii="Times New Roman" w:eastAsia="Arial" w:hAnsi="Times New Roman" w:cs="Times New Roman"/>
          <w:b/>
          <w:bCs/>
          <w:sz w:val="24"/>
          <w:szCs w:val="24"/>
          <w:vertAlign w:val="superscript"/>
          <w:lang w:eastAsia="ro-RO"/>
        </w:rPr>
        <w:t>**1</w:t>
      </w:r>
      <w:r w:rsidRPr="00300738">
        <w:rPr>
          <w:rFonts w:ascii="Times New Roman" w:eastAsia="Arial" w:hAnsi="Times New Roman" w:cs="Times New Roman"/>
          <w:b/>
          <w:bCs/>
          <w:sz w:val="24"/>
          <w:szCs w:val="24"/>
          <w:lang w:eastAsia="ro-RO"/>
        </w:rPr>
        <w:t xml:space="preserve"> (ORIGINAL ŞI BIOSIMILAR), CERTOLIZUMABUM</w:t>
      </w:r>
      <w:r w:rsidRPr="00300738">
        <w:rPr>
          <w:rFonts w:ascii="Times New Roman" w:eastAsia="Arial" w:hAnsi="Times New Roman" w:cs="Times New Roman"/>
          <w:b/>
          <w:bCs/>
          <w:sz w:val="24"/>
          <w:szCs w:val="24"/>
          <w:vertAlign w:val="superscript"/>
          <w:lang w:eastAsia="ro-RO"/>
        </w:rPr>
        <w:t>**1</w:t>
      </w:r>
      <w:r w:rsidRPr="00300738">
        <w:rPr>
          <w:rFonts w:ascii="Times New Roman" w:eastAsia="Arial" w:hAnsi="Times New Roman" w:cs="Times New Roman"/>
          <w:b/>
          <w:bCs/>
          <w:sz w:val="24"/>
          <w:szCs w:val="24"/>
          <w:lang w:eastAsia="ro-RO"/>
        </w:rPr>
        <w:t>, ETANERCEPTUM</w:t>
      </w:r>
      <w:r w:rsidRPr="00300738">
        <w:rPr>
          <w:rFonts w:ascii="Times New Roman" w:eastAsia="Arial" w:hAnsi="Times New Roman" w:cs="Times New Roman"/>
          <w:b/>
          <w:bCs/>
          <w:sz w:val="24"/>
          <w:szCs w:val="24"/>
          <w:vertAlign w:val="superscript"/>
          <w:lang w:eastAsia="ro-RO"/>
        </w:rPr>
        <w:t>**1</w:t>
      </w:r>
      <w:r w:rsidRPr="00300738">
        <w:rPr>
          <w:rFonts w:ascii="Times New Roman" w:eastAsia="Arial" w:hAnsi="Times New Roman" w:cs="Times New Roman"/>
          <w:b/>
          <w:bCs/>
          <w:sz w:val="24"/>
          <w:szCs w:val="24"/>
          <w:lang w:eastAsia="ro-RO"/>
        </w:rPr>
        <w:t xml:space="preserve"> (ORIGINAL ŞI BIOSIMILAR), GOLIMUMABUM</w:t>
      </w:r>
      <w:r w:rsidRPr="00300738">
        <w:rPr>
          <w:rFonts w:ascii="Times New Roman" w:eastAsia="Arial" w:hAnsi="Times New Roman" w:cs="Times New Roman"/>
          <w:b/>
          <w:bCs/>
          <w:sz w:val="24"/>
          <w:szCs w:val="24"/>
          <w:vertAlign w:val="superscript"/>
          <w:lang w:eastAsia="ro-RO"/>
        </w:rPr>
        <w:t>**1</w:t>
      </w:r>
      <w:r w:rsidRPr="00300738">
        <w:rPr>
          <w:rFonts w:ascii="Times New Roman" w:eastAsia="Arial" w:hAnsi="Times New Roman" w:cs="Times New Roman"/>
          <w:b/>
          <w:bCs/>
          <w:sz w:val="24"/>
          <w:szCs w:val="24"/>
          <w:lang w:eastAsia="ro-RO"/>
        </w:rPr>
        <w:t>, INFLIXIMABUM</w:t>
      </w:r>
      <w:r w:rsidRPr="00300738">
        <w:rPr>
          <w:rFonts w:ascii="Times New Roman" w:eastAsia="Arial" w:hAnsi="Times New Roman" w:cs="Times New Roman"/>
          <w:b/>
          <w:bCs/>
          <w:sz w:val="24"/>
          <w:szCs w:val="24"/>
          <w:vertAlign w:val="superscript"/>
          <w:lang w:eastAsia="ro-RO"/>
        </w:rPr>
        <w:t>**1</w:t>
      </w:r>
      <w:r w:rsidRPr="00300738">
        <w:rPr>
          <w:rFonts w:ascii="Times New Roman" w:eastAsia="Arial" w:hAnsi="Times New Roman" w:cs="Times New Roman"/>
          <w:b/>
          <w:bCs/>
          <w:sz w:val="24"/>
          <w:szCs w:val="24"/>
          <w:lang w:eastAsia="ro-RO"/>
        </w:rPr>
        <w:t xml:space="preserve"> (ORIGINAL ŞI BIOSIMILAR), SECUKINUMABUM</w:t>
      </w:r>
      <w:r w:rsidRPr="00300738">
        <w:rPr>
          <w:rFonts w:ascii="Times New Roman" w:eastAsia="Arial" w:hAnsi="Times New Roman" w:cs="Times New Roman"/>
          <w:b/>
          <w:bCs/>
          <w:sz w:val="24"/>
          <w:szCs w:val="24"/>
          <w:vertAlign w:val="superscript"/>
          <w:lang w:eastAsia="ro-RO"/>
        </w:rPr>
        <w:t>**1</w:t>
      </w:r>
      <w:r w:rsidRPr="00300738">
        <w:rPr>
          <w:rFonts w:ascii="Times New Roman" w:eastAsia="Arial" w:hAnsi="Times New Roman" w:cs="Times New Roman"/>
          <w:b/>
          <w:bCs/>
          <w:sz w:val="24"/>
          <w:szCs w:val="24"/>
          <w:lang w:eastAsia="ro-RO"/>
        </w:rPr>
        <w:t>, IXEKIZUMABUM</w:t>
      </w:r>
      <w:r w:rsidRPr="00300738">
        <w:rPr>
          <w:rFonts w:ascii="Times New Roman" w:eastAsia="Arial" w:hAnsi="Times New Roman" w:cs="Times New Roman"/>
          <w:b/>
          <w:bCs/>
          <w:sz w:val="24"/>
          <w:szCs w:val="24"/>
          <w:vertAlign w:val="superscript"/>
          <w:lang w:eastAsia="ro-RO"/>
        </w:rPr>
        <w:t>**1</w:t>
      </w:r>
      <w:r w:rsidRPr="00300738">
        <w:rPr>
          <w:rFonts w:ascii="Times New Roman" w:eastAsia="Arial" w:hAnsi="Times New Roman" w:cs="Times New Roman"/>
          <w:b/>
          <w:bCs/>
          <w:sz w:val="24"/>
          <w:szCs w:val="24"/>
          <w:lang w:eastAsia="ro-RO"/>
        </w:rPr>
        <w:t>, GUSELKUMABUM</w:t>
      </w:r>
      <w:r w:rsidRPr="00300738">
        <w:rPr>
          <w:rFonts w:ascii="Times New Roman" w:eastAsia="Arial" w:hAnsi="Times New Roman" w:cs="Times New Roman"/>
          <w:b/>
          <w:bCs/>
          <w:sz w:val="24"/>
          <w:szCs w:val="24"/>
          <w:vertAlign w:val="superscript"/>
          <w:lang w:eastAsia="ro-RO"/>
        </w:rPr>
        <w:t>**1</w:t>
      </w:r>
      <w:r w:rsidRPr="00300738">
        <w:rPr>
          <w:rFonts w:ascii="Times New Roman" w:eastAsia="Arial" w:hAnsi="Times New Roman" w:cs="Times New Roman"/>
          <w:b/>
          <w:bCs/>
          <w:sz w:val="24"/>
          <w:szCs w:val="24"/>
          <w:vertAlign w:val="superscript"/>
          <w:lang w:val="en-US" w:eastAsia="ro-RO"/>
        </w:rPr>
        <w:t>Ω</w:t>
      </w:r>
      <w:r w:rsidRPr="00300738">
        <w:rPr>
          <w:rFonts w:ascii="Times New Roman" w:eastAsia="Arial" w:hAnsi="Times New Roman" w:cs="Times New Roman"/>
          <w:b/>
          <w:bCs/>
          <w:sz w:val="24"/>
          <w:szCs w:val="24"/>
          <w:lang w:eastAsia="ro-RO"/>
        </w:rPr>
        <w:t xml:space="preserve"> ŞI REMISIVE SINTETICE ŢINTITE (ts-DMARDs): TOFACITINIB</w:t>
      </w:r>
      <w:r w:rsidRPr="00300738">
        <w:rPr>
          <w:rFonts w:ascii="Times New Roman" w:eastAsia="Arial" w:hAnsi="Times New Roman" w:cs="Times New Roman"/>
          <w:b/>
          <w:bCs/>
          <w:sz w:val="24"/>
          <w:szCs w:val="24"/>
          <w:vertAlign w:val="superscript"/>
          <w:lang w:eastAsia="ro-RO"/>
        </w:rPr>
        <w:t>**1</w:t>
      </w:r>
      <w:r w:rsidRPr="00300738">
        <w:rPr>
          <w:rFonts w:ascii="Times New Roman" w:eastAsia="Arial" w:hAnsi="Times New Roman" w:cs="Times New Roman"/>
          <w:b/>
          <w:bCs/>
          <w:sz w:val="24"/>
          <w:szCs w:val="24"/>
          <w:vertAlign w:val="superscript"/>
          <w:lang w:val="en-US" w:eastAsia="ro-RO"/>
        </w:rPr>
        <w:t>Ω</w:t>
      </w:r>
      <w:r w:rsidRPr="00300738">
        <w:rPr>
          <w:rFonts w:ascii="Times New Roman" w:eastAsia="Arial" w:hAnsi="Times New Roman" w:cs="Times New Roman"/>
          <w:b/>
          <w:bCs/>
          <w:sz w:val="24"/>
          <w:szCs w:val="24"/>
          <w:lang w:eastAsia="ro-RO"/>
        </w:rPr>
        <w:t>, UPADACITINIB</w:t>
      </w:r>
      <w:r w:rsidRPr="00300738">
        <w:rPr>
          <w:rFonts w:ascii="Times New Roman" w:eastAsia="Arial" w:hAnsi="Times New Roman" w:cs="Times New Roman"/>
          <w:b/>
          <w:bCs/>
          <w:sz w:val="24"/>
          <w:szCs w:val="24"/>
          <w:vertAlign w:val="superscript"/>
          <w:lang w:eastAsia="ro-RO"/>
        </w:rPr>
        <w:t>**1</w:t>
      </w:r>
      <w:r w:rsidRPr="00300738">
        <w:rPr>
          <w:rFonts w:ascii="Times New Roman" w:eastAsia="Arial" w:hAnsi="Times New Roman" w:cs="Times New Roman"/>
          <w:b/>
          <w:bCs/>
          <w:sz w:val="24"/>
          <w:szCs w:val="24"/>
          <w:lang w:eastAsia="ro-RO"/>
        </w:rPr>
        <w:t>, APREMILASTUM</w:t>
      </w:r>
      <w:r w:rsidRPr="00300738">
        <w:rPr>
          <w:rFonts w:ascii="Times New Roman" w:eastAsia="Arial" w:hAnsi="Times New Roman" w:cs="Times New Roman"/>
          <w:b/>
          <w:bCs/>
          <w:sz w:val="24"/>
          <w:szCs w:val="24"/>
          <w:vertAlign w:val="superscript"/>
          <w:lang w:eastAsia="ro-RO"/>
        </w:rPr>
        <w:t>**1</w:t>
      </w:r>
      <w:r w:rsidRPr="00300738">
        <w:rPr>
          <w:rFonts w:ascii="Times New Roman" w:eastAsia="Arial" w:hAnsi="Times New Roman" w:cs="Times New Roman"/>
          <w:b/>
          <w:bCs/>
          <w:sz w:val="24"/>
          <w:szCs w:val="24"/>
          <w:vertAlign w:val="superscript"/>
          <w:lang w:val="en-US" w:eastAsia="ro-RO"/>
        </w:rPr>
        <w:t>Ω</w:t>
      </w:r>
    </w:p>
    <w:p w14:paraId="07BC47BA"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
    <w:p w14:paraId="5D1855F4"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300738">
        <w:rPr>
          <w:rFonts w:ascii="Times New Roman" w:eastAsia="Times New Roman" w:hAnsi="Times New Roman" w:cs="Times New Roman"/>
          <w:b/>
          <w:bCs/>
          <w:sz w:val="24"/>
          <w:szCs w:val="24"/>
          <w:lang w:val="x-none" w:eastAsia="ro-RO"/>
        </w:rPr>
        <w:t>I. Definiţia afecţiunii/Factori de prognostic nefavorabil</w:t>
      </w:r>
    </w:p>
    <w:p w14:paraId="09A65201"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Artr</w:t>
      </w:r>
      <w:r w:rsidRPr="00300738">
        <w:rPr>
          <w:rFonts w:ascii="Times New Roman" w:eastAsia="Times New Roman" w:hAnsi="Times New Roman" w:cs="Times New Roman"/>
          <w:sz w:val="24"/>
          <w:szCs w:val="24"/>
          <w:lang w:eastAsia="ro-RO"/>
        </w:rPr>
        <w:t>ita</w:t>
      </w:r>
      <w:r w:rsidRPr="00300738">
        <w:rPr>
          <w:rFonts w:ascii="Times New Roman" w:eastAsia="Times New Roman" w:hAnsi="Times New Roman" w:cs="Times New Roman"/>
          <w:sz w:val="24"/>
          <w:szCs w:val="24"/>
          <w:lang w:val="x-none" w:eastAsia="ro-RO"/>
        </w:rPr>
        <w:t xml:space="preserve"> psoriazică (AP) este o artropatie inflamatoare cu prevalenţa cuprinsă între 0,1 şi 1% ce apare la aproximativ o treime din bolnavii afectaţi de psoriazis, având o distribuţie egală între sexe. AP este recunoscută a avea potenţial eroziv şi distructiv la aproximativ 40 - 60% din pacienţi, cu o evoluţie progresivă încă din primul an de la diagnostic. Asemănător cu artrita reumatoidă, artrita psoriazică poate produce leziuni articulare cronice, deficit funcţional şi un exces de mortalitate, cu costuri medicale şi sociale semnificative.</w:t>
      </w:r>
    </w:p>
    <w:p w14:paraId="4CA4941B"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Diagnosticul cert de AP este realizat cu ajutorul criteriilor CASPAR (Classification criteria for Psoriatic Arthritis), conform căruia pacientul trebuie să aibă boală inflamatoare articulară (articulaţii, coloană vertebrală sau enteze) şi cel puţin 3 puncte din următoarele 5 categorii:</w:t>
      </w:r>
    </w:p>
    <w:p w14:paraId="60D29BEF" w14:textId="77777777" w:rsidR="00300738" w:rsidRPr="00300738" w:rsidRDefault="00300738" w:rsidP="002161CA">
      <w:pPr>
        <w:numPr>
          <w:ilvl w:val="1"/>
          <w:numId w:val="17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psoriazis (manifest, istoric personal, istoric familial);</w:t>
      </w:r>
    </w:p>
    <w:p w14:paraId="0AB50EA6" w14:textId="77777777" w:rsidR="00300738" w:rsidRPr="00300738" w:rsidRDefault="00300738" w:rsidP="002161CA">
      <w:pPr>
        <w:numPr>
          <w:ilvl w:val="1"/>
          <w:numId w:val="17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dactilită;</w:t>
      </w:r>
    </w:p>
    <w:p w14:paraId="5EFF9C38" w14:textId="77777777" w:rsidR="00300738" w:rsidRPr="00300738" w:rsidRDefault="00300738" w:rsidP="002161CA">
      <w:pPr>
        <w:numPr>
          <w:ilvl w:val="1"/>
          <w:numId w:val="17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reacţii osoase juxta-articulare - periostită (evidenţiate radiografic la nivelul mâinilor şi picioarelor);</w:t>
      </w:r>
    </w:p>
    <w:p w14:paraId="0F18E6BD" w14:textId="77777777" w:rsidR="00300738" w:rsidRPr="00300738" w:rsidRDefault="00300738" w:rsidP="002161CA">
      <w:pPr>
        <w:numPr>
          <w:ilvl w:val="1"/>
          <w:numId w:val="17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absenţa factorului reumatoid;</w:t>
      </w:r>
    </w:p>
    <w:p w14:paraId="4958A4B2" w14:textId="77777777" w:rsidR="00300738" w:rsidRPr="00300738" w:rsidRDefault="00300738" w:rsidP="002161CA">
      <w:pPr>
        <w:numPr>
          <w:ilvl w:val="1"/>
          <w:numId w:val="17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distrofie unghială.</w:t>
      </w:r>
    </w:p>
    <w:p w14:paraId="68B317CE"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39A51D31"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Artrita definită periferică poate avea următoarele forme clinice:</w:t>
      </w:r>
    </w:p>
    <w:p w14:paraId="0E5DB519" w14:textId="77777777" w:rsidR="00300738" w:rsidRPr="00300738" w:rsidRDefault="00300738" w:rsidP="002161CA">
      <w:pPr>
        <w:numPr>
          <w:ilvl w:val="0"/>
          <w:numId w:val="18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oligo-artrita asimetrică;</w:t>
      </w:r>
    </w:p>
    <w:p w14:paraId="3BF940D2" w14:textId="77777777" w:rsidR="00300738" w:rsidRPr="00300738" w:rsidRDefault="00300738" w:rsidP="002161CA">
      <w:pPr>
        <w:numPr>
          <w:ilvl w:val="0"/>
          <w:numId w:val="18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poliartrita simetrică;</w:t>
      </w:r>
    </w:p>
    <w:p w14:paraId="64388FBA" w14:textId="77777777" w:rsidR="00300738" w:rsidRPr="00300738" w:rsidRDefault="00300738" w:rsidP="002161CA">
      <w:pPr>
        <w:numPr>
          <w:ilvl w:val="0"/>
          <w:numId w:val="18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artrita IFD;</w:t>
      </w:r>
    </w:p>
    <w:p w14:paraId="68EED1CC" w14:textId="77777777" w:rsidR="00300738" w:rsidRPr="00300738" w:rsidRDefault="00300738" w:rsidP="002161CA">
      <w:pPr>
        <w:numPr>
          <w:ilvl w:val="0"/>
          <w:numId w:val="18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artrita mutilantă.</w:t>
      </w:r>
    </w:p>
    <w:p w14:paraId="2CF36949"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111AD7C2"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Afectarea axială în AP cuprinde una din următoarele manifestări:</w:t>
      </w:r>
    </w:p>
    <w:p w14:paraId="4DD3F6D5" w14:textId="77777777" w:rsidR="00300738" w:rsidRPr="00300738" w:rsidRDefault="00300738" w:rsidP="002161CA">
      <w:pPr>
        <w:numPr>
          <w:ilvl w:val="0"/>
          <w:numId w:val="18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sacroiliita;</w:t>
      </w:r>
    </w:p>
    <w:p w14:paraId="57B11C8C" w14:textId="77777777" w:rsidR="00300738" w:rsidRPr="00300738" w:rsidRDefault="00300738" w:rsidP="002161CA">
      <w:pPr>
        <w:numPr>
          <w:ilvl w:val="0"/>
          <w:numId w:val="18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spondilita;</w:t>
      </w:r>
    </w:p>
    <w:p w14:paraId="40A11887" w14:textId="77777777" w:rsidR="00300738" w:rsidRPr="00300738" w:rsidRDefault="00300738" w:rsidP="002161CA">
      <w:pPr>
        <w:numPr>
          <w:ilvl w:val="0"/>
          <w:numId w:val="18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entezita ahiliană.</w:t>
      </w:r>
    </w:p>
    <w:p w14:paraId="7F36BB92"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71C6C9A5"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În aprecierea potenţialului evolutiv al bolii sunt evaluaţi următorii factori de prognostic nefavorabil:</w:t>
      </w:r>
    </w:p>
    <w:p w14:paraId="7232B7A6" w14:textId="77777777" w:rsidR="00300738" w:rsidRPr="00300738" w:rsidRDefault="00300738" w:rsidP="002161CA">
      <w:pPr>
        <w:numPr>
          <w:ilvl w:val="0"/>
          <w:numId w:val="18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numărul mare de articulaţii activ afectate (&gt; 5 articulaţii </w:t>
      </w:r>
      <w:r w:rsidRPr="00300738">
        <w:rPr>
          <w:rFonts w:ascii="Times New Roman" w:eastAsia="Times New Roman" w:hAnsi="Times New Roman" w:cs="Times New Roman"/>
          <w:sz w:val="24"/>
          <w:szCs w:val="24"/>
          <w:lang w:val="fr-FR" w:eastAsia="ro-RO"/>
        </w:rPr>
        <w:t xml:space="preserve">dureroase sau </w:t>
      </w:r>
      <w:r w:rsidRPr="00300738">
        <w:rPr>
          <w:rFonts w:ascii="Times New Roman" w:eastAsia="Times New Roman" w:hAnsi="Times New Roman" w:cs="Times New Roman"/>
          <w:sz w:val="24"/>
          <w:szCs w:val="24"/>
          <w:lang w:val="x-none" w:eastAsia="ro-RO"/>
        </w:rPr>
        <w:t>tumefiate);</w:t>
      </w:r>
    </w:p>
    <w:p w14:paraId="1EBC4D20" w14:textId="77777777" w:rsidR="00300738" w:rsidRPr="00300738" w:rsidRDefault="00300738" w:rsidP="002161CA">
      <w:pPr>
        <w:numPr>
          <w:ilvl w:val="0"/>
          <w:numId w:val="18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valori mari ale reactanţilor de fază acută: PCR/VSH (PCR de peste 5 ori limita superioară a normalului determinată cantitativ </w:t>
      </w:r>
      <w:r w:rsidRPr="00300738">
        <w:rPr>
          <w:rFonts w:ascii="Times New Roman" w:eastAsia="Times New Roman" w:hAnsi="Times New Roman" w:cs="Times New Roman"/>
          <w:sz w:val="24"/>
          <w:szCs w:val="24"/>
          <w:lang w:val="it-IT" w:eastAsia="ro-RO"/>
        </w:rPr>
        <w:t>sau</w:t>
      </w:r>
      <w:r w:rsidRPr="00300738">
        <w:rPr>
          <w:rFonts w:ascii="Times New Roman" w:eastAsia="Times New Roman" w:hAnsi="Times New Roman" w:cs="Times New Roman"/>
          <w:sz w:val="24"/>
          <w:szCs w:val="24"/>
          <w:lang w:val="x-none" w:eastAsia="ro-RO"/>
        </w:rPr>
        <w:t xml:space="preserve"> VSH &gt; 50 mm/h);</w:t>
      </w:r>
    </w:p>
    <w:p w14:paraId="38E774CE" w14:textId="77777777" w:rsidR="00300738" w:rsidRPr="00300738" w:rsidRDefault="00300738" w:rsidP="002161CA">
      <w:pPr>
        <w:numPr>
          <w:ilvl w:val="0"/>
          <w:numId w:val="18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modificări distructive/erozive osteo-articulare evidenţiate radiologic</w:t>
      </w:r>
      <w:r w:rsidRPr="00300738">
        <w:rPr>
          <w:rFonts w:ascii="Times New Roman" w:eastAsia="Times New Roman" w:hAnsi="Times New Roman" w:cs="Times New Roman"/>
          <w:sz w:val="24"/>
          <w:szCs w:val="24"/>
          <w:lang w:val="it-IT" w:eastAsia="ro-RO"/>
        </w:rPr>
        <w:t xml:space="preserve"> sau ultrasonografic, prezenta entezitei active la ultrasonografie</w:t>
      </w:r>
      <w:r w:rsidRPr="00300738">
        <w:rPr>
          <w:rFonts w:ascii="Times New Roman" w:eastAsia="Times New Roman" w:hAnsi="Times New Roman" w:cs="Times New Roman"/>
          <w:sz w:val="24"/>
          <w:szCs w:val="24"/>
          <w:lang w:val="x-none" w:eastAsia="ro-RO"/>
        </w:rPr>
        <w:t>;</w:t>
      </w:r>
    </w:p>
    <w:p w14:paraId="2278D4CF" w14:textId="77777777" w:rsidR="00300738" w:rsidRPr="00300738" w:rsidRDefault="00300738" w:rsidP="002161CA">
      <w:pPr>
        <w:numPr>
          <w:ilvl w:val="0"/>
          <w:numId w:val="18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prezenţa manifestărilor extra-articulare (în special dactilită</w:t>
      </w:r>
      <w:r w:rsidRPr="00300738">
        <w:rPr>
          <w:rFonts w:ascii="Times New Roman" w:eastAsia="Times New Roman" w:hAnsi="Times New Roman" w:cs="Times New Roman"/>
          <w:sz w:val="24"/>
          <w:szCs w:val="24"/>
          <w:lang w:val="en-US" w:eastAsia="ro-RO"/>
        </w:rPr>
        <w:t>, afectare unghial</w:t>
      </w:r>
      <w:r w:rsidRPr="00300738">
        <w:rPr>
          <w:rFonts w:ascii="Times New Roman" w:eastAsia="Times New Roman" w:hAnsi="Times New Roman" w:cs="Times New Roman"/>
          <w:sz w:val="24"/>
          <w:szCs w:val="24"/>
          <w:lang w:eastAsia="ro-RO"/>
        </w:rPr>
        <w:t>ă, psoriazis cutanat sau unghial sever, uveita</w:t>
      </w:r>
      <w:r w:rsidRPr="00300738">
        <w:rPr>
          <w:rFonts w:ascii="Times New Roman" w:eastAsia="Times New Roman" w:hAnsi="Times New Roman" w:cs="Times New Roman"/>
          <w:sz w:val="24"/>
          <w:szCs w:val="24"/>
          <w:lang w:val="x-none" w:eastAsia="ro-RO"/>
        </w:rPr>
        <w:t xml:space="preserve">). </w:t>
      </w:r>
    </w:p>
    <w:p w14:paraId="1088D81A"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
    <w:p w14:paraId="6CD71B2F"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
    <w:p w14:paraId="133ACDB1"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300738">
        <w:rPr>
          <w:rFonts w:ascii="Times New Roman" w:eastAsia="Times New Roman" w:hAnsi="Times New Roman" w:cs="Times New Roman"/>
          <w:b/>
          <w:bCs/>
          <w:sz w:val="24"/>
          <w:szCs w:val="24"/>
          <w:lang w:val="x-none" w:eastAsia="ro-RO"/>
        </w:rPr>
        <w:t>II. Tratamentul artritei psoriazice</w:t>
      </w:r>
    </w:p>
    <w:p w14:paraId="51F1BD44"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Tratamentul remisiv (de fond) al AP este obligatoriu în toate formele active ale bolii. Nomenclatura utilizată în acest protocol respectă recomandările actuale EULAR: terapii remisive sau modificatoare de boală (disease-modifying antirheumatic drugs - DMARDs), care se clasifică în: remisive sintetice convenţionale (csDMARDs)</w:t>
      </w:r>
      <w:r w:rsidRPr="00300738">
        <w:rPr>
          <w:rFonts w:ascii="Times New Roman" w:eastAsia="Times New Roman" w:hAnsi="Times New Roman" w:cs="Times New Roman"/>
          <w:sz w:val="24"/>
          <w:szCs w:val="24"/>
          <w:lang w:val="en-US" w:eastAsia="ro-RO"/>
        </w:rPr>
        <w:t>,</w:t>
      </w:r>
      <w:r w:rsidRPr="00300738">
        <w:rPr>
          <w:rFonts w:ascii="Times New Roman" w:eastAsia="Times New Roman" w:hAnsi="Times New Roman" w:cs="Times New Roman"/>
          <w:sz w:val="24"/>
          <w:szCs w:val="24"/>
          <w:lang w:val="x-none" w:eastAsia="ro-RO"/>
        </w:rPr>
        <w:t xml:space="preserve"> remisive biologice (bDMARDs) care pot fi originale (boDMARDs) sau biosimilare (bsDMARDs)</w:t>
      </w:r>
      <w:r w:rsidRPr="00300738">
        <w:rPr>
          <w:rFonts w:ascii="Times New Roman" w:eastAsia="Times New Roman" w:hAnsi="Times New Roman" w:cs="Times New Roman"/>
          <w:sz w:val="24"/>
          <w:szCs w:val="24"/>
          <w:lang w:val="en-US" w:eastAsia="ro-RO"/>
        </w:rPr>
        <w:t xml:space="preserve"> si remisive sintetice tintite (ts-DMARDs)</w:t>
      </w:r>
      <w:r w:rsidRPr="00300738">
        <w:rPr>
          <w:rFonts w:ascii="Times New Roman" w:eastAsia="Times New Roman" w:hAnsi="Times New Roman" w:cs="Times New Roman"/>
          <w:sz w:val="24"/>
          <w:szCs w:val="24"/>
          <w:lang w:val="x-none" w:eastAsia="ro-RO"/>
        </w:rPr>
        <w:t>.</w:t>
      </w:r>
    </w:p>
    <w:p w14:paraId="41F6BBDC"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Conform recomandărilor EULAR, revizia </w:t>
      </w:r>
      <w:r w:rsidRPr="00300738">
        <w:rPr>
          <w:rFonts w:ascii="Times New Roman" w:eastAsia="Times New Roman" w:hAnsi="Times New Roman" w:cs="Times New Roman"/>
          <w:sz w:val="24"/>
          <w:szCs w:val="24"/>
          <w:lang w:val="en-US" w:eastAsia="ro-RO"/>
        </w:rPr>
        <w:t>2019</w:t>
      </w:r>
      <w:r w:rsidRPr="00300738">
        <w:rPr>
          <w:rFonts w:ascii="Times New Roman" w:eastAsia="Times New Roman" w:hAnsi="Times New Roman" w:cs="Times New Roman"/>
          <w:sz w:val="24"/>
          <w:szCs w:val="24"/>
          <w:lang w:val="x-none" w:eastAsia="ro-RO"/>
        </w:rPr>
        <w:t>, tratamentul cu csDMARDs reprezintă prima linie terapeutică, este obligatoriu în toate formele active ale bolii şi trebuie început cât mai devreme de la stabilirea diagnosticului (ideal în primele 6 săptămâni de la diagnostic</w:t>
      </w:r>
      <w:r w:rsidRPr="00300738">
        <w:rPr>
          <w:rFonts w:ascii="Times New Roman" w:eastAsia="Times New Roman" w:hAnsi="Times New Roman" w:cs="Times New Roman"/>
          <w:sz w:val="24"/>
          <w:szCs w:val="24"/>
          <w:lang w:eastAsia="ro-RO"/>
        </w:rPr>
        <w:t>, 2 săptămâni pentru forma poliarticulară</w:t>
      </w:r>
      <w:r w:rsidRPr="00300738">
        <w:rPr>
          <w:rFonts w:ascii="Times New Roman" w:eastAsia="Times New Roman" w:hAnsi="Times New Roman" w:cs="Times New Roman"/>
          <w:sz w:val="24"/>
          <w:szCs w:val="24"/>
          <w:lang w:val="x-none" w:eastAsia="ro-RO"/>
        </w:rPr>
        <w:t>). Obiectivul terapeutic urmărit este obţinerea:</w:t>
      </w:r>
    </w:p>
    <w:p w14:paraId="3191BED0" w14:textId="77777777" w:rsidR="00300738" w:rsidRPr="00300738" w:rsidRDefault="00300738" w:rsidP="002161CA">
      <w:pPr>
        <w:numPr>
          <w:ilvl w:val="0"/>
          <w:numId w:val="18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remisiunii bolii, ori de câte ori este posibil (cel mai frecvent în formele de boală depistate timpuriu, cu iniţierea precoce a tratamentului);</w:t>
      </w:r>
    </w:p>
    <w:p w14:paraId="3F520DE0" w14:textId="77777777" w:rsidR="00300738" w:rsidRPr="00300738" w:rsidRDefault="00300738" w:rsidP="002161CA">
      <w:pPr>
        <w:numPr>
          <w:ilvl w:val="0"/>
          <w:numId w:val="18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activităţii joase a bolii, la cazurile la care nu se poate obţine remisiunea (cel mai frecvent în formele constituite de boală).</w:t>
      </w:r>
    </w:p>
    <w:p w14:paraId="49EB1BD2"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5B973223"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Cele mai utilizate terapii sunt reprezentate de:</w:t>
      </w:r>
    </w:p>
    <w:p w14:paraId="526B434D" w14:textId="77777777" w:rsidR="00300738" w:rsidRPr="00300738" w:rsidRDefault="00300738" w:rsidP="002161CA">
      <w:pPr>
        <w:numPr>
          <w:ilvl w:val="0"/>
          <w:numId w:val="18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antiinflamatoarele nesteroidiene (AINS), care se folosesc pentru controlul durerii şi a simptomelor, şi/sau glucocorticoizii în administrare locală;</w:t>
      </w:r>
    </w:p>
    <w:p w14:paraId="7801D1F6" w14:textId="77777777" w:rsidR="00300738" w:rsidRPr="00300738" w:rsidRDefault="00300738" w:rsidP="002161CA">
      <w:pPr>
        <w:numPr>
          <w:ilvl w:val="0"/>
          <w:numId w:val="18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metotrexat: conform EULAR reprezintă csDMARDs de primă alegere, cu excepţia cazurilor când exista contraindicaţii majore, în doza de întreţinere uzuală (20 mg/săptămână). Pentru creşterea toleranţei asocierea de folat este de regulă recomandată, iar administrarea injectabilă (subcutanată sau intramusculară) trebuie luată în calcul pentru creşterea biodisponibilităţii şi reducerea riscului de efecte adverse digestive (alături de administrarea de domperidonă şi antiemetice: ondasetron sau granisetron). Metotrexatul este preferat în forma cu psoriazis manifest deoarece el prezintă eficacitate demonstrată şi în afectarea cutanată.</w:t>
      </w:r>
    </w:p>
    <w:p w14:paraId="78E0C745" w14:textId="77777777" w:rsidR="00300738" w:rsidRPr="00300738" w:rsidRDefault="00300738" w:rsidP="002161CA">
      <w:pPr>
        <w:numPr>
          <w:ilvl w:val="0"/>
          <w:numId w:val="18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leflunomid: utilizat ca alternativă la metotrexat doar atunci când acesta este contraindicat sau la pacienţii non-responsivi, cu răspuns insuficient sau care au dezvoltat reacţii adverse la metotrexat, în doză uzuală de 20 mg/zi oral;</w:t>
      </w:r>
    </w:p>
    <w:p w14:paraId="62499A79" w14:textId="77777777" w:rsidR="00300738" w:rsidRPr="00300738" w:rsidRDefault="00300738" w:rsidP="002161CA">
      <w:pPr>
        <w:numPr>
          <w:ilvl w:val="0"/>
          <w:numId w:val="18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sulfasalazină: utilizată ca alternativă la metotrexat doar atunci când acesta este contraindicat sau la pacienţii non-responsivi, cu răspuns insuficient sau care au dezvoltat reacţii adverse la alte csDMARD, în doza de întreţinere uzuală de minim 2 g/zi, crescută până la 3 g/zi (în funcţie de toleranţă).</w:t>
      </w:r>
    </w:p>
    <w:p w14:paraId="3CB81043"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7C54C14A"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În funcţie de particularităţile cazului tratat şi de gradul de activitate a bolii, medicul curant formulează schema de tratament şi indică aceste preparate remisive, care se pot utiliza singure sau în asociere. Asocierea trebuie de obicei să includă metotrexat.</w:t>
      </w:r>
    </w:p>
    <w:p w14:paraId="5A8823C0"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33D05DEF"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300738">
        <w:rPr>
          <w:rFonts w:ascii="Times New Roman" w:eastAsia="Times New Roman" w:hAnsi="Times New Roman" w:cs="Times New Roman"/>
          <w:b/>
          <w:bCs/>
          <w:sz w:val="24"/>
          <w:szCs w:val="24"/>
          <w:lang w:val="x-none" w:eastAsia="ro-RO"/>
        </w:rPr>
        <w:t>Evaluarea activităţii bolii</w:t>
      </w:r>
    </w:p>
    <w:p w14:paraId="5BB063DA"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Evaluarea activităţii bolii este obligatorie pentru alegerea schemei terapeutice şi evaluarea gradului de răspuns la tratament, făcându-se prin calcularea unui indice cumulativ numit indicele de activitate a bolii în artropatia psoriazică (Disease Activity Index for PSoriatic Arthritis - DAPSA), care include:</w:t>
      </w:r>
    </w:p>
    <w:p w14:paraId="18F38DB8" w14:textId="77777777" w:rsidR="00300738" w:rsidRPr="00300738" w:rsidRDefault="00300738" w:rsidP="002161CA">
      <w:pPr>
        <w:numPr>
          <w:ilvl w:val="0"/>
          <w:numId w:val="18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numărul articulaţiilor dureroase (NAD): evaluarea articulară la artropatia psoriazică se face pentru 68 de articulaţii;</w:t>
      </w:r>
    </w:p>
    <w:p w14:paraId="5290986B" w14:textId="77777777" w:rsidR="00300738" w:rsidRPr="00300738" w:rsidRDefault="00300738" w:rsidP="002161CA">
      <w:pPr>
        <w:numPr>
          <w:ilvl w:val="0"/>
          <w:numId w:val="18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numărul articulaţiilor tumefiate (NAT): evaluarea articulară la artropatia psoriazică se face pentru 66 de articulaţii;</w:t>
      </w:r>
    </w:p>
    <w:p w14:paraId="10343324" w14:textId="77777777" w:rsidR="00300738" w:rsidRPr="00300738" w:rsidRDefault="00300738" w:rsidP="002161CA">
      <w:pPr>
        <w:numPr>
          <w:ilvl w:val="0"/>
          <w:numId w:val="18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evaluarea globală a activităţii bolii de către pacient (PtGA) pe o scală analogă vizuală (VAS) în centimetri (0 - 10);</w:t>
      </w:r>
    </w:p>
    <w:p w14:paraId="3D9A9FA1" w14:textId="77777777" w:rsidR="00300738" w:rsidRPr="00300738" w:rsidRDefault="00300738" w:rsidP="002161CA">
      <w:pPr>
        <w:numPr>
          <w:ilvl w:val="0"/>
          <w:numId w:val="18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evaluarea durerii de către pacient (PtPain) pe scala analogă vizuală (VAS) în centimetri (0 - 10);</w:t>
      </w:r>
    </w:p>
    <w:p w14:paraId="6FEABC20" w14:textId="77777777" w:rsidR="00300738" w:rsidRPr="00300738" w:rsidRDefault="00300738" w:rsidP="002161CA">
      <w:pPr>
        <w:numPr>
          <w:ilvl w:val="0"/>
          <w:numId w:val="18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PCR cantitativ.</w:t>
      </w:r>
    </w:p>
    <w:p w14:paraId="1B401342"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Formula de calcul DAPSA este următoarea: NAD68+ NAT66 + PtGA (VAS în cm) + PtPain (VAS în cm) + CRP</w:t>
      </w:r>
      <w:r w:rsidRPr="00300738">
        <w:rPr>
          <w:rFonts w:ascii="Times New Roman" w:eastAsia="Times New Roman" w:hAnsi="Times New Roman" w:cs="Times New Roman"/>
          <w:sz w:val="24"/>
          <w:szCs w:val="24"/>
          <w:lang w:eastAsia="ro-RO"/>
        </w:rPr>
        <w:t>.</w:t>
      </w:r>
      <w:r w:rsidRPr="00300738">
        <w:rPr>
          <w:rFonts w:ascii="Times New Roman" w:eastAsia="Times New Roman" w:hAnsi="Times New Roman" w:cs="Times New Roman"/>
          <w:sz w:val="24"/>
          <w:szCs w:val="24"/>
          <w:lang w:val="x-none" w:eastAsia="ro-RO"/>
        </w:rPr>
        <w:t xml:space="preserve"> </w:t>
      </w:r>
    </w:p>
    <w:p w14:paraId="042F99BB"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În evaluarea semnificaţiei DAPSA se ţine cont de următoarele definiţii:</w:t>
      </w:r>
    </w:p>
    <w:p w14:paraId="31294ABD" w14:textId="77777777" w:rsidR="00300738" w:rsidRPr="00300738" w:rsidRDefault="00300738" w:rsidP="002161CA">
      <w:pPr>
        <w:numPr>
          <w:ilvl w:val="0"/>
          <w:numId w:val="18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remisiune: DAPSA ≤ 4;</w:t>
      </w:r>
    </w:p>
    <w:p w14:paraId="18250A28" w14:textId="77777777" w:rsidR="00300738" w:rsidRPr="00300738" w:rsidRDefault="00300738" w:rsidP="002161CA">
      <w:pPr>
        <w:numPr>
          <w:ilvl w:val="0"/>
          <w:numId w:val="18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lastRenderedPageBreak/>
        <w:t>activitate scăzută a bolii (LDA): 4 &lt; DAPSA ≤ 14;</w:t>
      </w:r>
    </w:p>
    <w:p w14:paraId="60035DAC" w14:textId="77777777" w:rsidR="00300738" w:rsidRPr="00300738" w:rsidRDefault="00300738" w:rsidP="002161CA">
      <w:pPr>
        <w:numPr>
          <w:ilvl w:val="0"/>
          <w:numId w:val="18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activitate </w:t>
      </w:r>
      <w:bookmarkStart w:id="14" w:name="_Hlk156771797"/>
      <w:r w:rsidRPr="00300738">
        <w:rPr>
          <w:rFonts w:ascii="Times New Roman" w:eastAsia="Times New Roman" w:hAnsi="Times New Roman" w:cs="Times New Roman"/>
          <w:sz w:val="24"/>
          <w:szCs w:val="24"/>
          <w:lang w:val="x-none" w:eastAsia="ro-RO"/>
        </w:rPr>
        <w:t xml:space="preserve">moderată </w:t>
      </w:r>
      <w:bookmarkEnd w:id="14"/>
      <w:r w:rsidRPr="00300738">
        <w:rPr>
          <w:rFonts w:ascii="Times New Roman" w:eastAsia="Times New Roman" w:hAnsi="Times New Roman" w:cs="Times New Roman"/>
          <w:sz w:val="24"/>
          <w:szCs w:val="24"/>
          <w:lang w:val="x-none" w:eastAsia="ro-RO"/>
        </w:rPr>
        <w:t>a bolii (MDA): 14 &lt; DAPSA ≤ 28;</w:t>
      </w:r>
    </w:p>
    <w:p w14:paraId="7C2D71B6" w14:textId="77777777" w:rsidR="00300738" w:rsidRPr="00300738" w:rsidRDefault="00300738" w:rsidP="002161CA">
      <w:pPr>
        <w:numPr>
          <w:ilvl w:val="0"/>
          <w:numId w:val="18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activitate ridicată a bolii (HDA): DAPSA &gt; 28.</w:t>
      </w:r>
    </w:p>
    <w:p w14:paraId="76705856"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4EF9D9F2"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Pentru aprecierea răspunsului la tratament se vor folosi criteriile de răspuns DAPSA. Astfel:</w:t>
      </w:r>
    </w:p>
    <w:p w14:paraId="622AF8BF" w14:textId="77777777" w:rsidR="00300738" w:rsidRPr="00300738" w:rsidRDefault="00300738" w:rsidP="002161CA">
      <w:pPr>
        <w:numPr>
          <w:ilvl w:val="0"/>
          <w:numId w:val="18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scăderea (reducerea) cu</w:t>
      </w:r>
      <w:r w:rsidRPr="00300738">
        <w:rPr>
          <w:rFonts w:ascii="Times New Roman" w:eastAsia="Times New Roman" w:hAnsi="Times New Roman" w:cs="Times New Roman"/>
          <w:sz w:val="24"/>
          <w:szCs w:val="24"/>
          <w:lang w:val="en-US" w:eastAsia="ro-RO"/>
        </w:rPr>
        <w:t xml:space="preserve"> cel putin</w:t>
      </w:r>
      <w:r w:rsidRPr="00300738">
        <w:rPr>
          <w:rFonts w:ascii="Times New Roman" w:eastAsia="Times New Roman" w:hAnsi="Times New Roman" w:cs="Times New Roman"/>
          <w:sz w:val="24"/>
          <w:szCs w:val="24"/>
          <w:lang w:val="x-none" w:eastAsia="ro-RO"/>
        </w:rPr>
        <w:t xml:space="preserve"> </w:t>
      </w:r>
      <w:r w:rsidRPr="00300738">
        <w:rPr>
          <w:rFonts w:ascii="Times New Roman" w:eastAsia="Times New Roman" w:hAnsi="Times New Roman" w:cs="Times New Roman"/>
          <w:sz w:val="24"/>
          <w:szCs w:val="24"/>
          <w:lang w:val="en-US" w:eastAsia="ro-RO"/>
        </w:rPr>
        <w:t>50</w:t>
      </w:r>
      <w:r w:rsidRPr="00300738">
        <w:rPr>
          <w:rFonts w:ascii="Times New Roman" w:eastAsia="Times New Roman" w:hAnsi="Times New Roman" w:cs="Times New Roman"/>
          <w:sz w:val="24"/>
          <w:szCs w:val="24"/>
          <w:lang w:val="x-none" w:eastAsia="ro-RO"/>
        </w:rPr>
        <w:t>% a DAPSA (DAPSA5</w:t>
      </w:r>
      <w:r w:rsidRPr="00300738">
        <w:rPr>
          <w:rFonts w:ascii="Times New Roman" w:eastAsia="Times New Roman" w:hAnsi="Times New Roman" w:cs="Times New Roman"/>
          <w:sz w:val="24"/>
          <w:szCs w:val="24"/>
          <w:lang w:val="en-US" w:eastAsia="ro-RO"/>
        </w:rPr>
        <w:t>0</w:t>
      </w:r>
      <w:r w:rsidRPr="00300738">
        <w:rPr>
          <w:rFonts w:ascii="Times New Roman" w:eastAsia="Times New Roman" w:hAnsi="Times New Roman" w:cs="Times New Roman"/>
          <w:sz w:val="24"/>
          <w:szCs w:val="24"/>
          <w:lang w:val="x-none" w:eastAsia="ro-RO"/>
        </w:rPr>
        <w:t xml:space="preserve">) faţă de evaluarea iniţială (înainte de iniţierea respectivului tratament) semnifică răspuns </w:t>
      </w:r>
      <w:r w:rsidRPr="00300738">
        <w:rPr>
          <w:rFonts w:ascii="Times New Roman" w:eastAsia="Times New Roman" w:hAnsi="Times New Roman" w:cs="Times New Roman"/>
          <w:sz w:val="24"/>
          <w:szCs w:val="24"/>
          <w:lang w:val="en-US" w:eastAsia="ro-RO"/>
        </w:rPr>
        <w:t xml:space="preserve">semnificativ </w:t>
      </w:r>
      <w:r w:rsidRPr="00300738">
        <w:rPr>
          <w:rFonts w:ascii="Times New Roman" w:eastAsia="Times New Roman" w:hAnsi="Times New Roman" w:cs="Times New Roman"/>
          <w:sz w:val="24"/>
          <w:szCs w:val="24"/>
          <w:lang w:val="x-none" w:eastAsia="ro-RO"/>
        </w:rPr>
        <w:t>la tratament;</w:t>
      </w:r>
    </w:p>
    <w:p w14:paraId="25959D71" w14:textId="77777777" w:rsidR="00300738" w:rsidRPr="00300738" w:rsidRDefault="00300738" w:rsidP="002161CA">
      <w:pPr>
        <w:numPr>
          <w:ilvl w:val="0"/>
          <w:numId w:val="18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scăderea (reducerea) cu </w:t>
      </w:r>
      <w:r w:rsidRPr="00300738">
        <w:rPr>
          <w:rFonts w:ascii="Times New Roman" w:eastAsia="Times New Roman" w:hAnsi="Times New Roman" w:cs="Times New Roman"/>
          <w:sz w:val="24"/>
          <w:szCs w:val="24"/>
          <w:lang w:val="fr-FR" w:eastAsia="ro-RO"/>
        </w:rPr>
        <w:t xml:space="preserve">mai putin de </w:t>
      </w:r>
      <w:r w:rsidRPr="00300738">
        <w:rPr>
          <w:rFonts w:ascii="Times New Roman" w:eastAsia="Times New Roman" w:hAnsi="Times New Roman" w:cs="Times New Roman"/>
          <w:sz w:val="24"/>
          <w:szCs w:val="24"/>
          <w:lang w:val="x-none" w:eastAsia="ro-RO"/>
        </w:rPr>
        <w:t xml:space="preserve">50% a DAPSA (DAPSA50) faţă de evaluarea iniţială (înainte de iniţierea respectivului tratament) semnifică răspuns </w:t>
      </w:r>
      <w:r w:rsidRPr="00300738">
        <w:rPr>
          <w:rFonts w:ascii="Times New Roman" w:eastAsia="Times New Roman" w:hAnsi="Times New Roman" w:cs="Times New Roman"/>
          <w:sz w:val="24"/>
          <w:szCs w:val="24"/>
          <w:lang w:val="fr-FR" w:eastAsia="ro-RO"/>
        </w:rPr>
        <w:t>insuficient</w:t>
      </w:r>
      <w:r w:rsidRPr="00300738">
        <w:rPr>
          <w:rFonts w:ascii="Times New Roman" w:eastAsia="Times New Roman" w:hAnsi="Times New Roman" w:cs="Times New Roman"/>
          <w:sz w:val="24"/>
          <w:szCs w:val="24"/>
          <w:lang w:val="x-none" w:eastAsia="ro-RO"/>
        </w:rPr>
        <w:t xml:space="preserve"> la tratament.</w:t>
      </w:r>
    </w:p>
    <w:p w14:paraId="77C5BAA9"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7796D197"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Evoluţia bolii va fi strâns monitorizată, clinic şi biologic (lunar sau cel puţin o dată la fiecare 3 - 6 luni), iar medicul curant va adapta şi va modifica schema de tratament, utilizând DAPSA ca indicator global de evoluţie al afecţiunii, ţinta terapeutică fiind obţinerea remisiunii sau atingerea unui grad scăzut de activitate a bolii. Nu este recomandată utilizarea de parametri individuali (clinici sau biologici) pentru a aprecia evoluţia bolii sub tratament, aplicarea indicilor compoziţi fiind întotdeauna superioară. Dacă nu se obţine o îmbunătăţire </w:t>
      </w:r>
      <w:r w:rsidRPr="00300738">
        <w:rPr>
          <w:rFonts w:ascii="Times New Roman" w:eastAsia="Times New Roman" w:hAnsi="Times New Roman" w:cs="Times New Roman"/>
          <w:sz w:val="24"/>
          <w:szCs w:val="24"/>
          <w:lang w:val="fr-FR" w:eastAsia="ro-RO"/>
        </w:rPr>
        <w:t xml:space="preserve">de cel putin 50% </w:t>
      </w:r>
      <w:r w:rsidRPr="00300738">
        <w:rPr>
          <w:rFonts w:ascii="Times New Roman" w:eastAsia="Times New Roman" w:hAnsi="Times New Roman" w:cs="Times New Roman"/>
          <w:sz w:val="24"/>
          <w:szCs w:val="24"/>
          <w:lang w:val="x-none" w:eastAsia="ro-RO"/>
        </w:rPr>
        <w:t>în interval de cel mult 3 luni de la iniţierea terapiei sau dacă obiectivul terapeutic nu este atins în 6 luni, terapia trebuie reconsiderată, ca preparate, doze sau scheme terapeutice.</w:t>
      </w:r>
    </w:p>
    <w:p w14:paraId="6FF372C8"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Medicul curant este singurul care poate evalua corect gradul de răspuns la terapie şi poate încadra cazul ca responder sau nonresponder la tratamentul cu csDMARDs, situaţie în care se poate indica utilizarea terapiilor </w:t>
      </w:r>
      <w:r w:rsidRPr="00300738">
        <w:rPr>
          <w:rFonts w:ascii="Times New Roman" w:eastAsia="Times New Roman" w:hAnsi="Times New Roman" w:cs="Times New Roman"/>
          <w:sz w:val="24"/>
          <w:szCs w:val="24"/>
          <w:lang w:val="en-US" w:eastAsia="ro-RO"/>
        </w:rPr>
        <w:t xml:space="preserve">biologice sau sintetice tintite </w:t>
      </w:r>
      <w:r w:rsidRPr="00300738">
        <w:rPr>
          <w:rFonts w:ascii="Times New Roman" w:eastAsia="Times New Roman" w:hAnsi="Times New Roman" w:cs="Times New Roman"/>
          <w:sz w:val="24"/>
          <w:szCs w:val="24"/>
          <w:lang w:val="x-none" w:eastAsia="ro-RO"/>
        </w:rPr>
        <w:t>Pacienţii cu AP activă, la care boala nu poate fi satisfăcător controlată prin aplicarea corectă a tratamentului csDMARDs, necesită utilizarea de tratament biologic</w:t>
      </w:r>
      <w:r w:rsidRPr="00300738">
        <w:rPr>
          <w:rFonts w:ascii="Times New Roman" w:eastAsia="Times New Roman" w:hAnsi="Times New Roman" w:cs="Times New Roman"/>
          <w:sz w:val="24"/>
          <w:szCs w:val="24"/>
          <w:lang w:val="en-US" w:eastAsia="ro-RO"/>
        </w:rPr>
        <w:t xml:space="preserve"> sau sintetic tintit</w:t>
      </w:r>
      <w:r w:rsidRPr="00300738">
        <w:rPr>
          <w:rFonts w:ascii="Times New Roman" w:eastAsia="Times New Roman" w:hAnsi="Times New Roman" w:cs="Times New Roman"/>
          <w:sz w:val="24"/>
          <w:szCs w:val="24"/>
          <w:lang w:val="x-none" w:eastAsia="ro-RO"/>
        </w:rPr>
        <w:t xml:space="preserve">. Prescrierea acestuia va fi făcută numai la indicaţia medicului reumatolog, care va ţine cont de particularităţile cazului şi de caracteristicile fiecărui preparat, aşa cum sunt descrise în rezumatul caracteristicilor fiecărui produs, de recomandările ghidurilor terapeutice (EULAR) şi a protocoalelor de prescriere aprobate. </w:t>
      </w:r>
    </w:p>
    <w:p w14:paraId="69875645"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Complexitatea şi riscurile terapiei biologice impun supravegherea permanentă a pacientului de către medicul curant în centre de specialitate reumatologice. În vederea iniţierii unei terapii biologice</w:t>
      </w:r>
      <w:r w:rsidRPr="00300738">
        <w:rPr>
          <w:rFonts w:ascii="Times New Roman" w:eastAsia="Times New Roman" w:hAnsi="Times New Roman" w:cs="Times New Roman"/>
          <w:sz w:val="24"/>
          <w:szCs w:val="24"/>
          <w:lang w:val="it-IT" w:eastAsia="ro-RO"/>
        </w:rPr>
        <w:t xml:space="preserve"> sau sintetice tintite</w:t>
      </w:r>
      <w:r w:rsidRPr="00300738">
        <w:rPr>
          <w:rFonts w:ascii="Times New Roman" w:eastAsia="Times New Roman" w:hAnsi="Times New Roman" w:cs="Times New Roman"/>
          <w:sz w:val="24"/>
          <w:szCs w:val="24"/>
          <w:lang w:val="x-none" w:eastAsia="ro-RO"/>
        </w:rPr>
        <w:t>, medicul curant va înregistra o serie de parametri de activitate a bolii, între care următorii sunt obligatorii:</w:t>
      </w:r>
    </w:p>
    <w:p w14:paraId="08057966" w14:textId="77777777" w:rsidR="00300738" w:rsidRPr="00300738" w:rsidRDefault="00300738" w:rsidP="002161CA">
      <w:pPr>
        <w:numPr>
          <w:ilvl w:val="0"/>
          <w:numId w:val="18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numărul de articulaţii dureroase (NAD) din 68 de articulaţii dureroase;</w:t>
      </w:r>
    </w:p>
    <w:p w14:paraId="550EF9D9" w14:textId="77777777" w:rsidR="00300738" w:rsidRPr="00300738" w:rsidRDefault="00300738" w:rsidP="002161CA">
      <w:pPr>
        <w:numPr>
          <w:ilvl w:val="0"/>
          <w:numId w:val="18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numărul de articulaţii tumefiate (NAT) din 66 de articulaţii tumefiate;</w:t>
      </w:r>
    </w:p>
    <w:p w14:paraId="3A93D1B9" w14:textId="77777777" w:rsidR="00300738" w:rsidRPr="00300738" w:rsidRDefault="00300738" w:rsidP="002161CA">
      <w:pPr>
        <w:numPr>
          <w:ilvl w:val="0"/>
          <w:numId w:val="18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evaluarea globală a activităţii bolii de către pacient pe scala analogă vizuală (VAS) în centimetri (0 - 10);</w:t>
      </w:r>
    </w:p>
    <w:p w14:paraId="53E18285" w14:textId="77777777" w:rsidR="00300738" w:rsidRPr="00300738" w:rsidRDefault="00300738" w:rsidP="002161CA">
      <w:pPr>
        <w:numPr>
          <w:ilvl w:val="0"/>
          <w:numId w:val="18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evaluarea durerii de către pacient pe scala analogă vizuală (VAS) în centimetri (0 - 10);</w:t>
      </w:r>
    </w:p>
    <w:p w14:paraId="0D58F9C4" w14:textId="77777777" w:rsidR="00300738" w:rsidRPr="00300738" w:rsidRDefault="00300738" w:rsidP="002161CA">
      <w:pPr>
        <w:numPr>
          <w:ilvl w:val="0"/>
          <w:numId w:val="18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it-IT" w:eastAsia="ro-RO"/>
        </w:rPr>
        <w:t xml:space="preserve">VSH si/sau </w:t>
      </w:r>
      <w:r w:rsidRPr="00300738">
        <w:rPr>
          <w:rFonts w:ascii="Times New Roman" w:eastAsia="Times New Roman" w:hAnsi="Times New Roman" w:cs="Times New Roman"/>
          <w:sz w:val="24"/>
          <w:szCs w:val="24"/>
          <w:lang w:val="x-none" w:eastAsia="ro-RO"/>
        </w:rPr>
        <w:t>PCR cantitativ.</w:t>
      </w:r>
    </w:p>
    <w:p w14:paraId="297298B0" w14:textId="77777777" w:rsidR="00300738" w:rsidRPr="00300738" w:rsidRDefault="00300738" w:rsidP="002161CA">
      <w:pPr>
        <w:numPr>
          <w:ilvl w:val="0"/>
          <w:numId w:val="188"/>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it-IT" w:eastAsia="ro-RO"/>
        </w:rPr>
        <w:t>BASDAI si/sau ASDAS, dupa caz, in formele cu AP predominant axiala.</w:t>
      </w:r>
    </w:p>
    <w:p w14:paraId="2C587287"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582E6FAC"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087EF008"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eastAsia="ro-RO"/>
        </w:rPr>
      </w:pPr>
      <w:r w:rsidRPr="00300738">
        <w:rPr>
          <w:rFonts w:ascii="Times New Roman" w:eastAsia="Times New Roman" w:hAnsi="Times New Roman" w:cs="Times New Roman"/>
          <w:b/>
          <w:bCs/>
          <w:sz w:val="24"/>
          <w:szCs w:val="24"/>
          <w:lang w:val="x-none" w:eastAsia="ro-RO"/>
        </w:rPr>
        <w:t>Criterii de includere a pacienţilor cu AP în tratamentul biologic cu</w:t>
      </w:r>
      <w:r w:rsidRPr="00300738">
        <w:rPr>
          <w:rFonts w:ascii="Times New Roman" w:eastAsia="Times New Roman" w:hAnsi="Times New Roman" w:cs="Times New Roman"/>
          <w:b/>
          <w:bCs/>
          <w:sz w:val="24"/>
          <w:szCs w:val="24"/>
          <w:lang w:val="en-US" w:eastAsia="ro-RO"/>
        </w:rPr>
        <w:t>:</w:t>
      </w:r>
      <w:r w:rsidRPr="00300738">
        <w:rPr>
          <w:rFonts w:ascii="Times New Roman" w:eastAsia="Times New Roman" w:hAnsi="Times New Roman" w:cs="Times New Roman"/>
          <w:b/>
          <w:bCs/>
          <w:sz w:val="24"/>
          <w:szCs w:val="24"/>
          <w:lang w:val="x-none" w:eastAsia="ro-RO"/>
        </w:rPr>
        <w:t xml:space="preserve"> blocanţi de TNFα (adalimumabum original şi biosimilar, certolizumab</w:t>
      </w:r>
      <w:r w:rsidRPr="00300738">
        <w:rPr>
          <w:rFonts w:ascii="Times New Roman" w:eastAsia="Times New Roman" w:hAnsi="Times New Roman" w:cs="Times New Roman"/>
          <w:b/>
          <w:bCs/>
          <w:sz w:val="24"/>
          <w:szCs w:val="24"/>
          <w:lang w:val="en-US" w:eastAsia="ro-RO"/>
        </w:rPr>
        <w:t>um</w:t>
      </w:r>
      <w:r w:rsidRPr="00300738">
        <w:rPr>
          <w:rFonts w:ascii="Times New Roman" w:eastAsia="Times New Roman" w:hAnsi="Times New Roman" w:cs="Times New Roman"/>
          <w:b/>
          <w:bCs/>
          <w:sz w:val="24"/>
          <w:szCs w:val="24"/>
          <w:lang w:val="x-none" w:eastAsia="ro-RO"/>
        </w:rPr>
        <w:t>, etanerceptum original şi biosimilar, golimumabum, infliximabum original şi biosimilar)</w:t>
      </w:r>
      <w:r w:rsidRPr="00300738">
        <w:rPr>
          <w:rFonts w:ascii="Times New Roman" w:eastAsia="Times New Roman" w:hAnsi="Times New Roman" w:cs="Times New Roman"/>
          <w:b/>
          <w:bCs/>
          <w:sz w:val="24"/>
          <w:szCs w:val="24"/>
          <w:lang w:eastAsia="ro-RO"/>
        </w:rPr>
        <w:t>,</w:t>
      </w:r>
      <w:r w:rsidRPr="00300738">
        <w:rPr>
          <w:rFonts w:ascii="Times New Roman" w:eastAsia="Times New Roman" w:hAnsi="Times New Roman" w:cs="Times New Roman"/>
          <w:b/>
          <w:bCs/>
          <w:sz w:val="24"/>
          <w:szCs w:val="24"/>
          <w:lang w:val="x-none" w:eastAsia="ro-RO"/>
        </w:rPr>
        <w:t xml:space="preserve"> blocanţi de IL</w:t>
      </w:r>
      <w:r w:rsidRPr="00300738">
        <w:rPr>
          <w:rFonts w:ascii="Times New Roman" w:eastAsia="Times New Roman" w:hAnsi="Times New Roman" w:cs="Times New Roman"/>
          <w:b/>
          <w:bCs/>
          <w:sz w:val="24"/>
          <w:szCs w:val="24"/>
          <w:lang w:eastAsia="ro-RO"/>
        </w:rPr>
        <w:t>-</w:t>
      </w:r>
      <w:r w:rsidRPr="00300738">
        <w:rPr>
          <w:rFonts w:ascii="Times New Roman" w:eastAsia="Times New Roman" w:hAnsi="Times New Roman" w:cs="Times New Roman"/>
          <w:b/>
          <w:bCs/>
          <w:sz w:val="24"/>
          <w:szCs w:val="24"/>
          <w:lang w:val="x-none" w:eastAsia="ro-RO"/>
        </w:rPr>
        <w:t>17 (secukinumabum</w:t>
      </w:r>
      <w:r w:rsidRPr="00300738">
        <w:rPr>
          <w:rFonts w:ascii="Times New Roman" w:eastAsia="Times New Roman" w:hAnsi="Times New Roman" w:cs="Times New Roman"/>
          <w:b/>
          <w:bCs/>
          <w:sz w:val="24"/>
          <w:szCs w:val="24"/>
          <w:lang w:val="en-US" w:eastAsia="ro-RO"/>
        </w:rPr>
        <w:t>, ixekizumabum</w:t>
      </w:r>
      <w:r w:rsidRPr="00300738">
        <w:rPr>
          <w:rFonts w:ascii="Times New Roman" w:eastAsia="Times New Roman" w:hAnsi="Times New Roman" w:cs="Times New Roman"/>
          <w:b/>
          <w:bCs/>
          <w:sz w:val="24"/>
          <w:szCs w:val="24"/>
          <w:lang w:val="x-none" w:eastAsia="ro-RO"/>
        </w:rPr>
        <w:t>)</w:t>
      </w:r>
      <w:r w:rsidRPr="00300738">
        <w:rPr>
          <w:rFonts w:ascii="Times New Roman" w:eastAsia="Times New Roman" w:hAnsi="Times New Roman" w:cs="Times New Roman"/>
          <w:b/>
          <w:bCs/>
          <w:sz w:val="24"/>
          <w:szCs w:val="24"/>
          <w:lang w:val="en-US" w:eastAsia="ro-RO"/>
        </w:rPr>
        <w:t xml:space="preserve">, </w:t>
      </w:r>
      <w:bookmarkStart w:id="15" w:name="_Hlk100963469"/>
      <w:r w:rsidRPr="00300738">
        <w:rPr>
          <w:rFonts w:ascii="Times New Roman" w:eastAsia="Times New Roman" w:hAnsi="Times New Roman" w:cs="Times New Roman"/>
          <w:b/>
          <w:bCs/>
          <w:sz w:val="24"/>
          <w:szCs w:val="24"/>
          <w:lang w:val="en-US" w:eastAsia="ro-RO"/>
        </w:rPr>
        <w:t>blocanti de</w:t>
      </w:r>
      <w:r w:rsidRPr="00300738">
        <w:rPr>
          <w:rFonts w:ascii="Times New Roman" w:eastAsia="Calibri" w:hAnsi="Times New Roman" w:cs="Times New Roman"/>
          <w:sz w:val="24"/>
          <w:szCs w:val="24"/>
          <w:lang w:eastAsia="ro-RO"/>
        </w:rPr>
        <w:t xml:space="preserve"> </w:t>
      </w:r>
      <w:r w:rsidRPr="00300738">
        <w:rPr>
          <w:rFonts w:ascii="Times New Roman" w:eastAsia="Times New Roman" w:hAnsi="Times New Roman" w:cs="Times New Roman"/>
          <w:b/>
          <w:bCs/>
          <w:sz w:val="24"/>
          <w:szCs w:val="24"/>
          <w:lang w:val="en-US" w:eastAsia="ro-RO"/>
        </w:rPr>
        <w:t>IL-23 (guselkumabum)</w:t>
      </w:r>
      <w:bookmarkEnd w:id="15"/>
      <w:r w:rsidRPr="00300738">
        <w:rPr>
          <w:rFonts w:ascii="Times New Roman" w:eastAsia="Times New Roman" w:hAnsi="Times New Roman" w:cs="Times New Roman"/>
          <w:b/>
          <w:bCs/>
          <w:sz w:val="24"/>
          <w:szCs w:val="24"/>
          <w:lang w:val="en-US" w:eastAsia="ro-RO"/>
        </w:rPr>
        <w:t xml:space="preserve"> </w:t>
      </w:r>
      <w:r w:rsidRPr="00300738">
        <w:rPr>
          <w:rFonts w:ascii="Times New Roman" w:eastAsia="Times New Roman" w:hAnsi="Times New Roman" w:cs="Times New Roman"/>
          <w:b/>
          <w:bCs/>
          <w:sz w:val="24"/>
          <w:szCs w:val="24"/>
          <w:lang w:eastAsia="ro-RO"/>
        </w:rPr>
        <w:t xml:space="preserve"> sau tratament cu ts-DMARDs (tofacitinib, upadacitinib, apremilastum)</w:t>
      </w:r>
    </w:p>
    <w:p w14:paraId="08CB0E85"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70F8ACDA"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Pentru includerea unui pacient cu AP în terapia biologică</w:t>
      </w:r>
      <w:r w:rsidRPr="00300738">
        <w:rPr>
          <w:rFonts w:ascii="Times New Roman" w:eastAsia="Times New Roman" w:hAnsi="Times New Roman" w:cs="Times New Roman"/>
          <w:sz w:val="24"/>
          <w:szCs w:val="24"/>
          <w:lang w:val="en-US" w:eastAsia="ro-RO"/>
        </w:rPr>
        <w:t xml:space="preserve"> sau terapia cu ts-DMARDs</w:t>
      </w:r>
      <w:r w:rsidRPr="00300738">
        <w:rPr>
          <w:rFonts w:ascii="Times New Roman" w:eastAsia="Times New Roman" w:hAnsi="Times New Roman" w:cs="Times New Roman"/>
          <w:sz w:val="24"/>
          <w:szCs w:val="24"/>
          <w:lang w:val="x-none" w:eastAsia="ro-RO"/>
        </w:rPr>
        <w:t xml:space="preserve"> este necesară îndeplinirea simultană a următoarelor 4 criterii:</w:t>
      </w:r>
    </w:p>
    <w:p w14:paraId="0F0C0B4E"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1. Diagnostic cert de AP conform criteriilor CASPAR;  </w:t>
      </w:r>
    </w:p>
    <w:p w14:paraId="5C1A5639"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2. Pacienţi cu AP severă, cu activitate moderată</w:t>
      </w:r>
      <w:r w:rsidRPr="00300738">
        <w:rPr>
          <w:rFonts w:ascii="Times New Roman" w:eastAsia="Times New Roman" w:hAnsi="Times New Roman" w:cs="Times New Roman"/>
          <w:sz w:val="24"/>
          <w:szCs w:val="24"/>
          <w:lang w:val="fr-FR" w:eastAsia="ro-RO"/>
        </w:rPr>
        <w:t xml:space="preserve"> sau</w:t>
      </w:r>
      <w:r w:rsidRPr="00300738">
        <w:rPr>
          <w:rFonts w:ascii="Times New Roman" w:eastAsia="Times New Roman" w:hAnsi="Times New Roman" w:cs="Times New Roman"/>
          <w:sz w:val="24"/>
          <w:szCs w:val="24"/>
          <w:lang w:val="x-none" w:eastAsia="ro-RO"/>
        </w:rPr>
        <w:t xml:space="preserve"> ridicată a bolii (DAPSA&gt;</w:t>
      </w:r>
      <w:r w:rsidRPr="00300738">
        <w:rPr>
          <w:rFonts w:ascii="Times New Roman" w:eastAsia="Times New Roman" w:hAnsi="Times New Roman" w:cs="Times New Roman"/>
          <w:sz w:val="24"/>
          <w:szCs w:val="24"/>
          <w:lang w:val="fr-FR" w:eastAsia="ro-RO"/>
        </w:rPr>
        <w:t>14</w:t>
      </w:r>
      <w:r w:rsidRPr="00300738">
        <w:rPr>
          <w:rFonts w:ascii="Times New Roman" w:eastAsia="Times New Roman" w:hAnsi="Times New Roman" w:cs="Times New Roman"/>
          <w:sz w:val="24"/>
          <w:szCs w:val="24"/>
          <w:lang w:val="x-none" w:eastAsia="ro-RO"/>
        </w:rPr>
        <w:t>), în ciuda tratamentului administrat. Pacienţii trebuie să prezinte cel puţin</w:t>
      </w:r>
      <w:r w:rsidRPr="00300738">
        <w:rPr>
          <w:rFonts w:ascii="Times New Roman" w:eastAsia="Times New Roman" w:hAnsi="Times New Roman" w:cs="Times New Roman"/>
          <w:sz w:val="24"/>
          <w:szCs w:val="24"/>
          <w:lang w:val="it-IT" w:eastAsia="ro-RO"/>
        </w:rPr>
        <w:t xml:space="preserve"> unul dintre urmatorii parametri</w:t>
      </w:r>
      <w:r w:rsidRPr="00300738">
        <w:rPr>
          <w:rFonts w:ascii="Times New Roman" w:eastAsia="Times New Roman" w:hAnsi="Times New Roman" w:cs="Times New Roman"/>
          <w:sz w:val="24"/>
          <w:szCs w:val="24"/>
          <w:lang w:val="x-none" w:eastAsia="ro-RO"/>
        </w:rPr>
        <w:t>:</w:t>
      </w:r>
    </w:p>
    <w:p w14:paraId="796AACF5" w14:textId="77777777" w:rsidR="00300738" w:rsidRPr="00300738" w:rsidRDefault="00300738" w:rsidP="002161CA">
      <w:pPr>
        <w:numPr>
          <w:ilvl w:val="0"/>
          <w:numId w:val="18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5 articulaţii dureroase</w:t>
      </w:r>
      <w:r w:rsidRPr="00300738">
        <w:rPr>
          <w:rFonts w:ascii="Times New Roman" w:eastAsia="Times New Roman" w:hAnsi="Times New Roman" w:cs="Times New Roman"/>
          <w:color w:val="FF0000"/>
          <w:sz w:val="24"/>
          <w:szCs w:val="24"/>
          <w:lang w:val="x-none" w:eastAsia="ro-RO"/>
        </w:rPr>
        <w:t xml:space="preserve"> și </w:t>
      </w:r>
      <w:r w:rsidRPr="00300738">
        <w:rPr>
          <w:rFonts w:ascii="Times New Roman" w:eastAsia="Times New Roman" w:hAnsi="Times New Roman" w:cs="Times New Roman"/>
          <w:sz w:val="24"/>
          <w:szCs w:val="24"/>
          <w:lang w:val="x-none" w:eastAsia="ro-RO"/>
        </w:rPr>
        <w:t>tumefiate (evaluarea articulară la artropatia psoriazică se face pentru 68 articulaţii dureroase şi 66 articulaţii tumefiate; prezenţa dactilitei sau a entezitei se cuantifică drept o articulaţie);</w:t>
      </w:r>
      <w:r w:rsidRPr="00300738">
        <w:rPr>
          <w:rFonts w:ascii="Times New Roman" w:eastAsia="Times New Roman" w:hAnsi="Times New Roman" w:cs="Times New Roman"/>
          <w:sz w:val="24"/>
          <w:szCs w:val="24"/>
          <w:lang w:val="en-US" w:eastAsia="ro-RO"/>
        </w:rPr>
        <w:t xml:space="preserve"> </w:t>
      </w:r>
    </w:p>
    <w:p w14:paraId="0C7A348F" w14:textId="77777777" w:rsidR="00300738" w:rsidRPr="00300738" w:rsidRDefault="00300738" w:rsidP="002161CA">
      <w:pPr>
        <w:numPr>
          <w:ilvl w:val="0"/>
          <w:numId w:val="18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PCR de peste 3 ori limita superioară a valorilor normale, determinată cantitativ </w:t>
      </w:r>
      <w:r w:rsidRPr="00300738">
        <w:rPr>
          <w:rFonts w:ascii="Times New Roman" w:eastAsia="Times New Roman" w:hAnsi="Times New Roman" w:cs="Times New Roman"/>
          <w:sz w:val="24"/>
          <w:szCs w:val="24"/>
          <w:lang w:eastAsia="ro-RO"/>
        </w:rPr>
        <w:t>sau VSH</w:t>
      </w:r>
      <w:r w:rsidRPr="00300738">
        <w:rPr>
          <w:rFonts w:ascii="Times New Roman" w:eastAsia="Times New Roman" w:hAnsi="Times New Roman" w:cs="Times New Roman"/>
          <w:sz w:val="24"/>
          <w:szCs w:val="24"/>
          <w:lang w:val="it-IT" w:eastAsia="ro-RO"/>
        </w:rPr>
        <w:t>&gt;28 mm/h</w:t>
      </w:r>
      <w:r w:rsidRPr="00300738">
        <w:rPr>
          <w:rFonts w:ascii="Times New Roman" w:eastAsia="Times New Roman" w:hAnsi="Times New Roman" w:cs="Times New Roman"/>
          <w:sz w:val="24"/>
          <w:szCs w:val="24"/>
          <w:lang w:val="x-none" w:eastAsia="ro-RO"/>
        </w:rPr>
        <w:t>.</w:t>
      </w:r>
    </w:p>
    <w:p w14:paraId="473F07AC"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lastRenderedPageBreak/>
        <w:t>3. Eşecul la terapia convenţională:</w:t>
      </w:r>
    </w:p>
    <w:p w14:paraId="58163463" w14:textId="77777777" w:rsidR="00300738" w:rsidRPr="00300738" w:rsidRDefault="00300738" w:rsidP="002161CA">
      <w:pPr>
        <w:numPr>
          <w:ilvl w:val="0"/>
          <w:numId w:val="19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pacienţi cu AP fără factori de prognostic nefavorabil, nonresponsivi la csDMARDs, corect administrate (atât ca doze, cât şi ca durată a terapiei), respectiv după utilizarea a cel puţin 2 terapii remisive sintetice, cu durata de minim 12 săptămâni fiecare, dintre care una este de obicei reprezentată de metotrexat (cu excepţia cazurilor cu contraindicaţie majoră la acest preparat sau a cazurilor care nu tolerează acest tratament având documentaţie medicală);</w:t>
      </w:r>
    </w:p>
    <w:p w14:paraId="66E4B12C" w14:textId="77777777" w:rsidR="00300738" w:rsidRPr="00300738" w:rsidRDefault="00300738" w:rsidP="002161CA">
      <w:pPr>
        <w:numPr>
          <w:ilvl w:val="0"/>
          <w:numId w:val="19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pacienţi cu AP cu factori de prognostic nefavorabil nonresponsivi după utilizarea a cel puţin o terapie remisivă sintetică administrată în doză maximă cu durată de minim 12 săptămâni reprezentată de metotrexat (cu excepţia cazurilor cu contraindicaţie majoră la acest preparat sau a cazurilor care nu tolerează acest tratament având documentaţie medicală);</w:t>
      </w:r>
    </w:p>
    <w:p w14:paraId="6E6DE4CF" w14:textId="77777777" w:rsidR="00300738" w:rsidRPr="00300738" w:rsidRDefault="00300738" w:rsidP="002161CA">
      <w:pPr>
        <w:numPr>
          <w:ilvl w:val="0"/>
          <w:numId w:val="18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eastAsia="ro-RO"/>
        </w:rPr>
        <w:t xml:space="preserve">pacienți cu AP forma oligoarticulară, cu factori de prognostic nefavorabil, </w:t>
      </w:r>
      <w:r w:rsidRPr="00300738">
        <w:rPr>
          <w:rFonts w:ascii="Times New Roman" w:eastAsia="Times New Roman" w:hAnsi="Times New Roman" w:cs="Times New Roman"/>
          <w:sz w:val="24"/>
          <w:szCs w:val="24"/>
          <w:lang w:val="x-none" w:eastAsia="ro-RO"/>
        </w:rPr>
        <w:t>nonresponsivi la csDMARDs, corect administrate (atât ca doze, cât şi ca durată a terapiei), respectiv după utilizarea a cel puţin 2 terapii remisive sintetice, cu durata de minim 12 săptămâni fiecare, dintre care una este de obicei reprezentată de metotrexat (cu excepţia cazurilor cu contraindicaţie majoră la acest preparat sau a cazurilor care nu tolerează acest tratament având documentaţie medicală);</w:t>
      </w:r>
    </w:p>
    <w:p w14:paraId="08EFD4C2" w14:textId="77777777" w:rsidR="00300738" w:rsidRPr="00300738" w:rsidRDefault="00300738" w:rsidP="002161CA">
      <w:pPr>
        <w:numPr>
          <w:ilvl w:val="0"/>
          <w:numId w:val="19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bookmarkStart w:id="16" w:name="_Hlk156810417"/>
      <w:r w:rsidRPr="00300738">
        <w:rPr>
          <w:rFonts w:ascii="Times New Roman" w:eastAsia="Times New Roman" w:hAnsi="Times New Roman" w:cs="Times New Roman"/>
          <w:sz w:val="24"/>
          <w:szCs w:val="24"/>
          <w:lang w:val="x-none" w:eastAsia="ro-RO"/>
        </w:rPr>
        <w:t>pacienţi cu AP predominant axială</w:t>
      </w:r>
      <w:bookmarkEnd w:id="16"/>
      <w:r w:rsidRPr="00300738">
        <w:rPr>
          <w:rFonts w:ascii="Times New Roman" w:eastAsia="Times New Roman" w:hAnsi="Times New Roman" w:cs="Times New Roman"/>
          <w:sz w:val="24"/>
          <w:szCs w:val="24"/>
          <w:lang w:val="x-none" w:eastAsia="ro-RO"/>
        </w:rPr>
        <w:t>, activă (BASDAI &gt; 6</w:t>
      </w:r>
      <w:r w:rsidRPr="00300738">
        <w:rPr>
          <w:rFonts w:ascii="Times New Roman" w:eastAsia="Times New Roman" w:hAnsi="Times New Roman" w:cs="Times New Roman"/>
          <w:sz w:val="24"/>
          <w:szCs w:val="24"/>
          <w:lang w:eastAsia="ro-RO"/>
        </w:rPr>
        <w:t xml:space="preserve"> și/sau ASDAS ≥ 2,1 (boală cu activitate înaltă sau foarte înaltă</w:t>
      </w:r>
      <w:r w:rsidRPr="00300738">
        <w:rPr>
          <w:rFonts w:ascii="Times New Roman" w:eastAsia="Times New Roman" w:hAnsi="Times New Roman" w:cs="Times New Roman"/>
          <w:sz w:val="24"/>
          <w:szCs w:val="24"/>
          <w:lang w:val="x-none" w:eastAsia="ro-RO"/>
        </w:rPr>
        <w:t xml:space="preserve">) nonresponsivi după utilizarea a cel puţin la 2 AINS administrate în doză maximă </w:t>
      </w:r>
      <w:r w:rsidRPr="00300738">
        <w:rPr>
          <w:rFonts w:ascii="Times New Roman" w:eastAsia="Times New Roman" w:hAnsi="Times New Roman" w:cs="Times New Roman"/>
          <w:sz w:val="24"/>
          <w:szCs w:val="24"/>
          <w:lang w:eastAsia="ro-RO"/>
        </w:rPr>
        <w:t>cu o durata totala de cel puțin 4 săptămâni</w:t>
      </w:r>
      <w:r w:rsidRPr="00300738">
        <w:rPr>
          <w:rFonts w:ascii="Times New Roman" w:eastAsia="Times New Roman" w:hAnsi="Times New Roman" w:cs="Times New Roman"/>
          <w:sz w:val="24"/>
          <w:szCs w:val="24"/>
          <w:lang w:val="x-none" w:eastAsia="ro-RO"/>
        </w:rPr>
        <w:t>, chiar dacă terapia cu csDMARDs nu a fost încercată, deoarece csDMARDS nu şi-au dovedit eficacitatea în boala axială;</w:t>
      </w:r>
    </w:p>
    <w:p w14:paraId="73C1DE2E" w14:textId="77777777" w:rsidR="00300738" w:rsidRPr="00300738" w:rsidRDefault="00300738" w:rsidP="002161CA">
      <w:pPr>
        <w:numPr>
          <w:ilvl w:val="0"/>
          <w:numId w:val="19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pacienţi cu AP cu entezită nonresponsivi la 2 AINS administrate în doză maximă </w:t>
      </w:r>
      <w:r w:rsidRPr="00300738">
        <w:rPr>
          <w:rFonts w:ascii="Times New Roman" w:eastAsia="Times New Roman" w:hAnsi="Times New Roman" w:cs="Times New Roman"/>
          <w:sz w:val="24"/>
          <w:szCs w:val="24"/>
          <w:lang w:eastAsia="ro-RO"/>
        </w:rPr>
        <w:t>cu o durata totala de cel puțin 4 săptămâni</w:t>
      </w:r>
      <w:r w:rsidRPr="00300738">
        <w:rPr>
          <w:rFonts w:ascii="Times New Roman" w:eastAsia="Times New Roman" w:hAnsi="Times New Roman" w:cs="Times New Roman"/>
          <w:sz w:val="24"/>
          <w:szCs w:val="24"/>
          <w:lang w:val="x-none" w:eastAsia="ro-RO"/>
        </w:rPr>
        <w:t xml:space="preserve"> şi/sau injectări locale de glucocorticoizi chiar dacă terapia cu csDMARDs nu a fost încercată, deoarece csDMARDs nu şi-au dovedit eficacitatea în tratamentul acestor determinări ale bolii.</w:t>
      </w:r>
    </w:p>
    <w:p w14:paraId="6F758464"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4. Absenţa contraindicaţiilor recunoscute pentru terapiile biologice</w:t>
      </w:r>
      <w:r w:rsidRPr="00300738">
        <w:rPr>
          <w:rFonts w:ascii="Times New Roman" w:eastAsia="Times New Roman" w:hAnsi="Times New Roman" w:cs="Times New Roman"/>
          <w:sz w:val="24"/>
          <w:szCs w:val="24"/>
          <w:lang w:val="fr-MC" w:eastAsia="ro-RO"/>
        </w:rPr>
        <w:t xml:space="preserve"> sau ts-DMARDs</w:t>
      </w:r>
      <w:r w:rsidRPr="00300738">
        <w:rPr>
          <w:rFonts w:ascii="Times New Roman" w:eastAsia="Times New Roman" w:hAnsi="Times New Roman" w:cs="Times New Roman"/>
          <w:sz w:val="24"/>
          <w:szCs w:val="24"/>
          <w:lang w:val="x-none" w:eastAsia="ro-RO"/>
        </w:rPr>
        <w:t>.</w:t>
      </w:r>
    </w:p>
    <w:p w14:paraId="0A64EFEF"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În cazul în care medicul curant decide să nu indice metotrexat, motivul acestei decizii va fi explicit menţionat, iar prezenţa unor eventuale contraindicaţii sau reacţii adverse va fi adecvat documentată.</w:t>
      </w:r>
    </w:p>
    <w:p w14:paraId="5D556430"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trike/>
          <w:sz w:val="24"/>
          <w:szCs w:val="24"/>
          <w:lang w:eastAsia="ro-RO"/>
        </w:rPr>
      </w:pPr>
      <w:r w:rsidRPr="00300738">
        <w:rPr>
          <w:rFonts w:ascii="Times New Roman" w:eastAsia="Times New Roman" w:hAnsi="Times New Roman" w:cs="Times New Roman"/>
          <w:sz w:val="24"/>
          <w:szCs w:val="24"/>
          <w:lang w:val="x-none" w:eastAsia="ro-RO"/>
        </w:rPr>
        <w:t>Definirea unui caz ca fiind non-responder la csDMARDs se face prin persistenţa criteriilor de activitate, după 12 săptămâni de tratament continuu, cu doza maximă recomandată uzual şi tolerată din preparatul remisiv respectiv, excepţie făcând pacienţii cu AP predominant axială şi pacienţii cu AP cu entezită la care utilizarea de AINS este suficientă în dozele maximale în ultimele 12 săptămâni, deoarece csDMARDS nu şi-au dovedit eficacitatea în boala axială şi în AP cu entezită</w:t>
      </w:r>
      <w:r w:rsidRPr="00300738">
        <w:rPr>
          <w:rFonts w:ascii="Times New Roman" w:eastAsia="Times New Roman" w:hAnsi="Times New Roman" w:cs="Times New Roman"/>
          <w:sz w:val="24"/>
          <w:szCs w:val="24"/>
          <w:lang w:eastAsia="ro-RO"/>
        </w:rPr>
        <w:t>.</w:t>
      </w:r>
    </w:p>
    <w:p w14:paraId="2FF16067"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Pentru a fi relevante, toate evaluările (clinice şi de laborator) privind activitatea bolii, precum şi cele pentru excluderea contraindicaţiilor de terapie biologică vor fi efectuate într-o perioada relativ scurtă (ce nu va depăşi 4 săptămâni).</w:t>
      </w:r>
    </w:p>
    <w:p w14:paraId="5A0C1686"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1CC8FAFB"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300738">
        <w:rPr>
          <w:rFonts w:ascii="Times New Roman" w:eastAsia="Times New Roman" w:hAnsi="Times New Roman" w:cs="Times New Roman"/>
          <w:b/>
          <w:bCs/>
          <w:sz w:val="24"/>
          <w:szCs w:val="24"/>
          <w:lang w:val="x-none" w:eastAsia="ro-RO"/>
        </w:rPr>
        <w:t>Screeningul necesar înainte de orice iniţiere a terapiei biologice</w:t>
      </w:r>
      <w:r w:rsidRPr="00300738">
        <w:rPr>
          <w:rFonts w:ascii="Times New Roman" w:eastAsia="Times New Roman" w:hAnsi="Times New Roman" w:cs="Times New Roman"/>
          <w:b/>
          <w:bCs/>
          <w:sz w:val="24"/>
          <w:szCs w:val="24"/>
          <w:lang w:val="en-US" w:eastAsia="ro-RO"/>
        </w:rPr>
        <w:t xml:space="preserve"> sau </w:t>
      </w:r>
      <w:r w:rsidRPr="00300738">
        <w:rPr>
          <w:rFonts w:ascii="Times New Roman" w:eastAsia="Times New Roman" w:hAnsi="Times New Roman" w:cs="Times New Roman"/>
          <w:b/>
          <w:bCs/>
          <w:sz w:val="24"/>
          <w:szCs w:val="24"/>
          <w:lang w:eastAsia="ro-RO"/>
        </w:rPr>
        <w:t>ts-DMARDs</w:t>
      </w:r>
    </w:p>
    <w:p w14:paraId="65514307"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1. Tuberculoza</w:t>
      </w:r>
    </w:p>
    <w:p w14:paraId="79854732"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Înaintea iniţierii terapiei se va evalua riscul pacientului cu artrită psoriazică de a dezvolta o reactivare a unei tuberculoze latente, în condiţiile riscului epidemiologic mare al acestei populaţii. Evaluarea riscului de tuberculoză va cuprinde: anamneză, examen clinic, radiografie pulmonară şi teste de tip IGRA (interferon-gamma release assays): QuantiFERON TB Gold sau testul cutanat la tuberculină (TCT). Pentru pacienţii testaţi pozitiv la QuantiFERON sau la TCT (TCT) ≥ 5 mm se indică consult pneumologic în vederea chimioprofilaxiei (efectuată sub supravegherea medicului pneumolog; terapia biologică se poate iniţia după minimum o lună de tratament profilactic, numai cu avizul expres al medicului pneumolog). Numai la pacienţii care au avut teste iniţiale negative, se recomandă repetarea periodică a screening-ului pentru reactivarea tuberculozei (inclusiv testul QuantiFERON sau TCT), în caz de necesitate dar nu mai rar de 1 an (la reevaluare se va folosi acelaşi test care a fost folosit iniţial).</w:t>
      </w:r>
    </w:p>
    <w:p w14:paraId="09093956"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Pentru detalii legate de definirea pacienţilor cu risc crescut şi a conduitei de urmat, precum şi a situaţiilor particulare întâlnite în practică, medicul curant va utiliza recomandările in extenso din Ghidul de tratament al artritei psoriazice elaborat de Societatea Română de Reumatologie.</w:t>
      </w:r>
    </w:p>
    <w:p w14:paraId="41E94892"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2. Hepatitele virale</w:t>
      </w:r>
    </w:p>
    <w:p w14:paraId="2D91E8F3"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Ţinând cont de riscul crescut al reactivării infecţiilor cu virusuri hepatitice B şi C, care pot îmbrăca forme fulminante, deseori letale, este imperios necesar ca înaintea iniţierii terapiei cu un agent </w:t>
      </w:r>
      <w:r w:rsidRPr="00300738">
        <w:rPr>
          <w:rFonts w:ascii="Times New Roman" w:eastAsia="Times New Roman" w:hAnsi="Times New Roman" w:cs="Times New Roman"/>
          <w:sz w:val="24"/>
          <w:szCs w:val="24"/>
          <w:lang w:val="x-none" w:eastAsia="ro-RO"/>
        </w:rPr>
        <w:lastRenderedPageBreak/>
        <w:t>biologic să se efectueze screeningul infecţiilor cronice cu virusurile hepatitice B şi C. Markerii serologici virali care trebuie obligatoriu solicitaţi alături de transaminaze înainte de iniţierea unei terapii biologice sunt: pentru virusul hepatitic B (VHB): AgHBs, anticorpi anti-HBs, anticorpi anti-HBc (IgG); pentru virusul hepatitic C (VHC): anticorpi anti-VHC.</w:t>
      </w:r>
    </w:p>
    <w:p w14:paraId="51A278EF"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Decizia de iniţiere a terapiei biologice la cei cu markeri virali pozitivi impune avizul explicit al medicului specialist în boli infecţioase sau gastroenterologie, care va efectua o evaluare completă (hepatică şi virusologică) a pacientului şi va recomanda măsurile profilactice care se impun, stabilind momentul când terapia biologică a AP poate fi iniţiată, precum şi schema de monitorizare a siguranţei hepatice. Se recomandă repetarea periodică a screeningului pentru infecţiile cronice cu virusuri hepatitice B şi C, în caz de necesitate, dar nu mai rar de un an.</w:t>
      </w:r>
    </w:p>
    <w:p w14:paraId="61064DAD"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Pentru detalii legate de managementul infecţiei cu virusuri hepatitice la pacienţii cu terapii biologice medicul curant va utiliza recomandările in extenso din Ghidul de tratament al artritei psoriazice elaborat de Societatea Română de Reumatologie şi protocoalele terapeutice din hepatitele cronice aprobate de Ministerul Sănătăţii şi Casa Naţională de Asigurări de Sănătate.</w:t>
      </w:r>
    </w:p>
    <w:p w14:paraId="49DED26B"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043B3448"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300738">
        <w:rPr>
          <w:rFonts w:ascii="Times New Roman" w:eastAsia="Times New Roman" w:hAnsi="Times New Roman" w:cs="Times New Roman"/>
          <w:b/>
          <w:bCs/>
          <w:sz w:val="24"/>
          <w:szCs w:val="24"/>
          <w:lang w:val="x-none" w:eastAsia="ro-RO"/>
        </w:rPr>
        <w:t>Scheme terapeutice</w:t>
      </w:r>
    </w:p>
    <w:p w14:paraId="6E5166BA"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Conform recomandărilor EULAR, medicul curant poate alege ca primă soluţie terapeutică </w:t>
      </w:r>
      <w:r w:rsidRPr="00300738">
        <w:rPr>
          <w:rFonts w:ascii="Times New Roman" w:eastAsia="Times New Roman" w:hAnsi="Times New Roman" w:cs="Times New Roman"/>
          <w:sz w:val="24"/>
          <w:szCs w:val="24"/>
          <w:lang w:val="en-US" w:eastAsia="ro-RO"/>
        </w:rPr>
        <w:t xml:space="preserve">terapia </w:t>
      </w:r>
      <w:r w:rsidRPr="00300738">
        <w:rPr>
          <w:rFonts w:ascii="Times New Roman" w:eastAsia="Times New Roman" w:hAnsi="Times New Roman" w:cs="Times New Roman"/>
          <w:sz w:val="24"/>
          <w:szCs w:val="24"/>
          <w:lang w:val="x-none" w:eastAsia="ro-RO"/>
        </w:rPr>
        <w:t xml:space="preserve">biologică </w:t>
      </w:r>
      <w:r w:rsidRPr="00300738">
        <w:rPr>
          <w:rFonts w:ascii="Times New Roman" w:eastAsia="Times New Roman" w:hAnsi="Times New Roman" w:cs="Times New Roman"/>
          <w:sz w:val="24"/>
          <w:szCs w:val="24"/>
          <w:lang w:val="en-US" w:eastAsia="ro-RO"/>
        </w:rPr>
        <w:t xml:space="preserve">cu </w:t>
      </w:r>
      <w:r w:rsidRPr="00300738">
        <w:rPr>
          <w:rFonts w:ascii="Times New Roman" w:eastAsia="Times New Roman" w:hAnsi="Times New Roman" w:cs="Times New Roman"/>
          <w:sz w:val="24"/>
          <w:szCs w:val="24"/>
          <w:lang w:val="x-none" w:eastAsia="ro-RO"/>
        </w:rPr>
        <w:t>oricare dintre următorii</w:t>
      </w:r>
      <w:r w:rsidRPr="00300738">
        <w:rPr>
          <w:rFonts w:ascii="Times New Roman" w:eastAsia="Times New Roman" w:hAnsi="Times New Roman" w:cs="Times New Roman"/>
          <w:sz w:val="24"/>
          <w:szCs w:val="24"/>
          <w:lang w:val="en-US" w:eastAsia="ro-RO"/>
        </w:rPr>
        <w:t>:</w:t>
      </w:r>
      <w:r w:rsidRPr="00300738">
        <w:rPr>
          <w:rFonts w:ascii="Times New Roman" w:eastAsia="Times New Roman" w:hAnsi="Times New Roman" w:cs="Times New Roman"/>
          <w:sz w:val="24"/>
          <w:szCs w:val="24"/>
          <w:lang w:val="x-none" w:eastAsia="ro-RO"/>
        </w:rPr>
        <w:t xml:space="preserve"> inhibitori TNFα (listaţi în ordine alfabetică: adalimumab original sau biosimilar, certolizumab, etanercept original sau biosimilar, golimumab, infliximab original sau biosimilar)</w:t>
      </w:r>
      <w:r w:rsidRPr="00300738">
        <w:rPr>
          <w:rFonts w:ascii="Times New Roman" w:eastAsia="Times New Roman" w:hAnsi="Times New Roman" w:cs="Times New Roman"/>
          <w:sz w:val="24"/>
          <w:szCs w:val="24"/>
          <w:lang w:eastAsia="ro-RO"/>
        </w:rPr>
        <w:t>,</w:t>
      </w:r>
      <w:r w:rsidRPr="00300738">
        <w:rPr>
          <w:rFonts w:ascii="Times New Roman" w:eastAsia="Times New Roman" w:hAnsi="Times New Roman" w:cs="Times New Roman"/>
          <w:sz w:val="24"/>
          <w:szCs w:val="24"/>
          <w:lang w:val="x-none" w:eastAsia="ro-RO"/>
        </w:rPr>
        <w:t xml:space="preserve"> </w:t>
      </w:r>
      <w:r w:rsidRPr="00300738">
        <w:rPr>
          <w:rFonts w:ascii="Times New Roman" w:eastAsia="Times New Roman" w:hAnsi="Times New Roman" w:cs="Times New Roman"/>
          <w:sz w:val="24"/>
          <w:szCs w:val="24"/>
          <w:lang w:val="en-US" w:eastAsia="ro-RO"/>
        </w:rPr>
        <w:t>blocanți de IL-17 (</w:t>
      </w:r>
      <w:r w:rsidRPr="00300738">
        <w:rPr>
          <w:rFonts w:ascii="Times New Roman" w:eastAsia="Times New Roman" w:hAnsi="Times New Roman" w:cs="Times New Roman"/>
          <w:sz w:val="24"/>
          <w:szCs w:val="24"/>
          <w:lang w:val="x-none" w:eastAsia="ro-RO"/>
        </w:rPr>
        <w:t>secukinumab,</w:t>
      </w:r>
      <w:r w:rsidRPr="00300738">
        <w:rPr>
          <w:rFonts w:ascii="Times New Roman" w:eastAsia="Times New Roman" w:hAnsi="Times New Roman" w:cs="Times New Roman"/>
          <w:sz w:val="24"/>
          <w:szCs w:val="24"/>
          <w:lang w:val="en-US" w:eastAsia="ro-RO"/>
        </w:rPr>
        <w:t xml:space="preserve"> ixekizumab), blocanți de IL23 (guselkumab) sau terapia cu </w:t>
      </w:r>
      <w:r w:rsidRPr="00300738">
        <w:rPr>
          <w:rFonts w:ascii="Times New Roman" w:eastAsia="Times New Roman" w:hAnsi="Times New Roman" w:cs="Times New Roman"/>
          <w:sz w:val="24"/>
          <w:szCs w:val="24"/>
          <w:lang w:eastAsia="ro-RO"/>
        </w:rPr>
        <w:t>ts-DMARDs (tofacitinib, upadacitinib, apremilast)</w:t>
      </w:r>
      <w:r w:rsidRPr="00300738">
        <w:rPr>
          <w:rFonts w:ascii="Times New Roman" w:eastAsia="Times New Roman" w:hAnsi="Times New Roman" w:cs="Times New Roman"/>
          <w:sz w:val="24"/>
          <w:szCs w:val="24"/>
          <w:lang w:val="x-none" w:eastAsia="ro-RO"/>
        </w:rPr>
        <w:t xml:space="preserve"> fără a se acorda preferinţă sau prioritate unui produs</w:t>
      </w:r>
      <w:r w:rsidRPr="00300738">
        <w:rPr>
          <w:rFonts w:ascii="Times New Roman" w:eastAsia="Times New Roman" w:hAnsi="Times New Roman" w:cs="Times New Roman"/>
          <w:sz w:val="24"/>
          <w:szCs w:val="24"/>
          <w:lang w:eastAsia="ro-RO"/>
        </w:rPr>
        <w:t>,</w:t>
      </w:r>
      <w:r w:rsidRPr="00300738">
        <w:rPr>
          <w:rFonts w:ascii="Times New Roman" w:eastAsia="Times New Roman" w:hAnsi="Times New Roman" w:cs="Times New Roman"/>
          <w:sz w:val="24"/>
          <w:szCs w:val="24"/>
          <w:lang w:val="x-none" w:eastAsia="ro-RO"/>
        </w:rPr>
        <w:t xml:space="preserve"> în funcţie de particularităţile cazului. Schemele terapeutice sunt următoarele:</w:t>
      </w:r>
    </w:p>
    <w:p w14:paraId="43DECCBB" w14:textId="77777777" w:rsidR="00300738" w:rsidRPr="00300738" w:rsidRDefault="00300738" w:rsidP="002161CA">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b/>
          <w:bCs/>
          <w:sz w:val="24"/>
          <w:szCs w:val="24"/>
          <w:lang w:val="x-none" w:eastAsia="ro-RO"/>
        </w:rPr>
        <w:t>adalimumabum (original, biosimilar):</w:t>
      </w:r>
      <w:r w:rsidRPr="00300738">
        <w:rPr>
          <w:rFonts w:ascii="Times New Roman" w:eastAsia="Times New Roman" w:hAnsi="Times New Roman" w:cs="Times New Roman"/>
          <w:sz w:val="24"/>
          <w:szCs w:val="24"/>
          <w:lang w:val="x-none" w:eastAsia="ro-RO"/>
        </w:rPr>
        <w:t xml:space="preserve"> 40 mg o dată la 2 săptămâni, subcutanat;</w:t>
      </w:r>
    </w:p>
    <w:p w14:paraId="5560EFC8" w14:textId="77777777" w:rsidR="00300738" w:rsidRPr="00300738" w:rsidRDefault="00300738" w:rsidP="002161CA">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b/>
          <w:bCs/>
          <w:sz w:val="24"/>
          <w:szCs w:val="24"/>
          <w:lang w:val="x-none" w:eastAsia="ro-RO"/>
        </w:rPr>
        <w:t>certolizumab:</w:t>
      </w:r>
      <w:r w:rsidRPr="00300738">
        <w:rPr>
          <w:rFonts w:ascii="Times New Roman" w:eastAsia="Times New Roman" w:hAnsi="Times New Roman" w:cs="Times New Roman"/>
          <w:sz w:val="24"/>
          <w:szCs w:val="24"/>
          <w:lang w:val="x-none" w:eastAsia="ro-RO"/>
        </w:rPr>
        <w:t xml:space="preserve"> 200 mg x 2, injectabil subcutanat la 0, 2, 4 săptămâni, apoi 200 mg subcutanat la 2 săptămâni. Atunci când este obţinut răspunsul clinic, poate fi luată în considerare o doză de menţinere alternativă de 400 mg o dată la 4 săptămâni.</w:t>
      </w:r>
    </w:p>
    <w:p w14:paraId="02DBC14C" w14:textId="77777777" w:rsidR="00300738" w:rsidRPr="00300738" w:rsidRDefault="00300738" w:rsidP="002161CA">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b/>
          <w:bCs/>
          <w:sz w:val="24"/>
          <w:szCs w:val="24"/>
          <w:lang w:val="x-none" w:eastAsia="ro-RO"/>
        </w:rPr>
        <w:t>etanerceptum (original, biosimilar):</w:t>
      </w:r>
      <w:r w:rsidRPr="00300738">
        <w:rPr>
          <w:rFonts w:ascii="Times New Roman" w:eastAsia="Times New Roman" w:hAnsi="Times New Roman" w:cs="Times New Roman"/>
          <w:sz w:val="24"/>
          <w:szCs w:val="24"/>
          <w:lang w:val="x-none" w:eastAsia="ro-RO"/>
        </w:rPr>
        <w:t xml:space="preserve"> 25 mg de 2 ori pe săptămână sau 50 mg o dată pe săptămână, subcutanat.</w:t>
      </w:r>
    </w:p>
    <w:p w14:paraId="43933AD4" w14:textId="77777777" w:rsidR="00300738" w:rsidRPr="00300738" w:rsidRDefault="00300738" w:rsidP="002161CA">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b/>
          <w:bCs/>
          <w:sz w:val="24"/>
          <w:szCs w:val="24"/>
          <w:lang w:val="x-none" w:eastAsia="ro-RO"/>
        </w:rPr>
        <w:t>golimumabum:</w:t>
      </w:r>
      <w:r w:rsidRPr="00300738">
        <w:rPr>
          <w:rFonts w:ascii="Times New Roman" w:eastAsia="Times New Roman" w:hAnsi="Times New Roman" w:cs="Times New Roman"/>
          <w:sz w:val="24"/>
          <w:szCs w:val="24"/>
          <w:lang w:val="x-none" w:eastAsia="ro-RO"/>
        </w:rPr>
        <w:t xml:space="preserve"> 50 mg injectabil subcutanat administrat o dată pe lună în aceeaşi dată a fiecărei luni. La pacienţii cu greutate peste 100 kg care nu ating răspunsul clinic după 3 sau 4 doze golimumab 50 mg se creşte doza la 100 mg o dată pe lună în aceeaşi dată a lunii.</w:t>
      </w:r>
    </w:p>
    <w:p w14:paraId="0244B608" w14:textId="77777777" w:rsidR="00300738" w:rsidRPr="00300738" w:rsidRDefault="00300738" w:rsidP="002161CA">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b/>
          <w:bCs/>
          <w:sz w:val="24"/>
          <w:szCs w:val="24"/>
          <w:lang w:val="x-none" w:eastAsia="ro-RO"/>
        </w:rPr>
        <w:t>infliximabum (original, biosimilar):</w:t>
      </w:r>
      <w:r w:rsidRPr="00300738">
        <w:rPr>
          <w:rFonts w:ascii="Times New Roman" w:eastAsia="Times New Roman" w:hAnsi="Times New Roman" w:cs="Times New Roman"/>
          <w:sz w:val="24"/>
          <w:szCs w:val="24"/>
          <w:lang w:val="x-none" w:eastAsia="ro-RO"/>
        </w:rPr>
        <w:t xml:space="preserve"> în doze de 5 mg/kgc, în PEV, administrat în ziua 0 şi apoi la 2 şi 6 săptămâni, ulterior la fiecare 8 săptămâni.</w:t>
      </w:r>
      <w:r w:rsidRPr="00300738">
        <w:rPr>
          <w:rFonts w:ascii="Times New Roman" w:eastAsia="Times New Roman" w:hAnsi="Times New Roman" w:cs="Times New Roman"/>
          <w:sz w:val="24"/>
          <w:szCs w:val="24"/>
          <w:lang w:val="en-US" w:eastAsia="ro-RO"/>
        </w:rPr>
        <w:t xml:space="preserve"> Tratamentul cu infliximab administrat subcutanat trebuie inițiat ca tratament de întreținere la 4 săptămâni de la ultima administrare a două perfuzări intravenoase de infliximab la 5 mg/kg, administrate la interval de 2 săptămâni. </w:t>
      </w:r>
      <w:r w:rsidRPr="00300738">
        <w:rPr>
          <w:rFonts w:ascii="Times New Roman" w:eastAsia="Times New Roman" w:hAnsi="Times New Roman" w:cs="Times New Roman"/>
          <w:sz w:val="24"/>
          <w:szCs w:val="24"/>
          <w:lang w:val="fr-MC" w:eastAsia="ro-RO"/>
        </w:rPr>
        <w:t>Doza recomandată pentru infliximab în forma farmaceutică pentru utilizare subcutanată este de 120 mg la interval de 2 săptămâni.</w:t>
      </w:r>
      <w:r w:rsidRPr="00300738">
        <w:rPr>
          <w:rFonts w:ascii="Times New Roman" w:eastAsia="Times New Roman" w:hAnsi="Times New Roman" w:cs="Times New Roman"/>
          <w:bCs/>
          <w:sz w:val="24"/>
          <w:szCs w:val="24"/>
          <w:lang w:eastAsia="ro-RO"/>
        </w:rPr>
        <w:t xml:space="preserve"> </w:t>
      </w:r>
    </w:p>
    <w:p w14:paraId="21080150" w14:textId="77777777" w:rsidR="00300738" w:rsidRPr="00300738" w:rsidRDefault="00300738" w:rsidP="00300738">
      <w:p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bCs/>
          <w:sz w:val="24"/>
          <w:szCs w:val="24"/>
          <w:lang w:eastAsia="ro-RO"/>
        </w:rPr>
        <w:t>În cazul în care tratamentul de întreţinere este întrerupt şi este necesară reînceperea tratamentului, nu este recomandată utilizarea unui regim de re-inducţie a infliximabului intravenos. În această situație, infliximabul trebuie reinițiat ca doză unică de infliximab intravenos urmată de recomandările privind doza de întreținere pentru infliximab subcutanat descrise mai sus, la 4 săptămâni după ultima administrare de infliximab intravenos.</w:t>
      </w:r>
    </w:p>
    <w:p w14:paraId="4B271A94" w14:textId="77777777" w:rsidR="00300738" w:rsidRPr="00300738" w:rsidRDefault="00300738" w:rsidP="00300738">
      <w:pPr>
        <w:autoSpaceDE w:val="0"/>
        <w:autoSpaceDN w:val="0"/>
        <w:adjustRightInd w:val="0"/>
        <w:spacing w:after="0" w:line="240" w:lineRule="auto"/>
        <w:ind w:left="284"/>
        <w:jc w:val="both"/>
        <w:rPr>
          <w:rFonts w:ascii="Times New Roman" w:eastAsia="Times New Roman" w:hAnsi="Times New Roman" w:cs="Times New Roman"/>
          <w:bCs/>
          <w:sz w:val="24"/>
          <w:szCs w:val="24"/>
          <w:lang w:eastAsia="ro-RO"/>
        </w:rPr>
      </w:pPr>
      <w:r w:rsidRPr="00300738">
        <w:rPr>
          <w:rFonts w:ascii="Times New Roman" w:eastAsia="Times New Roman" w:hAnsi="Times New Roman" w:cs="Times New Roman"/>
          <w:bCs/>
          <w:sz w:val="24"/>
          <w:szCs w:val="24"/>
          <w:lang w:eastAsia="ro-RO"/>
        </w:rPr>
        <w:t>Când se trece de la terapia de întreținere cu infliximab formulă intravenoasă la forma farmaceutică subcutanată a infliximab, forma farmaceutică subcutanată poate fi administrată la 8 săptămâni după ultima administrare a perfuziilor intravenoase de infliximab.</w:t>
      </w:r>
    </w:p>
    <w:p w14:paraId="3633794E" w14:textId="77777777" w:rsidR="00300738" w:rsidRPr="00300738" w:rsidRDefault="00300738" w:rsidP="00300738">
      <w:p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bCs/>
          <w:sz w:val="24"/>
          <w:szCs w:val="24"/>
          <w:lang w:eastAsia="ro-RO"/>
        </w:rPr>
        <w:t>Nu sunt disponibile informații privind trecerea pacienților de la forma farmaceutică subcutanată la forma farmaceutică intravenoasă a infliximabum.</w:t>
      </w:r>
    </w:p>
    <w:p w14:paraId="6FC1817F" w14:textId="77777777" w:rsidR="00300738" w:rsidRPr="00300738" w:rsidRDefault="00300738" w:rsidP="00300738">
      <w:p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bCs/>
          <w:sz w:val="24"/>
          <w:szCs w:val="24"/>
          <w:lang w:eastAsia="ro-RO"/>
        </w:rPr>
        <w:t>Dacă pacienții omit administrarea unei injecții cu formularea subcutanată a infliximab, trebuie să fie instruiți să-și administreze imediat doza omisă în cazul în care acest lucru se întâmplă în termen de 7 zile de la doza omisă, apoi să rămână la schema lor inițială. Dacă doza este întârziată cu 8 zile sau mai mult, pacienții trebuie să fie instruiți să sară peste doza omisă, să aștepte până la următoarea doză programată și apoi să rămână la schema lor inițială.</w:t>
      </w:r>
    </w:p>
    <w:p w14:paraId="6D91CF02" w14:textId="77777777" w:rsidR="00300738" w:rsidRPr="00300738" w:rsidRDefault="00300738" w:rsidP="002161CA">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b/>
          <w:bCs/>
          <w:sz w:val="24"/>
          <w:szCs w:val="24"/>
          <w:lang w:val="x-none" w:eastAsia="ro-RO"/>
        </w:rPr>
        <w:lastRenderedPageBreak/>
        <w:t>secukinumabum:</w:t>
      </w:r>
      <w:r w:rsidRPr="00300738">
        <w:rPr>
          <w:rFonts w:ascii="Times New Roman" w:eastAsia="Times New Roman" w:hAnsi="Times New Roman" w:cs="Times New Roman"/>
          <w:sz w:val="24"/>
          <w:szCs w:val="24"/>
          <w:lang w:val="x-none" w:eastAsia="ro-RO"/>
        </w:rPr>
        <w:t xml:space="preserve"> doza recomandată este de 150 mg/săptămână subcutanat (1 injecţie la săptămânile 0, 1, 2, 3 şi 4, ulterior de 150 mg/lună subcutanat (1 injecţie în fiecare lună). Doza de 300 mg/săptămână subcutanat la săptămânile 0, 1, 2, 3 şi 4, ulterior de 300 mg/lună subcutanat, se utilizează la pacienţii cu artrită psoriazică, care nu au răspuns corespunzător la terapia cu medicamente anti-TNFα utilizate anterior. Fiecare doză de 300 mg </w:t>
      </w:r>
      <w:r w:rsidRPr="00300738">
        <w:rPr>
          <w:rFonts w:ascii="Times New Roman" w:eastAsia="Times New Roman" w:hAnsi="Times New Roman" w:cs="Times New Roman"/>
          <w:sz w:val="24"/>
          <w:szCs w:val="24"/>
          <w:lang w:eastAsia="ro-RO"/>
        </w:rPr>
        <w:t xml:space="preserve">poate fi </w:t>
      </w:r>
      <w:r w:rsidRPr="00300738">
        <w:rPr>
          <w:rFonts w:ascii="Times New Roman" w:eastAsia="Times New Roman" w:hAnsi="Times New Roman" w:cs="Times New Roman"/>
          <w:sz w:val="24"/>
          <w:szCs w:val="24"/>
          <w:lang w:val="x-none" w:eastAsia="ro-RO"/>
        </w:rPr>
        <w:t xml:space="preserve">administrată sub forma </w:t>
      </w:r>
      <w:r w:rsidRPr="00300738">
        <w:rPr>
          <w:rFonts w:ascii="Times New Roman" w:eastAsia="Times New Roman" w:hAnsi="Times New Roman" w:cs="Times New Roman"/>
          <w:sz w:val="24"/>
          <w:szCs w:val="24"/>
          <w:lang w:eastAsia="ro-RO"/>
        </w:rPr>
        <w:t xml:space="preserve">unei injecții subcutanate de 300mg sau </w:t>
      </w:r>
      <w:r w:rsidRPr="00300738">
        <w:rPr>
          <w:rFonts w:ascii="Times New Roman" w:eastAsia="Times New Roman" w:hAnsi="Times New Roman" w:cs="Times New Roman"/>
          <w:sz w:val="24"/>
          <w:szCs w:val="24"/>
          <w:lang w:val="x-none" w:eastAsia="ro-RO"/>
        </w:rPr>
        <w:t>a două injecţii subcutanate de 150 mg. La pacienţii care au început tratament cu secukinumabum 150 mg şi nu au atins ţinta terapeutică (conform definiţiei de mai jos la capitolul "Continuarea tratamentului"), se poate creşte doza de secukinumabum la 300 mg/lună.</w:t>
      </w:r>
    </w:p>
    <w:p w14:paraId="0DBF72E5" w14:textId="77777777" w:rsidR="00300738" w:rsidRPr="00300738" w:rsidRDefault="00300738" w:rsidP="002161CA">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bCs/>
          <w:strike/>
          <w:sz w:val="24"/>
          <w:szCs w:val="24"/>
          <w:lang w:eastAsia="ro-RO"/>
        </w:rPr>
      </w:pPr>
      <w:r w:rsidRPr="00300738">
        <w:rPr>
          <w:rFonts w:ascii="Times New Roman" w:eastAsia="Times New Roman" w:hAnsi="Times New Roman" w:cs="Times New Roman"/>
          <w:b/>
          <w:bCs/>
          <w:sz w:val="24"/>
          <w:szCs w:val="24"/>
          <w:lang w:val="en-US" w:eastAsia="ro-RO"/>
        </w:rPr>
        <w:t xml:space="preserve">ixekizumabum: </w:t>
      </w:r>
      <w:r w:rsidRPr="00300738">
        <w:rPr>
          <w:rFonts w:ascii="Times New Roman" w:eastAsia="Times New Roman" w:hAnsi="Times New Roman" w:cs="Times New Roman"/>
          <w:bCs/>
          <w:sz w:val="24"/>
          <w:szCs w:val="24"/>
          <w:lang w:val="en-US" w:eastAsia="ro-RO"/>
        </w:rPr>
        <w:t>doza recomandat</w:t>
      </w:r>
      <w:r w:rsidRPr="00300738">
        <w:rPr>
          <w:rFonts w:ascii="Times New Roman" w:eastAsia="Times New Roman" w:hAnsi="Times New Roman" w:cs="Times New Roman"/>
          <w:bCs/>
          <w:sz w:val="24"/>
          <w:szCs w:val="24"/>
          <w:lang w:eastAsia="ro-RO"/>
        </w:rPr>
        <w:t>ă este de 160 mg prin injectare subcutanată (două injecții de 80 mg) în săptămâna 0, urmată apoi de 80 mg (o injecție) la intervale de 4 săptămâni.</w:t>
      </w:r>
    </w:p>
    <w:p w14:paraId="04A775B7" w14:textId="77777777" w:rsidR="00300738" w:rsidRPr="00300738" w:rsidRDefault="00300738" w:rsidP="002161CA">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bCs/>
          <w:strike/>
          <w:sz w:val="24"/>
          <w:szCs w:val="24"/>
          <w:lang w:eastAsia="ro-RO"/>
        </w:rPr>
      </w:pPr>
      <w:r w:rsidRPr="00300738">
        <w:rPr>
          <w:rFonts w:ascii="Times New Roman" w:eastAsia="Times New Roman" w:hAnsi="Times New Roman" w:cs="Times New Roman"/>
          <w:b/>
          <w:bCs/>
          <w:sz w:val="24"/>
          <w:szCs w:val="24"/>
          <w:lang w:eastAsia="ro-RO"/>
        </w:rPr>
        <w:t xml:space="preserve">Guselkumabum (face obiectul unui contract cost-volum): </w:t>
      </w:r>
      <w:r w:rsidRPr="00300738">
        <w:rPr>
          <w:rFonts w:ascii="Times New Roman" w:eastAsia="Times New Roman" w:hAnsi="Times New Roman" w:cs="Times New Roman"/>
          <w:sz w:val="24"/>
          <w:szCs w:val="24"/>
          <w:lang w:eastAsia="ro-RO"/>
        </w:rPr>
        <w:t xml:space="preserve">doza recomandata este de 100 mg prin injecție subcutanată în săptămânile 0 și 4, urmată de o doză de întreținere la fiecare 8 săptămâni. Pentru pacienții cu risc crescut de afectare a articulațiilor constatat la examenul clinic, poate fi luată în considerare o doză de 100 mg la fiecare 4 săptămâni. </w:t>
      </w:r>
      <w:r w:rsidRPr="00300738">
        <w:rPr>
          <w:rFonts w:ascii="Times New Roman" w:eastAsia="Times New Roman" w:hAnsi="Times New Roman" w:cs="Times New Roman"/>
          <w:sz w:val="24"/>
          <w:szCs w:val="24"/>
          <w:lang w:val="en-US" w:eastAsia="ro-RO"/>
        </w:rPr>
        <w:t>Se poate administra singur sau în asociere cu metotrexat.</w:t>
      </w:r>
    </w:p>
    <w:p w14:paraId="275B9BA3" w14:textId="77777777" w:rsidR="00300738" w:rsidRPr="00300738" w:rsidRDefault="00300738" w:rsidP="002161CA">
      <w:pPr>
        <w:numPr>
          <w:ilvl w:val="0"/>
          <w:numId w:val="19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b/>
          <w:bCs/>
          <w:sz w:val="24"/>
          <w:szCs w:val="24"/>
          <w:lang w:eastAsia="ro-RO"/>
        </w:rPr>
        <w:t xml:space="preserve">Tofacitinib(face obiectul unui contract cost-volum): </w:t>
      </w:r>
      <w:r w:rsidRPr="00300738">
        <w:rPr>
          <w:rFonts w:ascii="Times New Roman" w:eastAsia="Times New Roman" w:hAnsi="Times New Roman" w:cs="Times New Roman"/>
          <w:bCs/>
          <w:sz w:val="24"/>
          <w:szCs w:val="24"/>
          <w:lang w:eastAsia="ro-RO"/>
        </w:rPr>
        <w:t xml:space="preserve">doza recomandată este de 5 mg per os administrat de două ori pe zi  </w:t>
      </w:r>
      <w:r w:rsidRPr="00300738">
        <w:rPr>
          <w:rFonts w:ascii="Times New Roman" w:eastAsia="Times New Roman" w:hAnsi="Times New Roman" w:cs="Times New Roman"/>
          <w:sz w:val="24"/>
          <w:szCs w:val="24"/>
          <w:lang w:eastAsia="ro-RO"/>
        </w:rPr>
        <w:t xml:space="preserve">sau 11 mg (comprimate cu eliberare prelungita) o data pe zi, oral </w:t>
      </w:r>
      <w:r w:rsidRPr="00300738">
        <w:rPr>
          <w:rFonts w:ascii="Times New Roman" w:eastAsia="Times New Roman" w:hAnsi="Times New Roman" w:cs="Times New Roman"/>
          <w:bCs/>
          <w:sz w:val="24"/>
          <w:szCs w:val="24"/>
          <w:lang w:eastAsia="ro-RO"/>
        </w:rPr>
        <w:t>și</w:t>
      </w:r>
      <w:r w:rsidRPr="00300738">
        <w:rPr>
          <w:rFonts w:ascii="Times New Roman" w:eastAsia="Times New Roman" w:hAnsi="Times New Roman" w:cs="Times New Roman"/>
          <w:sz w:val="24"/>
          <w:szCs w:val="24"/>
          <w:lang w:eastAsia="ro-RO"/>
        </w:rPr>
        <w:t xml:space="preserve"> este indicat în asociere cu MTX în tratamentul AP active la pacienții adulți care au avut un răspuns inadecvat sau care nu au tolerat un tratament anterior cu un medicament antireumatic modificator al bolii (DMARD).</w:t>
      </w:r>
      <w:r w:rsidRPr="00300738">
        <w:rPr>
          <w:rFonts w:ascii="Times New Roman" w:eastAsia="Times New Roman" w:hAnsi="Times New Roman" w:cs="Times New Roman"/>
          <w:sz w:val="24"/>
          <w:szCs w:val="24"/>
          <w:lang w:val="x-none" w:eastAsia="ro-RO"/>
        </w:rPr>
        <w:t xml:space="preserve"> </w:t>
      </w:r>
      <w:r w:rsidRPr="00300738">
        <w:rPr>
          <w:rFonts w:ascii="Times New Roman" w:eastAsia="Times New Roman" w:hAnsi="Times New Roman" w:cs="Times New Roman"/>
          <w:sz w:val="24"/>
          <w:szCs w:val="24"/>
          <w:lang w:eastAsia="ro-RO"/>
        </w:rPr>
        <w:t xml:space="preserve">Schimbul bidirecţional între tratamentul cu tofacitinib 5 mg comprimate filmate, de două ori pe zi și cel cu tofacitinib 11 mg comprimat cu eliberare prelungită, o dată pe zi se poate face în ziua imediat următoare ultimei doze din fiecare comprimat. </w:t>
      </w:r>
      <w:r w:rsidRPr="00300738">
        <w:rPr>
          <w:rFonts w:ascii="Times New Roman" w:eastAsia="Times New Roman" w:hAnsi="Times New Roman" w:cs="Times New Roman"/>
          <w:i/>
          <w:iCs/>
          <w:sz w:val="24"/>
          <w:szCs w:val="24"/>
          <w:lang w:eastAsia="ro-RO"/>
        </w:rPr>
        <w:t xml:space="preserve"> </w:t>
      </w:r>
    </w:p>
    <w:p w14:paraId="006E91DD" w14:textId="77777777" w:rsidR="00300738" w:rsidRPr="00300738" w:rsidRDefault="00300738" w:rsidP="002161CA">
      <w:pPr>
        <w:numPr>
          <w:ilvl w:val="0"/>
          <w:numId w:val="191"/>
        </w:numPr>
        <w:pBdr>
          <w:top w:val="nil"/>
          <w:left w:val="nil"/>
          <w:bottom w:val="nil"/>
          <w:right w:val="nil"/>
          <w:between w:val="nil"/>
          <w:bar w:val="nil"/>
        </w:pBdr>
        <w:spacing w:after="0" w:line="240" w:lineRule="auto"/>
        <w:ind w:left="360"/>
        <w:jc w:val="both"/>
        <w:rPr>
          <w:rFonts w:ascii="Times New Roman" w:eastAsia="Calibri" w:hAnsi="Times New Roman" w:cs="Times New Roman"/>
          <w:sz w:val="24"/>
          <w:szCs w:val="24"/>
          <w:lang w:eastAsia="ro-RO"/>
        </w:rPr>
      </w:pPr>
      <w:r w:rsidRPr="00300738">
        <w:rPr>
          <w:rFonts w:ascii="Times New Roman" w:eastAsia="Calibri" w:hAnsi="Times New Roman" w:cs="Times New Roman"/>
          <w:b/>
          <w:bCs/>
          <w:sz w:val="24"/>
          <w:szCs w:val="24"/>
          <w:u w:color="000000"/>
          <w:bdr w:val="nil"/>
          <w:lang w:eastAsia="ro-RO"/>
        </w:rPr>
        <w:t>upadacitinib</w:t>
      </w:r>
      <w:r w:rsidRPr="00300738">
        <w:rPr>
          <w:rFonts w:ascii="Times New Roman" w:eastAsia="Calibri" w:hAnsi="Times New Roman" w:cs="Times New Roman"/>
          <w:b/>
          <w:bCs/>
          <w:sz w:val="24"/>
          <w:szCs w:val="24"/>
          <w:lang w:eastAsia="ro-RO"/>
        </w:rPr>
        <w:t>:</w:t>
      </w:r>
      <w:r w:rsidRPr="00300738">
        <w:rPr>
          <w:rFonts w:ascii="Times New Roman" w:eastAsia="Calibri" w:hAnsi="Times New Roman" w:cs="Times New Roman"/>
          <w:sz w:val="24"/>
          <w:szCs w:val="24"/>
          <w:lang w:eastAsia="ro-RO"/>
        </w:rPr>
        <w:t xml:space="preserve"> </w:t>
      </w:r>
      <w:r w:rsidRPr="00300738">
        <w:rPr>
          <w:rFonts w:ascii="Times New Roman" w:eastAsia="Calibri" w:hAnsi="Times New Roman" w:cs="Times New Roman"/>
          <w:sz w:val="24"/>
          <w:szCs w:val="24"/>
          <w:u w:color="000000"/>
          <w:bdr w:val="nil"/>
          <w:lang w:eastAsia="ro-RO"/>
        </w:rPr>
        <w:t>doza recomandată este de 15 mg (comprimate cu eliberare prelungită)/zi, oral</w:t>
      </w:r>
      <w:r w:rsidRPr="00300738">
        <w:rPr>
          <w:rFonts w:ascii="Times New Roman" w:eastAsia="Calibri" w:hAnsi="Times New Roman" w:cs="Times New Roman"/>
          <w:sz w:val="24"/>
          <w:szCs w:val="24"/>
          <w:lang w:eastAsia="ro-RO"/>
        </w:rPr>
        <w:t xml:space="preserve">. Upadacitinib poate fi utilizat în monoterapie sau în asociere cu metotrexat. Nu este necesară ajustarea dozei la pacienţii cu insuficienţă hepatică uşoară sau moderată (clasă Child-Pugh A sau B). Nu este necesară ajustarea dozei la pacienţii cu insuficienţă renală uşoară sau moderată; trebuie utilizat cu precauție la pacienții cu insuficiență renală severă. Asocierea cu alte medicamente imunosupresoare puternice cum sunt azatioprina, ciclosporina, tacrolimus nu este recomandată. Upadacitinib trebuie utilizat cu precauţie la pacienţii care urmează tratamente de lungă durată cu inhibitori puternici ai CYP3A4 (ketoconazol, </w:t>
      </w:r>
      <w:bookmarkStart w:id="17" w:name="_Hlk93182220"/>
      <w:r w:rsidRPr="00300738">
        <w:rPr>
          <w:rFonts w:ascii="Times New Roman" w:eastAsia="Calibri" w:hAnsi="Times New Roman" w:cs="Times New Roman"/>
          <w:sz w:val="24"/>
          <w:szCs w:val="24"/>
          <w:lang w:eastAsia="ro-RO"/>
        </w:rPr>
        <w:t>itraconazol</w:t>
      </w:r>
      <w:bookmarkEnd w:id="17"/>
      <w:r w:rsidRPr="00300738">
        <w:rPr>
          <w:rFonts w:ascii="Times New Roman" w:eastAsia="Calibri" w:hAnsi="Times New Roman" w:cs="Times New Roman"/>
          <w:sz w:val="24"/>
          <w:szCs w:val="24"/>
          <w:lang w:eastAsia="ro-RO"/>
        </w:rPr>
        <w:t>, posaconazol, voriconazol şi claritromicina). </w:t>
      </w:r>
    </w:p>
    <w:p w14:paraId="2CDE7000" w14:textId="77777777" w:rsidR="00300738" w:rsidRPr="00300738" w:rsidRDefault="00300738" w:rsidP="002161CA">
      <w:pPr>
        <w:numPr>
          <w:ilvl w:val="0"/>
          <w:numId w:val="191"/>
        </w:numPr>
        <w:pBdr>
          <w:top w:val="nil"/>
          <w:left w:val="nil"/>
          <w:bottom w:val="nil"/>
          <w:right w:val="nil"/>
          <w:between w:val="nil"/>
          <w:bar w:val="nil"/>
        </w:pBdr>
        <w:spacing w:after="0" w:line="240" w:lineRule="auto"/>
        <w:ind w:left="360"/>
        <w:jc w:val="both"/>
        <w:rPr>
          <w:rFonts w:ascii="Times New Roman" w:eastAsia="Times New Roman" w:hAnsi="Times New Roman" w:cs="Times New Roman"/>
          <w:sz w:val="24"/>
          <w:szCs w:val="24"/>
          <w:lang w:eastAsia="ro-RO"/>
        </w:rPr>
      </w:pPr>
      <w:r w:rsidRPr="00300738">
        <w:rPr>
          <w:rFonts w:ascii="Times New Roman" w:eastAsia="Calibri" w:hAnsi="Times New Roman" w:cs="Times New Roman"/>
          <w:b/>
          <w:bCs/>
          <w:sz w:val="24"/>
          <w:szCs w:val="24"/>
          <w:lang w:eastAsia="ro-RO"/>
        </w:rPr>
        <w:t xml:space="preserve">Apremilast (face obiectul unui contract cost-volum): </w:t>
      </w:r>
      <w:r w:rsidRPr="00300738">
        <w:rPr>
          <w:rFonts w:ascii="Times New Roman" w:eastAsia="Times New Roman" w:hAnsi="Times New Roman" w:cs="Times New Roman"/>
          <w:sz w:val="24"/>
          <w:szCs w:val="24"/>
          <w:lang w:eastAsia="ro-RO"/>
        </w:rPr>
        <w:t xml:space="preserve">doza recomandată este de 30 mg de două ori pe zi, administrată pe cale orală, dimineaţa şi seara, la interval de aproximativ 12 ore, fără restricţii alimentare. Este necesar un program iniţial de creștere treptată a dozelor, cu câte 10 mg pe zi, utilizând pachetul de inițiere ce asigura tratamentul pentru 14 zile. După creșterea inițială, nu este necesară repetarea acesteia.Apremilast poate fi utilizat în monoterapie sau în asociere cu csDAMARDs. Doza de apremilast trebuie scăzută la 30 mg o dată pe zi la pacienţii cu insuficienţă renală severă (clearance al creatininei mai mic de 30 ml/minut). Nu este necesară ajustarea dozei pentru pacienţii cu insuficienţă hepatică. Nu este necesară ajustarea dozei pentru pacienţii vârstnici. Nu este recomandată utilizarea apremilast împreună cu inductori enzimatici puternici ai CYP3A4 (de exemplu rifampicină, fenobarbital, carbamazepină, fenitoină şi sunătoare), aceștia din urmă putând determina pierderea eficacităţii apremilastului. Pacienţilor care sunt subponderali la începutul tratamentului trebuie să le fie monitorizată greutatea corporală cu regularitate. </w:t>
      </w:r>
    </w:p>
    <w:p w14:paraId="6C7B89FD" w14:textId="77777777" w:rsidR="00300738" w:rsidRPr="00300738" w:rsidRDefault="00300738" w:rsidP="00300738">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lang w:eastAsia="ro-RO"/>
        </w:rPr>
      </w:pPr>
    </w:p>
    <w:p w14:paraId="5A699A05" w14:textId="77777777" w:rsidR="00300738" w:rsidRPr="00300738" w:rsidRDefault="00300738" w:rsidP="00300738">
      <w:pPr>
        <w:pBdr>
          <w:top w:val="nil"/>
          <w:left w:val="nil"/>
          <w:bottom w:val="nil"/>
          <w:right w:val="nil"/>
          <w:between w:val="nil"/>
          <w:bar w:val="nil"/>
        </w:pBdr>
        <w:spacing w:after="0" w:line="240" w:lineRule="auto"/>
        <w:jc w:val="both"/>
        <w:rPr>
          <w:rFonts w:ascii="Times New Roman" w:eastAsia="Times New Roman" w:hAnsi="Times New Roman" w:cs="Times New Roman"/>
          <w:sz w:val="24"/>
          <w:szCs w:val="24"/>
          <w:lang w:eastAsia="ro-RO"/>
        </w:rPr>
      </w:pPr>
      <w:r w:rsidRPr="00300738">
        <w:rPr>
          <w:rFonts w:ascii="Times New Roman" w:eastAsia="Times New Roman" w:hAnsi="Times New Roman" w:cs="Times New Roman"/>
          <w:sz w:val="24"/>
          <w:szCs w:val="24"/>
          <w:lang w:val="x-none" w:eastAsia="ro-RO"/>
        </w:rPr>
        <w:t xml:space="preserve">Conform noilor recomandări şi evidenţe nu este obligatorie asocierea </w:t>
      </w:r>
      <w:r w:rsidRPr="00300738">
        <w:rPr>
          <w:rFonts w:ascii="Times New Roman" w:eastAsia="Times New Roman" w:hAnsi="Times New Roman" w:cs="Times New Roman"/>
          <w:sz w:val="24"/>
          <w:szCs w:val="24"/>
          <w:lang w:val="it-IT" w:eastAsia="ro-RO"/>
        </w:rPr>
        <w:t xml:space="preserve">agentului biologic </w:t>
      </w:r>
      <w:r w:rsidRPr="00300738">
        <w:rPr>
          <w:rFonts w:ascii="Times New Roman" w:eastAsia="Times New Roman" w:hAnsi="Times New Roman" w:cs="Times New Roman"/>
          <w:sz w:val="24"/>
          <w:szCs w:val="24"/>
          <w:lang w:val="x-none" w:eastAsia="ro-RO"/>
        </w:rPr>
        <w:t>cu un remisiv sintetic convenţional. Acesta poate fi continuat la latitudinea medicului curant pentru prevenirea apariţiei de anticorpi anti-</w:t>
      </w:r>
      <w:r w:rsidRPr="00300738">
        <w:rPr>
          <w:rFonts w:ascii="Times New Roman" w:eastAsia="Times New Roman" w:hAnsi="Times New Roman" w:cs="Times New Roman"/>
          <w:sz w:val="24"/>
          <w:szCs w:val="24"/>
          <w:lang w:val="it-IT" w:eastAsia="ro-RO"/>
        </w:rPr>
        <w:t>agent</w:t>
      </w:r>
      <w:r w:rsidRPr="00300738">
        <w:rPr>
          <w:rFonts w:ascii="Times New Roman" w:eastAsia="Times New Roman" w:hAnsi="Times New Roman" w:cs="Times New Roman"/>
          <w:sz w:val="24"/>
          <w:szCs w:val="24"/>
          <w:lang w:val="x-none" w:eastAsia="ro-RO"/>
        </w:rPr>
        <w:t xml:space="preserve"> biologic.</w:t>
      </w:r>
      <w:r w:rsidRPr="00300738">
        <w:rPr>
          <w:rFonts w:ascii="Times New Roman" w:eastAsia="Times New Roman" w:hAnsi="Times New Roman" w:cs="Times New Roman"/>
          <w:sz w:val="24"/>
          <w:szCs w:val="24"/>
          <w:lang w:eastAsia="ro-RO"/>
        </w:rPr>
        <w:t xml:space="preserve"> </w:t>
      </w:r>
    </w:p>
    <w:p w14:paraId="204691A7" w14:textId="77777777" w:rsidR="00300738" w:rsidRPr="00300738" w:rsidRDefault="00300738" w:rsidP="00300738">
      <w:pPr>
        <w:tabs>
          <w:tab w:val="left" w:pos="426"/>
        </w:tabs>
        <w:spacing w:after="0" w:line="276" w:lineRule="auto"/>
        <w:jc w:val="both"/>
        <w:rPr>
          <w:rFonts w:ascii="Times New Roman" w:eastAsia="Times New Roman" w:hAnsi="Times New Roman" w:cs="Times New Roman"/>
          <w:strike/>
          <w:sz w:val="24"/>
          <w:szCs w:val="24"/>
          <w:lang w:eastAsia="ro-RO"/>
        </w:rPr>
      </w:pPr>
    </w:p>
    <w:p w14:paraId="4E4E735B"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Tratamentul biologic </w:t>
      </w:r>
      <w:r w:rsidRPr="00300738">
        <w:rPr>
          <w:rFonts w:ascii="Times New Roman" w:eastAsia="Times New Roman" w:hAnsi="Times New Roman" w:cs="Times New Roman"/>
          <w:sz w:val="24"/>
          <w:szCs w:val="24"/>
          <w:lang w:eastAsia="ro-RO"/>
        </w:rPr>
        <w:t xml:space="preserve">sau cu ts-DMARDs  </w:t>
      </w:r>
      <w:r w:rsidRPr="00300738">
        <w:rPr>
          <w:rFonts w:ascii="Times New Roman" w:eastAsia="Times New Roman" w:hAnsi="Times New Roman" w:cs="Times New Roman"/>
          <w:sz w:val="24"/>
          <w:szCs w:val="24"/>
          <w:lang w:val="x-none" w:eastAsia="ro-RO"/>
        </w:rPr>
        <w:t>iniţiat este continuat atâta vreme cât pacientul răspunde la terapie (îndeplinind criteriile de ameliorare de mai jos) şi nu dezvoltă reacţii adverse care să impună oprirea terapiei. Evaluarea răspunsului la tratament se face la fiecare 24 săptămâni de tratament.</w:t>
      </w:r>
    </w:p>
    <w:p w14:paraId="32AC5309"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17FA461B"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300738">
        <w:rPr>
          <w:rFonts w:ascii="Times New Roman" w:eastAsia="Times New Roman" w:hAnsi="Times New Roman" w:cs="Times New Roman"/>
          <w:b/>
          <w:bCs/>
          <w:sz w:val="24"/>
          <w:szCs w:val="24"/>
          <w:lang w:val="x-none" w:eastAsia="ro-RO"/>
        </w:rPr>
        <w:t>Evaluarea răspunsului la tratament</w:t>
      </w:r>
    </w:p>
    <w:p w14:paraId="7760385F"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lastRenderedPageBreak/>
        <w:t>Evaluarea răspunsului la tratament este apreciat prin urmărirea următorilor parametri clinici şi de laborator:</w:t>
      </w:r>
    </w:p>
    <w:p w14:paraId="415F880D" w14:textId="77777777" w:rsidR="00300738" w:rsidRPr="00300738" w:rsidRDefault="00300738" w:rsidP="002161CA">
      <w:pPr>
        <w:numPr>
          <w:ilvl w:val="0"/>
          <w:numId w:val="19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numărul de articulaţii dureroase (NAD) din 68 de articulaţii;</w:t>
      </w:r>
    </w:p>
    <w:p w14:paraId="08F33829" w14:textId="77777777" w:rsidR="00300738" w:rsidRPr="00300738" w:rsidRDefault="00300738" w:rsidP="002161CA">
      <w:pPr>
        <w:numPr>
          <w:ilvl w:val="0"/>
          <w:numId w:val="19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numărul de articulaţii tumefiate (NAT) din 66 de articulaţii;</w:t>
      </w:r>
    </w:p>
    <w:p w14:paraId="75BE43C6" w14:textId="77777777" w:rsidR="00300738" w:rsidRPr="00300738" w:rsidRDefault="00300738" w:rsidP="002161CA">
      <w:pPr>
        <w:numPr>
          <w:ilvl w:val="0"/>
          <w:numId w:val="19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scala analogă vizuală (VAS în centimetri 0 - 10) pentru evaluarea globală a activităţii bolii de către pacient;</w:t>
      </w:r>
    </w:p>
    <w:p w14:paraId="1F3AFCB1" w14:textId="77777777" w:rsidR="00300738" w:rsidRPr="00300738" w:rsidRDefault="00300738" w:rsidP="002161CA">
      <w:pPr>
        <w:numPr>
          <w:ilvl w:val="0"/>
          <w:numId w:val="19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scala analogă vizuală (VAS în centimetri 0 - 10) pentru evaluarea durerii de către pacient;</w:t>
      </w:r>
    </w:p>
    <w:p w14:paraId="34FCCC39" w14:textId="77777777" w:rsidR="00300738" w:rsidRPr="00300738" w:rsidRDefault="00300738" w:rsidP="002161CA">
      <w:pPr>
        <w:numPr>
          <w:ilvl w:val="0"/>
          <w:numId w:val="19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PCR (cantitativ) în mg/dL;</w:t>
      </w:r>
    </w:p>
    <w:p w14:paraId="613369D7" w14:textId="77777777" w:rsidR="00300738" w:rsidRPr="00300738" w:rsidRDefault="00300738" w:rsidP="002161CA">
      <w:pPr>
        <w:numPr>
          <w:ilvl w:val="0"/>
          <w:numId w:val="192"/>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Indicele</w:t>
      </w:r>
      <w:r w:rsidRPr="00300738">
        <w:rPr>
          <w:rFonts w:ascii="Times New Roman" w:eastAsia="Times New Roman" w:hAnsi="Times New Roman" w:cs="Times New Roman"/>
          <w:sz w:val="24"/>
          <w:szCs w:val="24"/>
          <w:lang w:val="it-IT" w:eastAsia="ro-RO"/>
        </w:rPr>
        <w:t xml:space="preserve"> compozit</w:t>
      </w:r>
      <w:r w:rsidRPr="00300738">
        <w:rPr>
          <w:rFonts w:ascii="Times New Roman" w:eastAsia="Times New Roman" w:hAnsi="Times New Roman" w:cs="Times New Roman"/>
          <w:sz w:val="24"/>
          <w:szCs w:val="24"/>
          <w:lang w:val="x-none" w:eastAsia="ro-RO"/>
        </w:rPr>
        <w:t xml:space="preserve"> DAPSA</w:t>
      </w:r>
      <w:r w:rsidRPr="00300738">
        <w:rPr>
          <w:rFonts w:ascii="Times New Roman" w:eastAsia="Times New Roman" w:hAnsi="Times New Roman" w:cs="Times New Roman"/>
          <w:sz w:val="24"/>
          <w:szCs w:val="24"/>
          <w:lang w:val="it-IT" w:eastAsia="ro-RO"/>
        </w:rPr>
        <w:t>, dupa caz BASDAI/ ASDAS</w:t>
      </w:r>
      <w:r w:rsidRPr="00300738">
        <w:rPr>
          <w:rFonts w:ascii="Times New Roman" w:eastAsia="Times New Roman" w:hAnsi="Times New Roman" w:cs="Times New Roman"/>
          <w:sz w:val="24"/>
          <w:szCs w:val="24"/>
          <w:lang w:val="x-none" w:eastAsia="ro-RO"/>
        </w:rPr>
        <w:t>.</w:t>
      </w:r>
    </w:p>
    <w:p w14:paraId="0C7053B8"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Pentru a fi relevante, toate evaluările (clinice şi de laborator) privind activitatea bolii, precum şi cele pentru identificarea unor potenţiale reacţii adverse vor fi efectuate într-o perioadă relativ scurtă (ce nu va depăşi 4 săptămâni). În conformitate cu recomandările EULAR şi principiile strategiei terapeutice "treat to target", obiectivul terapeutic este reprezentat de obţinerea remisiunii, iar în cazurile în care aceasta nu este posibilă, de obţinerea unei activităţi joase a bolii.</w:t>
      </w:r>
    </w:p>
    <w:p w14:paraId="4C4881ED"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14AD30E6"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300738">
        <w:rPr>
          <w:rFonts w:ascii="Times New Roman" w:eastAsia="Times New Roman" w:hAnsi="Times New Roman" w:cs="Times New Roman"/>
          <w:b/>
          <w:bCs/>
          <w:sz w:val="24"/>
          <w:szCs w:val="24"/>
          <w:lang w:val="x-none" w:eastAsia="ro-RO"/>
        </w:rPr>
        <w:t>Continuarea tratamentului</w:t>
      </w:r>
    </w:p>
    <w:p w14:paraId="5339AC30"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În cazul pacienţilor în curs de tratament biologic </w:t>
      </w:r>
      <w:r w:rsidRPr="00300738">
        <w:rPr>
          <w:rFonts w:ascii="Times New Roman" w:eastAsia="Times New Roman" w:hAnsi="Times New Roman" w:cs="Times New Roman"/>
          <w:sz w:val="24"/>
          <w:szCs w:val="24"/>
          <w:lang w:val="en-US" w:eastAsia="ro-RO"/>
        </w:rPr>
        <w:t xml:space="preserve">sau cu </w:t>
      </w:r>
      <w:r w:rsidRPr="00300738">
        <w:rPr>
          <w:rFonts w:ascii="Times New Roman" w:eastAsia="Times New Roman" w:hAnsi="Times New Roman" w:cs="Times New Roman"/>
          <w:b/>
          <w:bCs/>
          <w:sz w:val="24"/>
          <w:szCs w:val="24"/>
          <w:lang w:eastAsia="ro-RO"/>
        </w:rPr>
        <w:t xml:space="preserve">ts-DMARDs </w:t>
      </w:r>
      <w:r w:rsidRPr="00300738">
        <w:rPr>
          <w:rFonts w:ascii="Times New Roman" w:eastAsia="Times New Roman" w:hAnsi="Times New Roman" w:cs="Times New Roman"/>
          <w:sz w:val="24"/>
          <w:szCs w:val="24"/>
          <w:lang w:val="x-none" w:eastAsia="ro-RO"/>
        </w:rPr>
        <w:t>(inclusiv cei provenind din cazuri pediatrice, terapii iniţiate în străinătate sau alte situaţii justificate, corespunzător documentate), pacientul este considerat ameliorat (responder) şi poate continua tratamentul cu condiţia atingerii obiectivului terapeutic, respectiv atingerea remisiunii (DAPSA ≤ 4) sau cel puţin a activităţii scăzute a bolii (4 &lt; DAPSA ≤ 14)</w:t>
      </w:r>
      <w:r w:rsidRPr="00300738">
        <w:rPr>
          <w:rFonts w:ascii="Times New Roman" w:eastAsia="Times New Roman" w:hAnsi="Times New Roman" w:cs="Times New Roman"/>
          <w:sz w:val="24"/>
          <w:szCs w:val="24"/>
          <w:lang w:val="en-US" w:eastAsia="ro-RO"/>
        </w:rPr>
        <w:t>, dupa 6 luni de tratament</w:t>
      </w:r>
      <w:r w:rsidRPr="00300738">
        <w:rPr>
          <w:rFonts w:ascii="Times New Roman" w:eastAsia="Times New Roman" w:hAnsi="Times New Roman" w:cs="Times New Roman"/>
          <w:sz w:val="24"/>
          <w:szCs w:val="24"/>
          <w:lang w:val="x-none" w:eastAsia="ro-RO"/>
        </w:rPr>
        <w:t xml:space="preserve">. Până la obţinerea acestui obiectiv se acceptă un răspuns </w:t>
      </w:r>
      <w:r w:rsidRPr="00300738">
        <w:rPr>
          <w:rFonts w:ascii="Times New Roman" w:eastAsia="Times New Roman" w:hAnsi="Times New Roman" w:cs="Times New Roman"/>
          <w:sz w:val="24"/>
          <w:szCs w:val="24"/>
          <w:lang w:val="fr-FR" w:eastAsia="ro-RO"/>
        </w:rPr>
        <w:t xml:space="preserve">semnificativ </w:t>
      </w:r>
      <w:r w:rsidRPr="00300738">
        <w:rPr>
          <w:rFonts w:ascii="Times New Roman" w:eastAsia="Times New Roman" w:hAnsi="Times New Roman" w:cs="Times New Roman"/>
          <w:sz w:val="24"/>
          <w:szCs w:val="24"/>
          <w:lang w:val="x-none" w:eastAsia="ro-RO"/>
        </w:rPr>
        <w:t>la tratament (DAPSA</w:t>
      </w:r>
      <w:r w:rsidRPr="00300738">
        <w:rPr>
          <w:rFonts w:ascii="Times New Roman" w:eastAsia="Times New Roman" w:hAnsi="Times New Roman" w:cs="Times New Roman"/>
          <w:sz w:val="24"/>
          <w:szCs w:val="24"/>
          <w:lang w:val="fr-FR" w:eastAsia="ro-RO"/>
        </w:rPr>
        <w:t>50</w:t>
      </w:r>
      <w:r w:rsidRPr="00300738">
        <w:rPr>
          <w:rFonts w:ascii="Times New Roman" w:eastAsia="Times New Roman" w:hAnsi="Times New Roman" w:cs="Times New Roman"/>
          <w:sz w:val="24"/>
          <w:szCs w:val="24"/>
          <w:lang w:val="x-none" w:eastAsia="ro-RO"/>
        </w:rPr>
        <w:t xml:space="preserve">) </w:t>
      </w:r>
      <w:r w:rsidRPr="00300738">
        <w:rPr>
          <w:rFonts w:ascii="Times New Roman" w:eastAsia="Times New Roman" w:hAnsi="Times New Roman" w:cs="Times New Roman"/>
          <w:sz w:val="24"/>
          <w:szCs w:val="24"/>
          <w:lang w:val="fr-FR" w:eastAsia="ro-RO"/>
        </w:rPr>
        <w:t xml:space="preserve">la 3 luni </w:t>
      </w:r>
      <w:r w:rsidRPr="00300738">
        <w:rPr>
          <w:rFonts w:ascii="Times New Roman" w:eastAsia="Times New Roman" w:hAnsi="Times New Roman" w:cs="Times New Roman"/>
          <w:sz w:val="24"/>
          <w:szCs w:val="24"/>
          <w:lang w:val="x-none" w:eastAsia="ro-RO"/>
        </w:rPr>
        <w:t>faţă de evaluarea iniţială (înainte de iniţierea tratamentului biologic).</w:t>
      </w:r>
    </w:p>
    <w:p w14:paraId="668F95F6" w14:textId="77777777" w:rsidR="00300738" w:rsidRPr="00300738" w:rsidRDefault="00300738" w:rsidP="00300738">
      <w:pPr>
        <w:spacing w:after="0" w:line="240" w:lineRule="auto"/>
        <w:jc w:val="both"/>
        <w:rPr>
          <w:rFonts w:ascii="Times New Roman" w:eastAsia="Times New Roman" w:hAnsi="Times New Roman" w:cs="Times New Roman"/>
          <w:sz w:val="24"/>
          <w:szCs w:val="24"/>
        </w:rPr>
      </w:pPr>
      <w:r w:rsidRPr="00300738">
        <w:rPr>
          <w:rFonts w:ascii="Times New Roman" w:eastAsia="Times New Roman" w:hAnsi="Times New Roman" w:cs="Times New Roman"/>
          <w:sz w:val="24"/>
          <w:szCs w:val="24"/>
          <w:lang w:val="it-IT" w:eastAsia="ro-RO"/>
        </w:rPr>
        <w:t xml:space="preserve">Pentru </w:t>
      </w:r>
      <w:r w:rsidRPr="00300738">
        <w:rPr>
          <w:rFonts w:ascii="Times New Roman" w:eastAsia="Times New Roman" w:hAnsi="Times New Roman" w:cs="Times New Roman"/>
          <w:sz w:val="24"/>
          <w:szCs w:val="24"/>
          <w:lang w:val="x-none" w:eastAsia="ro-RO"/>
        </w:rPr>
        <w:t>pacienţi cu AP predominant axială</w:t>
      </w:r>
      <w:r w:rsidRPr="00300738">
        <w:rPr>
          <w:rFonts w:ascii="Times New Roman" w:eastAsia="Times New Roman" w:hAnsi="Times New Roman" w:cs="Times New Roman"/>
          <w:sz w:val="24"/>
          <w:szCs w:val="24"/>
        </w:rPr>
        <w:t xml:space="preserve"> tratamentul se continuă dacă pacientul este responder, inregistrand o reducere a scorului ASDAS ≥ 1,1 fata de evaluarea initiala. Evoluția bolii va fi strâns monitorizată, clinic și biologic, iar medicul curant va adapta și modifica schema de tratament, utilizând ASDAS ca indicator de evoluție al afecțiunii, ținta terapeutică fiind atingerea unui grad absent sau scăzut de activitate a bolii.</w:t>
      </w:r>
    </w:p>
    <w:p w14:paraId="2D78E71E" w14:textId="77777777" w:rsidR="00300738" w:rsidRPr="00300738" w:rsidRDefault="00300738" w:rsidP="00300738">
      <w:pPr>
        <w:spacing w:after="0" w:line="240" w:lineRule="auto"/>
        <w:jc w:val="both"/>
        <w:rPr>
          <w:rFonts w:ascii="Times New Roman" w:eastAsia="Times New Roman" w:hAnsi="Times New Roman" w:cs="Times New Roman"/>
          <w:sz w:val="24"/>
          <w:szCs w:val="24"/>
        </w:rPr>
      </w:pPr>
      <w:r w:rsidRPr="00300738">
        <w:rPr>
          <w:rFonts w:ascii="Times New Roman" w:eastAsia="Times New Roman" w:hAnsi="Times New Roman" w:cs="Times New Roman"/>
          <w:sz w:val="24"/>
          <w:szCs w:val="24"/>
        </w:rPr>
        <w:t>In cazul in care nu se inregistreaza un raspuns terapeutic cu o reducere a scorului ASDAS ≥ 1,1, se recomanda schimbarea tratamentului biologic / sintetic tintit administrat, cu un alt preparat biologic / sintetic tintit.</w:t>
      </w:r>
    </w:p>
    <w:p w14:paraId="12474131" w14:textId="77777777" w:rsidR="00300738" w:rsidRPr="00300738" w:rsidRDefault="00300738" w:rsidP="00300738">
      <w:pPr>
        <w:spacing w:after="0" w:line="240" w:lineRule="auto"/>
        <w:jc w:val="both"/>
        <w:rPr>
          <w:rFonts w:ascii="Times New Roman" w:eastAsia="Times New Roman" w:hAnsi="Times New Roman" w:cs="Times New Roman"/>
          <w:sz w:val="24"/>
          <w:szCs w:val="24"/>
        </w:rPr>
      </w:pPr>
      <w:r w:rsidRPr="00300738">
        <w:rPr>
          <w:rFonts w:ascii="Times New Roman" w:eastAsia="Times New Roman" w:hAnsi="Times New Roman" w:cs="Times New Roman"/>
          <w:sz w:val="24"/>
          <w:szCs w:val="24"/>
        </w:rPr>
        <w:t xml:space="preserve"> Situații speciale la pacienții responderi:</w:t>
      </w:r>
    </w:p>
    <w:p w14:paraId="529CBFBA" w14:textId="77777777" w:rsidR="00300738" w:rsidRPr="00300738" w:rsidRDefault="00300738" w:rsidP="002161CA">
      <w:pPr>
        <w:numPr>
          <w:ilvl w:val="2"/>
          <w:numId w:val="196"/>
        </w:numPr>
        <w:spacing w:after="0" w:line="240" w:lineRule="auto"/>
        <w:ind w:left="284" w:hanging="284"/>
        <w:jc w:val="both"/>
        <w:rPr>
          <w:rFonts w:ascii="Times New Roman" w:eastAsia="Times New Roman" w:hAnsi="Times New Roman" w:cs="Times New Roman"/>
          <w:sz w:val="24"/>
          <w:szCs w:val="24"/>
        </w:rPr>
      </w:pPr>
      <w:r w:rsidRPr="00300738">
        <w:rPr>
          <w:rFonts w:ascii="Times New Roman" w:eastAsia="Times New Roman" w:hAnsi="Times New Roman" w:cs="Times New Roman"/>
          <w:sz w:val="24"/>
          <w:szCs w:val="24"/>
        </w:rPr>
        <w:t>pacienții cu boală severa (prezenta de modificari structurale de osificare sau afectarea articulatiilor coxo-femurale sau manifestari extraarticulare) pot continua tratamentul chiar daca ASDAS este peste 2,1 cu conditia sa fi prezentat o reducere a scorului ASDAS ≥ 1,1 fata de evaluarea initiala;</w:t>
      </w:r>
    </w:p>
    <w:p w14:paraId="627434FC" w14:textId="77777777" w:rsidR="00300738" w:rsidRPr="00300738" w:rsidRDefault="00300738" w:rsidP="002161CA">
      <w:pPr>
        <w:numPr>
          <w:ilvl w:val="2"/>
          <w:numId w:val="196"/>
        </w:numPr>
        <w:spacing w:after="0" w:line="240" w:lineRule="auto"/>
        <w:ind w:left="284" w:hanging="284"/>
        <w:jc w:val="both"/>
        <w:rPr>
          <w:rFonts w:ascii="Times New Roman" w:eastAsia="Times New Roman" w:hAnsi="Times New Roman" w:cs="Times New Roman"/>
          <w:sz w:val="24"/>
          <w:szCs w:val="24"/>
        </w:rPr>
      </w:pPr>
      <w:r w:rsidRPr="00300738">
        <w:rPr>
          <w:rFonts w:ascii="Times New Roman" w:eastAsia="Times New Roman" w:hAnsi="Times New Roman" w:cs="Times New Roman"/>
          <w:sz w:val="24"/>
          <w:szCs w:val="24"/>
        </w:rPr>
        <w:t>pacienții care au prezentat raspuns terapeutic dar ulterior, sub tratament înregistrează o creștere a activității bolii, cu depășirea pragului ASDAS de 2,1, dar nu mai mult de 2,5, pot continua tratamentul încă 24 de săptămâni cu reevaluare ulterioară și reîncadrare în responder sau nonresponder.</w:t>
      </w:r>
    </w:p>
    <w:p w14:paraId="1F218F66"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trike/>
          <w:sz w:val="24"/>
          <w:szCs w:val="24"/>
          <w:lang w:val="x-none" w:eastAsia="ro-RO"/>
        </w:rPr>
      </w:pPr>
    </w:p>
    <w:p w14:paraId="65870C73"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Medicul curant este singurul care poate evalua corect gradul de răspuns la terapie şi poate recomanda continuarea sau schimbarea tratamentului administrat.</w:t>
      </w:r>
    </w:p>
    <w:p w14:paraId="08F59429"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5041B073"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
    <w:p w14:paraId="031B1787"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300738">
        <w:rPr>
          <w:rFonts w:ascii="Times New Roman" w:eastAsia="Times New Roman" w:hAnsi="Times New Roman" w:cs="Times New Roman"/>
          <w:b/>
          <w:bCs/>
          <w:sz w:val="24"/>
          <w:szCs w:val="24"/>
          <w:lang w:val="x-none" w:eastAsia="ro-RO"/>
        </w:rPr>
        <w:t>Schimbarea terapiei biologice</w:t>
      </w:r>
    </w:p>
    <w:p w14:paraId="41625129"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La pacienţii non-responderi la primul tratament biologic administrat sau care au dezvoltat o reacţie adversă care să impună oprirea respectivului tratament, medicul curant va recomanda utilizarea altei terapii biologice, putând alege</w:t>
      </w:r>
      <w:r w:rsidRPr="00300738">
        <w:rPr>
          <w:rFonts w:ascii="Times New Roman" w:eastAsia="Times New Roman" w:hAnsi="Times New Roman" w:cs="Times New Roman"/>
          <w:sz w:val="24"/>
          <w:szCs w:val="24"/>
          <w:lang w:val="en-US" w:eastAsia="ro-RO"/>
        </w:rPr>
        <w:t>:</w:t>
      </w:r>
      <w:r w:rsidRPr="00300738">
        <w:rPr>
          <w:rFonts w:ascii="Times New Roman" w:eastAsia="Times New Roman" w:hAnsi="Times New Roman" w:cs="Times New Roman"/>
          <w:sz w:val="24"/>
          <w:szCs w:val="24"/>
          <w:lang w:val="x-none" w:eastAsia="ro-RO"/>
        </w:rPr>
        <w:t xml:space="preserve"> un alt inhibitor TNFα (pe care pacientul nu l-a mai încercat, listaţi în ordine alfabetică: adalimumabum original sau biosimilar, certolizumab, etanerceptum original sau biosimilar, golimumabum, infliximabum original sau biosimilar)</w:t>
      </w:r>
      <w:r w:rsidRPr="00300738">
        <w:rPr>
          <w:rFonts w:ascii="Times New Roman" w:eastAsia="Times New Roman" w:hAnsi="Times New Roman" w:cs="Times New Roman"/>
          <w:sz w:val="24"/>
          <w:szCs w:val="24"/>
          <w:lang w:eastAsia="ro-RO"/>
        </w:rPr>
        <w:t>, un blocant IL-17</w:t>
      </w:r>
      <w:r w:rsidRPr="00300738">
        <w:rPr>
          <w:rFonts w:ascii="Times New Roman" w:eastAsia="Times New Roman" w:hAnsi="Times New Roman" w:cs="Times New Roman"/>
          <w:sz w:val="24"/>
          <w:szCs w:val="24"/>
          <w:lang w:val="x-none" w:eastAsia="ro-RO"/>
        </w:rPr>
        <w:t xml:space="preserve"> </w:t>
      </w:r>
      <w:r w:rsidRPr="00300738">
        <w:rPr>
          <w:rFonts w:ascii="Times New Roman" w:eastAsia="Times New Roman" w:hAnsi="Times New Roman" w:cs="Times New Roman"/>
          <w:sz w:val="24"/>
          <w:szCs w:val="24"/>
          <w:lang w:eastAsia="ro-RO"/>
        </w:rPr>
        <w:t>(</w:t>
      </w:r>
      <w:r w:rsidRPr="00300738">
        <w:rPr>
          <w:rFonts w:ascii="Times New Roman" w:eastAsia="Times New Roman" w:hAnsi="Times New Roman" w:cs="Times New Roman"/>
          <w:sz w:val="24"/>
          <w:szCs w:val="24"/>
          <w:lang w:val="x-none" w:eastAsia="ro-RO"/>
        </w:rPr>
        <w:t>secukinumabum,</w:t>
      </w:r>
      <w:r w:rsidRPr="00300738">
        <w:rPr>
          <w:rFonts w:ascii="Times New Roman" w:eastAsia="Times New Roman" w:hAnsi="Times New Roman" w:cs="Times New Roman"/>
          <w:sz w:val="24"/>
          <w:szCs w:val="24"/>
          <w:lang w:eastAsia="ro-RO"/>
        </w:rPr>
        <w:t xml:space="preserve"> ixekizumabum), un</w:t>
      </w:r>
      <w:r w:rsidRPr="00300738">
        <w:rPr>
          <w:rFonts w:ascii="Times New Roman" w:eastAsia="Calibri" w:hAnsi="Times New Roman" w:cs="Times New Roman"/>
          <w:sz w:val="24"/>
          <w:szCs w:val="24"/>
          <w:lang w:eastAsia="ro-RO"/>
        </w:rPr>
        <w:t xml:space="preserve"> </w:t>
      </w:r>
      <w:r w:rsidRPr="00300738">
        <w:rPr>
          <w:rFonts w:ascii="Times New Roman" w:eastAsia="Times New Roman" w:hAnsi="Times New Roman" w:cs="Times New Roman"/>
          <w:sz w:val="24"/>
          <w:szCs w:val="24"/>
          <w:lang w:eastAsia="ro-RO"/>
        </w:rPr>
        <w:t>blocant de IL-23 (guselkumabum)  sau utilizarea unui ts-DMARD (tofacitinib, upadacitinib, apremilast)</w:t>
      </w:r>
      <w:r w:rsidRPr="00300738">
        <w:rPr>
          <w:rFonts w:ascii="Times New Roman" w:eastAsia="Times New Roman" w:hAnsi="Times New Roman" w:cs="Times New Roman"/>
          <w:sz w:val="24"/>
          <w:szCs w:val="24"/>
          <w:lang w:val="x-none" w:eastAsia="ro-RO"/>
        </w:rPr>
        <w:t xml:space="preserve"> în dozele adecvate, cu menţiunea că nu este permisă folosirea unui biosimilar după produs</w:t>
      </w:r>
      <w:r w:rsidRPr="00300738">
        <w:rPr>
          <w:rFonts w:ascii="Times New Roman" w:eastAsia="Times New Roman" w:hAnsi="Times New Roman" w:cs="Times New Roman"/>
          <w:sz w:val="24"/>
          <w:szCs w:val="24"/>
          <w:lang w:val="en-US" w:eastAsia="ro-RO"/>
        </w:rPr>
        <w:t>ul</w:t>
      </w:r>
      <w:r w:rsidRPr="00300738">
        <w:rPr>
          <w:rFonts w:ascii="Times New Roman" w:eastAsia="Times New Roman" w:hAnsi="Times New Roman" w:cs="Times New Roman"/>
          <w:sz w:val="24"/>
          <w:szCs w:val="24"/>
          <w:lang w:val="x-none" w:eastAsia="ro-RO"/>
        </w:rPr>
        <w:t xml:space="preserve"> original </w:t>
      </w:r>
      <w:r w:rsidRPr="00300738">
        <w:rPr>
          <w:rFonts w:ascii="Times New Roman" w:eastAsia="Times New Roman" w:hAnsi="Times New Roman" w:cs="Times New Roman"/>
          <w:sz w:val="24"/>
          <w:szCs w:val="24"/>
          <w:lang w:val="en-US" w:eastAsia="ro-RO"/>
        </w:rPr>
        <w:t xml:space="preserve">cu aceeasi substanta activa </w:t>
      </w:r>
      <w:r w:rsidRPr="00300738">
        <w:rPr>
          <w:rFonts w:ascii="Times New Roman" w:eastAsia="Times New Roman" w:hAnsi="Times New Roman" w:cs="Times New Roman"/>
          <w:sz w:val="24"/>
          <w:szCs w:val="24"/>
          <w:lang w:val="x-none" w:eastAsia="ro-RO"/>
        </w:rPr>
        <w:t>care nu a fost eficient sau a produs o reacţie adversă (inversul afirmaţiei fiind şi el corect).</w:t>
      </w:r>
    </w:p>
    <w:p w14:paraId="73D077CC"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lastRenderedPageBreak/>
        <w:t xml:space="preserve">În cazul în care medicul curant constată lipsa de răspuns la tratamentul administrat sau apariţia unei reacţii adverse care să impună oprirea tratamentului, acesta poate recomanda modificarea schemei terapeutice înainte de împlinirea celor 24 de săptămâni prevăzute pentru evaluarea uzuală de eficacitate. Conform EULAR, lipsa </w:t>
      </w:r>
      <w:r w:rsidRPr="00300738">
        <w:rPr>
          <w:rFonts w:ascii="Times New Roman" w:eastAsia="Times New Roman" w:hAnsi="Times New Roman" w:cs="Times New Roman"/>
          <w:sz w:val="24"/>
          <w:szCs w:val="24"/>
          <w:lang w:val="it-IT" w:eastAsia="ro-RO"/>
        </w:rPr>
        <w:t xml:space="preserve">unui </w:t>
      </w:r>
      <w:r w:rsidRPr="00300738">
        <w:rPr>
          <w:rFonts w:ascii="Times New Roman" w:eastAsia="Times New Roman" w:hAnsi="Times New Roman" w:cs="Times New Roman"/>
          <w:sz w:val="24"/>
          <w:szCs w:val="24"/>
          <w:lang w:val="x-none" w:eastAsia="ro-RO"/>
        </w:rPr>
        <w:t>răspuns</w:t>
      </w:r>
      <w:r w:rsidRPr="00300738">
        <w:rPr>
          <w:rFonts w:ascii="Times New Roman" w:eastAsia="Times New Roman" w:hAnsi="Times New Roman" w:cs="Times New Roman"/>
          <w:sz w:val="24"/>
          <w:szCs w:val="24"/>
          <w:lang w:val="it-IT" w:eastAsia="ro-RO"/>
        </w:rPr>
        <w:t xml:space="preserve"> semnificativ </w:t>
      </w:r>
      <w:r w:rsidRPr="00300738">
        <w:rPr>
          <w:rFonts w:ascii="Times New Roman" w:eastAsia="Times New Roman" w:hAnsi="Times New Roman" w:cs="Times New Roman"/>
          <w:sz w:val="24"/>
          <w:szCs w:val="24"/>
          <w:lang w:val="x-none" w:eastAsia="ro-RO"/>
        </w:rPr>
        <w:t>la 3 luni de la iniţierea unei terapii impune schimbarea acesteia.</w:t>
      </w:r>
    </w:p>
    <w:p w14:paraId="1F90BF27"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Acelaşi protocol de modificare a schemei de tratament se repetă ori de câte ori este nevoie, respectiv pacientul nu mai răspunde la terapie sau dezvoltă o reacţie adversă care să impună oprirea terapiei.</w:t>
      </w:r>
    </w:p>
    <w:p w14:paraId="0F020055"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5AD36317"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p>
    <w:p w14:paraId="7A8D5B9E"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300738">
        <w:rPr>
          <w:rFonts w:ascii="Times New Roman" w:eastAsia="Times New Roman" w:hAnsi="Times New Roman" w:cs="Times New Roman"/>
          <w:b/>
          <w:bCs/>
          <w:sz w:val="24"/>
          <w:szCs w:val="24"/>
          <w:lang w:val="x-none" w:eastAsia="ro-RO"/>
        </w:rPr>
        <w:t>Atitudinea la pacienţii aflaţi în remisiune persistentă (boală inactivă)</w:t>
      </w:r>
    </w:p>
    <w:p w14:paraId="1C00BCAE"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În conformitate cu recomandările EULAR şi ţinând cont de preocuparea pentru minimalizarea expunerii la riscurile implicite ale tratamentului biologic, se recomandă ca la pacienţii aflaţi în remisiune persistentă (definită prin DAPSA ≤ 4 sau absenţa activităţii bolii la nivel articular periferic şi axial, cutanat, unghial, absenţa entezitei şi a dactilitei, prezenţa valorilor normale a VSH şi PCR) la două evaluări consecutive la interval de 6 luni se recomandă ca tratamentul biologic administrat să fie redus progresiv prin creşterea intervalului dintre administrări. Această reducere a expunerii la terapie biologică se face treptat, monitorizând evoluţia pacientului, cu posibilitatea revenirii în orice moment la dozele/frecvenţa iniţială în cazul unui puseu evolutiv de boală. Reducerea expunerii la terapie biologică va fi aplicată cu acordul scris al pacientului, numai după ce acesta a fost informat de medicul curant asupra avantajelor şi riscurilor spaţierii intervalului de administrare.</w:t>
      </w:r>
    </w:p>
    <w:p w14:paraId="6353117C"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04D2BDAF"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O schemă propusă de reducere a expunerii la agentul biologic </w:t>
      </w:r>
      <w:r w:rsidRPr="00300738">
        <w:rPr>
          <w:rFonts w:ascii="Times New Roman" w:eastAsia="Times New Roman" w:hAnsi="Times New Roman" w:cs="Times New Roman"/>
          <w:sz w:val="24"/>
          <w:szCs w:val="24"/>
          <w:lang w:eastAsia="ro-RO"/>
        </w:rPr>
        <w:t xml:space="preserve">sau sintetic ţintit (tsDMARDs) </w:t>
      </w:r>
      <w:r w:rsidRPr="00300738">
        <w:rPr>
          <w:rFonts w:ascii="Times New Roman" w:eastAsia="Times New Roman" w:hAnsi="Times New Roman" w:cs="Times New Roman"/>
          <w:sz w:val="24"/>
          <w:szCs w:val="24"/>
          <w:lang w:val="x-none" w:eastAsia="ro-RO"/>
        </w:rPr>
        <w:t>se face după cum urmează:</w:t>
      </w:r>
    </w:p>
    <w:p w14:paraId="23C38AD0" w14:textId="77777777" w:rsidR="00300738" w:rsidRPr="00300738" w:rsidRDefault="00300738" w:rsidP="002161CA">
      <w:pPr>
        <w:numPr>
          <w:ilvl w:val="0"/>
          <w:numId w:val="193"/>
        </w:num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adalimumabum (original sau biosimilar) 40 mg injectabil subcutanat - se creşte intervalul între administrări la 3 săptămâni timp de 6 luni, apoi la o lună, cu condiţia păstrării răspunsului terapeutic.</w:t>
      </w:r>
    </w:p>
    <w:p w14:paraId="1FB115CC" w14:textId="77777777" w:rsidR="00300738" w:rsidRPr="00300738" w:rsidRDefault="00300738" w:rsidP="002161CA">
      <w:pPr>
        <w:numPr>
          <w:ilvl w:val="0"/>
          <w:numId w:val="193"/>
        </w:num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certolizumab: se creşte intervalul între administrări la 6 săptămâni timp de 6 luni, apoi la 8 săptămâni, cu condiţia păstrării răspunsului terapeutic (schema aplicabilă în cazul în care remisiunea este obţinută cu 400 mg o dată la 4 săptămâni). Dacă se utilizează 200 mg la 2 săptămâni, se creşte intervalul la 3 săptămâni timp de 6 luni, apoi la 4 săptămâni.</w:t>
      </w:r>
    </w:p>
    <w:p w14:paraId="679DEA7B" w14:textId="77777777" w:rsidR="00300738" w:rsidRPr="00300738" w:rsidRDefault="00300738" w:rsidP="002161CA">
      <w:pPr>
        <w:numPr>
          <w:ilvl w:val="0"/>
          <w:numId w:val="193"/>
        </w:num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etanerceptum (original sau biosimilar) pentru doza de 50 mg/săpt. injectabil subcutanat - se creşte intervalul între administrări la 10 zile timp de 6 luni, apoi la 2 săptămâni, cu condiţia păstrării răspunsului terapeutic.</w:t>
      </w:r>
    </w:p>
    <w:p w14:paraId="30395371" w14:textId="77777777" w:rsidR="00300738" w:rsidRPr="00300738" w:rsidRDefault="00300738" w:rsidP="002161CA">
      <w:pPr>
        <w:numPr>
          <w:ilvl w:val="0"/>
          <w:numId w:val="193"/>
        </w:num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golimumabum 50 mg injectabil subcutanat - se creşte intervalul la 6 săptămâni timp de 6 luni, apoi la 2 luni, în aceeaşi dată a lunii, cu condiţia păstrării răspunsului terapeutic.</w:t>
      </w:r>
    </w:p>
    <w:p w14:paraId="2242D8F7" w14:textId="77777777" w:rsidR="00300738" w:rsidRPr="00300738" w:rsidRDefault="00300738" w:rsidP="002161CA">
      <w:pPr>
        <w:numPr>
          <w:ilvl w:val="0"/>
          <w:numId w:val="19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300738">
        <w:rPr>
          <w:rFonts w:ascii="Times New Roman" w:eastAsia="Times New Roman" w:hAnsi="Times New Roman" w:cs="Times New Roman"/>
          <w:sz w:val="24"/>
          <w:szCs w:val="24"/>
          <w:u w:color="000000"/>
          <w:bdr w:val="nil"/>
          <w:lang w:val="x-none" w:eastAsia="ro-RO"/>
        </w:rPr>
        <w:t>infliximabum (original sau biosimilar) utilizat în doza care a indus remisiunea - se creşte intervalul între perfuzii la 10 săptămâni timp de 6 luni, apoi la 12 săptămâni, fără a se depăşi intervalul de 16 săptămâni între administrări</w:t>
      </w:r>
      <w:r w:rsidRPr="00300738">
        <w:rPr>
          <w:rFonts w:ascii="Times New Roman" w:eastAsia="Times New Roman" w:hAnsi="Times New Roman" w:cs="Times New Roman"/>
          <w:sz w:val="24"/>
          <w:szCs w:val="24"/>
          <w:u w:color="000000"/>
          <w:bdr w:val="nil"/>
          <w:lang w:val="en-US" w:eastAsia="ro-RO"/>
        </w:rPr>
        <w:t>.</w:t>
      </w:r>
      <w:r w:rsidRPr="00300738">
        <w:rPr>
          <w:rFonts w:ascii="Times New Roman" w:eastAsia="Times New Roman" w:hAnsi="Times New Roman" w:cs="Times New Roman"/>
          <w:sz w:val="24"/>
          <w:szCs w:val="24"/>
          <w:u w:color="000000"/>
          <w:bdr w:val="nil"/>
          <w:lang w:eastAsia="ro-RO"/>
        </w:rPr>
        <w:t xml:space="preserve"> Infliximab administrat subcutanat: </w:t>
      </w:r>
      <w:r w:rsidRPr="00300738">
        <w:rPr>
          <w:rFonts w:ascii="Times New Roman" w:eastAsia="Calibri" w:hAnsi="Times New Roman" w:cs="Times New Roman"/>
          <w:sz w:val="24"/>
          <w:szCs w:val="24"/>
          <w:u w:color="000000"/>
          <w:bdr w:val="nil"/>
          <w:lang w:eastAsia="ro-RO"/>
        </w:rPr>
        <w:t>se creşte intervalul între administrări la 3 săptămâni timp de 6 luni, apoi la o lună, cu condiţia păstrării răspunsului terapeutic.</w:t>
      </w:r>
    </w:p>
    <w:p w14:paraId="798A3712" w14:textId="77777777" w:rsidR="00300738" w:rsidRPr="00300738" w:rsidRDefault="00300738" w:rsidP="002161CA">
      <w:pPr>
        <w:numPr>
          <w:ilvl w:val="0"/>
          <w:numId w:val="193"/>
        </w:num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secukinumabum 150/300 mg injectabil subcutanat se creşte intervalul la 6 săptămâni pentru 6 luni, apoi la 2 luni, în aceeaşi dată a lunii, cu condiţia păstrării răspunsului terapeutic.</w:t>
      </w:r>
    </w:p>
    <w:p w14:paraId="466FA859" w14:textId="77777777" w:rsidR="00300738" w:rsidRPr="00300738" w:rsidRDefault="00300738" w:rsidP="002161CA">
      <w:pPr>
        <w:numPr>
          <w:ilvl w:val="0"/>
          <w:numId w:val="193"/>
        </w:numPr>
        <w:autoSpaceDE w:val="0"/>
        <w:autoSpaceDN w:val="0"/>
        <w:adjustRightInd w:val="0"/>
        <w:spacing w:after="0" w:line="240" w:lineRule="auto"/>
        <w:ind w:left="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eastAsia="ro-RO"/>
        </w:rPr>
        <w:t xml:space="preserve">ixekizumabum 80 mg injectabil subcutanat </w:t>
      </w:r>
      <w:bookmarkStart w:id="18" w:name="_Hlk101005733"/>
      <w:r w:rsidRPr="00300738">
        <w:rPr>
          <w:rFonts w:ascii="Times New Roman" w:eastAsia="Times New Roman" w:hAnsi="Times New Roman" w:cs="Times New Roman"/>
          <w:sz w:val="24"/>
          <w:szCs w:val="24"/>
          <w:lang w:eastAsia="ro-RO"/>
        </w:rPr>
        <w:t>se crește intervalul la 6 săptămâni  pentru 6 luni, apoi la 2 luni, cu condiția păstrării răspunsului terapeutic</w:t>
      </w:r>
      <w:bookmarkEnd w:id="18"/>
    </w:p>
    <w:p w14:paraId="449A2D15" w14:textId="77777777" w:rsidR="00300738" w:rsidRPr="00300738" w:rsidRDefault="00300738" w:rsidP="002161CA">
      <w:pPr>
        <w:numPr>
          <w:ilvl w:val="0"/>
          <w:numId w:val="193"/>
        </w:numPr>
        <w:spacing w:after="0" w:line="240" w:lineRule="auto"/>
        <w:ind w:left="284"/>
        <w:contextualSpacing/>
        <w:jc w:val="both"/>
        <w:rPr>
          <w:rFonts w:ascii="Times New Roman" w:eastAsia="Times New Roman" w:hAnsi="Times New Roman" w:cs="Times New Roman"/>
          <w:sz w:val="24"/>
          <w:szCs w:val="24"/>
          <w:u w:color="000000"/>
          <w:bdr w:val="nil"/>
          <w:lang w:val="x-none" w:eastAsia="ro-RO"/>
        </w:rPr>
      </w:pPr>
      <w:r w:rsidRPr="00300738">
        <w:rPr>
          <w:rFonts w:ascii="Times New Roman" w:eastAsia="Times New Roman" w:hAnsi="Times New Roman" w:cs="Times New Roman"/>
          <w:sz w:val="24"/>
          <w:szCs w:val="24"/>
          <w:u w:color="000000"/>
          <w:bdr w:val="nil"/>
          <w:lang w:val="x-none" w:eastAsia="ro-RO"/>
        </w:rPr>
        <w:t xml:space="preserve">guselkumabum: </w:t>
      </w:r>
      <w:r w:rsidRPr="00300738">
        <w:rPr>
          <w:rFonts w:ascii="Times New Roman" w:eastAsia="Times New Roman" w:hAnsi="Times New Roman" w:cs="Times New Roman"/>
          <w:sz w:val="24"/>
          <w:szCs w:val="24"/>
          <w:u w:color="000000"/>
          <w:bdr w:val="nil"/>
          <w:lang w:val="it-IT" w:eastAsia="ro-RO"/>
        </w:rPr>
        <w:t>i</w:t>
      </w:r>
      <w:r w:rsidRPr="00300738">
        <w:rPr>
          <w:rFonts w:ascii="Times New Roman" w:eastAsia="Times New Roman" w:hAnsi="Times New Roman" w:cs="Times New Roman"/>
          <w:sz w:val="24"/>
          <w:szCs w:val="24"/>
          <w:u w:color="000000"/>
          <w:bdr w:val="nil"/>
          <w:lang w:val="x-none" w:eastAsia="ro-RO"/>
        </w:rPr>
        <w:t xml:space="preserve">n cazul utilizarii ca schema de intretinere 100 mg la fiecare </w:t>
      </w:r>
      <w:r w:rsidRPr="00300738">
        <w:rPr>
          <w:rFonts w:ascii="Times New Roman" w:eastAsia="Times New Roman" w:hAnsi="Times New Roman" w:cs="Times New Roman"/>
          <w:sz w:val="24"/>
          <w:szCs w:val="24"/>
          <w:u w:color="000000"/>
          <w:bdr w:val="nil"/>
          <w:lang w:val="it-IT" w:eastAsia="ro-RO"/>
        </w:rPr>
        <w:t>8</w:t>
      </w:r>
      <w:r w:rsidRPr="00300738">
        <w:rPr>
          <w:rFonts w:ascii="Times New Roman" w:eastAsia="Times New Roman" w:hAnsi="Times New Roman" w:cs="Times New Roman"/>
          <w:sz w:val="24"/>
          <w:szCs w:val="24"/>
          <w:u w:color="000000"/>
          <w:bdr w:val="nil"/>
          <w:lang w:val="x-none" w:eastAsia="ro-RO"/>
        </w:rPr>
        <w:t xml:space="preserve"> saptamani</w:t>
      </w:r>
      <w:r w:rsidRPr="00300738">
        <w:rPr>
          <w:rFonts w:ascii="Times New Roman" w:eastAsia="Times New Roman" w:hAnsi="Times New Roman" w:cs="Times New Roman"/>
          <w:sz w:val="24"/>
          <w:szCs w:val="24"/>
          <w:u w:color="000000"/>
          <w:bdr w:val="nil"/>
          <w:lang w:val="it-IT" w:eastAsia="ro-RO"/>
        </w:rPr>
        <w:t xml:space="preserve"> </w:t>
      </w:r>
      <w:r w:rsidRPr="00300738">
        <w:rPr>
          <w:rFonts w:ascii="Times New Roman" w:eastAsia="Times New Roman" w:hAnsi="Times New Roman" w:cs="Times New Roman"/>
          <w:sz w:val="24"/>
          <w:szCs w:val="24"/>
          <w:u w:color="000000"/>
          <w:bdr w:val="nil"/>
          <w:lang w:val="x-none" w:eastAsia="ro-RO"/>
        </w:rPr>
        <w:t xml:space="preserve">se crește intervalul la </w:t>
      </w:r>
      <w:r w:rsidRPr="00300738">
        <w:rPr>
          <w:rFonts w:ascii="Times New Roman" w:eastAsia="Times New Roman" w:hAnsi="Times New Roman" w:cs="Times New Roman"/>
          <w:sz w:val="24"/>
          <w:szCs w:val="24"/>
          <w:u w:color="000000"/>
          <w:bdr w:val="nil"/>
          <w:lang w:val="it-IT" w:eastAsia="ro-RO"/>
        </w:rPr>
        <w:t>10</w:t>
      </w:r>
      <w:r w:rsidRPr="00300738">
        <w:rPr>
          <w:rFonts w:ascii="Times New Roman" w:eastAsia="Times New Roman" w:hAnsi="Times New Roman" w:cs="Times New Roman"/>
          <w:sz w:val="24"/>
          <w:szCs w:val="24"/>
          <w:u w:color="000000"/>
          <w:bdr w:val="nil"/>
          <w:lang w:val="x-none" w:eastAsia="ro-RO"/>
        </w:rPr>
        <w:t xml:space="preserve"> săptămâni  pentru 6 luni, apoi la </w:t>
      </w:r>
      <w:r w:rsidRPr="00300738">
        <w:rPr>
          <w:rFonts w:ascii="Times New Roman" w:eastAsia="Times New Roman" w:hAnsi="Times New Roman" w:cs="Times New Roman"/>
          <w:sz w:val="24"/>
          <w:szCs w:val="24"/>
          <w:u w:color="000000"/>
          <w:bdr w:val="nil"/>
          <w:lang w:val="it-IT" w:eastAsia="ro-RO"/>
        </w:rPr>
        <w:t>1</w:t>
      </w:r>
      <w:r w:rsidRPr="00300738">
        <w:rPr>
          <w:rFonts w:ascii="Times New Roman" w:eastAsia="Times New Roman" w:hAnsi="Times New Roman" w:cs="Times New Roman"/>
          <w:sz w:val="24"/>
          <w:szCs w:val="24"/>
          <w:u w:color="000000"/>
          <w:bdr w:val="nil"/>
          <w:lang w:val="x-none" w:eastAsia="ro-RO"/>
        </w:rPr>
        <w:t xml:space="preserve">2 </w:t>
      </w:r>
      <w:r w:rsidRPr="00300738">
        <w:rPr>
          <w:rFonts w:ascii="Times New Roman" w:eastAsia="Times New Roman" w:hAnsi="Times New Roman" w:cs="Times New Roman"/>
          <w:sz w:val="24"/>
          <w:szCs w:val="24"/>
          <w:u w:color="000000"/>
          <w:bdr w:val="nil"/>
          <w:lang w:val="it-IT" w:eastAsia="ro-RO"/>
        </w:rPr>
        <w:t>saptamani</w:t>
      </w:r>
      <w:r w:rsidRPr="00300738">
        <w:rPr>
          <w:rFonts w:ascii="Times New Roman" w:eastAsia="Times New Roman" w:hAnsi="Times New Roman" w:cs="Times New Roman"/>
          <w:sz w:val="24"/>
          <w:szCs w:val="24"/>
          <w:u w:color="000000"/>
          <w:bdr w:val="nil"/>
          <w:lang w:val="x-none" w:eastAsia="ro-RO"/>
        </w:rPr>
        <w:t>, cu condiția păstrării răspunsului terapeutic</w:t>
      </w:r>
      <w:r w:rsidRPr="00300738">
        <w:rPr>
          <w:rFonts w:ascii="Times New Roman" w:eastAsia="Times New Roman" w:hAnsi="Times New Roman" w:cs="Times New Roman"/>
          <w:sz w:val="24"/>
          <w:szCs w:val="24"/>
          <w:u w:color="000000"/>
          <w:bdr w:val="nil"/>
          <w:lang w:val="it-IT" w:eastAsia="ro-RO"/>
        </w:rPr>
        <w:t xml:space="preserve">. În cazul utilizării ca schema de </w:t>
      </w:r>
      <w:r w:rsidRPr="00300738">
        <w:rPr>
          <w:rFonts w:ascii="Times New Roman" w:eastAsia="Times New Roman" w:hAnsi="Times New Roman" w:cs="Times New Roman"/>
          <w:sz w:val="24"/>
          <w:szCs w:val="24"/>
          <w:u w:color="000000"/>
          <w:bdr w:val="nil"/>
          <w:lang w:eastAsia="ro-RO"/>
        </w:rPr>
        <w:t>î</w:t>
      </w:r>
      <w:r w:rsidRPr="00300738">
        <w:rPr>
          <w:rFonts w:ascii="Times New Roman" w:eastAsia="Times New Roman" w:hAnsi="Times New Roman" w:cs="Times New Roman"/>
          <w:sz w:val="24"/>
          <w:szCs w:val="24"/>
          <w:u w:color="000000"/>
          <w:bdr w:val="nil"/>
          <w:lang w:val="it-IT" w:eastAsia="ro-RO"/>
        </w:rPr>
        <w:t>ntreținere 100 mg la fiecare 4 săptămâni: se crește intervalul la 6 săptămâni pentru 6 luni, apoi la 8 săptămâni, cu condiția păstrării răspunsului terapeutic</w:t>
      </w:r>
    </w:p>
    <w:p w14:paraId="69C054CB" w14:textId="77777777" w:rsidR="00300738" w:rsidRPr="00300738" w:rsidRDefault="00300738" w:rsidP="002161CA">
      <w:pPr>
        <w:numPr>
          <w:ilvl w:val="0"/>
          <w:numId w:val="193"/>
        </w:numPr>
        <w:autoSpaceDE w:val="0"/>
        <w:autoSpaceDN w:val="0"/>
        <w:adjustRightInd w:val="0"/>
        <w:spacing w:after="0" w:line="240" w:lineRule="auto"/>
        <w:ind w:left="284"/>
        <w:contextualSpacing/>
        <w:jc w:val="both"/>
        <w:rPr>
          <w:rFonts w:ascii="Times New Roman" w:eastAsia="Times New Roman" w:hAnsi="Times New Roman" w:cs="Times New Roman"/>
          <w:b/>
          <w:bCs/>
          <w:sz w:val="24"/>
          <w:szCs w:val="24"/>
          <w:lang w:val="x-none" w:eastAsia="ro-RO"/>
        </w:rPr>
      </w:pPr>
      <w:r w:rsidRPr="00300738">
        <w:rPr>
          <w:rFonts w:ascii="Times New Roman" w:eastAsia="Times New Roman" w:hAnsi="Times New Roman" w:cs="Times New Roman"/>
          <w:sz w:val="24"/>
          <w:szCs w:val="24"/>
          <w:lang w:eastAsia="ro-RO"/>
        </w:rPr>
        <w:t>tofacitinib: 10 mg/zi sau 11mg/zi - se reduce doza la 5 mg/zi, cu condiţia păstrării răspunsului terapeutic.</w:t>
      </w:r>
    </w:p>
    <w:p w14:paraId="1281EB9B" w14:textId="77777777" w:rsidR="00300738" w:rsidRPr="00300738" w:rsidRDefault="00300738" w:rsidP="002161CA">
      <w:pPr>
        <w:numPr>
          <w:ilvl w:val="0"/>
          <w:numId w:val="19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300738">
        <w:rPr>
          <w:rFonts w:ascii="Times New Roman" w:eastAsia="Times New Roman" w:hAnsi="Times New Roman" w:cs="Times New Roman"/>
          <w:sz w:val="24"/>
          <w:szCs w:val="24"/>
          <w:lang w:eastAsia="ro-RO"/>
        </w:rPr>
        <w:t>upadacitinib</w:t>
      </w:r>
      <w:r w:rsidRPr="00300738">
        <w:rPr>
          <w:rFonts w:ascii="Times New Roman" w:eastAsia="Calibri" w:hAnsi="Times New Roman" w:cs="Times New Roman"/>
          <w:sz w:val="24"/>
          <w:szCs w:val="24"/>
          <w:u w:color="000000"/>
          <w:bdr w:val="nil"/>
          <w:lang w:val="it-IT" w:eastAsia="ro-RO"/>
        </w:rPr>
        <w:t xml:space="preserve">: </w:t>
      </w:r>
      <w:r w:rsidRPr="00300738">
        <w:rPr>
          <w:rFonts w:ascii="Times New Roman" w:eastAsia="Calibri" w:hAnsi="Times New Roman" w:cs="Times New Roman"/>
          <w:sz w:val="24"/>
          <w:szCs w:val="24"/>
          <w:u w:color="000000"/>
          <w:bdr w:val="nil"/>
          <w:lang w:eastAsia="ro-RO"/>
        </w:rPr>
        <w:t>15mg/zi - se reduce doza la 15 mg o dată la 2 zile, cu condiţia păstrării răspunsului terapeutic.</w:t>
      </w:r>
    </w:p>
    <w:p w14:paraId="1D385674" w14:textId="77777777" w:rsidR="00300738" w:rsidRPr="00300738" w:rsidRDefault="00300738" w:rsidP="002161CA">
      <w:pPr>
        <w:numPr>
          <w:ilvl w:val="0"/>
          <w:numId w:val="193"/>
        </w:numPr>
        <w:autoSpaceDE w:val="0"/>
        <w:autoSpaceDN w:val="0"/>
        <w:adjustRightInd w:val="0"/>
        <w:spacing w:after="0" w:line="240" w:lineRule="auto"/>
        <w:ind w:left="284"/>
        <w:contextualSpacing/>
        <w:jc w:val="both"/>
        <w:rPr>
          <w:rFonts w:ascii="Times New Roman" w:eastAsia="Times New Roman" w:hAnsi="Times New Roman" w:cs="Times New Roman"/>
          <w:bCs/>
          <w:sz w:val="24"/>
          <w:szCs w:val="24"/>
          <w:lang w:val="x-none" w:eastAsia="ro-RO"/>
        </w:rPr>
      </w:pPr>
      <w:r w:rsidRPr="00300738">
        <w:rPr>
          <w:rFonts w:ascii="Times New Roman" w:eastAsia="Times New Roman" w:hAnsi="Times New Roman" w:cs="Times New Roman"/>
          <w:bCs/>
          <w:sz w:val="24"/>
          <w:szCs w:val="24"/>
          <w:lang w:eastAsia="ro-RO"/>
        </w:rPr>
        <w:t>apremilast: 60 mg/zi – se reduce doza la 30 mg/zi, cu condiția păstrării răspunsului terapeutic.</w:t>
      </w:r>
    </w:p>
    <w:p w14:paraId="15595C03" w14:textId="77777777" w:rsidR="00300738" w:rsidRPr="00300738" w:rsidRDefault="00300738" w:rsidP="00300738">
      <w:pPr>
        <w:autoSpaceDE w:val="0"/>
        <w:autoSpaceDN w:val="0"/>
        <w:adjustRightInd w:val="0"/>
        <w:spacing w:after="0" w:line="240" w:lineRule="auto"/>
        <w:ind w:left="284"/>
        <w:contextualSpacing/>
        <w:jc w:val="both"/>
        <w:rPr>
          <w:rFonts w:ascii="Times New Roman" w:eastAsia="Times New Roman" w:hAnsi="Times New Roman" w:cs="Times New Roman"/>
          <w:b/>
          <w:bCs/>
          <w:sz w:val="24"/>
          <w:szCs w:val="24"/>
          <w:lang w:val="x-none" w:eastAsia="ro-RO"/>
        </w:rPr>
      </w:pPr>
    </w:p>
    <w:p w14:paraId="202B9797"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300738">
        <w:rPr>
          <w:rFonts w:ascii="Times New Roman" w:eastAsia="Times New Roman" w:hAnsi="Times New Roman" w:cs="Times New Roman"/>
          <w:b/>
          <w:bCs/>
          <w:sz w:val="24"/>
          <w:szCs w:val="24"/>
          <w:lang w:val="x-none" w:eastAsia="ro-RO"/>
        </w:rPr>
        <w:t xml:space="preserve">Criterii de excludere a pacienţilor din tratamentul cu terapii biologice </w:t>
      </w:r>
      <w:r w:rsidRPr="00300738">
        <w:rPr>
          <w:rFonts w:ascii="Times New Roman" w:eastAsia="Times New Roman" w:hAnsi="Times New Roman" w:cs="Times New Roman"/>
          <w:b/>
          <w:bCs/>
          <w:sz w:val="24"/>
          <w:szCs w:val="24"/>
          <w:lang w:val="en-US" w:eastAsia="ro-RO"/>
        </w:rPr>
        <w:t xml:space="preserve">sau </w:t>
      </w:r>
      <w:r w:rsidRPr="00300738">
        <w:rPr>
          <w:rFonts w:ascii="Times New Roman" w:eastAsia="Times New Roman" w:hAnsi="Times New Roman" w:cs="Times New Roman"/>
          <w:b/>
          <w:bCs/>
          <w:sz w:val="24"/>
          <w:szCs w:val="24"/>
          <w:lang w:eastAsia="ro-RO"/>
        </w:rPr>
        <w:t xml:space="preserve">ts-DMARDs </w:t>
      </w:r>
      <w:r w:rsidRPr="00300738">
        <w:rPr>
          <w:rFonts w:ascii="Times New Roman" w:eastAsia="Times New Roman" w:hAnsi="Times New Roman" w:cs="Times New Roman"/>
          <w:b/>
          <w:bCs/>
          <w:sz w:val="24"/>
          <w:szCs w:val="24"/>
          <w:lang w:val="x-none" w:eastAsia="ro-RO"/>
        </w:rPr>
        <w:t>sau contraindicaţii pentru acestea</w:t>
      </w:r>
    </w:p>
    <w:p w14:paraId="43632DAF"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pacienţi cu infecţii severe (actuale, netratate) precum (dar nu limitativ): stări septice, abcese, tuberculoză activă, infecţii oportuniste sau orice alte infecţii considerate semnificative în opinia medicului curant</w:t>
      </w:r>
    </w:p>
    <w:p w14:paraId="4EDC6465"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tratamentul biologic este contraindicat la pacienţii cu infecţii active cu VHB şi utilizat cu prudenţă la cei cu infecţie cronică VHC, cu monitorizare atentă. În ambele situaţii de infecţie virală B sau C decizia de iniţiere/continuare a terapiei impune avizul medicului infecţionist sau gastroenterolog;</w:t>
      </w:r>
    </w:p>
    <w:p w14:paraId="78045E04"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antecedente de hipersensibilitate la adalimumab (original sau biosimilar), certolizumab, etanercept (original sau biosimilar), golimumab, infliximab (original sau biosimilar), la proteine murine sau la oricare dintre excipienţii produsului folosit;</w:t>
      </w:r>
    </w:p>
    <w:p w14:paraId="5A97ABCC"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sarcina/alăptarea; la pacienţii de vârstă fertilă eventualitatea unei sarcini va fi atent discutată anterior concepţiei împreună cu medicul curant şi medicul de obstetrică-ginecologie; pentru pacienţii care doresc să procreeze, medicul curant va ţine cont de informaţiile din rezumatul caracteristicilor produsului pentru certolizumab pegol;</w:t>
      </w:r>
    </w:p>
    <w:p w14:paraId="07A6A421"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pacienţi cu stări de imunodeficienţă severă;</w:t>
      </w:r>
    </w:p>
    <w:p w14:paraId="1EF3327F"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administrarea concomitentă a vaccinurilor cu germeni vii;</w:t>
      </w:r>
    </w:p>
    <w:p w14:paraId="72E507ED"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afecţiuni maligne prezente sau afecţiuni maligne în antecedente fără aviz oncologic.</w:t>
      </w:r>
    </w:p>
    <w:p w14:paraId="576E0E7A"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orice contraindicaţii recunoscute ale terapiilor biologice, conform RCP fiecărui produs;</w:t>
      </w:r>
    </w:p>
    <w:p w14:paraId="342E3011"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lipsa/retragerea consimţământului pacientului faţă de tratament;</w:t>
      </w:r>
    </w:p>
    <w:p w14:paraId="6AF6DC88"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pierderea calităţii de asigurat;</w:t>
      </w:r>
    </w:p>
    <w:p w14:paraId="1B773DE0"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în cazul non-aderenţei la tratament, medicul curant va evalua cauzele acesteia şi oportunitatea continuării terapiei biologice, având în vedere îndeplinirea tuturor criteriilor de continuare/modificare a terapiei.</w:t>
      </w:r>
    </w:p>
    <w:p w14:paraId="488D8694"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pentru infliximab original sau biosimilar, readministrarea după un interval liber de peste 16 săptămâni;</w:t>
      </w:r>
    </w:p>
    <w:p w14:paraId="7870AB30"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insuficienţa cardiacă congestivă severă (NYHA clasa III/IV), cu excepţia etanercept la care se va consulta rezumatul caracteristicilor produsului.</w:t>
      </w:r>
    </w:p>
    <w:p w14:paraId="15643EF6"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color w:val="FF0000"/>
          <w:sz w:val="24"/>
          <w:szCs w:val="24"/>
          <w:lang w:val="x-none" w:eastAsia="ro-RO"/>
        </w:rPr>
      </w:pPr>
      <w:r w:rsidRPr="00300738">
        <w:rPr>
          <w:rFonts w:ascii="Times New Roman" w:eastAsia="Times New Roman" w:hAnsi="Times New Roman" w:cs="Times New Roman"/>
          <w:color w:val="FF0000"/>
          <w:sz w:val="24"/>
          <w:szCs w:val="24"/>
          <w:lang w:eastAsia="ro-RO"/>
        </w:rPr>
        <w:t>pentru agenţii anti-TNFα pacienţi cu lupus sau sindroame lupus-like.</w:t>
      </w:r>
    </w:p>
    <w:p w14:paraId="41D013D9"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Calibri" w:hAnsi="Times New Roman" w:cs="Times New Roman"/>
          <w:sz w:val="24"/>
          <w:szCs w:val="24"/>
          <w:lang w:eastAsia="ro-RO"/>
        </w:rPr>
        <w:t>pentru tofacitinib: pacienţi cu număr absolut de limfocite &lt; 750 celule/mm3, număr absolut de neutrofile &lt; 1000 celule/mm3, scăderea hemoglobinei cu mai mult de 2 g/dL sau hemoglobină &lt; 8 g/dL (confirmată prin testare repetată), insuficienţă hepatică severă (clasa Child Pugh C).</w:t>
      </w:r>
    </w:p>
    <w:p w14:paraId="66963350" w14:textId="77777777" w:rsidR="00300738" w:rsidRPr="00300738" w:rsidRDefault="00300738" w:rsidP="002161CA">
      <w:pPr>
        <w:numPr>
          <w:ilvl w:val="1"/>
          <w:numId w:val="23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x-none" w:eastAsia="ro-RO"/>
        </w:rPr>
      </w:pPr>
      <w:r w:rsidRPr="00300738">
        <w:rPr>
          <w:rFonts w:ascii="Times New Roman" w:eastAsia="Calibri" w:hAnsi="Times New Roman" w:cs="Times New Roman"/>
          <w:sz w:val="24"/>
          <w:szCs w:val="24"/>
          <w:lang w:eastAsia="ro-RO"/>
        </w:rPr>
        <w:t>pentru upadacitinib: tratamentul nu trebuie iniţiat sau trebuie oprit temporar în cazul pacienţilor cu valori ale numarului absolut de neutrofile &lt; 1 x 10</w:t>
      </w:r>
      <w:r w:rsidRPr="00300738">
        <w:rPr>
          <w:rFonts w:ascii="Times New Roman" w:eastAsia="Calibri" w:hAnsi="Times New Roman" w:cs="Times New Roman"/>
          <w:sz w:val="24"/>
          <w:szCs w:val="24"/>
          <w:vertAlign w:val="superscript"/>
          <w:lang w:eastAsia="ro-RO"/>
        </w:rPr>
        <w:t>9</w:t>
      </w:r>
      <w:r w:rsidRPr="00300738">
        <w:rPr>
          <w:rFonts w:ascii="Times New Roman" w:eastAsia="Calibri" w:hAnsi="Times New Roman" w:cs="Times New Roman"/>
          <w:sz w:val="24"/>
          <w:szCs w:val="24"/>
          <w:lang w:eastAsia="ro-RO"/>
        </w:rPr>
        <w:t xml:space="preserve"> celule/L, numărului absolut de limfocite &lt; 0,5 x 10</w:t>
      </w:r>
      <w:r w:rsidRPr="00300738">
        <w:rPr>
          <w:rFonts w:ascii="Times New Roman" w:eastAsia="Calibri" w:hAnsi="Times New Roman" w:cs="Times New Roman"/>
          <w:sz w:val="24"/>
          <w:szCs w:val="24"/>
          <w:vertAlign w:val="superscript"/>
          <w:lang w:eastAsia="ro-RO"/>
        </w:rPr>
        <w:t>9</w:t>
      </w:r>
      <w:r w:rsidRPr="00300738">
        <w:rPr>
          <w:rFonts w:ascii="Times New Roman" w:eastAsia="Calibri" w:hAnsi="Times New Roman" w:cs="Times New Roman"/>
          <w:sz w:val="24"/>
          <w:szCs w:val="24"/>
          <w:lang w:eastAsia="ro-RO"/>
        </w:rPr>
        <w:t xml:space="preserve"> celule/L sau valori ale hemoglobinei &lt; 8 g/dL, insuficiență hepatică severă (clasă Child-Pugh C).</w:t>
      </w:r>
    </w:p>
    <w:p w14:paraId="2B3B68D8"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2131E5B6"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eastAsia="ro-RO"/>
        </w:rPr>
      </w:pPr>
      <w:r w:rsidRPr="00300738">
        <w:rPr>
          <w:rFonts w:ascii="Times New Roman" w:eastAsia="Times New Roman" w:hAnsi="Times New Roman" w:cs="Times New Roman"/>
          <w:b/>
          <w:bCs/>
          <w:sz w:val="24"/>
          <w:szCs w:val="24"/>
          <w:lang w:eastAsia="ro-RO"/>
        </w:rPr>
        <w:t>Precauții și atenționări pentru pacienții tratați cu inhibitori de JAK (JAKi):</w:t>
      </w:r>
    </w:p>
    <w:p w14:paraId="12463649"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300738">
        <w:rPr>
          <w:rFonts w:ascii="Times New Roman" w:eastAsia="Times New Roman" w:hAnsi="Times New Roman" w:cs="Times New Roman"/>
          <w:sz w:val="24"/>
          <w:szCs w:val="24"/>
          <w:lang w:eastAsia="ro-RO"/>
        </w:rPr>
        <w:t>A fost observată o incidență crescută de afecțiuni maligne, evenimente adverse cardiovasculare majore (MACE), infecții grave, trombembolism venos (TEV) și mortalitate, la pacienții cu poliartrită reumatoidă (PR) cu anumiți factori de risc, care au fost tratați cu JAKi, comparativ cu pacienții tratați cu inhibitori de TNF-α. Aceste riscuri sunt considerate efecte de clasă și sunt relevane în cadrul tuturor indicațiilor aprobate ale JAKi, în afecțiunile inflamatoare și dermatologice. JAKi trebuie administrați numai dacă nu sunt disponibile alternative de tratament adecvate, la pacienții:</w:t>
      </w:r>
    </w:p>
    <w:p w14:paraId="2A9D46B8" w14:textId="77777777" w:rsidR="00300738" w:rsidRPr="00300738" w:rsidRDefault="00300738" w:rsidP="002161CA">
      <w:pPr>
        <w:numPr>
          <w:ilvl w:val="0"/>
          <w:numId w:val="510"/>
        </w:numPr>
        <w:pBdr>
          <w:top w:val="nil"/>
          <w:left w:val="nil"/>
          <w:bottom w:val="nil"/>
          <w:right w:val="nil"/>
          <w:between w:val="nil"/>
          <w:bar w:val="nil"/>
        </w:pBdr>
        <w:autoSpaceDE w:val="0"/>
        <w:autoSpaceDN w:val="0"/>
        <w:adjustRightInd w:val="0"/>
        <w:spacing w:after="0" w:line="240" w:lineRule="auto"/>
        <w:ind w:left="426" w:hanging="426"/>
        <w:jc w:val="both"/>
        <w:rPr>
          <w:rFonts w:ascii="Times New Roman" w:eastAsia="Times New Roman" w:hAnsi="Times New Roman" w:cs="Times New Roman"/>
          <w:color w:val="000000"/>
          <w:sz w:val="24"/>
          <w:szCs w:val="24"/>
          <w:u w:color="000000"/>
          <w:bdr w:val="nil"/>
          <w:lang w:eastAsia="ro-RO"/>
        </w:rPr>
      </w:pPr>
      <w:r w:rsidRPr="00300738">
        <w:rPr>
          <w:rFonts w:ascii="Times New Roman" w:eastAsia="Times New Roman" w:hAnsi="Times New Roman" w:cs="Times New Roman"/>
          <w:color w:val="000000"/>
          <w:sz w:val="24"/>
          <w:szCs w:val="24"/>
          <w:u w:color="000000"/>
          <w:bdr w:val="nil"/>
          <w:lang w:eastAsia="ro-RO"/>
        </w:rPr>
        <w:t>cu vârstă de 65 de ani și peste;</w:t>
      </w:r>
    </w:p>
    <w:p w14:paraId="6EAEBD29" w14:textId="77777777" w:rsidR="00300738" w:rsidRPr="00300738" w:rsidRDefault="00300738" w:rsidP="002161CA">
      <w:pPr>
        <w:numPr>
          <w:ilvl w:val="0"/>
          <w:numId w:val="510"/>
        </w:numPr>
        <w:pBdr>
          <w:top w:val="nil"/>
          <w:left w:val="nil"/>
          <w:bottom w:val="nil"/>
          <w:right w:val="nil"/>
          <w:between w:val="nil"/>
          <w:bar w:val="nil"/>
        </w:pBdr>
        <w:autoSpaceDE w:val="0"/>
        <w:autoSpaceDN w:val="0"/>
        <w:adjustRightInd w:val="0"/>
        <w:spacing w:after="0" w:line="240" w:lineRule="auto"/>
        <w:ind w:left="426" w:hanging="426"/>
        <w:jc w:val="both"/>
        <w:rPr>
          <w:rFonts w:ascii="Times New Roman" w:eastAsia="Times New Roman" w:hAnsi="Times New Roman" w:cs="Times New Roman"/>
          <w:color w:val="000000"/>
          <w:sz w:val="24"/>
          <w:szCs w:val="24"/>
          <w:u w:color="000000"/>
          <w:bdr w:val="nil"/>
          <w:lang w:eastAsia="ro-RO"/>
        </w:rPr>
      </w:pPr>
      <w:r w:rsidRPr="00300738">
        <w:rPr>
          <w:rFonts w:ascii="Times New Roman" w:eastAsia="Times New Roman" w:hAnsi="Times New Roman" w:cs="Times New Roman"/>
          <w:color w:val="000000"/>
          <w:sz w:val="24"/>
          <w:szCs w:val="24"/>
          <w:u w:color="000000"/>
          <w:bdr w:val="nil"/>
          <w:lang w:eastAsia="ro-RO"/>
        </w:rPr>
        <w:t>fumători actuali sau care au fumat o perioadă îndelungată în trecut;</w:t>
      </w:r>
    </w:p>
    <w:p w14:paraId="409BB033" w14:textId="77777777" w:rsidR="00300738" w:rsidRPr="00300738" w:rsidRDefault="00300738" w:rsidP="002161CA">
      <w:pPr>
        <w:numPr>
          <w:ilvl w:val="0"/>
          <w:numId w:val="510"/>
        </w:numPr>
        <w:pBdr>
          <w:top w:val="nil"/>
          <w:left w:val="nil"/>
          <w:bottom w:val="nil"/>
          <w:right w:val="nil"/>
          <w:between w:val="nil"/>
          <w:bar w:val="nil"/>
        </w:pBdr>
        <w:autoSpaceDE w:val="0"/>
        <w:autoSpaceDN w:val="0"/>
        <w:adjustRightInd w:val="0"/>
        <w:spacing w:after="0" w:line="240" w:lineRule="auto"/>
        <w:ind w:left="426" w:hanging="426"/>
        <w:jc w:val="both"/>
        <w:rPr>
          <w:rFonts w:ascii="Times New Roman" w:eastAsia="Times New Roman" w:hAnsi="Times New Roman" w:cs="Times New Roman"/>
          <w:color w:val="000000"/>
          <w:sz w:val="24"/>
          <w:szCs w:val="24"/>
          <w:u w:color="000000"/>
          <w:bdr w:val="nil"/>
          <w:lang w:eastAsia="ro-RO"/>
        </w:rPr>
      </w:pPr>
      <w:r w:rsidRPr="00300738">
        <w:rPr>
          <w:rFonts w:ascii="Times New Roman" w:eastAsia="Times New Roman" w:hAnsi="Times New Roman" w:cs="Times New Roman"/>
          <w:color w:val="000000"/>
          <w:sz w:val="24"/>
          <w:szCs w:val="24"/>
          <w:u w:color="000000"/>
          <w:bdr w:val="nil"/>
          <w:lang w:eastAsia="ro-RO"/>
        </w:rPr>
        <w:t>cu alți factori de risc cardiovascular sau cu factori de risc pentru apariția afecțiunilor maligne.</w:t>
      </w:r>
    </w:p>
    <w:p w14:paraId="2FC37A5B"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300738">
        <w:rPr>
          <w:rFonts w:ascii="Times New Roman" w:eastAsia="Times New Roman" w:hAnsi="Times New Roman" w:cs="Times New Roman"/>
          <w:sz w:val="24"/>
          <w:szCs w:val="24"/>
          <w:lang w:eastAsia="ro-RO"/>
        </w:rPr>
        <w:t xml:space="preserve">JAKi trebuie administrați cu precauție la pacienții cu factori de risc pentru TEV, alții decât cei enumerați mai sus. Recomandările privind dozele sunt reviziute pentru anumite grupe de pacienți cu factori de risc. Se recomandă examinarea perioadică a pielii pentru toți pacienții. Medicii prescriptori trebuie să discute cu pacienții despre riscurile asociate cu administrarea JAKi. </w:t>
      </w:r>
    </w:p>
    <w:p w14:paraId="7939C920"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p>
    <w:p w14:paraId="38E5C92F"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b/>
          <w:bCs/>
          <w:sz w:val="24"/>
          <w:szCs w:val="24"/>
          <w:lang w:val="x-none" w:eastAsia="ro-RO"/>
        </w:rPr>
      </w:pPr>
      <w:r w:rsidRPr="00300738">
        <w:rPr>
          <w:rFonts w:ascii="Times New Roman" w:eastAsia="Times New Roman" w:hAnsi="Times New Roman" w:cs="Times New Roman"/>
          <w:b/>
          <w:bCs/>
          <w:sz w:val="24"/>
          <w:szCs w:val="24"/>
          <w:lang w:val="x-none" w:eastAsia="ro-RO"/>
        </w:rPr>
        <w:t>III. Prescriptori</w:t>
      </w:r>
    </w:p>
    <w:p w14:paraId="6263F3F4" w14:textId="77777777" w:rsidR="00300738" w:rsidRPr="00300738" w:rsidRDefault="00300738" w:rsidP="00300738">
      <w:pPr>
        <w:spacing w:after="0" w:line="240" w:lineRule="auto"/>
        <w:jc w:val="both"/>
        <w:rPr>
          <w:rFonts w:ascii="Times New Roman" w:eastAsia="Times New Roman" w:hAnsi="Times New Roman" w:cs="Times New Roman"/>
          <w:sz w:val="24"/>
          <w:szCs w:val="24"/>
        </w:rPr>
      </w:pPr>
      <w:r w:rsidRPr="00300738">
        <w:rPr>
          <w:rFonts w:ascii="Times New Roman" w:eastAsia="Times New Roman" w:hAnsi="Times New Roman" w:cs="Times New Roman"/>
          <w:sz w:val="24"/>
          <w:szCs w:val="24"/>
          <w:lang w:val="x-none" w:eastAsia="ro-RO"/>
        </w:rPr>
        <w:t xml:space="preserve">Medicul de specialitate care are dreptul de a prescrie tratament specific în conformitate cu Hotărârea Guvernului nr. 720/2008 pentru aprobarea listei cuprinzând denumirile comune internaţionale corespunzătoare medicamentelor de care beneficiază asiguraţii, cu sau fără contribuţie personală, pe bază de prescripţie medicală, în sistemul de asigurări sociale de sănătate, precum şi denumirile comune internaţionale corespunzătoare medicamentelor care se acordă în cadrul programelor naţionale de sănătate, </w:t>
      </w:r>
      <w:r w:rsidRPr="00300738">
        <w:rPr>
          <w:rFonts w:ascii="Times New Roman" w:eastAsia="Times New Roman" w:hAnsi="Times New Roman" w:cs="Times New Roman"/>
          <w:sz w:val="24"/>
          <w:szCs w:val="24"/>
          <w:lang w:val="en-US" w:eastAsia="ro-RO"/>
        </w:rPr>
        <w:t xml:space="preserve">republicata, </w:t>
      </w:r>
      <w:r w:rsidRPr="00300738">
        <w:rPr>
          <w:rFonts w:ascii="Times New Roman" w:eastAsia="Times New Roman" w:hAnsi="Times New Roman" w:cs="Times New Roman"/>
          <w:sz w:val="24"/>
          <w:szCs w:val="24"/>
          <w:lang w:val="x-none" w:eastAsia="ro-RO"/>
        </w:rPr>
        <w:t xml:space="preserve">cu modificările şi completările ulterioare, va completa o foaie de observaţie/fişă medicală care va conţine evaluările clinice şi de laborator sau imagistice necesare, </w:t>
      </w:r>
      <w:r w:rsidRPr="00300738">
        <w:rPr>
          <w:rFonts w:ascii="Times New Roman" w:eastAsia="Times New Roman" w:hAnsi="Times New Roman" w:cs="Times New Roman"/>
          <w:sz w:val="24"/>
          <w:szCs w:val="24"/>
          <w:lang w:eastAsia="ro-RO"/>
        </w:rPr>
        <w:t>datele fiind introduse în aplicația informatică Registrul Român de Boli Reumatice.</w:t>
      </w:r>
    </w:p>
    <w:p w14:paraId="2F92B65A"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2A6A64F3"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Se recomandă înregistrarea următoarelor date, atât la iniţierea terapiei, cât şi pe parcursul evoluţiei bolii sub tratament:</w:t>
      </w:r>
    </w:p>
    <w:p w14:paraId="4EAF9857"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informaţii demografice şi generale despre pacient;</w:t>
      </w:r>
    </w:p>
    <w:p w14:paraId="4174282F"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diagnosticul cert de AP conform criteriilor CASPAR;</w:t>
      </w:r>
    </w:p>
    <w:p w14:paraId="2036601A"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istoricul bolii (debut, evoluţie, scheme terapeutice anterioare - preparate, doze, data iniţierii şi data opririi tratamentului, evoluţie sub tratament), prezenţa manifestărilor sistemice sau non-articulare;</w:t>
      </w:r>
    </w:p>
    <w:p w14:paraId="611194CB"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antecedente semnificative şi comorbidităţi;</w:t>
      </w:r>
    </w:p>
    <w:p w14:paraId="7A86174B"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starea clinică actuală (NAD, NAT, VAS pacient, deficite funcţionale);</w:t>
      </w:r>
    </w:p>
    <w:p w14:paraId="05389980"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nivelul reactanţilor de fază acută (VSH, CRP cantitativ);</w:t>
      </w:r>
    </w:p>
    <w:p w14:paraId="676583B6"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rezultatele screening-ului pentru tuberculoză (inclusiv rezultat test QuantiFERON), avizul medicului pneumolog în cazul unui rezultat pozitiv;</w:t>
      </w:r>
    </w:p>
    <w:p w14:paraId="3C7AD082"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rezultatele testelor pentru hepatitele virale B şi C, avizul medicului gastroenterolog sau infecţionist în cazul unui rezultat pozitiv;</w:t>
      </w:r>
    </w:p>
    <w:p w14:paraId="4E9DDA93"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alte teste de laborator relevante;</w:t>
      </w:r>
    </w:p>
    <w:p w14:paraId="18D720F5"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evaluarea gradului de leziuni osteo-articulare (imagistic: radiologic);</w:t>
      </w:r>
    </w:p>
    <w:p w14:paraId="10180B88"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justificarea recomandării tratamentului cu agenţi biologici (verificarea îndeplinirii criteriilor de protocol);</w:t>
      </w:r>
    </w:p>
    <w:p w14:paraId="057F208C"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preparatul biologic</w:t>
      </w:r>
      <w:r w:rsidRPr="00300738">
        <w:rPr>
          <w:rFonts w:ascii="Times New Roman" w:eastAsia="Times New Roman" w:hAnsi="Times New Roman" w:cs="Times New Roman"/>
          <w:sz w:val="24"/>
          <w:szCs w:val="24"/>
          <w:lang w:val="en-US" w:eastAsia="ro-RO"/>
        </w:rPr>
        <w:t xml:space="preserve"> sau </w:t>
      </w:r>
      <w:r w:rsidRPr="00300738">
        <w:rPr>
          <w:rFonts w:ascii="Times New Roman" w:eastAsia="Times New Roman" w:hAnsi="Times New Roman" w:cs="Times New Roman"/>
          <w:sz w:val="24"/>
          <w:szCs w:val="24"/>
          <w:lang w:eastAsia="ro-RO"/>
        </w:rPr>
        <w:t>ts-DMARDs</w:t>
      </w:r>
      <w:r w:rsidRPr="00300738">
        <w:rPr>
          <w:rFonts w:ascii="Times New Roman" w:eastAsia="Times New Roman" w:hAnsi="Times New Roman" w:cs="Times New Roman"/>
          <w:sz w:val="24"/>
          <w:szCs w:val="24"/>
          <w:lang w:val="x-none" w:eastAsia="ro-RO"/>
        </w:rPr>
        <w:t xml:space="preserve"> recomandat: denumirea comună internaţională şi denumirea comercială, precizând doza şi schema terapeutică;</w:t>
      </w:r>
    </w:p>
    <w:p w14:paraId="791060EA"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nivelul indicilor compoziţi: DAPSA şi după caz îndeplinirea criteriilor de remisiune/boală cu activitate scăzută;</w:t>
      </w:r>
    </w:p>
    <w:p w14:paraId="0462EAD8" w14:textId="77777777" w:rsidR="00300738" w:rsidRPr="00300738" w:rsidRDefault="00300738" w:rsidP="002161CA">
      <w:pPr>
        <w:numPr>
          <w:ilvl w:val="0"/>
          <w:numId w:val="19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apariţia şi evoluţia în caz de reacţii adverse post-terapeutice, complicaţii, comorbidităţi.</w:t>
      </w:r>
    </w:p>
    <w:p w14:paraId="61D8216E"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 xml:space="preserve">    </w:t>
      </w:r>
    </w:p>
    <w:p w14:paraId="3B87654F"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Scala analogă vizuală (VAS) este completată direct de pacient pe fişă, acesta semnând şi datând personal.</w:t>
      </w:r>
    </w:p>
    <w:p w14:paraId="54465433"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val="x-none" w:eastAsia="ro-RO"/>
        </w:rPr>
      </w:pPr>
      <w:r w:rsidRPr="00300738">
        <w:rPr>
          <w:rFonts w:ascii="Times New Roman" w:eastAsia="Times New Roman" w:hAnsi="Times New Roman" w:cs="Times New Roman"/>
          <w:sz w:val="24"/>
          <w:szCs w:val="24"/>
          <w:lang w:val="x-none" w:eastAsia="ro-RO"/>
        </w:rPr>
        <w:t>Pentru iniţierea terapiei biologice</w:t>
      </w:r>
      <w:r w:rsidRPr="00300738">
        <w:rPr>
          <w:rFonts w:ascii="Times New Roman" w:eastAsia="Times New Roman" w:hAnsi="Times New Roman" w:cs="Times New Roman"/>
          <w:sz w:val="24"/>
          <w:szCs w:val="24"/>
          <w:lang w:val="en-US" w:eastAsia="ro-RO"/>
        </w:rPr>
        <w:t xml:space="preserve"> sau </w:t>
      </w:r>
      <w:r w:rsidRPr="00300738">
        <w:rPr>
          <w:rFonts w:ascii="Times New Roman" w:eastAsia="Times New Roman" w:hAnsi="Times New Roman" w:cs="Times New Roman"/>
          <w:sz w:val="24"/>
          <w:szCs w:val="24"/>
          <w:lang w:eastAsia="ro-RO"/>
        </w:rPr>
        <w:t>ts-DMARDs</w:t>
      </w:r>
      <w:r w:rsidRPr="00300738">
        <w:rPr>
          <w:rFonts w:ascii="Times New Roman" w:eastAsia="Times New Roman" w:hAnsi="Times New Roman" w:cs="Times New Roman"/>
          <w:sz w:val="24"/>
          <w:szCs w:val="24"/>
          <w:lang w:val="x-none" w:eastAsia="ro-RO"/>
        </w:rPr>
        <w:t xml:space="preserve"> se recomandă obţinerea unei a doua opinii de la un medic primar în specialitatea reumatologie dintr-un centru universitar (Bucureşti, Iaşi, Cluj, Târgu Mureş, Constanţa, Craiova, Timişoara) privind diagnosticul, gradul de activitate a bolii şi necesitatea instituirii tratamentului biologic</w:t>
      </w:r>
      <w:r w:rsidRPr="00300738">
        <w:rPr>
          <w:rFonts w:ascii="Times New Roman" w:eastAsia="Times New Roman" w:hAnsi="Times New Roman" w:cs="Times New Roman"/>
          <w:sz w:val="24"/>
          <w:szCs w:val="24"/>
          <w:lang w:val="en-US" w:eastAsia="ro-RO"/>
        </w:rPr>
        <w:t xml:space="preserve"> sau </w:t>
      </w:r>
      <w:r w:rsidRPr="00300738">
        <w:rPr>
          <w:rFonts w:ascii="Times New Roman" w:eastAsia="Times New Roman" w:hAnsi="Times New Roman" w:cs="Times New Roman"/>
          <w:sz w:val="24"/>
          <w:szCs w:val="24"/>
          <w:lang w:eastAsia="ro-RO"/>
        </w:rPr>
        <w:t>ts-DMARDs</w:t>
      </w:r>
      <w:r w:rsidRPr="00300738">
        <w:rPr>
          <w:rFonts w:ascii="Times New Roman" w:eastAsia="Times New Roman" w:hAnsi="Times New Roman" w:cs="Times New Roman"/>
          <w:sz w:val="24"/>
          <w:szCs w:val="24"/>
          <w:lang w:val="x-none" w:eastAsia="ro-RO"/>
        </w:rPr>
        <w:t>.</w:t>
      </w:r>
    </w:p>
    <w:p w14:paraId="291913D4" w14:textId="77777777" w:rsidR="00300738" w:rsidRPr="00300738" w:rsidRDefault="00300738" w:rsidP="00300738">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300738">
        <w:rPr>
          <w:rFonts w:ascii="Times New Roman" w:eastAsia="Times New Roman" w:hAnsi="Times New Roman" w:cs="Times New Roman"/>
          <w:sz w:val="24"/>
          <w:szCs w:val="24"/>
          <w:lang w:val="x-none" w:eastAsia="ro-RO"/>
        </w:rPr>
        <w:t>Medicul curant are obligaţia să discute cu pacientul starea evolutivă a bolii, prognosticul şi riscurile de complicaţii, justificând indicaţia de tratament biologic</w:t>
      </w:r>
      <w:r w:rsidRPr="00300738">
        <w:rPr>
          <w:rFonts w:ascii="Times New Roman" w:eastAsia="Times New Roman" w:hAnsi="Times New Roman" w:cs="Times New Roman"/>
          <w:sz w:val="24"/>
          <w:szCs w:val="24"/>
          <w:lang w:val="en-US" w:eastAsia="ro-RO"/>
        </w:rPr>
        <w:t xml:space="preserve"> sau </w:t>
      </w:r>
      <w:r w:rsidRPr="00300738">
        <w:rPr>
          <w:rFonts w:ascii="Times New Roman" w:eastAsia="Times New Roman" w:hAnsi="Times New Roman" w:cs="Times New Roman"/>
          <w:sz w:val="24"/>
          <w:szCs w:val="24"/>
          <w:lang w:eastAsia="ro-RO"/>
        </w:rPr>
        <w:t>ts-DMARDs</w:t>
      </w:r>
      <w:r w:rsidRPr="00300738">
        <w:rPr>
          <w:rFonts w:ascii="Times New Roman" w:eastAsia="Times New Roman" w:hAnsi="Times New Roman" w:cs="Times New Roman"/>
          <w:sz w:val="24"/>
          <w:szCs w:val="24"/>
          <w:lang w:val="x-none" w:eastAsia="ro-RO"/>
        </w:rPr>
        <w:t>. Vor fi detaliate atât beneficiile previzibile, cât şi limitele şi riscurile potenţiale ale acestor terapii, vor fi discutate diversele variante de tratament disponibil (preparate şi scheme terapeutice), precum şi monitorizarea necesară, astfel încât pacientul să fie complet informat asupra tuturor aspectelor legate de tratamentul recomandat. Medicul curant va solicita pacientului să semneze o declaraţie de consimţământ informat privind tratamentul recomandat, care va include în clar denumirea comună internaţională şi numele comercial al preparatului recomandat şi va fi semnată şi datată personal de către pacient. Consimţământul este obligatoriu la iniţierea tratamentului, precum şi pe parcursul acestuia, dacă: se schimbă schema terapeutică (denumirea comună internaţională sau preparat comercial, doza sau frecvenţa de administrare) sau pacientul trece în grija altui medic curant. Medicul curant are obligaţia de a păstra originalul consimţământului informat.</w:t>
      </w:r>
      <w:r w:rsidRPr="00300738">
        <w:rPr>
          <w:rFonts w:ascii="Times New Roman" w:eastAsia="Times New Roman" w:hAnsi="Times New Roman" w:cs="Times New Roman"/>
          <w:sz w:val="24"/>
          <w:szCs w:val="24"/>
          <w:lang w:eastAsia="ro-RO"/>
        </w:rPr>
        <w:t>”</w:t>
      </w:r>
    </w:p>
    <w:p w14:paraId="421A63B0" w14:textId="77777777" w:rsidR="00300738" w:rsidRPr="00300738" w:rsidRDefault="00300738" w:rsidP="00300738">
      <w:pPr>
        <w:rPr>
          <w:rFonts w:ascii="Calibri" w:eastAsia="Calibri" w:hAnsi="Calibri" w:cs="Times New Roman"/>
        </w:rPr>
      </w:pPr>
    </w:p>
    <w:p w14:paraId="226110B6" w14:textId="4C572335" w:rsidR="00A42AE3" w:rsidRPr="00004853" w:rsidRDefault="00A42AE3" w:rsidP="00C26280">
      <w:pPr>
        <w:pStyle w:val="ListParagraph"/>
        <w:numPr>
          <w:ilvl w:val="0"/>
          <w:numId w:val="9"/>
        </w:numPr>
        <w:tabs>
          <w:tab w:val="left" w:pos="426"/>
        </w:tabs>
        <w:jc w:val="both"/>
        <w:rPr>
          <w:rFonts w:eastAsia="Arial"/>
          <w:b/>
          <w:bCs/>
          <w:color w:val="FF0000"/>
          <w:lang w:val="en-US"/>
        </w:rPr>
      </w:pPr>
      <w:r w:rsidRPr="00004853">
        <w:rPr>
          <w:rFonts w:eastAsia="Arial"/>
          <w:b/>
          <w:bCs/>
          <w:color w:val="FF0000"/>
          <w:lang w:val="en-US"/>
        </w:rPr>
        <w:lastRenderedPageBreak/>
        <w:t>La anexa nr. 2, protocolul terapeutic corespunzător poziţiei nr. 17 cod (L041M): SPONDILOARTRITA AXIALĂ, INCLUSIV SPONDILITA ANCHILOZANTĂ - AGENŢI BIOLOGICI: ADALIMUMABUM</w:t>
      </w:r>
      <w:r w:rsidRPr="00004853">
        <w:rPr>
          <w:rFonts w:eastAsia="Arial"/>
          <w:b/>
          <w:bCs/>
          <w:color w:val="FF0000"/>
          <w:vertAlign w:val="superscript"/>
          <w:lang w:val="en-US"/>
        </w:rPr>
        <w:t>**1</w:t>
      </w:r>
      <w:r w:rsidRPr="00004853">
        <w:rPr>
          <w:rFonts w:eastAsia="Arial"/>
          <w:b/>
          <w:bCs/>
          <w:color w:val="FF0000"/>
          <w:lang w:val="en-US"/>
        </w:rPr>
        <w:t xml:space="preserve"> (ORIGINAL ŞI BIOSIMILAR), CERTOLIZUMABUM</w:t>
      </w:r>
      <w:r w:rsidRPr="00004853">
        <w:rPr>
          <w:rFonts w:eastAsia="Arial"/>
          <w:b/>
          <w:bCs/>
          <w:color w:val="FF0000"/>
          <w:vertAlign w:val="superscript"/>
          <w:lang w:val="en-US"/>
        </w:rPr>
        <w:t>**1</w:t>
      </w:r>
      <w:r w:rsidRPr="00004853">
        <w:rPr>
          <w:rFonts w:eastAsia="Arial"/>
          <w:b/>
          <w:bCs/>
          <w:color w:val="FF0000"/>
          <w:lang w:val="en-US"/>
        </w:rPr>
        <w:t>, ETANERCEPTUM</w:t>
      </w:r>
      <w:r w:rsidRPr="00004853">
        <w:rPr>
          <w:rFonts w:eastAsia="Arial"/>
          <w:b/>
          <w:bCs/>
          <w:color w:val="FF0000"/>
          <w:vertAlign w:val="superscript"/>
          <w:lang w:val="en-US"/>
        </w:rPr>
        <w:t>**1</w:t>
      </w:r>
      <w:r w:rsidRPr="00004853">
        <w:rPr>
          <w:rFonts w:eastAsia="Arial"/>
          <w:b/>
          <w:bCs/>
          <w:color w:val="FF0000"/>
          <w:lang w:val="en-US"/>
        </w:rPr>
        <w:t xml:space="preserve"> (ORIGINAL ŞI BIOSIMILAR), GOLIMUMABUM</w:t>
      </w:r>
      <w:r w:rsidRPr="00004853">
        <w:rPr>
          <w:rFonts w:eastAsia="Arial"/>
          <w:b/>
          <w:bCs/>
          <w:color w:val="FF0000"/>
          <w:vertAlign w:val="superscript"/>
          <w:lang w:val="en-US"/>
        </w:rPr>
        <w:t>**1</w:t>
      </w:r>
      <w:r w:rsidRPr="00004853">
        <w:rPr>
          <w:rFonts w:eastAsia="Arial"/>
          <w:b/>
          <w:bCs/>
          <w:color w:val="FF0000"/>
          <w:lang w:val="en-US"/>
        </w:rPr>
        <w:t>, INFLIXIMABUM</w:t>
      </w:r>
      <w:r w:rsidRPr="00004853">
        <w:rPr>
          <w:rFonts w:eastAsia="Arial"/>
          <w:b/>
          <w:bCs/>
          <w:color w:val="FF0000"/>
          <w:vertAlign w:val="superscript"/>
          <w:lang w:val="en-US"/>
        </w:rPr>
        <w:t>**1</w:t>
      </w:r>
      <w:r w:rsidRPr="00004853">
        <w:rPr>
          <w:rFonts w:eastAsia="Arial"/>
          <w:b/>
          <w:bCs/>
          <w:color w:val="FF0000"/>
          <w:lang w:val="en-US"/>
        </w:rPr>
        <w:t xml:space="preserve"> (ORIGINAL ŞI BIOSIMILAR), SECUKINUMABUM</w:t>
      </w:r>
      <w:r w:rsidRPr="00004853">
        <w:rPr>
          <w:rFonts w:eastAsia="Arial"/>
          <w:b/>
          <w:bCs/>
          <w:color w:val="FF0000"/>
          <w:vertAlign w:val="superscript"/>
          <w:lang w:val="en-US"/>
        </w:rPr>
        <w:t>**1</w:t>
      </w:r>
      <w:r w:rsidRPr="00004853">
        <w:rPr>
          <w:rFonts w:eastAsia="Arial"/>
          <w:b/>
          <w:bCs/>
          <w:color w:val="FF0000"/>
          <w:lang w:val="en-US"/>
        </w:rPr>
        <w:t xml:space="preserve"> se modifică și se înlocuiește cu următorul protocol:</w:t>
      </w:r>
    </w:p>
    <w:p w14:paraId="00CAE997" w14:textId="77777777" w:rsidR="00A42AE3" w:rsidRPr="0049126A" w:rsidRDefault="00A42AE3" w:rsidP="00A42AE3">
      <w:pPr>
        <w:pStyle w:val="ListParagraph"/>
        <w:tabs>
          <w:tab w:val="left" w:pos="426"/>
        </w:tabs>
        <w:jc w:val="both"/>
        <w:rPr>
          <w:rFonts w:eastAsia="Arial"/>
          <w:b/>
          <w:bCs/>
          <w:color w:val="auto"/>
          <w:lang w:val="en-US"/>
        </w:rPr>
      </w:pPr>
    </w:p>
    <w:p w14:paraId="38B87231" w14:textId="77777777" w:rsidR="00004853" w:rsidRPr="00004853" w:rsidRDefault="00004853" w:rsidP="00004853">
      <w:pPr>
        <w:tabs>
          <w:tab w:val="left" w:pos="426"/>
        </w:tabs>
        <w:jc w:val="both"/>
        <w:rPr>
          <w:rFonts w:ascii="Calibri" w:eastAsia="Arial" w:hAnsi="Calibri" w:cs="Times New Roman"/>
          <w:b/>
          <w:bCs/>
        </w:rPr>
      </w:pPr>
    </w:p>
    <w:p w14:paraId="1701A0F6" w14:textId="77777777" w:rsidR="00004853" w:rsidRPr="00004853" w:rsidRDefault="00004853" w:rsidP="00004853">
      <w:pPr>
        <w:spacing w:after="0"/>
        <w:jc w:val="both"/>
        <w:rPr>
          <w:rFonts w:ascii="Times New Roman" w:eastAsia="Arial" w:hAnsi="Times New Roman" w:cs="Times New Roman"/>
          <w:b/>
          <w:bCs/>
          <w:sz w:val="24"/>
          <w:szCs w:val="24"/>
        </w:rPr>
      </w:pPr>
      <w:r w:rsidRPr="00004853">
        <w:rPr>
          <w:rFonts w:ascii="Times New Roman" w:eastAsia="Arial" w:hAnsi="Times New Roman" w:cs="Times New Roman"/>
          <w:b/>
          <w:bCs/>
          <w:sz w:val="24"/>
          <w:szCs w:val="24"/>
        </w:rPr>
        <w:t xml:space="preserve">”Protocol terapeutic corespunzător poziţiei nr. 17 cod (L041M): SPONDILOARTRITA AXIALĂ, INCLUZÂND SPONDILITA ANCHILOZANTĂ </w:t>
      </w:r>
      <w:r w:rsidRPr="00004853">
        <w:rPr>
          <w:rFonts w:ascii="Times New Roman" w:eastAsia="Arial" w:hAnsi="Times New Roman" w:cs="Times New Roman"/>
          <w:b/>
          <w:bCs/>
          <w:color w:val="FF0000"/>
          <w:sz w:val="24"/>
          <w:szCs w:val="24"/>
        </w:rPr>
        <w:t>ȘI SPONDILOARTRITA AXIALĂ NONRADIOGRAFICĂ</w:t>
      </w:r>
      <w:r w:rsidRPr="00004853">
        <w:rPr>
          <w:rFonts w:ascii="Times New Roman" w:eastAsia="Arial" w:hAnsi="Times New Roman" w:cs="Times New Roman"/>
          <w:b/>
          <w:bCs/>
          <w:sz w:val="24"/>
          <w:szCs w:val="24"/>
        </w:rPr>
        <w:t xml:space="preserve"> - AGENŢI BIOLOGICI: ADALIMUMABUM</w:t>
      </w:r>
      <w:r w:rsidRPr="00004853">
        <w:rPr>
          <w:rFonts w:ascii="Times New Roman" w:eastAsia="Arial" w:hAnsi="Times New Roman" w:cs="Times New Roman"/>
          <w:b/>
          <w:bCs/>
          <w:sz w:val="24"/>
          <w:szCs w:val="24"/>
          <w:vertAlign w:val="superscript"/>
        </w:rPr>
        <w:t>**1</w:t>
      </w:r>
      <w:r w:rsidRPr="00004853">
        <w:rPr>
          <w:rFonts w:ascii="Times New Roman" w:eastAsia="Arial" w:hAnsi="Times New Roman" w:cs="Times New Roman"/>
          <w:b/>
          <w:bCs/>
          <w:sz w:val="24"/>
          <w:szCs w:val="24"/>
        </w:rPr>
        <w:t xml:space="preserve"> (ORIGINAL ŞI BIOSIMILAR), CERTOLIZUMABUM</w:t>
      </w:r>
      <w:r w:rsidRPr="00004853">
        <w:rPr>
          <w:rFonts w:ascii="Times New Roman" w:eastAsia="Arial" w:hAnsi="Times New Roman" w:cs="Times New Roman"/>
          <w:b/>
          <w:bCs/>
          <w:sz w:val="24"/>
          <w:szCs w:val="24"/>
          <w:vertAlign w:val="superscript"/>
        </w:rPr>
        <w:t>**1</w:t>
      </w:r>
      <w:r w:rsidRPr="00004853">
        <w:rPr>
          <w:rFonts w:ascii="Times New Roman" w:eastAsia="Arial" w:hAnsi="Times New Roman" w:cs="Times New Roman"/>
          <w:b/>
          <w:bCs/>
          <w:sz w:val="24"/>
          <w:szCs w:val="24"/>
        </w:rPr>
        <w:t>, ETANERCEPTUM</w:t>
      </w:r>
      <w:r w:rsidRPr="00004853">
        <w:rPr>
          <w:rFonts w:ascii="Times New Roman" w:eastAsia="Arial" w:hAnsi="Times New Roman" w:cs="Times New Roman"/>
          <w:b/>
          <w:bCs/>
          <w:sz w:val="24"/>
          <w:szCs w:val="24"/>
          <w:vertAlign w:val="superscript"/>
        </w:rPr>
        <w:t>**1</w:t>
      </w:r>
      <w:r w:rsidRPr="00004853">
        <w:rPr>
          <w:rFonts w:ascii="Times New Roman" w:eastAsia="Arial" w:hAnsi="Times New Roman" w:cs="Times New Roman"/>
          <w:b/>
          <w:bCs/>
          <w:sz w:val="24"/>
          <w:szCs w:val="24"/>
        </w:rPr>
        <w:t xml:space="preserve"> (ORIGINAL ŞI BIOSIMILAR), GOLIMUMABUM</w:t>
      </w:r>
      <w:r w:rsidRPr="00004853">
        <w:rPr>
          <w:rFonts w:ascii="Times New Roman" w:eastAsia="Arial" w:hAnsi="Times New Roman" w:cs="Times New Roman"/>
          <w:b/>
          <w:bCs/>
          <w:sz w:val="24"/>
          <w:szCs w:val="24"/>
          <w:vertAlign w:val="superscript"/>
        </w:rPr>
        <w:t>**1</w:t>
      </w:r>
      <w:r w:rsidRPr="00004853">
        <w:rPr>
          <w:rFonts w:ascii="Times New Roman" w:eastAsia="Arial" w:hAnsi="Times New Roman" w:cs="Times New Roman"/>
          <w:b/>
          <w:bCs/>
          <w:sz w:val="24"/>
          <w:szCs w:val="24"/>
        </w:rPr>
        <w:t>, INFLIXIMABUM</w:t>
      </w:r>
      <w:r w:rsidRPr="00004853">
        <w:rPr>
          <w:rFonts w:ascii="Times New Roman" w:eastAsia="Arial" w:hAnsi="Times New Roman" w:cs="Times New Roman"/>
          <w:b/>
          <w:bCs/>
          <w:sz w:val="24"/>
          <w:szCs w:val="24"/>
          <w:vertAlign w:val="superscript"/>
        </w:rPr>
        <w:t>**1</w:t>
      </w:r>
      <w:r w:rsidRPr="00004853">
        <w:rPr>
          <w:rFonts w:ascii="Times New Roman" w:eastAsia="Arial" w:hAnsi="Times New Roman" w:cs="Times New Roman"/>
          <w:b/>
          <w:bCs/>
          <w:sz w:val="24"/>
          <w:szCs w:val="24"/>
        </w:rPr>
        <w:t xml:space="preserve"> (ORIGINAL ŞI BIOSIMILAR), SECUKINUMABUM</w:t>
      </w:r>
      <w:r w:rsidRPr="00004853">
        <w:rPr>
          <w:rFonts w:ascii="Times New Roman" w:eastAsia="Arial" w:hAnsi="Times New Roman" w:cs="Times New Roman"/>
          <w:b/>
          <w:bCs/>
          <w:sz w:val="24"/>
          <w:szCs w:val="24"/>
          <w:vertAlign w:val="superscript"/>
        </w:rPr>
        <w:t>**1</w:t>
      </w:r>
      <w:r w:rsidRPr="00004853">
        <w:rPr>
          <w:rFonts w:ascii="Times New Roman" w:eastAsia="Arial" w:hAnsi="Times New Roman" w:cs="Times New Roman"/>
          <w:b/>
          <w:bCs/>
          <w:sz w:val="24"/>
          <w:szCs w:val="24"/>
        </w:rPr>
        <w:t>, IXEKIZUMABUM</w:t>
      </w:r>
      <w:r w:rsidRPr="00004853">
        <w:rPr>
          <w:rFonts w:ascii="Times New Roman" w:eastAsia="Arial" w:hAnsi="Times New Roman" w:cs="Times New Roman"/>
          <w:b/>
          <w:bCs/>
          <w:sz w:val="24"/>
          <w:szCs w:val="24"/>
          <w:vertAlign w:val="superscript"/>
        </w:rPr>
        <w:t>**1</w:t>
      </w:r>
      <w:r w:rsidRPr="00004853">
        <w:rPr>
          <w:rFonts w:ascii="Times New Roman" w:eastAsia="Arial" w:hAnsi="Times New Roman" w:cs="Times New Roman"/>
          <w:b/>
          <w:bCs/>
          <w:sz w:val="24"/>
          <w:szCs w:val="24"/>
          <w:vertAlign w:val="superscript"/>
          <w:lang w:val="en-US"/>
        </w:rPr>
        <w:t>Ω</w:t>
      </w:r>
      <w:r w:rsidRPr="00004853">
        <w:rPr>
          <w:rFonts w:ascii="Times New Roman" w:eastAsia="Arial" w:hAnsi="Times New Roman" w:cs="Times New Roman"/>
          <w:b/>
          <w:bCs/>
          <w:sz w:val="24"/>
          <w:szCs w:val="24"/>
          <w:vertAlign w:val="superscript"/>
        </w:rPr>
        <w:t xml:space="preserve"> </w:t>
      </w:r>
      <w:r w:rsidRPr="00004853">
        <w:rPr>
          <w:rFonts w:ascii="Times New Roman" w:eastAsia="Arial" w:hAnsi="Times New Roman" w:cs="Times New Roman"/>
          <w:b/>
          <w:bCs/>
          <w:sz w:val="24"/>
          <w:szCs w:val="24"/>
        </w:rPr>
        <w:t>ȘI SINTETICI ȚINTIȚI: UPADACITINIBUM</w:t>
      </w:r>
      <w:r w:rsidRPr="00004853">
        <w:rPr>
          <w:rFonts w:ascii="Times New Roman" w:eastAsia="Arial" w:hAnsi="Times New Roman" w:cs="Times New Roman"/>
          <w:b/>
          <w:bCs/>
          <w:sz w:val="24"/>
          <w:szCs w:val="24"/>
          <w:vertAlign w:val="superscript"/>
        </w:rPr>
        <w:t>**1</w:t>
      </w:r>
      <w:r w:rsidRPr="00004853">
        <w:rPr>
          <w:rFonts w:ascii="Times New Roman" w:eastAsia="Arial" w:hAnsi="Times New Roman" w:cs="Times New Roman"/>
          <w:b/>
          <w:bCs/>
          <w:sz w:val="24"/>
          <w:szCs w:val="24"/>
          <w:vertAlign w:val="superscript"/>
          <w:lang w:val="en-US"/>
        </w:rPr>
        <w:t>Ω</w:t>
      </w:r>
    </w:p>
    <w:p w14:paraId="3488CB12"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7EE332DF"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r w:rsidRPr="00004853">
        <w:rPr>
          <w:rFonts w:ascii="Times New Roman" w:eastAsia="Times New Roman" w:hAnsi="Times New Roman" w:cs="Times New Roman"/>
          <w:b/>
          <w:sz w:val="24"/>
          <w:szCs w:val="24"/>
        </w:rPr>
        <w:t>I.</w:t>
      </w:r>
      <w:r w:rsidRPr="00004853">
        <w:rPr>
          <w:rFonts w:ascii="Times New Roman" w:eastAsia="Times New Roman" w:hAnsi="Times New Roman" w:cs="Times New Roman"/>
          <w:sz w:val="24"/>
          <w:szCs w:val="24"/>
        </w:rPr>
        <w:t xml:space="preserve"> </w:t>
      </w:r>
      <w:r w:rsidRPr="00004853">
        <w:rPr>
          <w:rFonts w:ascii="Times New Roman" w:eastAsia="Times New Roman" w:hAnsi="Times New Roman" w:cs="Times New Roman"/>
          <w:b/>
          <w:sz w:val="24"/>
          <w:szCs w:val="24"/>
        </w:rPr>
        <w:t>Definiția afecțiunii</w:t>
      </w:r>
    </w:p>
    <w:p w14:paraId="6D23A432" w14:textId="77777777" w:rsidR="00004853" w:rsidRPr="00004853" w:rsidRDefault="00004853" w:rsidP="00004853">
      <w:pPr>
        <w:spacing w:after="0" w:line="240" w:lineRule="auto"/>
        <w:jc w:val="both"/>
        <w:rPr>
          <w:rFonts w:ascii="Times New Roman" w:eastAsia="Times New Roman" w:hAnsi="Times New Roman" w:cs="Times New Roman"/>
          <w:strike/>
          <w:sz w:val="24"/>
          <w:szCs w:val="24"/>
        </w:rPr>
      </w:pPr>
      <w:r w:rsidRPr="00004853">
        <w:rPr>
          <w:rFonts w:ascii="Times New Roman" w:eastAsia="Times New Roman" w:hAnsi="Times New Roman" w:cs="Times New Roman"/>
          <w:sz w:val="24"/>
          <w:szCs w:val="24"/>
        </w:rPr>
        <w:t>Spondiloartritele (SpA) sunt un grup de boli inflamatoare cronice care afecteaza  scheletul axial (articulațiile sacro-iliace si coloana vertebrala), uneori si articulațiile periferice (oligoartrita asimetrica interesand predominant articulațiile membrelor inferioare), asociate frecvent cu entesita, dactilita, manifestari extraarticulare (uveita acuta anterioara, psoriazis, boala inflamatoare intestinală), precum si un factor genetic predispozant: antigenul HLA-B27.</w:t>
      </w:r>
      <w:r w:rsidRPr="00004853">
        <w:rPr>
          <w:rFonts w:ascii="Times New Roman" w:eastAsia="Times New Roman" w:hAnsi="Times New Roman" w:cs="Times New Roman"/>
          <w:strike/>
          <w:sz w:val="24"/>
          <w:szCs w:val="24"/>
        </w:rPr>
        <w:t xml:space="preserve"> </w:t>
      </w:r>
    </w:p>
    <w:p w14:paraId="0B5F16DE"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59FCEA22"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 xml:space="preserve">Clasificarea actuală a SpA in </w:t>
      </w:r>
      <w:r w:rsidRPr="00004853">
        <w:rPr>
          <w:rFonts w:ascii="Times New Roman" w:eastAsia="Times New Roman" w:hAnsi="Times New Roman" w:cs="Times New Roman"/>
          <w:b/>
          <w:sz w:val="24"/>
          <w:szCs w:val="24"/>
        </w:rPr>
        <w:t>forma axiala</w:t>
      </w:r>
      <w:r w:rsidRPr="00004853">
        <w:rPr>
          <w:rFonts w:ascii="Times New Roman" w:eastAsia="Times New Roman" w:hAnsi="Times New Roman" w:cs="Times New Roman"/>
          <w:sz w:val="24"/>
          <w:szCs w:val="24"/>
        </w:rPr>
        <w:t xml:space="preserve"> (SpAax) si </w:t>
      </w:r>
      <w:r w:rsidRPr="00004853">
        <w:rPr>
          <w:rFonts w:ascii="Times New Roman" w:eastAsia="Times New Roman" w:hAnsi="Times New Roman" w:cs="Times New Roman"/>
          <w:b/>
          <w:sz w:val="24"/>
          <w:szCs w:val="24"/>
        </w:rPr>
        <w:t>forma periferica</w:t>
      </w:r>
      <w:r w:rsidRPr="00004853">
        <w:rPr>
          <w:rFonts w:ascii="Times New Roman" w:eastAsia="Times New Roman" w:hAnsi="Times New Roman" w:cs="Times New Roman"/>
          <w:sz w:val="24"/>
          <w:szCs w:val="24"/>
        </w:rPr>
        <w:t xml:space="preserve"> (SpAp) se bazeaza pe manifestările clinice  predominante: axiale sau periferice</w:t>
      </w:r>
    </w:p>
    <w:p w14:paraId="56AF0FFD"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15053D7F"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 xml:space="preserve">SpAax este o boala inflamatoare cronică afectând predominant scheletul axial (articulații sacro-iliace si coloană), avand 2 subtipuri principale: </w:t>
      </w:r>
    </w:p>
    <w:p w14:paraId="0514E9C9" w14:textId="77777777" w:rsidR="00004853" w:rsidRPr="00004853" w:rsidRDefault="00004853" w:rsidP="002161CA">
      <w:pPr>
        <w:numPr>
          <w:ilvl w:val="0"/>
          <w:numId w:val="197"/>
        </w:numPr>
        <w:autoSpaceDE w:val="0"/>
        <w:autoSpaceDN w:val="0"/>
        <w:spacing w:after="0" w:line="240" w:lineRule="auto"/>
        <w:ind w:left="567" w:hanging="283"/>
        <w:jc w:val="both"/>
        <w:rPr>
          <w:rFonts w:ascii="Times New Roman" w:eastAsia="Times New Roman" w:hAnsi="Times New Roman" w:cs="Times New Roman"/>
          <w:sz w:val="24"/>
          <w:szCs w:val="24"/>
          <w:lang w:val="it-IT"/>
        </w:rPr>
      </w:pPr>
      <w:bookmarkStart w:id="19" w:name="_Hlk155994382"/>
      <w:r w:rsidRPr="00004853">
        <w:rPr>
          <w:rFonts w:ascii="Times New Roman" w:eastAsia="Times New Roman" w:hAnsi="Times New Roman" w:cs="Times New Roman"/>
          <w:sz w:val="24"/>
          <w:szCs w:val="24"/>
          <w:lang w:val="it-IT"/>
        </w:rPr>
        <w:t xml:space="preserve">spondiloartrita axiala nonradiografica (SpAax nr), </w:t>
      </w:r>
      <w:bookmarkEnd w:id="19"/>
      <w:r w:rsidRPr="00004853">
        <w:rPr>
          <w:rFonts w:ascii="Times New Roman" w:eastAsia="Times New Roman" w:hAnsi="Times New Roman" w:cs="Times New Roman"/>
          <w:sz w:val="24"/>
          <w:szCs w:val="24"/>
          <w:lang w:val="it-IT"/>
        </w:rPr>
        <w:t xml:space="preserve">fără sacroiliită radiografica, si </w:t>
      </w:r>
      <w:bookmarkStart w:id="20" w:name="_Hlk55812280"/>
    </w:p>
    <w:p w14:paraId="0E5983C9" w14:textId="77777777" w:rsidR="00004853" w:rsidRPr="00004853" w:rsidRDefault="00004853" w:rsidP="002161CA">
      <w:pPr>
        <w:numPr>
          <w:ilvl w:val="0"/>
          <w:numId w:val="197"/>
        </w:numPr>
        <w:autoSpaceDE w:val="0"/>
        <w:autoSpaceDN w:val="0"/>
        <w:spacing w:after="0" w:line="240" w:lineRule="auto"/>
        <w:ind w:left="567" w:hanging="283"/>
        <w:jc w:val="both"/>
        <w:rPr>
          <w:rFonts w:ascii="Times New Roman" w:eastAsia="Times New Roman" w:hAnsi="Times New Roman" w:cs="Times New Roman"/>
          <w:sz w:val="24"/>
          <w:szCs w:val="24"/>
          <w:lang w:val="it-IT"/>
        </w:rPr>
      </w:pPr>
      <w:r w:rsidRPr="00004853">
        <w:rPr>
          <w:rFonts w:ascii="Times New Roman" w:eastAsia="Times New Roman" w:hAnsi="Times New Roman" w:cs="Times New Roman"/>
          <w:sz w:val="24"/>
          <w:szCs w:val="24"/>
          <w:lang w:val="it-IT"/>
        </w:rPr>
        <w:t xml:space="preserve">spondiloartrita axiala radiografica (SpAax r), numita si spondilita anchilozantă </w:t>
      </w:r>
      <w:bookmarkEnd w:id="20"/>
      <w:r w:rsidRPr="00004853">
        <w:rPr>
          <w:rFonts w:ascii="Times New Roman" w:eastAsia="Times New Roman" w:hAnsi="Times New Roman" w:cs="Times New Roman"/>
          <w:sz w:val="24"/>
          <w:szCs w:val="24"/>
          <w:lang w:val="it-IT"/>
        </w:rPr>
        <w:t xml:space="preserve">(SA) cu sacroiliită evidentiata radiologic. </w:t>
      </w:r>
    </w:p>
    <w:p w14:paraId="1B217F9A" w14:textId="77777777" w:rsidR="00004853" w:rsidRPr="00004853" w:rsidRDefault="00004853" w:rsidP="00004853">
      <w:pPr>
        <w:spacing w:after="0" w:line="240" w:lineRule="auto"/>
        <w:ind w:left="927"/>
        <w:jc w:val="both"/>
        <w:rPr>
          <w:rFonts w:ascii="Times New Roman" w:eastAsia="Times New Roman" w:hAnsi="Times New Roman" w:cs="Times New Roman"/>
          <w:sz w:val="24"/>
          <w:szCs w:val="24"/>
          <w:lang w:val="it-IT"/>
        </w:rPr>
      </w:pPr>
    </w:p>
    <w:p w14:paraId="6F28F8A8"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r w:rsidRPr="00004853">
        <w:rPr>
          <w:rFonts w:ascii="Times New Roman" w:eastAsia="Times New Roman" w:hAnsi="Times New Roman" w:cs="Times New Roman"/>
          <w:b/>
          <w:sz w:val="24"/>
          <w:szCs w:val="24"/>
        </w:rPr>
        <w:t>II.</w:t>
      </w:r>
      <w:r w:rsidRPr="00004853">
        <w:rPr>
          <w:rFonts w:ascii="Times New Roman" w:eastAsia="Times New Roman" w:hAnsi="Times New Roman" w:cs="Times New Roman"/>
          <w:sz w:val="24"/>
          <w:szCs w:val="24"/>
        </w:rPr>
        <w:t xml:space="preserve"> </w:t>
      </w:r>
      <w:r w:rsidRPr="00004853">
        <w:rPr>
          <w:rFonts w:ascii="Times New Roman" w:eastAsia="Times New Roman" w:hAnsi="Times New Roman" w:cs="Times New Roman"/>
          <w:b/>
          <w:sz w:val="24"/>
          <w:szCs w:val="24"/>
        </w:rPr>
        <w:t>Tratamentul spondiloartritei axiale</w:t>
      </w:r>
      <w:r w:rsidRPr="00004853">
        <w:rPr>
          <w:rFonts w:ascii="Times New Roman" w:eastAsia="Times New Roman" w:hAnsi="Times New Roman" w:cs="Times New Roman"/>
          <w:b/>
          <w:sz w:val="24"/>
          <w:szCs w:val="24"/>
          <w:lang w:val="it-IT"/>
        </w:rPr>
        <w:t xml:space="preserve"> </w:t>
      </w:r>
    </w:p>
    <w:p w14:paraId="11D82A56"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2CDCEEE6"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Tratamentul trebuie ghidat în funcție de:</w:t>
      </w:r>
    </w:p>
    <w:p w14:paraId="32C5B63C" w14:textId="77777777" w:rsidR="00004853" w:rsidRPr="00004853" w:rsidRDefault="00004853" w:rsidP="002161CA">
      <w:pPr>
        <w:numPr>
          <w:ilvl w:val="0"/>
          <w:numId w:val="200"/>
        </w:numPr>
        <w:spacing w:after="0" w:line="240" w:lineRule="auto"/>
        <w:ind w:left="426" w:hanging="426"/>
        <w:jc w:val="both"/>
        <w:rPr>
          <w:rFonts w:ascii="Times New Roman" w:eastAsia="Times New Roman" w:hAnsi="Times New Roman" w:cs="Times New Roman"/>
          <w:strike/>
          <w:sz w:val="24"/>
          <w:szCs w:val="24"/>
        </w:rPr>
      </w:pPr>
      <w:r w:rsidRPr="00004853">
        <w:rPr>
          <w:rFonts w:ascii="Times New Roman" w:eastAsia="Times New Roman" w:hAnsi="Times New Roman" w:cs="Times New Roman"/>
          <w:sz w:val="24"/>
          <w:szCs w:val="24"/>
        </w:rPr>
        <w:t xml:space="preserve">manifestări clinice actuale ale bolii </w:t>
      </w:r>
    </w:p>
    <w:p w14:paraId="65ECFCFA" w14:textId="77777777" w:rsidR="00004853" w:rsidRPr="00004853" w:rsidRDefault="00004853" w:rsidP="002161CA">
      <w:pPr>
        <w:numPr>
          <w:ilvl w:val="0"/>
          <w:numId w:val="200"/>
        </w:numPr>
        <w:spacing w:after="0" w:line="240" w:lineRule="auto"/>
        <w:ind w:left="426" w:hanging="426"/>
        <w:jc w:val="both"/>
        <w:rPr>
          <w:rFonts w:ascii="Times New Roman" w:eastAsia="Times New Roman" w:hAnsi="Times New Roman" w:cs="Times New Roman"/>
          <w:strike/>
          <w:sz w:val="24"/>
          <w:szCs w:val="24"/>
        </w:rPr>
      </w:pPr>
      <w:r w:rsidRPr="00004853">
        <w:rPr>
          <w:rFonts w:ascii="Times New Roman" w:eastAsia="Times New Roman" w:hAnsi="Times New Roman" w:cs="Times New Roman"/>
          <w:sz w:val="24"/>
          <w:szCs w:val="24"/>
        </w:rPr>
        <w:t>simptomatologia pacientului și factori de prognostic:</w:t>
      </w:r>
    </w:p>
    <w:p w14:paraId="4FB1F336" w14:textId="77777777" w:rsidR="00004853" w:rsidRPr="00004853" w:rsidRDefault="00004853" w:rsidP="002161CA">
      <w:pPr>
        <w:numPr>
          <w:ilvl w:val="0"/>
          <w:numId w:val="201"/>
        </w:numPr>
        <w:spacing w:after="0" w:line="240" w:lineRule="auto"/>
        <w:ind w:left="426" w:firstLine="0"/>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activitatea bolii/inflamație;</w:t>
      </w:r>
    </w:p>
    <w:p w14:paraId="78CC4A23" w14:textId="77777777" w:rsidR="00004853" w:rsidRPr="00004853" w:rsidRDefault="00004853" w:rsidP="002161CA">
      <w:pPr>
        <w:numPr>
          <w:ilvl w:val="0"/>
          <w:numId w:val="201"/>
        </w:numPr>
        <w:spacing w:after="0" w:line="240" w:lineRule="auto"/>
        <w:ind w:left="426" w:firstLine="0"/>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durere;</w:t>
      </w:r>
    </w:p>
    <w:p w14:paraId="504513A7" w14:textId="77777777" w:rsidR="00004853" w:rsidRPr="00004853" w:rsidRDefault="00004853" w:rsidP="002161CA">
      <w:pPr>
        <w:numPr>
          <w:ilvl w:val="0"/>
          <w:numId w:val="201"/>
        </w:numPr>
        <w:spacing w:after="0" w:line="240" w:lineRule="auto"/>
        <w:ind w:left="426" w:firstLine="0"/>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nivel de funcționalitate/dizabilitate;</w:t>
      </w:r>
    </w:p>
    <w:p w14:paraId="050FE016" w14:textId="77777777" w:rsidR="00004853" w:rsidRPr="00004853" w:rsidRDefault="00004853" w:rsidP="002161CA">
      <w:pPr>
        <w:numPr>
          <w:ilvl w:val="0"/>
          <w:numId w:val="201"/>
        </w:numPr>
        <w:spacing w:after="0" w:line="240" w:lineRule="auto"/>
        <w:ind w:left="426" w:firstLine="0"/>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afectarea articulațiilor coxofemurale, anchiloze la nivelul coloanei.</w:t>
      </w:r>
    </w:p>
    <w:p w14:paraId="4D146D7B" w14:textId="77777777" w:rsidR="00004853" w:rsidRPr="00004853" w:rsidRDefault="00004853" w:rsidP="002161CA">
      <w:pPr>
        <w:numPr>
          <w:ilvl w:val="0"/>
          <w:numId w:val="200"/>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factori individuali (sex, vârstă, comorbidități, medicație concomitentă, particularitațile individuale ale pacientului).</w:t>
      </w:r>
    </w:p>
    <w:p w14:paraId="23B8D815"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054673A7"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Cele mai utilizate terapii sunt:</w:t>
      </w:r>
    </w:p>
    <w:p w14:paraId="7ACF6EDC" w14:textId="77777777" w:rsidR="00004853" w:rsidRPr="00004853" w:rsidRDefault="00004853" w:rsidP="002161CA">
      <w:pPr>
        <w:numPr>
          <w:ilvl w:val="0"/>
          <w:numId w:val="202"/>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antiinflamatoarele nesteroidiene (AINS) - au fost primele și pentru mult timp singurele medicamente folosite; evaluarea eficacității AINS necesită administrarea unor doze maxime, pe o perioadă de minimum  4 săptămâni, cu conditia unei tolerante satisfacatoare.</w:t>
      </w:r>
    </w:p>
    <w:p w14:paraId="02DCD9AC" w14:textId="77777777" w:rsidR="00004853" w:rsidRPr="00004853" w:rsidRDefault="00004853" w:rsidP="002161CA">
      <w:pPr>
        <w:numPr>
          <w:ilvl w:val="0"/>
          <w:numId w:val="202"/>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Sulfasalazina  - este indicata doar în tratamentul afectărilor periferice din SpA. Doza eficientă de sulfasalazină este de 2 - 3 g/zi oral, tratamentul fiind inițiat cu 500 mg/zi și crescut progresiv până la doza eficientă, cu conditia unei tolerante bune. Se consideră nonresponder la sulfasalazină lipsa de ameliorare semnificativa după 4 luni de tratament.</w:t>
      </w:r>
    </w:p>
    <w:p w14:paraId="6D9756C0" w14:textId="77777777" w:rsidR="00004853" w:rsidRPr="00004853" w:rsidRDefault="00004853" w:rsidP="002161CA">
      <w:pPr>
        <w:numPr>
          <w:ilvl w:val="0"/>
          <w:numId w:val="202"/>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lastRenderedPageBreak/>
        <w:t>terapia biologică / sintetica tintita a modificat prognosticul pacienților cu SpAax, determinând nu doar ameliorări semnificative ale activității bolii, ci și oprirea evoluției bolii, permițând reintegrarea socială a pacienților tineri condamnați la invaliditate, cu scăderea costurilor totale și în special a celor indirecte datorate handicapului fizic și echilibrarea balanței cost/beneficiu.</w:t>
      </w:r>
    </w:p>
    <w:p w14:paraId="32C7C2F5" w14:textId="77777777" w:rsidR="00004853" w:rsidRDefault="00004853" w:rsidP="00004853">
      <w:pPr>
        <w:spacing w:after="0" w:line="240" w:lineRule="auto"/>
        <w:jc w:val="both"/>
        <w:rPr>
          <w:rFonts w:ascii="Times New Roman" w:eastAsia="Times New Roman" w:hAnsi="Times New Roman" w:cs="Times New Roman"/>
          <w:b/>
          <w:sz w:val="24"/>
          <w:szCs w:val="24"/>
        </w:rPr>
      </w:pPr>
    </w:p>
    <w:p w14:paraId="61E7F797"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b/>
          <w:sz w:val="24"/>
          <w:szCs w:val="24"/>
        </w:rPr>
        <w:t>Criterii de includere</w:t>
      </w:r>
      <w:r w:rsidRPr="00004853">
        <w:rPr>
          <w:rFonts w:ascii="Times New Roman" w:eastAsia="Times New Roman" w:hAnsi="Times New Roman" w:cs="Times New Roman"/>
          <w:sz w:val="24"/>
          <w:szCs w:val="24"/>
        </w:rPr>
        <w:t xml:space="preserve"> a pacienților cu SpAax (SpAax r/SA, </w:t>
      </w:r>
      <w:bookmarkStart w:id="21" w:name="_Hlk155994670"/>
      <w:r w:rsidRPr="00004853">
        <w:rPr>
          <w:rFonts w:ascii="Times New Roman" w:eastAsia="Times New Roman" w:hAnsi="Times New Roman" w:cs="Times New Roman"/>
          <w:sz w:val="24"/>
          <w:szCs w:val="24"/>
        </w:rPr>
        <w:t>SpAax nr</w:t>
      </w:r>
      <w:bookmarkEnd w:id="21"/>
      <w:r w:rsidRPr="00004853">
        <w:rPr>
          <w:rFonts w:ascii="Times New Roman" w:eastAsia="Times New Roman" w:hAnsi="Times New Roman" w:cs="Times New Roman"/>
          <w:sz w:val="24"/>
          <w:szCs w:val="24"/>
        </w:rPr>
        <w:t xml:space="preserve">) în tratamentul biologic cu blocanți de TNFα (adalimumabum original și biosimilar, certolizumabum, etanerceptum original și biosimilar, golimumabum, infliximabum original și biosimilar) și blocanți de IL17 (secukinumab, ixekizumab) sau sintetic tintit </w:t>
      </w:r>
      <w:r w:rsidRPr="00004853">
        <w:rPr>
          <w:rFonts w:ascii="Times New Roman" w:eastAsia="Times New Roman" w:hAnsi="Times New Roman" w:cs="Times New Roman"/>
          <w:color w:val="FF0000"/>
          <w:sz w:val="24"/>
          <w:szCs w:val="24"/>
        </w:rPr>
        <w:t>(upadacitinb)</w:t>
      </w:r>
      <w:r w:rsidRPr="00004853">
        <w:rPr>
          <w:rFonts w:ascii="Times New Roman" w:eastAsia="Times New Roman" w:hAnsi="Times New Roman" w:cs="Times New Roman"/>
          <w:sz w:val="24"/>
          <w:szCs w:val="24"/>
        </w:rPr>
        <w:t>:</w:t>
      </w:r>
    </w:p>
    <w:p w14:paraId="1B1245BB" w14:textId="77777777" w:rsidR="00004853" w:rsidRPr="00004853" w:rsidRDefault="00004853" w:rsidP="00004853">
      <w:pPr>
        <w:spacing w:after="0" w:line="240" w:lineRule="auto"/>
        <w:ind w:firstLine="567"/>
        <w:jc w:val="both"/>
        <w:rPr>
          <w:rFonts w:ascii="Times New Roman" w:eastAsia="Times New Roman" w:hAnsi="Times New Roman" w:cs="Times New Roman"/>
          <w:sz w:val="24"/>
          <w:szCs w:val="24"/>
        </w:rPr>
      </w:pPr>
    </w:p>
    <w:p w14:paraId="2709E3A9"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1. Diagnosticul cert de SpAax  se stabileste de către medicul reumatolog, si se bazează demonstrarea sacroiliitei pe imagistica (IRM: cu semne de inflamatie activa sau radiografie) la care se asociaza, conform criteriilor de clasificare  ale  SpAax, cel putin unul dintre elementele caracteristice ale SpAax:</w:t>
      </w:r>
    </w:p>
    <w:p w14:paraId="416FA43C" w14:textId="77777777" w:rsidR="00004853" w:rsidRPr="00004853" w:rsidRDefault="00004853" w:rsidP="002161CA">
      <w:pPr>
        <w:numPr>
          <w:ilvl w:val="0"/>
          <w:numId w:val="198"/>
        </w:numPr>
        <w:autoSpaceDE w:val="0"/>
        <w:autoSpaceDN w:val="0"/>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artrita</w:t>
      </w:r>
    </w:p>
    <w:p w14:paraId="72FC6377" w14:textId="77777777" w:rsidR="00004853" w:rsidRPr="00004853" w:rsidRDefault="00004853" w:rsidP="002161CA">
      <w:pPr>
        <w:numPr>
          <w:ilvl w:val="0"/>
          <w:numId w:val="198"/>
        </w:numPr>
        <w:autoSpaceDE w:val="0"/>
        <w:autoSpaceDN w:val="0"/>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entesita (calcâi)</w:t>
      </w:r>
    </w:p>
    <w:p w14:paraId="5780CBFB" w14:textId="77777777" w:rsidR="00004853" w:rsidRPr="00004853" w:rsidRDefault="00004853" w:rsidP="002161CA">
      <w:pPr>
        <w:numPr>
          <w:ilvl w:val="0"/>
          <w:numId w:val="198"/>
        </w:numPr>
        <w:autoSpaceDE w:val="0"/>
        <w:autoSpaceDN w:val="0"/>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uveita</w:t>
      </w:r>
    </w:p>
    <w:p w14:paraId="031E50DA" w14:textId="77777777" w:rsidR="00004853" w:rsidRPr="00004853" w:rsidRDefault="00004853" w:rsidP="002161CA">
      <w:pPr>
        <w:numPr>
          <w:ilvl w:val="0"/>
          <w:numId w:val="198"/>
        </w:numPr>
        <w:autoSpaceDE w:val="0"/>
        <w:autoSpaceDN w:val="0"/>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dactilita</w:t>
      </w:r>
    </w:p>
    <w:p w14:paraId="3D10678E" w14:textId="77777777" w:rsidR="00004853" w:rsidRPr="00004853" w:rsidRDefault="00004853" w:rsidP="002161CA">
      <w:pPr>
        <w:numPr>
          <w:ilvl w:val="0"/>
          <w:numId w:val="198"/>
        </w:numPr>
        <w:autoSpaceDE w:val="0"/>
        <w:autoSpaceDN w:val="0"/>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psoriasis</w:t>
      </w:r>
    </w:p>
    <w:p w14:paraId="39617A72" w14:textId="77777777" w:rsidR="00004853" w:rsidRPr="00004853" w:rsidRDefault="00004853" w:rsidP="002161CA">
      <w:pPr>
        <w:numPr>
          <w:ilvl w:val="0"/>
          <w:numId w:val="198"/>
        </w:numPr>
        <w:autoSpaceDE w:val="0"/>
        <w:autoSpaceDN w:val="0"/>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boala Crohn/colita ulcerativă</w:t>
      </w:r>
    </w:p>
    <w:p w14:paraId="6BA3394F" w14:textId="77777777" w:rsidR="00004853" w:rsidRPr="00004853" w:rsidRDefault="00004853" w:rsidP="002161CA">
      <w:pPr>
        <w:numPr>
          <w:ilvl w:val="0"/>
          <w:numId w:val="198"/>
        </w:numPr>
        <w:autoSpaceDE w:val="0"/>
        <w:autoSpaceDN w:val="0"/>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răspuns bun la AINS</w:t>
      </w:r>
    </w:p>
    <w:p w14:paraId="6FDA79FE" w14:textId="77777777" w:rsidR="00004853" w:rsidRPr="00004853" w:rsidRDefault="00004853" w:rsidP="002161CA">
      <w:pPr>
        <w:numPr>
          <w:ilvl w:val="0"/>
          <w:numId w:val="198"/>
        </w:numPr>
        <w:autoSpaceDE w:val="0"/>
        <w:autoSpaceDN w:val="0"/>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antecedente de SpAax</w:t>
      </w:r>
    </w:p>
    <w:p w14:paraId="2B86ED80" w14:textId="77777777" w:rsidR="00004853" w:rsidRPr="00004853" w:rsidRDefault="00004853" w:rsidP="002161CA">
      <w:pPr>
        <w:numPr>
          <w:ilvl w:val="0"/>
          <w:numId w:val="198"/>
        </w:numPr>
        <w:autoSpaceDE w:val="0"/>
        <w:autoSpaceDN w:val="0"/>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HLA-B27</w:t>
      </w:r>
    </w:p>
    <w:p w14:paraId="72521473" w14:textId="77777777" w:rsidR="00004853" w:rsidRPr="00004853" w:rsidRDefault="00004853" w:rsidP="002161CA">
      <w:pPr>
        <w:numPr>
          <w:ilvl w:val="0"/>
          <w:numId w:val="198"/>
        </w:numPr>
        <w:autoSpaceDE w:val="0"/>
        <w:autoSpaceDN w:val="0"/>
        <w:spacing w:after="0" w:line="240" w:lineRule="auto"/>
        <w:ind w:left="284" w:hanging="284"/>
        <w:jc w:val="both"/>
        <w:rPr>
          <w:rFonts w:ascii="Times New Roman" w:eastAsia="Times New Roman" w:hAnsi="Times New Roman" w:cs="Times New Roman"/>
          <w:sz w:val="24"/>
          <w:szCs w:val="24"/>
          <w:lang w:val="fr-MC"/>
        </w:rPr>
      </w:pPr>
      <w:r w:rsidRPr="00004853">
        <w:rPr>
          <w:rFonts w:ascii="Times New Roman" w:eastAsia="Times New Roman" w:hAnsi="Times New Roman" w:cs="Times New Roman"/>
          <w:sz w:val="24"/>
          <w:szCs w:val="24"/>
          <w:lang w:val="fr-MC"/>
        </w:rPr>
        <w:t>nivele crescute de proteina C reactiva (PCR)</w:t>
      </w:r>
    </w:p>
    <w:p w14:paraId="51E76E85" w14:textId="77777777" w:rsidR="00004853" w:rsidRPr="00004853" w:rsidRDefault="00004853" w:rsidP="00004853">
      <w:pPr>
        <w:spacing w:after="0" w:line="240" w:lineRule="auto"/>
        <w:ind w:left="720"/>
        <w:jc w:val="both"/>
        <w:rPr>
          <w:rFonts w:ascii="Times New Roman" w:eastAsia="Times New Roman" w:hAnsi="Times New Roman" w:cs="Times New Roman"/>
          <w:sz w:val="24"/>
          <w:szCs w:val="24"/>
          <w:lang w:val="fr-MC"/>
        </w:rPr>
      </w:pPr>
    </w:p>
    <w:p w14:paraId="3687D024"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Calibri" w:hAnsi="Times New Roman" w:cs="Times New Roman"/>
          <w:bCs/>
          <w:sz w:val="24"/>
          <w:szCs w:val="24"/>
          <w:lang w:val="it-IT"/>
        </w:rPr>
        <w:t xml:space="preserve">In cazul in care pacientul prezinta pe radiografie modificari de </w:t>
      </w:r>
      <w:r w:rsidRPr="00004853">
        <w:rPr>
          <w:rFonts w:ascii="Times New Roman" w:eastAsia="Times New Roman" w:hAnsi="Times New Roman" w:cs="Times New Roman"/>
          <w:sz w:val="24"/>
          <w:szCs w:val="24"/>
        </w:rPr>
        <w:t>sacroiliita, care sa indeplineasca criteriile de clasificare New York modificate (1984), cazul se incadreaza ca SA, conform celor de mai jos:</w:t>
      </w:r>
    </w:p>
    <w:p w14:paraId="1348B72B" w14:textId="77777777" w:rsidR="00004853" w:rsidRPr="00004853" w:rsidRDefault="00004853" w:rsidP="002161CA">
      <w:pPr>
        <w:numPr>
          <w:ilvl w:val="0"/>
          <w:numId w:val="199"/>
        </w:numPr>
        <w:autoSpaceDE w:val="0"/>
        <w:autoSpaceDN w:val="0"/>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durere lombară joasă si redoare, cu durata de peste 3 luni, care se ameliorează la mobilizare și nu dispare în repaus;</w:t>
      </w:r>
    </w:p>
    <w:p w14:paraId="67A7A80A" w14:textId="77777777" w:rsidR="00004853" w:rsidRPr="00004853" w:rsidRDefault="00004853" w:rsidP="002161CA">
      <w:pPr>
        <w:numPr>
          <w:ilvl w:val="0"/>
          <w:numId w:val="199"/>
        </w:numPr>
        <w:autoSpaceDE w:val="0"/>
        <w:autoSpaceDN w:val="0"/>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limitarea mișcării coloanei lombare în plan sagital și frontal;</w:t>
      </w:r>
    </w:p>
    <w:p w14:paraId="25E6630C" w14:textId="77777777" w:rsidR="00004853" w:rsidRPr="00004853" w:rsidRDefault="00004853" w:rsidP="002161CA">
      <w:pPr>
        <w:numPr>
          <w:ilvl w:val="0"/>
          <w:numId w:val="199"/>
        </w:numPr>
        <w:autoSpaceDE w:val="0"/>
        <w:autoSpaceDN w:val="0"/>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limitarea expansiunii cutiei toracice;</w:t>
      </w:r>
    </w:p>
    <w:p w14:paraId="12728DEB" w14:textId="77777777" w:rsidR="00004853" w:rsidRPr="00004853" w:rsidRDefault="00004853" w:rsidP="002161CA">
      <w:pPr>
        <w:numPr>
          <w:ilvl w:val="0"/>
          <w:numId w:val="199"/>
        </w:numPr>
        <w:autoSpaceDE w:val="0"/>
        <w:autoSpaceDN w:val="0"/>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criteriul imagistic: sacroiliita unilaterală grad 3-4 sau sacroiliita bilaterală grad 2-4 radiografic.</w:t>
      </w:r>
    </w:p>
    <w:p w14:paraId="4FBB1995"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Diagnosticul cert de SA presupune prezența criteriului imagistic asociat cel puțin unui criteriu clinic.</w:t>
      </w:r>
    </w:p>
    <w:p w14:paraId="57D13F38"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11733C3C"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2. Boala activă și severă:</w:t>
      </w:r>
    </w:p>
    <w:p w14:paraId="0CDA8B10" w14:textId="77777777" w:rsidR="00004853" w:rsidRPr="00004853" w:rsidRDefault="00004853" w:rsidP="002161CA">
      <w:pPr>
        <w:numPr>
          <w:ilvl w:val="0"/>
          <w:numId w:val="203"/>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BASDAI ≥ 6 la 2 evaluări succesive separate de cel puțin 4 săptămâni și/sau ASDAS ≥ 2,1 (boală cu activitate înaltă sau foarte înaltă). Conform recomandarilor ASAS/EULAR 2022 va fi intotdeauna preferata evaluarea activitatii bolii folosind indicele ASDAS.</w:t>
      </w:r>
    </w:p>
    <w:p w14:paraId="3715A04E" w14:textId="77777777" w:rsidR="00004853" w:rsidRPr="00004853" w:rsidRDefault="00004853" w:rsidP="002161CA">
      <w:pPr>
        <w:numPr>
          <w:ilvl w:val="0"/>
          <w:numId w:val="203"/>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semne obiective de inflamație: VSH &gt; 28 mm/h și/sau proteina C reactivă (PCR) de peste 3 ori limita superioară a normalului (determinată cantitativ, nu se admit evaluări calitative sau semicantitative) sau</w:t>
      </w:r>
      <w:r w:rsidRPr="00004853">
        <w:rPr>
          <w:rFonts w:ascii="Calibri" w:eastAsia="Calibri" w:hAnsi="Calibri" w:cs="Times New Roman"/>
        </w:rPr>
        <w:t xml:space="preserve"> </w:t>
      </w:r>
      <w:r w:rsidRPr="00004853">
        <w:rPr>
          <w:rFonts w:ascii="Times New Roman" w:eastAsia="Times New Roman" w:hAnsi="Times New Roman" w:cs="Times New Roman"/>
          <w:sz w:val="24"/>
          <w:szCs w:val="24"/>
        </w:rPr>
        <w:t>IRM sacroiliace cu semne de inflamatie activa.</w:t>
      </w:r>
    </w:p>
    <w:p w14:paraId="53B3B2B7"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2FDC0347"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BASDAI (Bath Ankylosing Spondylitis Activity Index) este format din 6 întrebări privind principalele 5 simptome din spondilită anchilozantă: oboseală, durerea coloanei cervicale, toracale sau lombare, durerea/tumefacția articulațiilor periferice, durerea la atingere ori presiune la nivelul entezelor, redoare matinală (severitate, durată). Aprecierea se face folosind scala analogă vizuală (VAS) - o scală de 0-10, în care se notează cu 0 = absența durerii, oboselii și 10 - durere sau oboseală foarte severă. Se face scorul total adunând întrebările 1-4 cu media întrebărilor 5 și 6, iar rezultatul se împarte la 5. (vezi anexa BASDAI).</w:t>
      </w:r>
    </w:p>
    <w:p w14:paraId="26768ABE"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2CB56D99"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 xml:space="preserve">ASDAS (Ankylosing Spondylitis Disease Activity Score) este format din 5 variabile: durerea lombară cuantificată în întrebarea nr. 2 din BASDAI, durata redorii matinale cuantificată prin întrebarea nr. 6 din BASDAI, VAS (0-10) care cuantifică activitatea bolii de către pacient în ultima săptămână, </w:t>
      </w:r>
      <w:r w:rsidRPr="00004853">
        <w:rPr>
          <w:rFonts w:ascii="Times New Roman" w:eastAsia="Times New Roman" w:hAnsi="Times New Roman" w:cs="Times New Roman"/>
          <w:sz w:val="24"/>
          <w:szCs w:val="24"/>
        </w:rPr>
        <w:lastRenderedPageBreak/>
        <w:t>durerile și tumefacțiile articulare resimțite de pacient cuantificate prin a treia întrebare din BASDAI, VSH (la 1 h) sau PCR cantitativ (mg/L).</w:t>
      </w:r>
    </w:p>
    <w:p w14:paraId="473A4080"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20C95800"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În funcție de valorile scorului ASDAS activitatea bolii se împarte pe următoarele paliere:</w:t>
      </w:r>
    </w:p>
    <w:p w14:paraId="6741C83F" w14:textId="77777777" w:rsidR="00004853" w:rsidRPr="00004853" w:rsidRDefault="00004853" w:rsidP="002161CA">
      <w:pPr>
        <w:numPr>
          <w:ilvl w:val="0"/>
          <w:numId w:val="204"/>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ASDAS ≥ 3,5 (boală cu activitate foarte înaltă);</w:t>
      </w:r>
    </w:p>
    <w:p w14:paraId="61AC0754" w14:textId="77777777" w:rsidR="00004853" w:rsidRPr="00004853" w:rsidRDefault="00004853" w:rsidP="002161CA">
      <w:pPr>
        <w:numPr>
          <w:ilvl w:val="0"/>
          <w:numId w:val="204"/>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ASDAS ≥ 2,1 și &lt; 3,5 (boală cu activitate înaltă);</w:t>
      </w:r>
    </w:p>
    <w:p w14:paraId="1FA217AE" w14:textId="77777777" w:rsidR="00004853" w:rsidRPr="00004853" w:rsidRDefault="00004853" w:rsidP="002161CA">
      <w:pPr>
        <w:numPr>
          <w:ilvl w:val="0"/>
          <w:numId w:val="204"/>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ASDAS &gt; 1,3 și &lt; 2,1 (boală cu activitate joasa);</w:t>
      </w:r>
    </w:p>
    <w:p w14:paraId="287332D9" w14:textId="77777777" w:rsidR="00004853" w:rsidRPr="00004853" w:rsidRDefault="00004853" w:rsidP="002161CA">
      <w:pPr>
        <w:numPr>
          <w:ilvl w:val="0"/>
          <w:numId w:val="204"/>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ASDAS ≤ 1,3 (boală inactivă).</w:t>
      </w:r>
    </w:p>
    <w:p w14:paraId="667270FE"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4F65A906"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3. Eșecul terapiilor tradiționale</w:t>
      </w:r>
    </w:p>
    <w:p w14:paraId="0A12227A" w14:textId="77777777" w:rsidR="00004853" w:rsidRPr="00004853" w:rsidRDefault="00004853" w:rsidP="002161CA">
      <w:pPr>
        <w:numPr>
          <w:ilvl w:val="0"/>
          <w:numId w:val="205"/>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cel puțin 2 AINS administrate continuu, cu o durata totala de cel puțin 4 săptămâni, la doze maxim recomandate sau tolerate. Pacienții cu SpAax si SA numai cu afectare axiala, nu au nevoie de DMARD (sulfasalazinum) înainte de terapia biologică;</w:t>
      </w:r>
    </w:p>
    <w:p w14:paraId="74C146E2" w14:textId="77777777" w:rsidR="00004853" w:rsidRPr="00004853" w:rsidRDefault="00004853" w:rsidP="002161CA">
      <w:pPr>
        <w:numPr>
          <w:ilvl w:val="0"/>
          <w:numId w:val="205"/>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sulfasalazina în formele cu manifestari periferice, cel puțin 4 luni de tratament la doze maxim tolerate (2 - 3 g/zi);</w:t>
      </w:r>
    </w:p>
    <w:p w14:paraId="35C93E85" w14:textId="77777777" w:rsidR="00004853" w:rsidRPr="00004853" w:rsidRDefault="00004853" w:rsidP="002161CA">
      <w:pPr>
        <w:numPr>
          <w:ilvl w:val="0"/>
          <w:numId w:val="205"/>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răspuns ineficient la cel puțin o administrare de glucocorticoid injectabil local în artritele periferice și/sau entesitele active, dacă este indicată.</w:t>
      </w:r>
    </w:p>
    <w:p w14:paraId="047035E2"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5FCFD01A"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4. Prezența afectărilor articulațiilor coxofemurale și a manifestărilor extra-articulare reprezintă factori adiționali de severitate ce permit administrarea terapiei biologice cu anti-TNFα sau</w:t>
      </w:r>
      <w:r w:rsidRPr="00004853">
        <w:rPr>
          <w:rFonts w:ascii="Calibri" w:eastAsia="Calibri" w:hAnsi="Calibri" w:cs="Times New Roman"/>
        </w:rPr>
        <w:t xml:space="preserve"> anti</w:t>
      </w:r>
      <w:r w:rsidRPr="00004853">
        <w:rPr>
          <w:rFonts w:ascii="Times New Roman" w:eastAsia="Times New Roman" w:hAnsi="Times New Roman" w:cs="Times New Roman"/>
          <w:sz w:val="24"/>
          <w:szCs w:val="24"/>
        </w:rPr>
        <w:t xml:space="preserve"> IL17 sau sintetice tintite la un scor mai mic de activitate al bolii cu un BASDAI &gt; 4 sau la un scor al ASDAS între 1,3 și 2,1.</w:t>
      </w:r>
    </w:p>
    <w:p w14:paraId="426F6DB5"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p>
    <w:p w14:paraId="47D080AF"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p>
    <w:p w14:paraId="24E5A1CD"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b/>
          <w:sz w:val="24"/>
          <w:szCs w:val="24"/>
        </w:rPr>
        <w:t>Screeningul</w:t>
      </w:r>
      <w:r w:rsidRPr="00004853">
        <w:rPr>
          <w:rFonts w:ascii="Times New Roman" w:eastAsia="Times New Roman" w:hAnsi="Times New Roman" w:cs="Times New Roman"/>
          <w:sz w:val="24"/>
          <w:szCs w:val="24"/>
        </w:rPr>
        <w:t xml:space="preserve"> necesar înainte de orice inițiere a terapiei biologice/ sintetice tintite</w:t>
      </w:r>
    </w:p>
    <w:p w14:paraId="187D025A"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0ECFF81C"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 xml:space="preserve">1. </w:t>
      </w:r>
      <w:r w:rsidRPr="00004853">
        <w:rPr>
          <w:rFonts w:ascii="Times New Roman" w:eastAsia="Times New Roman" w:hAnsi="Times New Roman" w:cs="Times New Roman"/>
          <w:i/>
          <w:sz w:val="24"/>
          <w:szCs w:val="24"/>
        </w:rPr>
        <w:t>Tuberculoza</w:t>
      </w:r>
    </w:p>
    <w:p w14:paraId="5B6E139A"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Înaintea inițierii terapiei se va evalua riscul pacientului cu SpAax de a dezvolta o reactivare a unei tuberculoze latente, în condițiile riscului epidemiologie mare al acestei populații. Evaluarea riscului de tuberculoză va cuprinde: anamneză, examen clinic, radiografie pulmonară și teste de tip IGRA (interferon-gamma release assays): QuantiFERON TB Gold sau testul cutanat la tuberculină (TCT). Pentru pacienții testați pozitiv la QuantiFERON sau la TCT (TCT) ≥ 5 mm se indică consult pneumologic în vederea chimioprofilaxiei (efectuată sub supravegherea medicului pneumolog; terapia biologică/ sintetica tintita se poate iniția după minimum o lună de tratament profilactic, numai cu avizul expres al medicului pneumolog). Numai la pacienții care au avut teste inițiale negative, se recomandă repetarea periodică a screening-ului pentru reactivarea tuberculozei (inclusiv testul QuantiFERON sau TCT), în caz de necesitate, dar nu mai rar de un an (la reevaluare se va folosi același test care a fost folosit inițial).</w:t>
      </w:r>
    </w:p>
    <w:p w14:paraId="28F2D516"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06E5742E"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Pentru detalii legate de definirea pacienților cu risc crescut și a conduitei de urmat, precum și a situațiilor particulare întâlnite în practică, medicul curant va utiliza recomandările in extenso din Ghidul de tratament al SA elaborat de Societatea Română de Reumatologie.</w:t>
      </w:r>
    </w:p>
    <w:p w14:paraId="2BA6AB41"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3404AC57" w14:textId="77777777" w:rsidR="00004853" w:rsidRPr="00004853" w:rsidRDefault="00004853" w:rsidP="00004853">
      <w:pPr>
        <w:spacing w:after="0" w:line="240" w:lineRule="auto"/>
        <w:jc w:val="both"/>
        <w:rPr>
          <w:rFonts w:ascii="Times New Roman" w:eastAsia="Times New Roman" w:hAnsi="Times New Roman" w:cs="Times New Roman"/>
          <w:i/>
          <w:sz w:val="24"/>
          <w:szCs w:val="24"/>
        </w:rPr>
      </w:pPr>
      <w:r w:rsidRPr="00004853">
        <w:rPr>
          <w:rFonts w:ascii="Times New Roman" w:eastAsia="Times New Roman" w:hAnsi="Times New Roman" w:cs="Times New Roman"/>
          <w:sz w:val="24"/>
          <w:szCs w:val="24"/>
        </w:rPr>
        <w:t xml:space="preserve">2. </w:t>
      </w:r>
      <w:r w:rsidRPr="00004853">
        <w:rPr>
          <w:rFonts w:ascii="Times New Roman" w:eastAsia="Times New Roman" w:hAnsi="Times New Roman" w:cs="Times New Roman"/>
          <w:i/>
          <w:sz w:val="24"/>
          <w:szCs w:val="24"/>
        </w:rPr>
        <w:t>Hepatitele virale</w:t>
      </w:r>
    </w:p>
    <w:p w14:paraId="32544346"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Ținând cont de riscul crescut al reactivării infecțiilor cu virusuri hepatitice B și C, care pot îmbrăca forme fulminante, deseori letale, este imperios necesar ca înaintea inițierii terapiei cu un agent biologic/ sintetic tintit să se efectueze screeningul infecțiilor cronice cu virusurile hepatitice B și C. Markerii serologici virali care trebuie obligatoriu solicitați alături de transaminaze înainte de inițierea unei terapii biologice/ sintetice tintite sunt: pentru virusul hepatitic B (VHB): AgHBs, anticorpi anti-HBs, anticorpi anti-HBc (IgG); pentru virusul hepatitic C (VHC): anticorpi anti-VHC.</w:t>
      </w:r>
    </w:p>
    <w:p w14:paraId="65A59AB6"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1D2D207F"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 xml:space="preserve">Decizia de inițiere a terapiei biologice/ sintetice tintite la cei cu markeri virali pozitivi impune avizul explicit al medicului specialist în boli infecțioase sau gastroenterologie, care va efectua o evaluare completă (hepatică și virusologică) a pacientului și va recomanda măsurile profilactice care se impun, </w:t>
      </w:r>
      <w:r w:rsidRPr="00004853">
        <w:rPr>
          <w:rFonts w:ascii="Times New Roman" w:eastAsia="Times New Roman" w:hAnsi="Times New Roman" w:cs="Times New Roman"/>
          <w:sz w:val="24"/>
          <w:szCs w:val="24"/>
        </w:rPr>
        <w:lastRenderedPageBreak/>
        <w:t>stabilind momentul când terapia biologică/ sintetica tintita  a SpAax poate fi inițiată, precum și schema de monitorizare a siguranței hepatice. Se recomandă repetarea periodică, a screeningului pentru infecțiile cronice cu virusuri hepatitice B și C, în caz de necesitate, dar nu mai rar de un an.</w:t>
      </w:r>
    </w:p>
    <w:p w14:paraId="67445C96"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44A0C607"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Pentru detalii legate de managementul infecției cu virusuri hepatitice la pacienții cu terapii biologice/ sintetice tintite medicul curant va utiliza recomandările in extenso din Ghidul de tratament al SA elaborat de Societatea Română de Reumatologie și protocoalele terapeutice din hepatitele cronice aprobate de Ministerul Sănătății și Casa Națională de Asigurări de Sănătate.</w:t>
      </w:r>
    </w:p>
    <w:p w14:paraId="66D9C4B8"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p>
    <w:p w14:paraId="4B5CC04D"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r w:rsidRPr="00004853">
        <w:rPr>
          <w:rFonts w:ascii="Times New Roman" w:eastAsia="Times New Roman" w:hAnsi="Times New Roman" w:cs="Times New Roman"/>
          <w:b/>
          <w:sz w:val="24"/>
          <w:szCs w:val="24"/>
        </w:rPr>
        <w:t>Scheme terapeutice</w:t>
      </w:r>
    </w:p>
    <w:p w14:paraId="404A34AC"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La pacienții la care sunt îndeplinite criteriile privind inițierea terapiei biologice/</w:t>
      </w:r>
      <w:bookmarkStart w:id="22" w:name="_Hlk155996964"/>
      <w:r w:rsidRPr="00004853">
        <w:rPr>
          <w:rFonts w:ascii="Times New Roman" w:eastAsia="Times New Roman" w:hAnsi="Times New Roman" w:cs="Times New Roman"/>
          <w:sz w:val="24"/>
          <w:szCs w:val="24"/>
        </w:rPr>
        <w:t xml:space="preserve">sintetice tintite </w:t>
      </w:r>
      <w:bookmarkEnd w:id="22"/>
      <w:r w:rsidRPr="00004853">
        <w:rPr>
          <w:rFonts w:ascii="Times New Roman" w:eastAsia="Times New Roman" w:hAnsi="Times New Roman" w:cs="Times New Roman"/>
          <w:sz w:val="24"/>
          <w:szCs w:val="24"/>
        </w:rPr>
        <w:t xml:space="preserve">medicul curant va alege, în funcție de particularitățile cazului și caracteristicile produselor disponibile, preparatul biologic/ </w:t>
      </w:r>
      <w:bookmarkStart w:id="23" w:name="_Hlk155997490"/>
      <w:r w:rsidRPr="00004853">
        <w:rPr>
          <w:rFonts w:ascii="Times New Roman" w:eastAsia="Times New Roman" w:hAnsi="Times New Roman" w:cs="Times New Roman"/>
          <w:sz w:val="24"/>
          <w:szCs w:val="24"/>
        </w:rPr>
        <w:t xml:space="preserve">sintetic tintit </w:t>
      </w:r>
      <w:bookmarkEnd w:id="23"/>
      <w:r w:rsidRPr="00004853">
        <w:rPr>
          <w:rFonts w:ascii="Times New Roman" w:eastAsia="Times New Roman" w:hAnsi="Times New Roman" w:cs="Times New Roman"/>
          <w:sz w:val="24"/>
          <w:szCs w:val="24"/>
        </w:rPr>
        <w:t>pe care îl consideră adecvat. Dacă există antecedente de uveită recurentă sau boala inflamatorie intestinala activă, este de obicei preferat un anticorp monoclonal antiTNFα. La pacienții cu manifestari semnificative de psoriazis pot fi preferati inhibitorii de IL-17. De regulă, nu se recomandă combinarea preparatului biologic/ sintetic tintit cu un remisiv sintetic (sulfasalazină).</w:t>
      </w:r>
      <w:r w:rsidRPr="00004853">
        <w:rPr>
          <w:rFonts w:ascii="Calibri" w:eastAsia="Calibri" w:hAnsi="Calibri" w:cs="Times New Roman"/>
        </w:rPr>
        <w:t xml:space="preserve"> </w:t>
      </w:r>
    </w:p>
    <w:p w14:paraId="79D37722"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p>
    <w:p w14:paraId="408E4C96"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b/>
          <w:sz w:val="24"/>
          <w:szCs w:val="24"/>
        </w:rPr>
        <w:t>Blocanții TNFα</w:t>
      </w:r>
      <w:r w:rsidRPr="00004853">
        <w:rPr>
          <w:rFonts w:ascii="Times New Roman" w:eastAsia="Times New Roman" w:hAnsi="Times New Roman" w:cs="Times New Roman"/>
          <w:sz w:val="24"/>
          <w:szCs w:val="24"/>
        </w:rPr>
        <w:t xml:space="preserve"> utilizați în SpAax:</w:t>
      </w:r>
    </w:p>
    <w:p w14:paraId="2E1CEC70" w14:textId="77777777" w:rsidR="00004853" w:rsidRPr="00004853" w:rsidRDefault="00004853" w:rsidP="002161CA">
      <w:pPr>
        <w:numPr>
          <w:ilvl w:val="1"/>
          <w:numId w:val="206"/>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 xml:space="preserve">adalimumabum original și biosimilar: 40 mg o dată la două săptămâni, subcutanat; se indică </w:t>
      </w:r>
      <w:bookmarkStart w:id="24" w:name="_Hlk56968827"/>
      <w:r w:rsidRPr="00004853">
        <w:rPr>
          <w:rFonts w:ascii="Times New Roman" w:eastAsia="Times New Roman" w:hAnsi="Times New Roman" w:cs="Times New Roman"/>
          <w:sz w:val="24"/>
          <w:szCs w:val="24"/>
        </w:rPr>
        <w:t>in tratamentul in SpAax (SA si SpA ax nr)</w:t>
      </w:r>
      <w:bookmarkEnd w:id="24"/>
      <w:r w:rsidRPr="00004853">
        <w:rPr>
          <w:rFonts w:ascii="Times New Roman" w:eastAsia="Times New Roman" w:hAnsi="Times New Roman" w:cs="Times New Roman"/>
          <w:sz w:val="24"/>
          <w:szCs w:val="24"/>
          <w:lang w:val="it-IT"/>
        </w:rPr>
        <w:t>.</w:t>
      </w:r>
    </w:p>
    <w:p w14:paraId="26A74547" w14:textId="77777777" w:rsidR="00004853" w:rsidRPr="00004853" w:rsidRDefault="00004853" w:rsidP="002161CA">
      <w:pPr>
        <w:numPr>
          <w:ilvl w:val="1"/>
          <w:numId w:val="206"/>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certolizumab pegol: doza de încărcare este de 400 mg (administrată a câte 2 injecții subcutanate a câte 200 mg fiecare) în săptămânile 0, 2 și 4; doza de întreținere recomandată este de 200 mg o dată la 2 săptămâni sau 400 mg o dată la 4 săptămâni, subcutanat; se indică in tratamentul in SpAax (SA si SpA ax nr).</w:t>
      </w:r>
    </w:p>
    <w:p w14:paraId="7A197E4B" w14:textId="77777777" w:rsidR="00004853" w:rsidRPr="00004853" w:rsidRDefault="00004853" w:rsidP="002161CA">
      <w:pPr>
        <w:numPr>
          <w:ilvl w:val="1"/>
          <w:numId w:val="206"/>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etanerceptum (original și biosimilar): 25 mg de două ori pe săptămână sau 50 mg o dată pe săptămână, subcutanat; se indică in tratamentul in SpAax (SA si SpA ax nr)</w:t>
      </w:r>
    </w:p>
    <w:p w14:paraId="3F0F0AB8" w14:textId="77777777" w:rsidR="00004853" w:rsidRPr="00004853" w:rsidRDefault="00004853" w:rsidP="002161CA">
      <w:pPr>
        <w:numPr>
          <w:ilvl w:val="1"/>
          <w:numId w:val="206"/>
        </w:numPr>
        <w:spacing w:after="0" w:line="240" w:lineRule="auto"/>
        <w:ind w:left="284" w:hanging="284"/>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golimumab: 50 mg lunar în aceeași dată a lunii subcutanat. La pacienții cu greutatea &gt; 100 kg care nu ating răspunsul clinic după 3 sau 4 doze de golimumab 50 mg lunar poate fi folosită doza de 100 mg injectabil subcutanat o dată pe lună în aceeași dată a lunii; se indică in tratamentul in SpAax (SA si SpA ax nr).</w:t>
      </w:r>
    </w:p>
    <w:p w14:paraId="3F1AF7E8" w14:textId="77777777" w:rsidR="00004853" w:rsidRPr="00004853" w:rsidRDefault="00004853" w:rsidP="002161CA">
      <w:pPr>
        <w:numPr>
          <w:ilvl w:val="1"/>
          <w:numId w:val="206"/>
        </w:numPr>
        <w:spacing w:after="0" w:line="240" w:lineRule="auto"/>
        <w:ind w:left="284" w:hanging="284"/>
        <w:jc w:val="both"/>
        <w:rPr>
          <w:rFonts w:ascii="Times New Roman" w:eastAsia="Times New Roman" w:hAnsi="Times New Roman" w:cs="Times New Roman"/>
          <w:b/>
          <w:sz w:val="24"/>
          <w:szCs w:val="24"/>
        </w:rPr>
      </w:pPr>
      <w:r w:rsidRPr="00004853">
        <w:rPr>
          <w:rFonts w:ascii="Times New Roman" w:eastAsia="Times New Roman" w:hAnsi="Times New Roman" w:cs="Times New Roman"/>
          <w:sz w:val="24"/>
          <w:szCs w:val="24"/>
        </w:rPr>
        <w:t>infliximabum (original și biosimilar): se utilizează în doze de 5 mg/kgc, în PEV, administrat în ziua 0 și apoi la 2 și 6 săptămâni, ulterior la fiecare 8 săptămâni; se indică numai în tratamentul SA.</w:t>
      </w:r>
      <w:r w:rsidRPr="00004853">
        <w:rPr>
          <w:rFonts w:ascii="TimesNewRomanPSMT" w:eastAsia="TimesNewRomanPSMT" w:hAnsi="Calibri" w:cs="TimesNewRomanPSMT"/>
        </w:rPr>
        <w:t xml:space="preserve"> </w:t>
      </w:r>
      <w:r w:rsidRPr="00004853">
        <w:rPr>
          <w:rFonts w:ascii="Times New Roman" w:eastAsia="Times New Roman" w:hAnsi="Times New Roman" w:cs="Times New Roman"/>
          <w:sz w:val="24"/>
          <w:szCs w:val="24"/>
        </w:rPr>
        <w:t>Tratamentul cu infliximab administrat subcutanat trebuie ini</w:t>
      </w:r>
      <w:r w:rsidRPr="00004853">
        <w:rPr>
          <w:rFonts w:ascii="Times New Roman" w:eastAsia="Times New Roman" w:hAnsi="Times New Roman" w:cs="Times New Roman" w:hint="eastAsia"/>
          <w:sz w:val="24"/>
          <w:szCs w:val="24"/>
        </w:rPr>
        <w:t>ț</w:t>
      </w:r>
      <w:r w:rsidRPr="00004853">
        <w:rPr>
          <w:rFonts w:ascii="Times New Roman" w:eastAsia="Times New Roman" w:hAnsi="Times New Roman" w:cs="Times New Roman"/>
          <w:sz w:val="24"/>
          <w:szCs w:val="24"/>
        </w:rPr>
        <w:t xml:space="preserve">iat ca tratament de </w:t>
      </w:r>
      <w:r w:rsidRPr="00004853">
        <w:rPr>
          <w:rFonts w:ascii="Times New Roman" w:eastAsia="Times New Roman" w:hAnsi="Times New Roman" w:cs="Times New Roman" w:hint="eastAsia"/>
          <w:sz w:val="24"/>
          <w:szCs w:val="24"/>
        </w:rPr>
        <w:t>î</w:t>
      </w:r>
      <w:r w:rsidRPr="00004853">
        <w:rPr>
          <w:rFonts w:ascii="Times New Roman" w:eastAsia="Times New Roman" w:hAnsi="Times New Roman" w:cs="Times New Roman"/>
          <w:sz w:val="24"/>
          <w:szCs w:val="24"/>
        </w:rPr>
        <w:t>ntre</w:t>
      </w:r>
      <w:r w:rsidRPr="00004853">
        <w:rPr>
          <w:rFonts w:ascii="Times New Roman" w:eastAsia="Times New Roman" w:hAnsi="Times New Roman" w:cs="Times New Roman" w:hint="eastAsia"/>
          <w:sz w:val="24"/>
          <w:szCs w:val="24"/>
        </w:rPr>
        <w:t>ț</w:t>
      </w:r>
      <w:r w:rsidRPr="00004853">
        <w:rPr>
          <w:rFonts w:ascii="Times New Roman" w:eastAsia="Times New Roman" w:hAnsi="Times New Roman" w:cs="Times New Roman"/>
          <w:sz w:val="24"/>
          <w:szCs w:val="24"/>
        </w:rPr>
        <w:t>inere la 4 s</w:t>
      </w:r>
      <w:r w:rsidRPr="00004853">
        <w:rPr>
          <w:rFonts w:ascii="Times New Roman" w:eastAsia="Times New Roman" w:hAnsi="Times New Roman" w:cs="Times New Roman" w:hint="eastAsia"/>
          <w:sz w:val="24"/>
          <w:szCs w:val="24"/>
        </w:rPr>
        <w:t>ă</w:t>
      </w:r>
      <w:r w:rsidRPr="00004853">
        <w:rPr>
          <w:rFonts w:ascii="Times New Roman" w:eastAsia="Times New Roman" w:hAnsi="Times New Roman" w:cs="Times New Roman"/>
          <w:sz w:val="24"/>
          <w:szCs w:val="24"/>
        </w:rPr>
        <w:t>pt</w:t>
      </w:r>
      <w:r w:rsidRPr="00004853">
        <w:rPr>
          <w:rFonts w:ascii="Times New Roman" w:eastAsia="Times New Roman" w:hAnsi="Times New Roman" w:cs="Times New Roman" w:hint="eastAsia"/>
          <w:sz w:val="24"/>
          <w:szCs w:val="24"/>
        </w:rPr>
        <w:t>ă</w:t>
      </w:r>
      <w:r w:rsidRPr="00004853">
        <w:rPr>
          <w:rFonts w:ascii="Times New Roman" w:eastAsia="Times New Roman" w:hAnsi="Times New Roman" w:cs="Times New Roman"/>
          <w:sz w:val="24"/>
          <w:szCs w:val="24"/>
        </w:rPr>
        <w:t>m</w:t>
      </w:r>
      <w:r w:rsidRPr="00004853">
        <w:rPr>
          <w:rFonts w:ascii="Times New Roman" w:eastAsia="Times New Roman" w:hAnsi="Times New Roman" w:cs="Times New Roman" w:hint="eastAsia"/>
          <w:sz w:val="24"/>
          <w:szCs w:val="24"/>
        </w:rPr>
        <w:t>â</w:t>
      </w:r>
      <w:r w:rsidRPr="00004853">
        <w:rPr>
          <w:rFonts w:ascii="Times New Roman" w:eastAsia="Times New Roman" w:hAnsi="Times New Roman" w:cs="Times New Roman"/>
          <w:sz w:val="24"/>
          <w:szCs w:val="24"/>
        </w:rPr>
        <w:t>ni de la ultima administrare a dou</w:t>
      </w:r>
      <w:r w:rsidRPr="00004853">
        <w:rPr>
          <w:rFonts w:ascii="Times New Roman" w:eastAsia="Times New Roman" w:hAnsi="Times New Roman" w:cs="Times New Roman" w:hint="eastAsia"/>
          <w:sz w:val="24"/>
          <w:szCs w:val="24"/>
        </w:rPr>
        <w:t>ă</w:t>
      </w:r>
      <w:r w:rsidRPr="00004853">
        <w:rPr>
          <w:rFonts w:ascii="Times New Roman" w:eastAsia="Times New Roman" w:hAnsi="Times New Roman" w:cs="Times New Roman"/>
          <w:sz w:val="24"/>
          <w:szCs w:val="24"/>
        </w:rPr>
        <w:t xml:space="preserve"> perfuz</w:t>
      </w:r>
      <w:r w:rsidRPr="00004853">
        <w:rPr>
          <w:rFonts w:ascii="Times New Roman" w:eastAsia="Times New Roman" w:hAnsi="Times New Roman" w:cs="Times New Roman" w:hint="eastAsia"/>
          <w:sz w:val="24"/>
          <w:szCs w:val="24"/>
        </w:rPr>
        <w:t>ă</w:t>
      </w:r>
      <w:r w:rsidRPr="00004853">
        <w:rPr>
          <w:rFonts w:ascii="Times New Roman" w:eastAsia="Times New Roman" w:hAnsi="Times New Roman" w:cs="Times New Roman"/>
          <w:sz w:val="24"/>
          <w:szCs w:val="24"/>
        </w:rPr>
        <w:t>ri intravenoase de infliximab la 5 mg/kg, administrate la interval de 2 s</w:t>
      </w:r>
      <w:r w:rsidRPr="00004853">
        <w:rPr>
          <w:rFonts w:ascii="Times New Roman" w:eastAsia="Times New Roman" w:hAnsi="Times New Roman" w:cs="Times New Roman" w:hint="eastAsia"/>
          <w:sz w:val="24"/>
          <w:szCs w:val="24"/>
        </w:rPr>
        <w:t>ă</w:t>
      </w:r>
      <w:r w:rsidRPr="00004853">
        <w:rPr>
          <w:rFonts w:ascii="Times New Roman" w:eastAsia="Times New Roman" w:hAnsi="Times New Roman" w:cs="Times New Roman"/>
          <w:sz w:val="24"/>
          <w:szCs w:val="24"/>
        </w:rPr>
        <w:t>pt</w:t>
      </w:r>
      <w:r w:rsidRPr="00004853">
        <w:rPr>
          <w:rFonts w:ascii="Times New Roman" w:eastAsia="Times New Roman" w:hAnsi="Times New Roman" w:cs="Times New Roman" w:hint="eastAsia"/>
          <w:sz w:val="24"/>
          <w:szCs w:val="24"/>
        </w:rPr>
        <w:t>ă</w:t>
      </w:r>
      <w:r w:rsidRPr="00004853">
        <w:rPr>
          <w:rFonts w:ascii="Times New Roman" w:eastAsia="Times New Roman" w:hAnsi="Times New Roman" w:cs="Times New Roman"/>
          <w:sz w:val="24"/>
          <w:szCs w:val="24"/>
        </w:rPr>
        <w:t>m</w:t>
      </w:r>
      <w:r w:rsidRPr="00004853">
        <w:rPr>
          <w:rFonts w:ascii="Times New Roman" w:eastAsia="Times New Roman" w:hAnsi="Times New Roman" w:cs="Times New Roman" w:hint="eastAsia"/>
          <w:sz w:val="24"/>
          <w:szCs w:val="24"/>
        </w:rPr>
        <w:t>â</w:t>
      </w:r>
      <w:r w:rsidRPr="00004853">
        <w:rPr>
          <w:rFonts w:ascii="Times New Roman" w:eastAsia="Times New Roman" w:hAnsi="Times New Roman" w:cs="Times New Roman"/>
          <w:sz w:val="24"/>
          <w:szCs w:val="24"/>
        </w:rPr>
        <w:t xml:space="preserve">ni. </w:t>
      </w:r>
      <w:r w:rsidRPr="00004853">
        <w:rPr>
          <w:rFonts w:ascii="Times New Roman" w:eastAsia="Times New Roman" w:hAnsi="Times New Roman" w:cs="Times New Roman"/>
          <w:sz w:val="24"/>
          <w:szCs w:val="24"/>
          <w:lang w:val="fr-MC"/>
        </w:rPr>
        <w:t>Doza recomandat</w:t>
      </w:r>
      <w:r w:rsidRPr="00004853">
        <w:rPr>
          <w:rFonts w:ascii="Times New Roman" w:eastAsia="Times New Roman" w:hAnsi="Times New Roman" w:cs="Times New Roman" w:hint="eastAsia"/>
          <w:sz w:val="24"/>
          <w:szCs w:val="24"/>
          <w:lang w:val="fr-MC"/>
        </w:rPr>
        <w:t>ă</w:t>
      </w:r>
      <w:r w:rsidRPr="00004853">
        <w:rPr>
          <w:rFonts w:ascii="Times New Roman" w:eastAsia="Times New Roman" w:hAnsi="Times New Roman" w:cs="Times New Roman"/>
          <w:sz w:val="24"/>
          <w:szCs w:val="24"/>
          <w:lang w:val="fr-MC"/>
        </w:rPr>
        <w:t xml:space="preserve"> pentru infliximab forma farmaceutic</w:t>
      </w:r>
      <w:r w:rsidRPr="00004853">
        <w:rPr>
          <w:rFonts w:ascii="Times New Roman" w:eastAsia="Times New Roman" w:hAnsi="Times New Roman" w:cs="Times New Roman" w:hint="eastAsia"/>
          <w:sz w:val="24"/>
          <w:szCs w:val="24"/>
          <w:lang w:val="fr-MC"/>
        </w:rPr>
        <w:t>ă</w:t>
      </w:r>
      <w:r w:rsidRPr="00004853">
        <w:rPr>
          <w:rFonts w:ascii="Times New Roman" w:eastAsia="Times New Roman" w:hAnsi="Times New Roman" w:cs="Times New Roman"/>
          <w:sz w:val="24"/>
          <w:szCs w:val="24"/>
          <w:lang w:val="fr-MC"/>
        </w:rPr>
        <w:t xml:space="preserve"> pentru utilizare subcutanat</w:t>
      </w:r>
      <w:r w:rsidRPr="00004853">
        <w:rPr>
          <w:rFonts w:ascii="Times New Roman" w:eastAsia="Times New Roman" w:hAnsi="Times New Roman" w:cs="Times New Roman" w:hint="eastAsia"/>
          <w:sz w:val="24"/>
          <w:szCs w:val="24"/>
          <w:lang w:val="fr-MC"/>
        </w:rPr>
        <w:t>ă</w:t>
      </w:r>
      <w:r w:rsidRPr="00004853">
        <w:rPr>
          <w:rFonts w:ascii="Times New Roman" w:eastAsia="Times New Roman" w:hAnsi="Times New Roman" w:cs="Times New Roman"/>
          <w:sz w:val="24"/>
          <w:szCs w:val="24"/>
          <w:lang w:val="fr-MC"/>
        </w:rPr>
        <w:t xml:space="preserve"> este de 120 mg la interval de 2 s</w:t>
      </w:r>
      <w:r w:rsidRPr="00004853">
        <w:rPr>
          <w:rFonts w:ascii="Times New Roman" w:eastAsia="Times New Roman" w:hAnsi="Times New Roman" w:cs="Times New Roman" w:hint="eastAsia"/>
          <w:sz w:val="24"/>
          <w:szCs w:val="24"/>
          <w:lang w:val="fr-MC"/>
        </w:rPr>
        <w:t>ă</w:t>
      </w:r>
      <w:r w:rsidRPr="00004853">
        <w:rPr>
          <w:rFonts w:ascii="Times New Roman" w:eastAsia="Times New Roman" w:hAnsi="Times New Roman" w:cs="Times New Roman"/>
          <w:sz w:val="24"/>
          <w:szCs w:val="24"/>
          <w:lang w:val="fr-MC"/>
        </w:rPr>
        <w:t>pt</w:t>
      </w:r>
      <w:r w:rsidRPr="00004853">
        <w:rPr>
          <w:rFonts w:ascii="Times New Roman" w:eastAsia="Times New Roman" w:hAnsi="Times New Roman" w:cs="Times New Roman" w:hint="eastAsia"/>
          <w:sz w:val="24"/>
          <w:szCs w:val="24"/>
          <w:lang w:val="fr-MC"/>
        </w:rPr>
        <w:t>ă</w:t>
      </w:r>
      <w:r w:rsidRPr="00004853">
        <w:rPr>
          <w:rFonts w:ascii="Times New Roman" w:eastAsia="Times New Roman" w:hAnsi="Times New Roman" w:cs="Times New Roman"/>
          <w:sz w:val="24"/>
          <w:szCs w:val="24"/>
          <w:lang w:val="fr-MC"/>
        </w:rPr>
        <w:t>m</w:t>
      </w:r>
      <w:r w:rsidRPr="00004853">
        <w:rPr>
          <w:rFonts w:ascii="Times New Roman" w:eastAsia="Times New Roman" w:hAnsi="Times New Roman" w:cs="Times New Roman" w:hint="eastAsia"/>
          <w:sz w:val="24"/>
          <w:szCs w:val="24"/>
          <w:lang w:val="fr-MC"/>
        </w:rPr>
        <w:t>â</w:t>
      </w:r>
      <w:r w:rsidRPr="00004853">
        <w:rPr>
          <w:rFonts w:ascii="Times New Roman" w:eastAsia="Times New Roman" w:hAnsi="Times New Roman" w:cs="Times New Roman"/>
          <w:sz w:val="24"/>
          <w:szCs w:val="24"/>
          <w:lang w:val="fr-MC"/>
        </w:rPr>
        <w:t xml:space="preserve">ni. </w:t>
      </w:r>
    </w:p>
    <w:p w14:paraId="08A54891" w14:textId="77777777" w:rsidR="00004853" w:rsidRPr="00004853" w:rsidRDefault="00004853" w:rsidP="00004853">
      <w:pPr>
        <w:spacing w:after="0" w:line="240" w:lineRule="auto"/>
        <w:ind w:left="284"/>
        <w:jc w:val="both"/>
        <w:rPr>
          <w:rFonts w:ascii="Times New Roman" w:eastAsia="Times New Roman" w:hAnsi="Times New Roman" w:cs="Times New Roman"/>
          <w:bCs/>
          <w:sz w:val="24"/>
          <w:szCs w:val="24"/>
        </w:rPr>
      </w:pPr>
      <w:r w:rsidRPr="00004853">
        <w:rPr>
          <w:rFonts w:ascii="Times New Roman" w:eastAsia="Times New Roman" w:hAnsi="Times New Roman" w:cs="Times New Roman"/>
          <w:bCs/>
          <w:sz w:val="24"/>
          <w:szCs w:val="24"/>
        </w:rPr>
        <w:t>În cazul în care tratamentul de întreţinere este întrerupt şi este necesară reînceperea tratamentului, nu este recomandată utilizarea unui regim de re-inducţie a infliximabului intravenos. În această situație, infliximabul trebuie reinițiat ca doză unică de infliximab intravenos urmată de recomandările privind doza de întreținere pentru infliximab subcutanat descrise mai sus, la 4 săptămâni după ultima administrare de infliximab intravenos.</w:t>
      </w:r>
    </w:p>
    <w:p w14:paraId="47DD8884" w14:textId="77777777" w:rsidR="00004853" w:rsidRPr="00004853" w:rsidRDefault="00004853" w:rsidP="00004853">
      <w:pPr>
        <w:spacing w:after="0" w:line="240" w:lineRule="auto"/>
        <w:ind w:left="284"/>
        <w:jc w:val="both"/>
        <w:rPr>
          <w:rFonts w:ascii="Times New Roman" w:eastAsia="Times New Roman" w:hAnsi="Times New Roman" w:cs="Times New Roman"/>
          <w:bCs/>
          <w:sz w:val="24"/>
          <w:szCs w:val="24"/>
        </w:rPr>
      </w:pPr>
      <w:r w:rsidRPr="00004853">
        <w:rPr>
          <w:rFonts w:ascii="Times New Roman" w:eastAsia="Times New Roman" w:hAnsi="Times New Roman" w:cs="Times New Roman"/>
          <w:bCs/>
          <w:sz w:val="24"/>
          <w:szCs w:val="24"/>
        </w:rPr>
        <w:t>Când se trece de la terapia de întreținere cu infliximab formulă intravenoasă la forma farmaceutică subcutanată a infliximab, forma farmaceutică subcutanată poate fi administrată la 8 săptămâni după ultima administrare a perfuziilor intravenoase de infliximab.</w:t>
      </w:r>
    </w:p>
    <w:p w14:paraId="18CAFF61" w14:textId="77777777" w:rsidR="00004853" w:rsidRPr="00004853" w:rsidRDefault="00004853" w:rsidP="00004853">
      <w:pPr>
        <w:spacing w:after="0" w:line="240" w:lineRule="auto"/>
        <w:ind w:left="284"/>
        <w:jc w:val="both"/>
        <w:rPr>
          <w:rFonts w:ascii="Times New Roman" w:eastAsia="Times New Roman" w:hAnsi="Times New Roman" w:cs="Times New Roman"/>
          <w:bCs/>
          <w:sz w:val="24"/>
          <w:szCs w:val="24"/>
        </w:rPr>
      </w:pPr>
      <w:r w:rsidRPr="00004853">
        <w:rPr>
          <w:rFonts w:ascii="Times New Roman" w:eastAsia="Times New Roman" w:hAnsi="Times New Roman" w:cs="Times New Roman"/>
          <w:bCs/>
          <w:sz w:val="24"/>
          <w:szCs w:val="24"/>
        </w:rPr>
        <w:t>Nu sunt disponibile informații privind trecerea pacienților de la forma farmaceutică subcutanată la forma farmaceutică intravenoasă a infliximabum.</w:t>
      </w:r>
    </w:p>
    <w:p w14:paraId="3EB3F465" w14:textId="77777777" w:rsidR="00004853" w:rsidRPr="00004853" w:rsidRDefault="00004853" w:rsidP="00004853">
      <w:pPr>
        <w:spacing w:after="0" w:line="240" w:lineRule="auto"/>
        <w:ind w:left="284"/>
        <w:jc w:val="both"/>
        <w:rPr>
          <w:rFonts w:ascii="Times New Roman" w:eastAsia="Times New Roman" w:hAnsi="Times New Roman" w:cs="Times New Roman"/>
          <w:bCs/>
          <w:sz w:val="24"/>
          <w:szCs w:val="24"/>
        </w:rPr>
      </w:pPr>
      <w:r w:rsidRPr="00004853">
        <w:rPr>
          <w:rFonts w:ascii="Times New Roman" w:eastAsia="Times New Roman" w:hAnsi="Times New Roman" w:cs="Times New Roman"/>
          <w:bCs/>
          <w:sz w:val="24"/>
          <w:szCs w:val="24"/>
        </w:rPr>
        <w:t>Dacă pacienții omit administrarea unei injecții cu formularea subcutanată a infliximab, trebuie să fie instruiți să-și administreze imediat doza omisă în cazul în care acest lucru se întâmplă în termen de 7 zile de la doza omisă, apoi să rămână la schema lor inițială. Dacă doza este întârziată cu 8 zile sau mai mult, pacienții trebuie să fie instruiți să sară peste doza omisă, să aștepte până la următoarea doză programată și apoi să rămână la schema lor inițială.</w:t>
      </w:r>
    </w:p>
    <w:p w14:paraId="18B39D76"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p>
    <w:p w14:paraId="348EFA0F" w14:textId="77777777" w:rsidR="00004853" w:rsidRDefault="00004853" w:rsidP="00004853">
      <w:pPr>
        <w:spacing w:after="0" w:line="240" w:lineRule="auto"/>
        <w:jc w:val="both"/>
        <w:rPr>
          <w:rFonts w:ascii="Times New Roman" w:eastAsia="Times New Roman" w:hAnsi="Times New Roman" w:cs="Times New Roman"/>
          <w:b/>
          <w:sz w:val="24"/>
          <w:szCs w:val="24"/>
        </w:rPr>
      </w:pPr>
      <w:bookmarkStart w:id="25" w:name="_Hlk155995053"/>
    </w:p>
    <w:p w14:paraId="3DAC7862"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b/>
          <w:sz w:val="24"/>
          <w:szCs w:val="24"/>
        </w:rPr>
        <w:lastRenderedPageBreak/>
        <w:t>Blocanți de IL17</w:t>
      </w:r>
      <w:r w:rsidRPr="00004853">
        <w:rPr>
          <w:rFonts w:ascii="Times New Roman" w:eastAsia="Times New Roman" w:hAnsi="Times New Roman" w:cs="Times New Roman"/>
          <w:sz w:val="24"/>
          <w:szCs w:val="24"/>
        </w:rPr>
        <w:t xml:space="preserve"> </w:t>
      </w:r>
      <w:bookmarkEnd w:id="25"/>
      <w:r w:rsidRPr="00004853">
        <w:rPr>
          <w:rFonts w:ascii="Times New Roman" w:eastAsia="Times New Roman" w:hAnsi="Times New Roman" w:cs="Times New Roman"/>
          <w:sz w:val="24"/>
          <w:szCs w:val="24"/>
        </w:rPr>
        <w:t>utilizați în SpAax:</w:t>
      </w:r>
    </w:p>
    <w:p w14:paraId="1C930A24" w14:textId="77777777" w:rsidR="00004853" w:rsidRPr="00004853" w:rsidRDefault="00004853" w:rsidP="002161CA">
      <w:pPr>
        <w:numPr>
          <w:ilvl w:val="0"/>
          <w:numId w:val="208"/>
        </w:numPr>
        <w:pBdr>
          <w:top w:val="nil"/>
          <w:left w:val="nil"/>
          <w:bottom w:val="nil"/>
          <w:right w:val="nil"/>
          <w:between w:val="nil"/>
          <w:bar w:val="nil"/>
        </w:pBdr>
        <w:spacing w:after="0" w:line="240" w:lineRule="auto"/>
        <w:jc w:val="both"/>
        <w:rPr>
          <w:rFonts w:ascii="Times New Roman" w:eastAsia="Times New Roman" w:hAnsi="Times New Roman" w:cs="Times New Roman"/>
          <w:b/>
          <w:sz w:val="24"/>
          <w:szCs w:val="24"/>
          <w:u w:color="000000"/>
          <w:bdr w:val="nil"/>
          <w:lang w:eastAsia="ro-RO"/>
        </w:rPr>
      </w:pPr>
      <w:r w:rsidRPr="00004853">
        <w:rPr>
          <w:rFonts w:ascii="Times New Roman" w:eastAsia="Times New Roman" w:hAnsi="Times New Roman" w:cs="Times New Roman"/>
          <w:sz w:val="24"/>
          <w:szCs w:val="24"/>
          <w:u w:color="000000"/>
          <w:bdr w:val="nil"/>
          <w:lang w:eastAsia="ro-RO"/>
        </w:rPr>
        <w:t>secukinumab: doza recomandată este de 150 mg/săptămână subcutanat timp de 4 săptămâni (1 injecție la săptămânile 0, 1, 2 și 3), ulterior de 150 mg/lună subcutanat (1 injecție în fiecare lună începând cu săptămâna 4). La pacienții care au început tratamentul cu secukinumabum 150 mg si au avut un răspuns clinic inadecvat (conform definiției de mai jos la capitolul „Continuarea tratamentului”), se poate crește doza de secukinumabum la 300 mg/lună. Fiecare doză de 300 mg poate fi administrată sub forma unei injecții subcutanate de 300mg sau a două injecții subcutanate de 150 mg; se indică in tratamentul in SpAax (SA si SpA ax nr).</w:t>
      </w:r>
    </w:p>
    <w:p w14:paraId="4FF8C5F1" w14:textId="77777777" w:rsidR="00004853" w:rsidRPr="00004853" w:rsidRDefault="00004853" w:rsidP="002161CA">
      <w:pPr>
        <w:numPr>
          <w:ilvl w:val="0"/>
          <w:numId w:val="208"/>
        </w:numPr>
        <w:pBdr>
          <w:top w:val="nil"/>
          <w:left w:val="nil"/>
          <w:bottom w:val="nil"/>
          <w:right w:val="nil"/>
          <w:between w:val="nil"/>
          <w:bar w:val="nil"/>
        </w:pBdr>
        <w:spacing w:after="0" w:line="240" w:lineRule="auto"/>
        <w:jc w:val="both"/>
        <w:rPr>
          <w:rFonts w:ascii="Times New Roman" w:eastAsia="Times New Roman" w:hAnsi="Times New Roman" w:cs="Times New Roman"/>
          <w:b/>
          <w:sz w:val="24"/>
          <w:szCs w:val="24"/>
          <w:u w:color="000000"/>
          <w:bdr w:val="nil"/>
          <w:lang w:eastAsia="ro-RO"/>
        </w:rPr>
      </w:pPr>
      <w:r w:rsidRPr="00004853">
        <w:rPr>
          <w:rFonts w:ascii="Times New Roman" w:eastAsia="Times New Roman" w:hAnsi="Times New Roman" w:cs="Times New Roman"/>
          <w:sz w:val="24"/>
          <w:szCs w:val="24"/>
          <w:u w:color="000000"/>
          <w:bdr w:val="nil"/>
          <w:lang w:eastAsia="ro-RO"/>
        </w:rPr>
        <w:t>Ixekizumab(</w:t>
      </w:r>
      <w:r w:rsidRPr="00004853">
        <w:rPr>
          <w:rFonts w:ascii="Times New Roman" w:eastAsia="Times New Roman" w:hAnsi="Times New Roman" w:cs="Times New Roman"/>
          <w:b/>
          <w:sz w:val="24"/>
          <w:szCs w:val="24"/>
          <w:u w:color="000000"/>
          <w:bdr w:val="nil"/>
          <w:lang w:eastAsia="ro-RO"/>
        </w:rPr>
        <w:t>face obiectul unui contract cost volum):</w:t>
      </w:r>
      <w:r w:rsidRPr="00004853">
        <w:rPr>
          <w:rFonts w:ascii="Times New Roman" w:eastAsia="Times New Roman" w:hAnsi="Times New Roman" w:cs="Times New Roman"/>
          <w:sz w:val="24"/>
          <w:szCs w:val="24"/>
          <w:u w:color="000000"/>
          <w:bdr w:val="nil"/>
          <w:lang w:eastAsia="ro-RO"/>
        </w:rPr>
        <w:t xml:space="preserve"> doza recomandată este de 160 mg (două injecții a câte 80 mg) administrată prin injectare subcutanată în săptămâna 0, urmată de 80 mg la intervale de 4 săptămâni. Se indică in tratamentul in SpAax (SA si SpA ax nr).</w:t>
      </w:r>
    </w:p>
    <w:p w14:paraId="15CE979A"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p>
    <w:p w14:paraId="319ABBBF" w14:textId="77777777" w:rsidR="00004853" w:rsidRPr="00004853" w:rsidRDefault="00004853" w:rsidP="00004853">
      <w:pPr>
        <w:pBdr>
          <w:top w:val="nil"/>
          <w:left w:val="nil"/>
          <w:bottom w:val="nil"/>
          <w:right w:val="nil"/>
          <w:between w:val="nil"/>
          <w:bar w:val="nil"/>
        </w:pBdr>
        <w:spacing w:after="0" w:line="240" w:lineRule="auto"/>
        <w:jc w:val="both"/>
        <w:rPr>
          <w:rFonts w:ascii="Times New Roman" w:eastAsia="Times New Roman" w:hAnsi="Times New Roman" w:cs="Times New Roman"/>
          <w:b/>
          <w:sz w:val="24"/>
          <w:szCs w:val="24"/>
        </w:rPr>
      </w:pPr>
      <w:r w:rsidRPr="00004853">
        <w:rPr>
          <w:rFonts w:ascii="Times New Roman" w:eastAsia="Times New Roman" w:hAnsi="Times New Roman" w:cs="Times New Roman"/>
          <w:b/>
          <w:sz w:val="24"/>
          <w:szCs w:val="24"/>
        </w:rPr>
        <w:t xml:space="preserve">Terapia sintetica tintita utilizata in SpA ax: </w:t>
      </w:r>
    </w:p>
    <w:p w14:paraId="18216F32" w14:textId="77777777" w:rsidR="00004853" w:rsidRPr="00004853" w:rsidRDefault="00004853" w:rsidP="00004853">
      <w:pPr>
        <w:pBdr>
          <w:top w:val="nil"/>
          <w:left w:val="nil"/>
          <w:bottom w:val="nil"/>
          <w:right w:val="nil"/>
          <w:between w:val="nil"/>
          <w:bar w:val="nil"/>
        </w:pBdr>
        <w:spacing w:after="0" w:line="240" w:lineRule="auto"/>
        <w:jc w:val="both"/>
        <w:rPr>
          <w:rFonts w:ascii="Times New Roman" w:eastAsia="Calibri" w:hAnsi="Times New Roman" w:cs="Times New Roman"/>
          <w:sz w:val="24"/>
          <w:szCs w:val="24"/>
          <w:lang w:eastAsia="ro-RO"/>
        </w:rPr>
      </w:pPr>
      <w:r w:rsidRPr="00004853">
        <w:rPr>
          <w:rFonts w:ascii="Times New Roman" w:eastAsia="Times New Roman" w:hAnsi="Times New Roman" w:cs="Times New Roman"/>
          <w:sz w:val="24"/>
          <w:szCs w:val="24"/>
        </w:rPr>
        <w:t>Upadacitinib (</w:t>
      </w:r>
      <w:r w:rsidRPr="00004853">
        <w:rPr>
          <w:rFonts w:ascii="Times New Roman" w:eastAsia="Times New Roman" w:hAnsi="Times New Roman" w:cs="Times New Roman"/>
          <w:b/>
          <w:sz w:val="24"/>
          <w:szCs w:val="24"/>
        </w:rPr>
        <w:t>face obiectul unui contract cost-volum)</w:t>
      </w:r>
      <w:r w:rsidRPr="00004853">
        <w:rPr>
          <w:rFonts w:ascii="Times New Roman" w:eastAsia="Calibri" w:hAnsi="Times New Roman" w:cs="Times New Roman"/>
          <w:b/>
          <w:bCs/>
          <w:sz w:val="24"/>
          <w:szCs w:val="24"/>
          <w:lang w:eastAsia="ro-RO"/>
        </w:rPr>
        <w:t>:</w:t>
      </w:r>
      <w:r w:rsidRPr="00004853">
        <w:rPr>
          <w:rFonts w:ascii="Times New Roman" w:eastAsia="Calibri" w:hAnsi="Times New Roman" w:cs="Times New Roman"/>
          <w:sz w:val="24"/>
          <w:szCs w:val="24"/>
          <w:lang w:eastAsia="ro-RO"/>
        </w:rPr>
        <w:t xml:space="preserve"> </w:t>
      </w:r>
      <w:r w:rsidRPr="00004853">
        <w:rPr>
          <w:rFonts w:ascii="Times New Roman" w:eastAsia="Calibri" w:hAnsi="Times New Roman" w:cs="Times New Roman"/>
          <w:sz w:val="24"/>
          <w:szCs w:val="24"/>
          <w:u w:color="000000"/>
          <w:bdr w:val="nil"/>
          <w:lang w:eastAsia="ro-RO"/>
        </w:rPr>
        <w:t>doza recomandată este de 15 mg (comprimate cu eliberare prelungită)/zi, oral</w:t>
      </w:r>
      <w:r w:rsidRPr="00004853">
        <w:rPr>
          <w:rFonts w:ascii="Times New Roman" w:eastAsia="Calibri" w:hAnsi="Times New Roman" w:cs="Times New Roman"/>
          <w:sz w:val="24"/>
          <w:szCs w:val="24"/>
          <w:lang w:eastAsia="ro-RO"/>
        </w:rPr>
        <w:t>. Nu este necesară ajustarea dozei la pacienţii cu insuficienţă hepatică uşoară sau moderată (clasă Child-Pugh A sau B). Nu este necesară ajustarea dozei la pacienţii cu insuficienţă renală uşoară sau moderată; trebuie utilizat cu precauție la pacienții cu insuficiență renală severă. Tratamentul trebuie întrerupt în cazul în care pacientul are o infecţie gravă până la obţinerea controlului asupra infecţiei. Upadacitinib trebuie utilizat cu prudență la pacienţii cu risc înalt de TVP/EP. Asocierea cu alte medicamente imunosupresoare puternice cum sunt azatioprina, ciclosporina, tacrolimus nu este recomandată. Upadacitinib trebuie utilizat cu precauţie la pacienţii care urmează tratamente de lungă durată cu inhibitori puternici ai CYP3A4 (ketoconazol, itraconazol, posaconazol, voriconazol şi claritromicina). </w:t>
      </w:r>
    </w:p>
    <w:p w14:paraId="55B39EB7" w14:textId="77777777" w:rsidR="00004853" w:rsidRPr="00004853" w:rsidRDefault="00004853" w:rsidP="00004853">
      <w:pPr>
        <w:spacing w:after="0" w:line="240" w:lineRule="auto"/>
        <w:jc w:val="both"/>
        <w:rPr>
          <w:rFonts w:ascii="Times New Roman" w:eastAsia="Times New Roman" w:hAnsi="Times New Roman" w:cs="Times New Roman"/>
          <w:b/>
          <w:bCs/>
          <w:sz w:val="24"/>
          <w:szCs w:val="24"/>
        </w:rPr>
      </w:pPr>
    </w:p>
    <w:p w14:paraId="66DCAC3E" w14:textId="77777777" w:rsidR="00004853" w:rsidRPr="00004853" w:rsidRDefault="00004853" w:rsidP="00004853">
      <w:pPr>
        <w:spacing w:after="0" w:line="240" w:lineRule="auto"/>
        <w:jc w:val="both"/>
        <w:rPr>
          <w:rFonts w:ascii="Times New Roman" w:eastAsia="Times New Roman" w:hAnsi="Times New Roman" w:cs="Times New Roman"/>
          <w:b/>
          <w:bCs/>
          <w:sz w:val="24"/>
          <w:szCs w:val="24"/>
        </w:rPr>
      </w:pPr>
      <w:r w:rsidRPr="00004853">
        <w:rPr>
          <w:rFonts w:ascii="Times New Roman" w:eastAsia="Times New Roman" w:hAnsi="Times New Roman" w:cs="Times New Roman"/>
          <w:b/>
          <w:bCs/>
          <w:sz w:val="24"/>
          <w:szCs w:val="24"/>
        </w:rPr>
        <w:t>Atenţionări şi precauţii speciale pentru utilizare</w:t>
      </w:r>
    </w:p>
    <w:p w14:paraId="3AC8B797" w14:textId="77777777" w:rsidR="00004853" w:rsidRPr="00004853" w:rsidRDefault="00004853" w:rsidP="00004853">
      <w:pPr>
        <w:spacing w:after="0" w:line="240" w:lineRule="auto"/>
        <w:jc w:val="both"/>
        <w:rPr>
          <w:rFonts w:ascii="Times New Roman" w:eastAsia="Times New Roman" w:hAnsi="Times New Roman" w:cs="Times New Roman"/>
          <w:bCs/>
          <w:sz w:val="24"/>
          <w:szCs w:val="24"/>
        </w:rPr>
      </w:pPr>
      <w:bookmarkStart w:id="26" w:name="_Hlk155997624"/>
      <w:r w:rsidRPr="00004853">
        <w:rPr>
          <w:rFonts w:ascii="Times New Roman" w:eastAsia="Times New Roman" w:hAnsi="Times New Roman" w:cs="Times New Roman"/>
          <w:bCs/>
          <w:sz w:val="24"/>
          <w:szCs w:val="24"/>
        </w:rPr>
        <w:t>Secukinumab</w:t>
      </w:r>
      <w:bookmarkEnd w:id="26"/>
      <w:r w:rsidRPr="00004853">
        <w:rPr>
          <w:rFonts w:ascii="Times New Roman" w:eastAsia="Times New Roman" w:hAnsi="Times New Roman" w:cs="Times New Roman"/>
          <w:bCs/>
          <w:sz w:val="24"/>
          <w:szCs w:val="24"/>
        </w:rPr>
        <w:t xml:space="preserve"> si ixekizumab nu se recomandă pacienților cu boală inflamatorie intestinală. Dacă un pacient prezintă semne și simptome de boală inflamatorie intestinală sau are o exacerbare a unei boli inflamatorii intestinale preexistente, administrarea secukinumab sau ixekizumab trebuie întreruptă și trebuie inițiat tratamentul adecvat.</w:t>
      </w:r>
    </w:p>
    <w:p w14:paraId="4137F95E" w14:textId="77777777" w:rsidR="00004853" w:rsidRPr="00004853" w:rsidRDefault="00004853" w:rsidP="00004853">
      <w:pPr>
        <w:spacing w:after="0" w:line="240" w:lineRule="auto"/>
        <w:jc w:val="both"/>
        <w:rPr>
          <w:rFonts w:ascii="Times New Roman" w:eastAsia="Times New Roman" w:hAnsi="Times New Roman" w:cs="Times New Roman"/>
          <w:bCs/>
          <w:sz w:val="24"/>
          <w:szCs w:val="24"/>
        </w:rPr>
      </w:pPr>
    </w:p>
    <w:p w14:paraId="1B665900" w14:textId="77777777" w:rsidR="00004853" w:rsidRPr="00004853" w:rsidRDefault="00004853" w:rsidP="00004853">
      <w:pPr>
        <w:autoSpaceDE w:val="0"/>
        <w:autoSpaceDN w:val="0"/>
        <w:adjustRightInd w:val="0"/>
        <w:spacing w:after="0" w:line="240" w:lineRule="auto"/>
        <w:jc w:val="both"/>
        <w:rPr>
          <w:rFonts w:ascii="Times New Roman" w:eastAsia="Times New Roman" w:hAnsi="Times New Roman" w:cs="Times New Roman"/>
          <w:b/>
          <w:bCs/>
          <w:sz w:val="24"/>
          <w:szCs w:val="24"/>
          <w:lang w:eastAsia="ro-RO"/>
        </w:rPr>
      </w:pPr>
      <w:r w:rsidRPr="00004853">
        <w:rPr>
          <w:rFonts w:ascii="Times New Roman" w:eastAsia="Times New Roman" w:hAnsi="Times New Roman" w:cs="Times New Roman"/>
          <w:b/>
          <w:bCs/>
          <w:sz w:val="24"/>
          <w:szCs w:val="24"/>
          <w:lang w:eastAsia="ro-RO"/>
        </w:rPr>
        <w:t>Precauții și atenționări pentru pacienții tratați cu inhibitori de JAK (JAKi):</w:t>
      </w:r>
    </w:p>
    <w:p w14:paraId="40712446" w14:textId="77777777" w:rsidR="00004853" w:rsidRPr="00004853" w:rsidRDefault="00004853" w:rsidP="00004853">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004853">
        <w:rPr>
          <w:rFonts w:ascii="Times New Roman" w:eastAsia="Times New Roman" w:hAnsi="Times New Roman" w:cs="Times New Roman"/>
          <w:sz w:val="24"/>
          <w:szCs w:val="24"/>
          <w:lang w:eastAsia="ro-RO"/>
        </w:rPr>
        <w:t>A fost observată o incidență crescută de afecțiuni maligne, evenimente adverse cardiovasculare majore (MACE), infecții grave, trombembolism venos (TEV) și mortalitate, la pacienții cu poliartrită reumatoidă (PR) cu anumiți factori de risc, care au fost tratați cu JAKi, comparativ cu pacienții tratați cu inhibitori de TNF-α. Aceste riscuri sunt considerate efecte de clasă și sunt relevante în cadrul tuturor indicațiilor aprobate ale JAKi, în afecțiunile inflamatoare și dermatologice. JAKi trebuie administrați numai dacă nu sunt disponibile alternative de tratament adecvate, la pacienții:</w:t>
      </w:r>
    </w:p>
    <w:p w14:paraId="4F897203" w14:textId="77777777" w:rsidR="00004853" w:rsidRPr="00004853" w:rsidRDefault="00004853" w:rsidP="002161CA">
      <w:pPr>
        <w:numPr>
          <w:ilvl w:val="0"/>
          <w:numId w:val="209"/>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eastAsia="ro-RO"/>
        </w:rPr>
      </w:pPr>
      <w:r w:rsidRPr="00004853">
        <w:rPr>
          <w:rFonts w:ascii="Times New Roman" w:eastAsia="Times New Roman" w:hAnsi="Times New Roman" w:cs="Times New Roman"/>
          <w:sz w:val="24"/>
          <w:szCs w:val="24"/>
          <w:u w:color="000000"/>
          <w:bdr w:val="nil"/>
          <w:lang w:eastAsia="ro-RO"/>
        </w:rPr>
        <w:t>cu vârstă de 65 de ani și peste;</w:t>
      </w:r>
    </w:p>
    <w:p w14:paraId="66E7BC19" w14:textId="77777777" w:rsidR="00004853" w:rsidRPr="00004853" w:rsidRDefault="00004853" w:rsidP="002161CA">
      <w:pPr>
        <w:numPr>
          <w:ilvl w:val="0"/>
          <w:numId w:val="209"/>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eastAsia="ro-RO"/>
        </w:rPr>
      </w:pPr>
      <w:r w:rsidRPr="00004853">
        <w:rPr>
          <w:rFonts w:ascii="Times New Roman" w:eastAsia="Times New Roman" w:hAnsi="Times New Roman" w:cs="Times New Roman"/>
          <w:sz w:val="24"/>
          <w:szCs w:val="24"/>
          <w:u w:color="000000"/>
          <w:bdr w:val="nil"/>
          <w:lang w:eastAsia="ro-RO"/>
        </w:rPr>
        <w:t>fumători actuali sau care au fumat o perioadă îndelungată în trecut;</w:t>
      </w:r>
    </w:p>
    <w:p w14:paraId="6327F135" w14:textId="77777777" w:rsidR="00004853" w:rsidRPr="00004853" w:rsidRDefault="00004853" w:rsidP="002161CA">
      <w:pPr>
        <w:numPr>
          <w:ilvl w:val="0"/>
          <w:numId w:val="209"/>
        </w:num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4"/>
          <w:szCs w:val="24"/>
          <w:u w:color="000000"/>
          <w:bdr w:val="nil"/>
          <w:lang w:eastAsia="ro-RO"/>
        </w:rPr>
      </w:pPr>
      <w:r w:rsidRPr="00004853">
        <w:rPr>
          <w:rFonts w:ascii="Times New Roman" w:eastAsia="Times New Roman" w:hAnsi="Times New Roman" w:cs="Times New Roman"/>
          <w:sz w:val="24"/>
          <w:szCs w:val="24"/>
          <w:u w:color="000000"/>
          <w:bdr w:val="nil"/>
          <w:lang w:eastAsia="ro-RO"/>
        </w:rPr>
        <w:t>cu alți factori de risc cardiovascular sau cu factori de risc pentru apariția afecțiunilor maligne.</w:t>
      </w:r>
    </w:p>
    <w:p w14:paraId="0E5D6E33" w14:textId="77777777" w:rsidR="00004853" w:rsidRPr="00004853" w:rsidRDefault="00004853" w:rsidP="00004853">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004853">
        <w:rPr>
          <w:rFonts w:ascii="Times New Roman" w:eastAsia="Times New Roman" w:hAnsi="Times New Roman" w:cs="Times New Roman"/>
          <w:sz w:val="24"/>
          <w:szCs w:val="24"/>
          <w:lang w:eastAsia="ro-RO"/>
        </w:rPr>
        <w:t xml:space="preserve">JAKi trebuie administrați cu precauție la pacienții cu factori de risc pentru TEV, alții decât cei enumerați mai sus. Recomandările privind dozele sunt reviziute pentru anumite grupe de pacienți cu factori de risc. Se recomandă examinarea perioadică a pielii pentru toți pacienții. Medicii prescriptori trebuie să discute cu pacienții despre riscurile asociate cu administrarea JAKi. </w:t>
      </w:r>
    </w:p>
    <w:p w14:paraId="31595C3E" w14:textId="77777777" w:rsidR="00004853" w:rsidRPr="00004853" w:rsidRDefault="00004853" w:rsidP="00004853">
      <w:pPr>
        <w:autoSpaceDE w:val="0"/>
        <w:autoSpaceDN w:val="0"/>
        <w:adjustRightInd w:val="0"/>
        <w:spacing w:after="0" w:line="240" w:lineRule="auto"/>
        <w:jc w:val="both"/>
        <w:rPr>
          <w:rFonts w:ascii="Times New Roman" w:eastAsia="Times New Roman" w:hAnsi="Times New Roman" w:cs="Times New Roman"/>
          <w:sz w:val="24"/>
          <w:szCs w:val="24"/>
          <w:lang w:eastAsia="ro-RO"/>
        </w:rPr>
      </w:pPr>
    </w:p>
    <w:p w14:paraId="4C347576" w14:textId="77777777" w:rsidR="00004853" w:rsidRPr="00004853" w:rsidRDefault="00004853" w:rsidP="00004853">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004853">
        <w:rPr>
          <w:rFonts w:ascii="Times New Roman" w:eastAsia="Times New Roman" w:hAnsi="Times New Roman" w:cs="Times New Roman"/>
          <w:sz w:val="24"/>
          <w:szCs w:val="24"/>
          <w:lang w:eastAsia="ro-RO"/>
        </w:rPr>
        <w:t>Nu se recomandă pe perioada tratamentului  cu biologice sau cu inhibitori de JAK utilizarea de vaccinuri cu virusuri vii.</w:t>
      </w:r>
    </w:p>
    <w:p w14:paraId="138B1FE3"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p>
    <w:p w14:paraId="5B531025"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r w:rsidRPr="00004853">
        <w:rPr>
          <w:rFonts w:ascii="Times New Roman" w:eastAsia="Times New Roman" w:hAnsi="Times New Roman" w:cs="Times New Roman"/>
          <w:b/>
          <w:sz w:val="24"/>
          <w:szCs w:val="24"/>
        </w:rPr>
        <w:t>Evaluarea răspunsului la tratamentului biologic</w:t>
      </w:r>
    </w:p>
    <w:p w14:paraId="1C9F3CA0"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 xml:space="preserve">Evaluarea răspunsului la tratament se face la 24 de săptămâni de tratament în vederea încadrării cazului ca responder sau nonresponder, ținând cont de </w:t>
      </w:r>
      <w:bookmarkStart w:id="27" w:name="_Hlk155999659"/>
      <w:r w:rsidRPr="00004853">
        <w:rPr>
          <w:rFonts w:ascii="Times New Roman" w:eastAsia="Times New Roman" w:hAnsi="Times New Roman" w:cs="Times New Roman"/>
          <w:sz w:val="24"/>
          <w:szCs w:val="24"/>
        </w:rPr>
        <w:t>reducerea scorului ASDAS ≥ 1,1 fata de evaluarea initiala</w:t>
      </w:r>
      <w:bookmarkEnd w:id="27"/>
      <w:r w:rsidRPr="00004853">
        <w:rPr>
          <w:rFonts w:ascii="Times New Roman" w:eastAsia="Times New Roman" w:hAnsi="Times New Roman" w:cs="Times New Roman"/>
          <w:sz w:val="24"/>
          <w:szCs w:val="24"/>
        </w:rPr>
        <w:t xml:space="preserve">. </w:t>
      </w:r>
    </w:p>
    <w:p w14:paraId="23E59028"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p>
    <w:p w14:paraId="6C1BEF1B" w14:textId="77777777" w:rsidR="00004853" w:rsidRDefault="00004853" w:rsidP="00004853">
      <w:pPr>
        <w:spacing w:after="0" w:line="240" w:lineRule="auto"/>
        <w:jc w:val="both"/>
        <w:rPr>
          <w:rFonts w:ascii="Times New Roman" w:eastAsia="Times New Roman" w:hAnsi="Times New Roman" w:cs="Times New Roman"/>
          <w:b/>
          <w:sz w:val="24"/>
          <w:szCs w:val="24"/>
        </w:rPr>
      </w:pPr>
    </w:p>
    <w:p w14:paraId="38D813B1"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r w:rsidRPr="00004853">
        <w:rPr>
          <w:rFonts w:ascii="Times New Roman" w:eastAsia="Times New Roman" w:hAnsi="Times New Roman" w:cs="Times New Roman"/>
          <w:b/>
          <w:sz w:val="24"/>
          <w:szCs w:val="24"/>
        </w:rPr>
        <w:lastRenderedPageBreak/>
        <w:t>Continuarea tratamentului</w:t>
      </w:r>
    </w:p>
    <w:p w14:paraId="547839E0"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 xml:space="preserve">În cazul pacienților în curs de tratament biologic/ sintetic tintit  (inclusiv cei provenind din cazuri pediatrice, terapii inițiate în străinătate sau alte situații justificate, corespunzător documentate), tratamentul se continuă dacă pacientul este responder, inregistrand o reducere a scorului ASDAS ≥ 1,1 fata de evaluarea initiala. </w:t>
      </w:r>
    </w:p>
    <w:p w14:paraId="235138A5"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In cazul in care nu se inregistreaza un raspuns terapeutic cu o reducere a scorului ASDAS ≥ 1,1, se recomanda schimbarea tratamentului biologic / sintetic tintit administrat, cu un alt preparat biologic / sintetic tintit.</w:t>
      </w:r>
    </w:p>
    <w:p w14:paraId="7DF6C57D"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7F034B69"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Situații speciale la pacienții responderi:</w:t>
      </w:r>
    </w:p>
    <w:p w14:paraId="3C70F6DA" w14:textId="77777777" w:rsidR="00004853" w:rsidRPr="00004853" w:rsidRDefault="00004853" w:rsidP="002161CA">
      <w:pPr>
        <w:numPr>
          <w:ilvl w:val="0"/>
          <w:numId w:val="210"/>
        </w:numPr>
        <w:pBdr>
          <w:top w:val="nil"/>
          <w:left w:val="nil"/>
          <w:bottom w:val="nil"/>
          <w:right w:val="nil"/>
          <w:between w:val="nil"/>
          <w:bar w:val="nil"/>
        </w:pBdr>
        <w:spacing w:after="0" w:line="240" w:lineRule="auto"/>
        <w:ind w:left="284"/>
        <w:jc w:val="both"/>
        <w:rPr>
          <w:rFonts w:ascii="Times New Roman" w:eastAsia="Times New Roman" w:hAnsi="Times New Roman" w:cs="Times New Roman"/>
          <w:sz w:val="24"/>
          <w:szCs w:val="24"/>
          <w:u w:color="000000"/>
          <w:bdr w:val="nil"/>
          <w:lang w:eastAsia="ro-RO"/>
        </w:rPr>
      </w:pPr>
      <w:r w:rsidRPr="00004853">
        <w:rPr>
          <w:rFonts w:ascii="Times New Roman" w:eastAsia="Times New Roman" w:hAnsi="Times New Roman" w:cs="Times New Roman"/>
          <w:sz w:val="24"/>
          <w:szCs w:val="24"/>
          <w:u w:color="000000"/>
          <w:bdr w:val="nil"/>
          <w:lang w:eastAsia="ro-RO"/>
        </w:rPr>
        <w:t>pacienții cu boală severa (prezenta de modificari structurale de osificare sau afectarea articulatiilor coxo-femurale sau manifestari extraarticulare) pot continua tratamentul dacă chiar daca ASDAS este peste 2,1 cu conditia sa fi prezentat o reducere a scorului ASDAS ≥ 1,1 fata de evaluarea initiala</w:t>
      </w:r>
    </w:p>
    <w:p w14:paraId="54BADED6" w14:textId="77777777" w:rsidR="00004853" w:rsidRPr="00004853" w:rsidRDefault="00004853" w:rsidP="002161CA">
      <w:pPr>
        <w:numPr>
          <w:ilvl w:val="0"/>
          <w:numId w:val="210"/>
        </w:numPr>
        <w:pBdr>
          <w:top w:val="nil"/>
          <w:left w:val="nil"/>
          <w:bottom w:val="nil"/>
          <w:right w:val="nil"/>
          <w:between w:val="nil"/>
          <w:bar w:val="nil"/>
        </w:pBdr>
        <w:spacing w:after="0" w:line="240" w:lineRule="auto"/>
        <w:ind w:left="284"/>
        <w:jc w:val="both"/>
        <w:rPr>
          <w:rFonts w:ascii="Times New Roman" w:eastAsia="Times New Roman" w:hAnsi="Times New Roman" w:cs="Times New Roman"/>
          <w:sz w:val="24"/>
          <w:szCs w:val="24"/>
          <w:u w:color="000000"/>
          <w:bdr w:val="nil"/>
          <w:lang w:eastAsia="ro-RO"/>
        </w:rPr>
      </w:pPr>
      <w:r w:rsidRPr="00004853">
        <w:rPr>
          <w:rFonts w:ascii="Times New Roman" w:eastAsia="Times New Roman" w:hAnsi="Times New Roman" w:cs="Times New Roman"/>
          <w:sz w:val="24"/>
          <w:szCs w:val="24"/>
          <w:u w:color="000000"/>
          <w:bdr w:val="nil"/>
          <w:lang w:eastAsia="ro-RO"/>
        </w:rPr>
        <w:t>pacienții care au prezentat raspuns terapeutic dar ulterior, sub tratament înregistrează o creștere a activității bolii, cu depășirea pragului ASDAS de 2,1, dar nu mai mult de 2,5, pot continua tratamentul încă 24 de săptămâni cu reevaluare ulterioară și reîncadrare în responder sau nonresponder.</w:t>
      </w:r>
    </w:p>
    <w:p w14:paraId="2003A930"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477E4A10"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Evoluția bolii va fi strâns monitorizată, clinic și biologic, iar medicul curant va adapta și modifica schema de tratament, utilizând ASDAS ca indicator de evoluție al afecțiunii, ținta terapeutică fiind atingerea unui grad absent sau scăzut de activitate a bolii.</w:t>
      </w:r>
    </w:p>
    <w:p w14:paraId="52EC276C"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48B12B62"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Medicul curant este cel care poate evalua corect gradul de răspuns la terapie și poate încadra cazul ca responder sau nonresponder la tratamentul administrat. Apariția unei reacții adverse poate impune schimbarea terapiei biologice.</w:t>
      </w:r>
    </w:p>
    <w:p w14:paraId="4FDA1D93"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7DAD7B79"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Lipsa de ameliorare a criteriilor enunțate după schimbări succesive ale agenților biologici duce la oprirea tratamentului biologic.</w:t>
      </w:r>
    </w:p>
    <w:p w14:paraId="0366C074"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17F1E069"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p>
    <w:p w14:paraId="353ACD73"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b/>
          <w:sz w:val="24"/>
          <w:szCs w:val="24"/>
        </w:rPr>
        <w:t>Atitudinea la pacienții aflați în stadiul de boală inactivă persistentă</w:t>
      </w:r>
    </w:p>
    <w:p w14:paraId="2BE87C30"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10F0F4E3"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 xml:space="preserve">În conformitate cu recomandările EULAR și ținând cont de preocuparea pentru minimalizarea expunerii la riscurile implicite ale tratamentului biologic/ </w:t>
      </w:r>
      <w:bookmarkStart w:id="28" w:name="_Hlk156213632"/>
      <w:r w:rsidRPr="00004853">
        <w:rPr>
          <w:rFonts w:ascii="Times New Roman" w:eastAsia="Times New Roman" w:hAnsi="Times New Roman" w:cs="Times New Roman"/>
          <w:sz w:val="24"/>
          <w:szCs w:val="24"/>
        </w:rPr>
        <w:t>sintetic tintit</w:t>
      </w:r>
      <w:bookmarkEnd w:id="28"/>
      <w:r w:rsidRPr="00004853">
        <w:rPr>
          <w:rFonts w:ascii="Times New Roman" w:eastAsia="Times New Roman" w:hAnsi="Times New Roman" w:cs="Times New Roman"/>
          <w:sz w:val="24"/>
          <w:szCs w:val="24"/>
        </w:rPr>
        <w:t>, se recomandă ca la pacienții aflați în stadiul de boală inactivă persistentă, cu un scor ASDAS ≤ 1,3 și valori normale VSH și PCR la 2 evaluări succesive (la interval de minimum 6 luni între evaluări) tratamentul biologic administrat să fie redus treptat. Această reducere a expunerii la terapie biologică se face treptat, monitorizând evoluția pacientului, cu posibilitatea revenirii în orice moment la schema inițială în cazul unui puseu evolutiv de boală.</w:t>
      </w:r>
    </w:p>
    <w:p w14:paraId="06EF6BD4"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2A0862CF"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O schemă propusă de reducere a expunerii la agentul biologic se face după cum urmează:</w:t>
      </w:r>
    </w:p>
    <w:p w14:paraId="1EC35AEB" w14:textId="77777777" w:rsidR="00004853" w:rsidRPr="00004853" w:rsidRDefault="00004853" w:rsidP="002161CA">
      <w:pPr>
        <w:numPr>
          <w:ilvl w:val="0"/>
          <w:numId w:val="207"/>
        </w:numPr>
        <w:spacing w:after="0" w:line="240" w:lineRule="auto"/>
        <w:ind w:left="709" w:hanging="425"/>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adalimumabum  original și biosimilar 40 mg injectabil subcutanat se crește intervalul între administrări la 3 săptămâni pentru 6 luni, apoi la o lună, cu condiția păstrării răspunsului terapeutic;</w:t>
      </w:r>
    </w:p>
    <w:p w14:paraId="4783BA4B" w14:textId="77777777" w:rsidR="00004853" w:rsidRPr="00004853" w:rsidRDefault="00004853" w:rsidP="002161CA">
      <w:pPr>
        <w:numPr>
          <w:ilvl w:val="0"/>
          <w:numId w:val="207"/>
        </w:numPr>
        <w:spacing w:after="0" w:line="240" w:lineRule="auto"/>
        <w:ind w:left="709" w:hanging="425"/>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certolizumab pegol: se crește intervalul dintre administrări la 6 săptămâni pentru 6 luni cu condiția păstrării răspunsului terapeutic (schema aplicabilă în cazul în care remisiunea este obținută cu 400 mg sc la 4 săptămâni). Dacă se utilizează 200 mg subcutanat la 2 săptămâni se crește intervalul la 3 săptămâni pentru 6 luni, apoi la 4 săptămâni;</w:t>
      </w:r>
    </w:p>
    <w:p w14:paraId="238EAFAE" w14:textId="77777777" w:rsidR="00004853" w:rsidRPr="00004853" w:rsidRDefault="00004853" w:rsidP="002161CA">
      <w:pPr>
        <w:numPr>
          <w:ilvl w:val="0"/>
          <w:numId w:val="207"/>
        </w:numPr>
        <w:spacing w:after="0" w:line="240" w:lineRule="auto"/>
        <w:ind w:left="709" w:hanging="425"/>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etanerceptum (original sau biosimilar) pentru doza de 50 mg/săpt. injectabil subcutanat - se crește intervalul între administrări la 10 zile timp de 6 luni, apoi la 2 săptămâni, cu condiția păstrării răspunsului terapeutic. Alternativ se poate folosi doza de 25 mg la 5 zile timp de 6 luni, apoi 25 mg/săptămână, cu condiția păstrării răspunsului terapeutic;</w:t>
      </w:r>
    </w:p>
    <w:p w14:paraId="33F67749" w14:textId="77777777" w:rsidR="00004853" w:rsidRPr="00004853" w:rsidRDefault="00004853" w:rsidP="002161CA">
      <w:pPr>
        <w:numPr>
          <w:ilvl w:val="0"/>
          <w:numId w:val="207"/>
        </w:numPr>
        <w:spacing w:after="0" w:line="240" w:lineRule="auto"/>
        <w:ind w:left="709" w:hanging="425"/>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lastRenderedPageBreak/>
        <w:t xml:space="preserve">golimumabum 50 mg injectabil subcutanat </w:t>
      </w:r>
      <w:bookmarkStart w:id="29" w:name="_Hlk100962417"/>
      <w:r w:rsidRPr="00004853">
        <w:rPr>
          <w:rFonts w:ascii="Times New Roman" w:eastAsia="Times New Roman" w:hAnsi="Times New Roman" w:cs="Times New Roman"/>
          <w:sz w:val="24"/>
          <w:szCs w:val="24"/>
        </w:rPr>
        <w:t xml:space="preserve">se crește intervalul la 6 săptămâni pentru 6 luni, apoi la 2 luni, în aceeași dată a lunii, </w:t>
      </w:r>
      <w:bookmarkStart w:id="30" w:name="_Hlk100962494"/>
      <w:r w:rsidRPr="00004853">
        <w:rPr>
          <w:rFonts w:ascii="Times New Roman" w:eastAsia="Times New Roman" w:hAnsi="Times New Roman" w:cs="Times New Roman"/>
          <w:sz w:val="24"/>
          <w:szCs w:val="24"/>
        </w:rPr>
        <w:t>cu condiția păstrării răspunsului terapeutic;</w:t>
      </w:r>
      <w:bookmarkEnd w:id="29"/>
    </w:p>
    <w:bookmarkEnd w:id="30"/>
    <w:p w14:paraId="114AF387" w14:textId="77777777" w:rsidR="00004853" w:rsidRPr="00004853" w:rsidRDefault="00004853" w:rsidP="002161CA">
      <w:pPr>
        <w:numPr>
          <w:ilvl w:val="0"/>
          <w:numId w:val="195"/>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004853">
        <w:rPr>
          <w:rFonts w:ascii="Times New Roman" w:eastAsia="Times New Roman" w:hAnsi="Times New Roman" w:cs="Times New Roman"/>
          <w:sz w:val="24"/>
          <w:szCs w:val="24"/>
          <w:u w:color="000000"/>
          <w:bdr w:val="nil"/>
          <w:lang w:eastAsia="ro-RO"/>
        </w:rPr>
        <w:t xml:space="preserve">infliximabum (original sau biosimilar) utilizat în doza care a indus remisiunea - se crește intervalul între perfuzii la 10 săptămâni timp de 6 luni, apoi la 12 săptămâni, fără a se depăși intervalul de 16 săptămâni între administrări. Infliximab administrat subcutanat: </w:t>
      </w:r>
      <w:r w:rsidRPr="00004853">
        <w:rPr>
          <w:rFonts w:ascii="Times New Roman" w:eastAsia="Calibri" w:hAnsi="Times New Roman" w:cs="Times New Roman"/>
          <w:sz w:val="24"/>
          <w:szCs w:val="24"/>
          <w:u w:color="000000"/>
          <w:bdr w:val="nil"/>
          <w:lang w:eastAsia="ro-RO"/>
        </w:rPr>
        <w:t>se creşte intervalul între administrări la 3 săptămâni timp de 6 luni, apoi la o lună, cu condiţia păstrării răspunsului terapeutic.</w:t>
      </w:r>
    </w:p>
    <w:p w14:paraId="036D4AE1" w14:textId="77777777" w:rsidR="00004853" w:rsidRPr="00004853" w:rsidRDefault="00004853" w:rsidP="002161CA">
      <w:pPr>
        <w:numPr>
          <w:ilvl w:val="0"/>
          <w:numId w:val="207"/>
        </w:numPr>
        <w:tabs>
          <w:tab w:val="left" w:pos="709"/>
        </w:tabs>
        <w:spacing w:after="0" w:line="240" w:lineRule="auto"/>
        <w:ind w:left="709" w:hanging="425"/>
        <w:jc w:val="both"/>
        <w:rPr>
          <w:rFonts w:ascii="Times New Roman" w:eastAsia="Times New Roman" w:hAnsi="Times New Roman" w:cs="Times New Roman"/>
          <w:sz w:val="24"/>
          <w:szCs w:val="24"/>
        </w:rPr>
      </w:pPr>
      <w:bookmarkStart w:id="31" w:name="_Hlk100962441"/>
      <w:r w:rsidRPr="00004853">
        <w:rPr>
          <w:rFonts w:ascii="Times New Roman" w:eastAsia="Times New Roman" w:hAnsi="Times New Roman" w:cs="Times New Roman"/>
          <w:sz w:val="24"/>
          <w:szCs w:val="24"/>
        </w:rPr>
        <w:t>secukinumabum150 mg/lună subcutanat</w:t>
      </w:r>
      <w:r w:rsidRPr="00004853">
        <w:rPr>
          <w:rFonts w:ascii="Calibri" w:eastAsia="Calibri" w:hAnsi="Calibri" w:cs="Times New Roman"/>
        </w:rPr>
        <w:t xml:space="preserve"> </w:t>
      </w:r>
      <w:bookmarkEnd w:id="31"/>
      <w:r w:rsidRPr="00004853">
        <w:rPr>
          <w:rFonts w:ascii="Times New Roman" w:eastAsia="Times New Roman" w:hAnsi="Times New Roman" w:cs="Times New Roman"/>
          <w:sz w:val="24"/>
          <w:szCs w:val="24"/>
        </w:rPr>
        <w:t>se crește intervalul la 6 săptămâni pentru 6 luni, apoi la 2 luni, în aceeași dată a lunii, cu condiția păstrării răspunsului terapeutic; pentru secukinumabum 300 mg/lună subcutanat se poate reduce doza la 150 mg/lună subcutanat, cu condiția păstrării răspunsului terapeutic.</w:t>
      </w:r>
    </w:p>
    <w:p w14:paraId="12DE3C22" w14:textId="77777777" w:rsidR="00004853" w:rsidRPr="00004853" w:rsidRDefault="00004853" w:rsidP="002161CA">
      <w:pPr>
        <w:numPr>
          <w:ilvl w:val="0"/>
          <w:numId w:val="207"/>
        </w:numPr>
        <w:tabs>
          <w:tab w:val="left" w:pos="709"/>
        </w:tabs>
        <w:spacing w:after="0" w:line="240" w:lineRule="auto"/>
        <w:ind w:left="709" w:hanging="425"/>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ixekizumab 80 mg: injectabil subcutanat se crește intervalul la 6 săptămâni pentru 6 luni, apoi la 2 luni, în aceeași dată a lunii, cu condiția păstrării răspunsului terapeutic</w:t>
      </w:r>
    </w:p>
    <w:p w14:paraId="72B5A623" w14:textId="77777777" w:rsidR="00004853" w:rsidRPr="00004853" w:rsidRDefault="00004853" w:rsidP="002161CA">
      <w:pPr>
        <w:numPr>
          <w:ilvl w:val="0"/>
          <w:numId w:val="207"/>
        </w:numPr>
        <w:tabs>
          <w:tab w:val="left" w:pos="709"/>
        </w:tabs>
        <w:spacing w:after="0" w:line="240" w:lineRule="auto"/>
        <w:ind w:left="709" w:hanging="425"/>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upadacitinib 15 mg se administreaza 1 cp o data la 2 zile, cu condiția păstrării răspunsului terapeutic</w:t>
      </w:r>
    </w:p>
    <w:p w14:paraId="3DB378FD"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p>
    <w:p w14:paraId="29354785"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b/>
          <w:sz w:val="24"/>
          <w:szCs w:val="24"/>
        </w:rPr>
        <w:t>Criterii de excludere</w:t>
      </w:r>
      <w:r w:rsidRPr="00004853">
        <w:rPr>
          <w:rFonts w:ascii="Times New Roman" w:eastAsia="Times New Roman" w:hAnsi="Times New Roman" w:cs="Times New Roman"/>
          <w:sz w:val="24"/>
          <w:szCs w:val="24"/>
        </w:rPr>
        <w:t xml:space="preserve"> a pacienților din tratamentul cu terapii biologice/ sintetice tintite sau contraindicații pentru acestea</w:t>
      </w:r>
    </w:p>
    <w:p w14:paraId="7C058956"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pacienți cu infecții severe (actuale, netratate) precum (dar nu limitativ): stări septice, abcese, tuberculoză activă, infecții oportuniste sau orice alte infecții considerate semnificative în opinia medicului curant;</w:t>
      </w:r>
    </w:p>
    <w:p w14:paraId="7B72A824"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tratamentul biologic este contraindicat la pacienții cu infecții active cu VHB și utilizat cu prudență la cei cu infecție cronică VHC, cu monitorizare atentă. În ambele situații de infecție virală B sau C decizia de inițiere/continuare a terapiei impune avizul medicului infecționist sau gastroenterolog;</w:t>
      </w:r>
    </w:p>
    <w:p w14:paraId="78A96FAD"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 xml:space="preserve">antecedente de hipersensibilitate la adalimumab original și biosimilar, certolizumab, etanercept (original sau biosimilar), golimumab, infliximab (original sau biosimilar), secukinumab, ixekizumab, </w:t>
      </w:r>
      <w:bookmarkStart w:id="32" w:name="_Hlk156001160"/>
      <w:r w:rsidRPr="00004853">
        <w:rPr>
          <w:rFonts w:ascii="Times New Roman" w:eastAsia="Times New Roman" w:hAnsi="Times New Roman" w:cs="Times New Roman"/>
          <w:sz w:val="24"/>
          <w:szCs w:val="24"/>
        </w:rPr>
        <w:t xml:space="preserve">upadacitinib </w:t>
      </w:r>
      <w:bookmarkEnd w:id="32"/>
      <w:r w:rsidRPr="00004853">
        <w:rPr>
          <w:rFonts w:ascii="Times New Roman" w:eastAsia="Times New Roman" w:hAnsi="Times New Roman" w:cs="Times New Roman"/>
          <w:sz w:val="24"/>
          <w:szCs w:val="24"/>
        </w:rPr>
        <w:t>la proteine murine sau la oricare dintre excipienții produsului folosit;</w:t>
      </w:r>
    </w:p>
    <w:p w14:paraId="172E30C4"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sarcina/alăptarea; la pacienții de vârstă fertilă eventualitatea unei sarcini va fi atent discutată anterior concepției împreună cu medicul curant și medicul de obstetrică-ginecologie; pentru pacienții care doresc să procreeze, medicul curant va ține cont de informațiile din rezumatul caracteristicilor produsului pentru certolizumab pegol;</w:t>
      </w:r>
    </w:p>
    <w:p w14:paraId="62119EDA"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pacienți cu stări de imunodeficiență severă;</w:t>
      </w:r>
    </w:p>
    <w:p w14:paraId="5907EE41"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administrarea concomitentă a vaccinurilor cu germeni vii;</w:t>
      </w:r>
    </w:p>
    <w:p w14:paraId="204C2462"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afecțiuni maligne prezente sau afecțiune maligne în antecedente fără avizul oncologic;</w:t>
      </w:r>
    </w:p>
    <w:p w14:paraId="241C853E"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orice contraindicații recunoscute ale terapiilor biologice/ sintetice tintite;</w:t>
      </w:r>
    </w:p>
    <w:p w14:paraId="7530537E"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lipsa/retragerea consimțământului pacientului față de tratament;</w:t>
      </w:r>
    </w:p>
    <w:p w14:paraId="59FFFCE9"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pierderea calității de asigurat;</w:t>
      </w:r>
    </w:p>
    <w:p w14:paraId="4C966577"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în cazul non-aderenței majore la tratament, medicul curant va evalua cauzele acesteia și oportunitatea continuării terapiei biologice/ sintetice tintite, având în vedere îndeplinirea tuturor criteriilor de continuare/modificare a terapiei.</w:t>
      </w:r>
    </w:p>
    <w:p w14:paraId="40BF5282"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pentru infliximab original sau biosimilar: readministrarea după un interval liber de peste 16 săptămâni;</w:t>
      </w:r>
    </w:p>
    <w:p w14:paraId="06CD1B9F"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insuficiență cardiacă congestivă severă (NYHA clasa III/IV), cu excepția etanercept la care se va consulta rezumatul caracteristicilor produsului;</w:t>
      </w:r>
    </w:p>
    <w:p w14:paraId="05A966CD" w14:textId="06B0E0F6"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pentru agenţii anti-TNFα: pacienţi cu lupus sau sindroame lupus-like.</w:t>
      </w:r>
    </w:p>
    <w:p w14:paraId="4ED97740" w14:textId="77777777" w:rsidR="00004853" w:rsidRPr="00004853" w:rsidRDefault="00004853" w:rsidP="002161CA">
      <w:pPr>
        <w:numPr>
          <w:ilvl w:val="1"/>
          <w:numId w:val="234"/>
        </w:numPr>
        <w:spacing w:after="0" w:line="240" w:lineRule="auto"/>
        <w:ind w:left="426" w:hanging="426"/>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pentru upadacitinib: tratamentul nu trebuie iniţiat sau trebuie oprit temporar în cazul pacienţilor cu valori ale numarului absolut de neutrofile &lt; 1 x 10</w:t>
      </w:r>
      <w:r w:rsidRPr="00004853">
        <w:rPr>
          <w:rFonts w:ascii="Times New Roman" w:eastAsia="Times New Roman" w:hAnsi="Times New Roman" w:cs="Times New Roman"/>
          <w:sz w:val="24"/>
          <w:szCs w:val="24"/>
          <w:vertAlign w:val="superscript"/>
        </w:rPr>
        <w:t xml:space="preserve">9 </w:t>
      </w:r>
      <w:r w:rsidRPr="00004853">
        <w:rPr>
          <w:rFonts w:ascii="Times New Roman" w:eastAsia="Times New Roman" w:hAnsi="Times New Roman" w:cs="Times New Roman"/>
          <w:sz w:val="24"/>
          <w:szCs w:val="24"/>
        </w:rPr>
        <w:t>celule/L, numarului absolut de limfocite &lt; 0,5 x 10</w:t>
      </w:r>
      <w:r w:rsidRPr="00004853">
        <w:rPr>
          <w:rFonts w:ascii="Times New Roman" w:eastAsia="Times New Roman" w:hAnsi="Times New Roman" w:cs="Times New Roman"/>
          <w:sz w:val="24"/>
          <w:szCs w:val="24"/>
          <w:vertAlign w:val="superscript"/>
        </w:rPr>
        <w:t>9</w:t>
      </w:r>
      <w:r w:rsidRPr="00004853">
        <w:rPr>
          <w:rFonts w:ascii="Times New Roman" w:eastAsia="Times New Roman" w:hAnsi="Times New Roman" w:cs="Times New Roman"/>
          <w:sz w:val="24"/>
          <w:szCs w:val="24"/>
        </w:rPr>
        <w:t xml:space="preserve"> celule/L sau valori ale hemoglobinei &lt; 8 g/dL, insuficiență hepatică severă (clasă Child-Pugh C).</w:t>
      </w:r>
    </w:p>
    <w:p w14:paraId="07C0B59C"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4AB30479" w14:textId="77777777" w:rsidR="00004853" w:rsidRDefault="00004853" w:rsidP="00004853">
      <w:pPr>
        <w:spacing w:after="0" w:line="240" w:lineRule="auto"/>
        <w:jc w:val="both"/>
        <w:rPr>
          <w:rFonts w:ascii="Times New Roman" w:eastAsia="Times New Roman" w:hAnsi="Times New Roman" w:cs="Times New Roman"/>
          <w:b/>
          <w:sz w:val="24"/>
          <w:szCs w:val="24"/>
        </w:rPr>
      </w:pPr>
    </w:p>
    <w:p w14:paraId="50BF7E42" w14:textId="77777777" w:rsidR="00004853" w:rsidRDefault="00004853" w:rsidP="00004853">
      <w:pPr>
        <w:spacing w:after="0" w:line="240" w:lineRule="auto"/>
        <w:jc w:val="both"/>
        <w:rPr>
          <w:rFonts w:ascii="Times New Roman" w:eastAsia="Times New Roman" w:hAnsi="Times New Roman" w:cs="Times New Roman"/>
          <w:b/>
          <w:sz w:val="24"/>
          <w:szCs w:val="24"/>
        </w:rPr>
      </w:pPr>
    </w:p>
    <w:p w14:paraId="0703CF9B" w14:textId="77777777" w:rsidR="00004853" w:rsidRPr="00004853" w:rsidRDefault="00004853" w:rsidP="00004853">
      <w:pPr>
        <w:spacing w:after="0" w:line="240" w:lineRule="auto"/>
        <w:jc w:val="both"/>
        <w:rPr>
          <w:rFonts w:ascii="Times New Roman" w:eastAsia="Times New Roman" w:hAnsi="Times New Roman" w:cs="Times New Roman"/>
          <w:b/>
          <w:sz w:val="24"/>
          <w:szCs w:val="24"/>
        </w:rPr>
      </w:pPr>
      <w:r w:rsidRPr="00004853">
        <w:rPr>
          <w:rFonts w:ascii="Times New Roman" w:eastAsia="Times New Roman" w:hAnsi="Times New Roman" w:cs="Times New Roman"/>
          <w:b/>
          <w:sz w:val="24"/>
          <w:szCs w:val="24"/>
        </w:rPr>
        <w:lastRenderedPageBreak/>
        <w:t>III. Prescriptori</w:t>
      </w:r>
    </w:p>
    <w:p w14:paraId="38402E0C"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Medicul de specialitate care are dreptul de a prescrie tratament specific în conformitate cu Hotărârea Guvernului nr. 720/2008 pentru aprobarea Listei cuprinzând denumirile comune internaționale corespunzătoare medicamentelor de care beneficiază asigurații, cu sau fără contribuție personală, pe bază de prescripție medicală, în sistemul de asigurări sociale de sănătate, precum și denumirile comune internaționale corespunzătoare medicamentelor care se acordă în cadrul programelor naționale de sănătate, cu modificările și completările ulterioare, va completa o foaie de observație/fișă medicală care va conține evaluările clinice și de laborator sau imagistice necesare, datele fiind introduse în aplicația informatică Registrul Român de Boli Reumatice.</w:t>
      </w:r>
    </w:p>
    <w:p w14:paraId="113359CE"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Se recomandă înregistrarea următoarelor date, atât la inițierea terapiei, cât și pe parcursul evoluției bolii sub tratament:</w:t>
      </w:r>
    </w:p>
    <w:p w14:paraId="7A08E656"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informații demografice și generale despre pacient;</w:t>
      </w:r>
    </w:p>
    <w:p w14:paraId="42795B6A"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diagnosticul cert de SA;</w:t>
      </w:r>
    </w:p>
    <w:p w14:paraId="44B4DA2F"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istoricul bolii (debut, evoluție, scheme terapeutice anterioare - preparate, doze, data inițierii și data opririi tratamentului, evoluție sub tratament), prezența manifestărilor sistemice sau non-articulare;</w:t>
      </w:r>
    </w:p>
    <w:p w14:paraId="69230D65"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antecedente semnificative și comorbidități;</w:t>
      </w:r>
    </w:p>
    <w:p w14:paraId="00C5D11C"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starea clinică actuală (NAD, NAT, redoare matinală, deficite funcționale);</w:t>
      </w:r>
    </w:p>
    <w:p w14:paraId="3FF3C47D"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BASDAI, ASDAS;</w:t>
      </w:r>
    </w:p>
    <w:p w14:paraId="05C5B46D"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nivelul reactanților de fază acută (VSH, PCR cantitativ);</w:t>
      </w:r>
    </w:p>
    <w:p w14:paraId="0CA75D58"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rezultatele screening-ului pentru tuberculoză (inclusiv rezultat test Quantiferon), avizul medicului pneumolog în cazul unui rezultat pozitiv;</w:t>
      </w:r>
    </w:p>
    <w:p w14:paraId="0BB49EBC"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rezultatele testelor pentru hepatitele virale B și C, avizul medicului gastroenterolog sau infecționist în cazul unui rezultat pozitiv;</w:t>
      </w:r>
    </w:p>
    <w:p w14:paraId="2B3A5AC1"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alte teste de laborator relevante;</w:t>
      </w:r>
    </w:p>
    <w:p w14:paraId="78B86A63"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evaluarea gradului de leziuni osteo-articulare (imagistic: radiologic/IRM);</w:t>
      </w:r>
    </w:p>
    <w:p w14:paraId="55D654B8"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justificarea recomandării tratamentului cu agenți biologici (verificarea îndeplinirii criteriilor de protocol);</w:t>
      </w:r>
    </w:p>
    <w:p w14:paraId="1A7D0152"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 xml:space="preserve">preparatul biologic/ </w:t>
      </w:r>
      <w:bookmarkStart w:id="33" w:name="_Hlk156001057"/>
      <w:r w:rsidRPr="00004853">
        <w:rPr>
          <w:rFonts w:ascii="Times New Roman" w:eastAsia="Times New Roman" w:hAnsi="Times New Roman" w:cs="Times New Roman"/>
          <w:sz w:val="24"/>
          <w:szCs w:val="24"/>
        </w:rPr>
        <w:t>sintetic tintit</w:t>
      </w:r>
      <w:bookmarkEnd w:id="33"/>
      <w:r w:rsidRPr="00004853">
        <w:rPr>
          <w:rFonts w:ascii="Times New Roman" w:eastAsia="Times New Roman" w:hAnsi="Times New Roman" w:cs="Times New Roman"/>
          <w:sz w:val="24"/>
          <w:szCs w:val="24"/>
        </w:rPr>
        <w:t xml:space="preserve"> recomandat: denumirea comună internațională și denumirea comercială, precizând doza și schema terapeutică;</w:t>
      </w:r>
    </w:p>
    <w:p w14:paraId="48A85E89"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apariția și evoluția în caz reacții adverse post-terapeutice, complicații, comorbidități.</w:t>
      </w:r>
    </w:p>
    <w:p w14:paraId="7E3F8D00"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67113408"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Chestionarul BASDAI pentru evaluarea globală a activității bolii de către pacient este completat direct de pacient pe fișă, acesta semnând și datând personal.</w:t>
      </w:r>
    </w:p>
    <w:p w14:paraId="1A05FAA3"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726D0FFC"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Pentru inițierea terapiei biologice/ sintetice tintite se recomandă obținerea unei a doua opinii de la un medic primar în specialitatea reumatologie dintr-un centru universitar (București, Iași, Cluj, Târgu Mureș, Constanța, Craiova, Timișoara) privind diagnosticul, gradul de activitate a bolii și necesitatea instituirii tratamentului biologic/ sintetic tintit .</w:t>
      </w:r>
    </w:p>
    <w:p w14:paraId="5D0B2F68"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1126822D"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Medicul curant are obligația să discute cu pacientul starea evolutivă a bolii, prognosticul și riscurile de complicații, justificând indicația de tratament biologic/ sintetic tintit. Vor fi detaliate atât beneficiile previzibile, cât și limitele și riscurile potențiale ale acestor terapii, vor fi discutate diversele variante de tratament disponibil (preparate și scheme terapeutice), precum și monitorizarea necesară, astfel încât pacientul să fie complet informat asupra tuturor aspectelor legate de tratamentul biologic/ sintetic tintit recomandat.</w:t>
      </w:r>
    </w:p>
    <w:p w14:paraId="0D5CA037"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p>
    <w:p w14:paraId="357B035F" w14:textId="77777777" w:rsidR="00004853" w:rsidRPr="00004853" w:rsidRDefault="00004853" w:rsidP="00004853">
      <w:pPr>
        <w:spacing w:after="0" w:line="240" w:lineRule="auto"/>
        <w:jc w:val="both"/>
        <w:rPr>
          <w:rFonts w:ascii="Times New Roman" w:eastAsia="Times New Roman" w:hAnsi="Times New Roman" w:cs="Times New Roman"/>
          <w:sz w:val="24"/>
          <w:szCs w:val="24"/>
        </w:rPr>
      </w:pPr>
      <w:r w:rsidRPr="00004853">
        <w:rPr>
          <w:rFonts w:ascii="Times New Roman" w:eastAsia="Times New Roman" w:hAnsi="Times New Roman" w:cs="Times New Roman"/>
          <w:sz w:val="24"/>
          <w:szCs w:val="24"/>
        </w:rPr>
        <w:t>Medicul curant va solicita pacientului să semneze o declarație de consimțământ informat privind tratamentul recomandat, care va include în clar denumirea comună internațională și numele comercial al preparatului recomandat și va fi semnată și datată personal de către pacient. Consimțământul este obligatoriu la inițierea tratamentului biologic/ sintetic tintit, precum și pe parcursul acestuia, dacă: se schimbă schema terapeutică (denumirea comună internațională sau preparat comercial, doza sau frecvența de administrare) sau pacientul trece în grija altui medic curant. Medicul curant are obligația de a păstra originalul consimțământului informat.”</w:t>
      </w:r>
    </w:p>
    <w:p w14:paraId="0DAF68CA" w14:textId="77777777" w:rsidR="009B5A01" w:rsidRPr="0049126A" w:rsidRDefault="009B5A01"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7E87A04C" w14:textId="19BFFAAF" w:rsidR="00A42AE3" w:rsidRPr="00004853" w:rsidRDefault="00A42AE3" w:rsidP="00C26280">
      <w:pPr>
        <w:pStyle w:val="ListParagraph"/>
        <w:numPr>
          <w:ilvl w:val="0"/>
          <w:numId w:val="9"/>
        </w:numPr>
        <w:tabs>
          <w:tab w:val="left" w:pos="426"/>
        </w:tabs>
        <w:jc w:val="both"/>
        <w:rPr>
          <w:rFonts w:eastAsia="Arial"/>
          <w:b/>
          <w:bCs/>
          <w:color w:val="FF0000"/>
          <w:lang w:val="en-US"/>
        </w:rPr>
      </w:pPr>
      <w:r w:rsidRPr="00004853">
        <w:rPr>
          <w:rFonts w:eastAsia="Arial"/>
          <w:b/>
          <w:bCs/>
          <w:color w:val="FF0000"/>
          <w:lang w:val="en-US"/>
        </w:rPr>
        <w:lastRenderedPageBreak/>
        <w:t>La anexa nr. 2, protocolul terapeutic corespunzător poziţiei nr. 18 cod (L043M): POLIARTRITA REUMATOIDĂ - AGENŢI BIOLOGICI: INFLIXIMABUM</w:t>
      </w:r>
      <w:r w:rsidRPr="00004853">
        <w:rPr>
          <w:rFonts w:eastAsia="Arial"/>
          <w:b/>
          <w:bCs/>
          <w:color w:val="FF0000"/>
          <w:vertAlign w:val="superscript"/>
          <w:lang w:val="en-US"/>
        </w:rPr>
        <w:t>**1</w:t>
      </w:r>
      <w:r w:rsidRPr="00004853">
        <w:rPr>
          <w:rFonts w:eastAsia="Arial"/>
          <w:b/>
          <w:bCs/>
          <w:color w:val="FF0000"/>
          <w:lang w:val="en-US"/>
        </w:rPr>
        <w:t xml:space="preserve"> (ORIGINAL ŞI BIOSIMILAR), ETANERCEPTUM</w:t>
      </w:r>
      <w:r w:rsidRPr="00004853">
        <w:rPr>
          <w:rFonts w:eastAsia="Arial"/>
          <w:b/>
          <w:bCs/>
          <w:color w:val="FF0000"/>
          <w:vertAlign w:val="superscript"/>
          <w:lang w:val="en-US"/>
        </w:rPr>
        <w:t>**1</w:t>
      </w:r>
      <w:r w:rsidRPr="00004853">
        <w:rPr>
          <w:rFonts w:eastAsia="Arial"/>
          <w:b/>
          <w:bCs/>
          <w:color w:val="FF0000"/>
          <w:lang w:val="en-US"/>
        </w:rPr>
        <w:t xml:space="preserve"> (ORIGINAL ŞI BIOSIMILAR), ADALIMUMABUM</w:t>
      </w:r>
      <w:r w:rsidRPr="00004853">
        <w:rPr>
          <w:rFonts w:eastAsia="Arial"/>
          <w:b/>
          <w:bCs/>
          <w:color w:val="FF0000"/>
          <w:vertAlign w:val="superscript"/>
          <w:lang w:val="en-US"/>
        </w:rPr>
        <w:t>**1</w:t>
      </w:r>
      <w:r w:rsidRPr="00004853">
        <w:rPr>
          <w:rFonts w:eastAsia="Arial"/>
          <w:b/>
          <w:bCs/>
          <w:color w:val="FF0000"/>
          <w:lang w:val="en-US"/>
        </w:rPr>
        <w:t xml:space="preserve"> (ORIGINAL ŞI BIOSIMILAR), GOLIMUMABUM</w:t>
      </w:r>
      <w:r w:rsidRPr="00004853">
        <w:rPr>
          <w:rFonts w:eastAsia="Arial"/>
          <w:b/>
          <w:bCs/>
          <w:color w:val="FF0000"/>
          <w:vertAlign w:val="superscript"/>
          <w:lang w:val="en-US"/>
        </w:rPr>
        <w:t>**1</w:t>
      </w:r>
      <w:r w:rsidRPr="00004853">
        <w:rPr>
          <w:rFonts w:eastAsia="Arial"/>
          <w:b/>
          <w:bCs/>
          <w:color w:val="FF0000"/>
          <w:lang w:val="en-US"/>
        </w:rPr>
        <w:t>, CERTOLIZUMABUM</w:t>
      </w:r>
      <w:r w:rsidRPr="00004853">
        <w:rPr>
          <w:rFonts w:eastAsia="Arial"/>
          <w:b/>
          <w:bCs/>
          <w:color w:val="FF0000"/>
          <w:vertAlign w:val="superscript"/>
          <w:lang w:val="en-US"/>
        </w:rPr>
        <w:t>**1</w:t>
      </w:r>
      <w:r w:rsidRPr="00004853">
        <w:rPr>
          <w:rFonts w:eastAsia="Arial"/>
          <w:b/>
          <w:bCs/>
          <w:color w:val="FF0000"/>
          <w:lang w:val="en-US"/>
        </w:rPr>
        <w:t>, RITUXIMABUM</w:t>
      </w:r>
      <w:r w:rsidRPr="00004853">
        <w:rPr>
          <w:rFonts w:eastAsia="Arial"/>
          <w:b/>
          <w:bCs/>
          <w:color w:val="FF0000"/>
          <w:vertAlign w:val="superscript"/>
          <w:lang w:val="en-US"/>
        </w:rPr>
        <w:t>**1</w:t>
      </w:r>
      <w:r w:rsidRPr="00004853">
        <w:rPr>
          <w:rFonts w:eastAsia="Arial"/>
          <w:b/>
          <w:bCs/>
          <w:color w:val="FF0000"/>
          <w:lang w:val="en-US"/>
        </w:rPr>
        <w:t xml:space="preserve"> (ORIGINAL ŞI BIOSIMILAR), TOCILIZUMABUM</w:t>
      </w:r>
      <w:r w:rsidRPr="00004853">
        <w:rPr>
          <w:rFonts w:eastAsia="Arial"/>
          <w:b/>
          <w:bCs/>
          <w:color w:val="FF0000"/>
          <w:vertAlign w:val="superscript"/>
          <w:lang w:val="en-US"/>
        </w:rPr>
        <w:t>**1</w:t>
      </w:r>
      <w:r w:rsidRPr="00004853">
        <w:rPr>
          <w:rFonts w:eastAsia="Arial"/>
          <w:b/>
          <w:bCs/>
          <w:color w:val="FF0000"/>
          <w:lang w:val="en-US"/>
        </w:rPr>
        <w:t>, ABATACEPTUM</w:t>
      </w:r>
      <w:r w:rsidRPr="00004853">
        <w:rPr>
          <w:rFonts w:eastAsia="Arial"/>
          <w:b/>
          <w:bCs/>
          <w:color w:val="FF0000"/>
          <w:vertAlign w:val="superscript"/>
          <w:lang w:val="en-US"/>
        </w:rPr>
        <w:t>**1</w:t>
      </w:r>
      <w:r w:rsidRPr="00004853">
        <w:rPr>
          <w:rFonts w:eastAsia="Arial"/>
          <w:b/>
          <w:bCs/>
          <w:color w:val="FF0000"/>
          <w:lang w:val="en-US"/>
        </w:rPr>
        <w:t xml:space="preserve"> ŞI A REMISIVE SINTETICE ŢINTITE: BARICITINIB</w:t>
      </w:r>
      <w:r w:rsidRPr="00004853">
        <w:rPr>
          <w:rFonts w:eastAsia="Arial"/>
          <w:b/>
          <w:bCs/>
          <w:color w:val="FF0000"/>
          <w:vertAlign w:val="superscript"/>
          <w:lang w:val="en-US"/>
        </w:rPr>
        <w:t>**1</w:t>
      </w:r>
      <w:r w:rsidRPr="00004853">
        <w:rPr>
          <w:rFonts w:eastAsia="Arial"/>
          <w:b/>
          <w:bCs/>
          <w:color w:val="FF0000"/>
          <w:lang w:val="en-US"/>
        </w:rPr>
        <w:t>, TOFACITINIB</w:t>
      </w:r>
      <w:r w:rsidRPr="00004853">
        <w:rPr>
          <w:rFonts w:eastAsia="Arial"/>
          <w:b/>
          <w:bCs/>
          <w:color w:val="FF0000"/>
          <w:vertAlign w:val="superscript"/>
          <w:lang w:val="en-US"/>
        </w:rPr>
        <w:t>**1</w:t>
      </w:r>
      <w:r w:rsidRPr="00004853">
        <w:rPr>
          <w:rFonts w:eastAsia="Arial"/>
          <w:b/>
          <w:bCs/>
          <w:color w:val="FF0000"/>
          <w:lang w:val="en-US"/>
        </w:rPr>
        <w:t xml:space="preserve"> se modifică și se înlocuiește cu următorul protocol:</w:t>
      </w:r>
    </w:p>
    <w:p w14:paraId="341D7919" w14:textId="77777777" w:rsidR="00A42AE3" w:rsidRPr="0049126A" w:rsidRDefault="00A42AE3" w:rsidP="00A42AE3">
      <w:pPr>
        <w:pStyle w:val="ListParagraph"/>
        <w:tabs>
          <w:tab w:val="left" w:pos="426"/>
        </w:tabs>
        <w:jc w:val="both"/>
        <w:rPr>
          <w:rFonts w:eastAsia="Arial"/>
          <w:b/>
          <w:bCs/>
          <w:color w:val="auto"/>
          <w:lang w:val="en-US"/>
        </w:rPr>
      </w:pPr>
    </w:p>
    <w:p w14:paraId="38D1192D" w14:textId="77777777" w:rsidR="00004853" w:rsidRPr="00004853" w:rsidRDefault="00004853" w:rsidP="00004853">
      <w:pPr>
        <w:tabs>
          <w:tab w:val="left" w:pos="426"/>
        </w:tabs>
        <w:jc w:val="both"/>
        <w:rPr>
          <w:rFonts w:ascii="Calibri" w:eastAsia="Arial" w:hAnsi="Calibri" w:cs="Times New Roman"/>
          <w:b/>
          <w:bCs/>
        </w:rPr>
      </w:pPr>
    </w:p>
    <w:p w14:paraId="48BF9941" w14:textId="77777777" w:rsidR="00004853" w:rsidRPr="00004853" w:rsidRDefault="00004853" w:rsidP="00004853">
      <w:pPr>
        <w:tabs>
          <w:tab w:val="left" w:pos="426"/>
        </w:tabs>
        <w:jc w:val="both"/>
        <w:rPr>
          <w:rFonts w:ascii="Times New Roman" w:eastAsia="Arial" w:hAnsi="Times New Roman" w:cs="Times New Roman"/>
          <w:b/>
          <w:bCs/>
          <w:sz w:val="24"/>
          <w:szCs w:val="24"/>
          <w:vertAlign w:val="superscript"/>
          <w:lang w:eastAsia="ro-RO"/>
        </w:rPr>
      </w:pPr>
      <w:r w:rsidRPr="00004853">
        <w:rPr>
          <w:rFonts w:ascii="Times New Roman" w:eastAsia="Arial" w:hAnsi="Times New Roman" w:cs="Times New Roman"/>
          <w:b/>
          <w:bCs/>
          <w:sz w:val="24"/>
          <w:szCs w:val="24"/>
        </w:rPr>
        <w:t>”</w:t>
      </w:r>
      <w:r w:rsidRPr="00004853">
        <w:rPr>
          <w:rFonts w:ascii="Times New Roman" w:eastAsia="Arial" w:hAnsi="Times New Roman" w:cs="Times New Roman"/>
          <w:b/>
          <w:bCs/>
          <w:sz w:val="24"/>
          <w:szCs w:val="24"/>
          <w:lang w:eastAsia="ro-RO"/>
        </w:rPr>
        <w:t>Protocol terapeutic corespunzător poziţiei nr. 18 cod (L043M): POLIARTRITA REUMATOIDĂ - AGENŢI BIOLOGICI: INFLIXIMABUM</w:t>
      </w:r>
      <w:r w:rsidRPr="00004853">
        <w:rPr>
          <w:rFonts w:ascii="Times New Roman" w:eastAsia="Arial" w:hAnsi="Times New Roman" w:cs="Times New Roman"/>
          <w:b/>
          <w:bCs/>
          <w:sz w:val="24"/>
          <w:szCs w:val="24"/>
          <w:vertAlign w:val="superscript"/>
          <w:lang w:eastAsia="ro-RO"/>
        </w:rPr>
        <w:t>**1</w:t>
      </w:r>
      <w:r w:rsidRPr="00004853">
        <w:rPr>
          <w:rFonts w:ascii="Times New Roman" w:eastAsia="Arial" w:hAnsi="Times New Roman" w:cs="Times New Roman"/>
          <w:b/>
          <w:bCs/>
          <w:sz w:val="24"/>
          <w:szCs w:val="24"/>
          <w:lang w:eastAsia="ro-RO"/>
        </w:rPr>
        <w:t xml:space="preserve"> (ORIGINAL ŞI BIOSIMILAR), ETANERCEPTUM</w:t>
      </w:r>
      <w:r w:rsidRPr="00004853">
        <w:rPr>
          <w:rFonts w:ascii="Times New Roman" w:eastAsia="Arial" w:hAnsi="Times New Roman" w:cs="Times New Roman"/>
          <w:b/>
          <w:bCs/>
          <w:sz w:val="24"/>
          <w:szCs w:val="24"/>
          <w:vertAlign w:val="superscript"/>
          <w:lang w:eastAsia="ro-RO"/>
        </w:rPr>
        <w:t>**1</w:t>
      </w:r>
      <w:r w:rsidRPr="00004853">
        <w:rPr>
          <w:rFonts w:ascii="Times New Roman" w:eastAsia="Arial" w:hAnsi="Times New Roman" w:cs="Times New Roman"/>
          <w:b/>
          <w:bCs/>
          <w:sz w:val="24"/>
          <w:szCs w:val="24"/>
          <w:lang w:eastAsia="ro-RO"/>
        </w:rPr>
        <w:t xml:space="preserve"> (ORIGINAL ŞI BIOSIMILAR), ADALIMUMABUM</w:t>
      </w:r>
      <w:r w:rsidRPr="00004853">
        <w:rPr>
          <w:rFonts w:ascii="Times New Roman" w:eastAsia="Arial" w:hAnsi="Times New Roman" w:cs="Times New Roman"/>
          <w:b/>
          <w:bCs/>
          <w:sz w:val="24"/>
          <w:szCs w:val="24"/>
          <w:vertAlign w:val="superscript"/>
          <w:lang w:eastAsia="ro-RO"/>
        </w:rPr>
        <w:t>**1</w:t>
      </w:r>
      <w:r w:rsidRPr="00004853">
        <w:rPr>
          <w:rFonts w:ascii="Times New Roman" w:eastAsia="Arial" w:hAnsi="Times New Roman" w:cs="Times New Roman"/>
          <w:b/>
          <w:bCs/>
          <w:sz w:val="24"/>
          <w:szCs w:val="24"/>
          <w:lang w:eastAsia="ro-RO"/>
        </w:rPr>
        <w:t xml:space="preserve"> (ORIGINAL ŞI BIOSIMILAR), GOLIMUMABUM</w:t>
      </w:r>
      <w:r w:rsidRPr="00004853">
        <w:rPr>
          <w:rFonts w:ascii="Times New Roman" w:eastAsia="Arial" w:hAnsi="Times New Roman" w:cs="Times New Roman"/>
          <w:b/>
          <w:bCs/>
          <w:sz w:val="24"/>
          <w:szCs w:val="24"/>
          <w:vertAlign w:val="superscript"/>
          <w:lang w:eastAsia="ro-RO"/>
        </w:rPr>
        <w:t>**1</w:t>
      </w:r>
      <w:r w:rsidRPr="00004853">
        <w:rPr>
          <w:rFonts w:ascii="Times New Roman" w:eastAsia="Arial" w:hAnsi="Times New Roman" w:cs="Times New Roman"/>
          <w:b/>
          <w:bCs/>
          <w:sz w:val="24"/>
          <w:szCs w:val="24"/>
          <w:lang w:eastAsia="ro-RO"/>
        </w:rPr>
        <w:t>, CERTOLIZUMABUM</w:t>
      </w:r>
      <w:r w:rsidRPr="00004853">
        <w:rPr>
          <w:rFonts w:ascii="Times New Roman" w:eastAsia="Arial" w:hAnsi="Times New Roman" w:cs="Times New Roman"/>
          <w:b/>
          <w:bCs/>
          <w:sz w:val="24"/>
          <w:szCs w:val="24"/>
          <w:vertAlign w:val="superscript"/>
          <w:lang w:eastAsia="ro-RO"/>
        </w:rPr>
        <w:t>**1</w:t>
      </w:r>
      <w:r w:rsidRPr="00004853">
        <w:rPr>
          <w:rFonts w:ascii="Times New Roman" w:eastAsia="Arial" w:hAnsi="Times New Roman" w:cs="Times New Roman"/>
          <w:b/>
          <w:bCs/>
          <w:sz w:val="24"/>
          <w:szCs w:val="24"/>
          <w:lang w:eastAsia="ro-RO"/>
        </w:rPr>
        <w:t>, RITUXIMABUM</w:t>
      </w:r>
      <w:r w:rsidRPr="00004853">
        <w:rPr>
          <w:rFonts w:ascii="Times New Roman" w:eastAsia="Arial" w:hAnsi="Times New Roman" w:cs="Times New Roman"/>
          <w:b/>
          <w:bCs/>
          <w:sz w:val="24"/>
          <w:szCs w:val="24"/>
          <w:vertAlign w:val="superscript"/>
          <w:lang w:eastAsia="ro-RO"/>
        </w:rPr>
        <w:t>**1</w:t>
      </w:r>
      <w:r w:rsidRPr="00004853">
        <w:rPr>
          <w:rFonts w:ascii="Times New Roman" w:eastAsia="Arial" w:hAnsi="Times New Roman" w:cs="Times New Roman"/>
          <w:b/>
          <w:bCs/>
          <w:sz w:val="24"/>
          <w:szCs w:val="24"/>
          <w:lang w:eastAsia="ro-RO"/>
        </w:rPr>
        <w:t xml:space="preserve"> (ORIGINAL ŞI BIOSIMILAR), TOCILIZUMABUM</w:t>
      </w:r>
      <w:r w:rsidRPr="00004853">
        <w:rPr>
          <w:rFonts w:ascii="Times New Roman" w:eastAsia="Arial" w:hAnsi="Times New Roman" w:cs="Times New Roman"/>
          <w:b/>
          <w:bCs/>
          <w:sz w:val="24"/>
          <w:szCs w:val="24"/>
          <w:vertAlign w:val="superscript"/>
          <w:lang w:eastAsia="ro-RO"/>
        </w:rPr>
        <w:t>**1</w:t>
      </w:r>
      <w:r w:rsidRPr="00004853">
        <w:rPr>
          <w:rFonts w:ascii="Times New Roman" w:eastAsia="Arial" w:hAnsi="Times New Roman" w:cs="Times New Roman"/>
          <w:b/>
          <w:bCs/>
          <w:sz w:val="24"/>
          <w:szCs w:val="24"/>
          <w:lang w:eastAsia="ro-RO"/>
        </w:rPr>
        <w:t>, ABATACEPTUM</w:t>
      </w:r>
      <w:r w:rsidRPr="00004853">
        <w:rPr>
          <w:rFonts w:ascii="Times New Roman" w:eastAsia="Arial" w:hAnsi="Times New Roman" w:cs="Times New Roman"/>
          <w:b/>
          <w:bCs/>
          <w:sz w:val="24"/>
          <w:szCs w:val="24"/>
          <w:vertAlign w:val="superscript"/>
          <w:lang w:eastAsia="ro-RO"/>
        </w:rPr>
        <w:t>**1</w:t>
      </w:r>
      <w:r w:rsidRPr="00004853">
        <w:rPr>
          <w:rFonts w:ascii="Times New Roman" w:eastAsia="Arial" w:hAnsi="Times New Roman" w:cs="Times New Roman"/>
          <w:b/>
          <w:bCs/>
          <w:sz w:val="24"/>
          <w:szCs w:val="24"/>
          <w:lang w:eastAsia="ro-RO"/>
        </w:rPr>
        <w:t>ŞI REMISIVE SINTETICE ŢINTITE: BARICITINIBUM</w:t>
      </w:r>
      <w:r w:rsidRPr="00004853">
        <w:rPr>
          <w:rFonts w:ascii="Times New Roman" w:eastAsia="Arial" w:hAnsi="Times New Roman" w:cs="Times New Roman"/>
          <w:b/>
          <w:bCs/>
          <w:sz w:val="24"/>
          <w:szCs w:val="24"/>
          <w:vertAlign w:val="superscript"/>
          <w:lang w:eastAsia="ro-RO"/>
        </w:rPr>
        <w:t>**1</w:t>
      </w:r>
      <w:r w:rsidRPr="00004853">
        <w:rPr>
          <w:rFonts w:ascii="Times New Roman" w:eastAsia="Arial" w:hAnsi="Times New Roman" w:cs="Times New Roman"/>
          <w:b/>
          <w:bCs/>
          <w:sz w:val="24"/>
          <w:szCs w:val="24"/>
          <w:lang w:eastAsia="ro-RO"/>
        </w:rPr>
        <w:t>, TOFACITINIBUM</w:t>
      </w:r>
      <w:r w:rsidRPr="00004853">
        <w:rPr>
          <w:rFonts w:ascii="Times New Roman" w:eastAsia="Arial" w:hAnsi="Times New Roman" w:cs="Times New Roman"/>
          <w:b/>
          <w:bCs/>
          <w:sz w:val="24"/>
          <w:szCs w:val="24"/>
          <w:vertAlign w:val="superscript"/>
          <w:lang w:eastAsia="ro-RO"/>
        </w:rPr>
        <w:t>**1</w:t>
      </w:r>
      <w:r w:rsidRPr="00004853">
        <w:rPr>
          <w:rFonts w:ascii="Times New Roman" w:eastAsia="Arial" w:hAnsi="Times New Roman" w:cs="Times New Roman"/>
          <w:b/>
          <w:bCs/>
          <w:sz w:val="24"/>
          <w:szCs w:val="24"/>
          <w:lang w:eastAsia="ro-RO"/>
        </w:rPr>
        <w:t>, UPADACITINIBUM</w:t>
      </w:r>
      <w:r w:rsidRPr="00004853">
        <w:rPr>
          <w:rFonts w:ascii="Times New Roman" w:eastAsia="Arial" w:hAnsi="Times New Roman" w:cs="Times New Roman"/>
          <w:b/>
          <w:bCs/>
          <w:sz w:val="24"/>
          <w:szCs w:val="24"/>
          <w:vertAlign w:val="superscript"/>
          <w:lang w:eastAsia="ro-RO"/>
        </w:rPr>
        <w:t>**1</w:t>
      </w:r>
      <w:r w:rsidRPr="00004853">
        <w:rPr>
          <w:rFonts w:ascii="Times New Roman" w:eastAsia="Arial" w:hAnsi="Times New Roman" w:cs="Times New Roman"/>
          <w:b/>
          <w:bCs/>
          <w:sz w:val="24"/>
          <w:szCs w:val="24"/>
          <w:lang w:eastAsia="ro-RO"/>
        </w:rPr>
        <w:t>, FILGOTINIBUM</w:t>
      </w:r>
      <w:r w:rsidRPr="00004853">
        <w:rPr>
          <w:rFonts w:ascii="Times New Roman" w:eastAsia="Arial" w:hAnsi="Times New Roman" w:cs="Times New Roman"/>
          <w:b/>
          <w:bCs/>
          <w:sz w:val="24"/>
          <w:szCs w:val="24"/>
          <w:vertAlign w:val="superscript"/>
          <w:lang w:eastAsia="ro-RO"/>
        </w:rPr>
        <w:t>**1</w:t>
      </w:r>
    </w:p>
    <w:p w14:paraId="79673E82"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p>
    <w:p w14:paraId="08D5F0A6"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r w:rsidRPr="00004853">
        <w:rPr>
          <w:rFonts w:ascii="Times New Roman" w:eastAsia="Calibri" w:hAnsi="Times New Roman" w:cs="Times New Roman"/>
          <w:b/>
          <w:sz w:val="24"/>
          <w:szCs w:val="24"/>
          <w:lang w:eastAsia="ro-RO"/>
        </w:rPr>
        <w:t>I. Definiţia afecţiunii/Diagnostic/Factori prognostici</w:t>
      </w:r>
    </w:p>
    <w:p w14:paraId="127DC7AE"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7E621A9A"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Poliartrita reumatoidă reprezintă forma cea mai frecventă de reumatism inflamator, afectând aproximativ 1% din populaţia generală. Netratată sau tratată necorespunzător are de obicei o evoluţie severă şi progresiv agravantă, generând durere şi inflamaţie articulară, distrucţii osteocartilaginoase definitive şi handicap funcţional semnificativ. Severitatea bolii rezultă din faptul că peste 50% din pacienţi îşi încetează activitatea profesională în primii 5 ani de boală, iar la 10% din cazuri apare o invaliditate gravă în primii 2 ani de evoluţie. Apariţia unor leziuni viscerale este responsabilă de o scurtare a duratei medii de viaţă cu 5 până la 10 ani. Având în vedere severitatea potenţială şi riscul de complicaţii, diagnosticul PR trebuie confirmat într-un stadiu cât mai precoce şi în acest sens pacientul va fi îndrumat către un medic reumatolog.</w:t>
      </w:r>
    </w:p>
    <w:p w14:paraId="14A36F39"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5CEE9920"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Diagnosticul cert de poliartrită reumatoidă va fi confirmat de medicul reumatolog, cât mai devreme faţă de debutul bolii, conform criteriilor de clasificare EULAR/ACR 2010. Populaţia-ţintă de pacienţi la care se aplică aceste criterii este reprezentată de pacienţi cu cel puţin o articulaţie tumefiată şi la care prezenţa sinovitei nu poate fi explicată de o altă boală. Sunt evaluate cantitativ un număr de 4 domenii, conform tabelului de mai jos, pentru diagnosticul de PR fiind necesare minimum 6 puncte din 10 posibile (Tabel 1).</w:t>
      </w:r>
    </w:p>
    <w:p w14:paraId="48753C0A"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548D162F"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bookmarkStart w:id="34" w:name="_Hlk156155434"/>
      <w:r w:rsidRPr="00004853">
        <w:rPr>
          <w:rFonts w:ascii="Times New Roman" w:eastAsia="Calibri" w:hAnsi="Times New Roman" w:cs="Times New Roman"/>
          <w:sz w:val="24"/>
          <w:szCs w:val="24"/>
          <w:lang w:eastAsia="ro-RO"/>
        </w:rPr>
        <w:t>Conform recomandarilor de management al PR elaborate de EULAR in 2022</w:t>
      </w:r>
      <w:bookmarkEnd w:id="34"/>
      <w:r w:rsidRPr="00004853">
        <w:rPr>
          <w:rFonts w:ascii="Times New Roman" w:eastAsia="Calibri" w:hAnsi="Times New Roman" w:cs="Times New Roman"/>
          <w:sz w:val="24"/>
          <w:szCs w:val="24"/>
          <w:lang w:eastAsia="ro-RO"/>
        </w:rPr>
        <w:t xml:space="preserve">, în aprecierea potenţialului evolutiv al bolii sunt consideraţi </w:t>
      </w:r>
      <w:bookmarkStart w:id="35" w:name="_Hlk156155118"/>
      <w:r w:rsidRPr="00004853">
        <w:rPr>
          <w:rFonts w:ascii="Times New Roman" w:eastAsia="Calibri" w:hAnsi="Times New Roman" w:cs="Times New Roman"/>
          <w:sz w:val="24"/>
          <w:szCs w:val="24"/>
          <w:lang w:eastAsia="ro-RO"/>
        </w:rPr>
        <w:t xml:space="preserve">factori de prognostic nefavorabil </w:t>
      </w:r>
      <w:bookmarkEnd w:id="35"/>
      <w:r w:rsidRPr="00004853">
        <w:rPr>
          <w:rFonts w:ascii="Times New Roman" w:eastAsia="Calibri" w:hAnsi="Times New Roman" w:cs="Times New Roman"/>
          <w:sz w:val="24"/>
          <w:szCs w:val="24"/>
          <w:lang w:eastAsia="ro-RO"/>
        </w:rPr>
        <w:t>următorii:</w:t>
      </w:r>
    </w:p>
    <w:p w14:paraId="4398FF03" w14:textId="77777777" w:rsidR="00004853" w:rsidRPr="00004853" w:rsidRDefault="00004853" w:rsidP="002161CA">
      <w:pPr>
        <w:numPr>
          <w:ilvl w:val="0"/>
          <w:numId w:val="211"/>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 xml:space="preserve">persistenta unui grad moderat sau  ridicat de activitate a bolii, evaluat printr-un indice DAS28 </w:t>
      </w:r>
      <w:r w:rsidRPr="00004853">
        <w:rPr>
          <w:rFonts w:ascii="Times New Roman" w:eastAsia="Calibri" w:hAnsi="Times New Roman" w:cs="Times New Roman"/>
          <w:sz w:val="24"/>
          <w:szCs w:val="24"/>
          <w:u w:val="single" w:color="000000"/>
          <w:bdr w:val="nil"/>
          <w:lang w:eastAsia="ro-RO"/>
        </w:rPr>
        <w:t>&gt;</w:t>
      </w:r>
      <w:r w:rsidRPr="00004853">
        <w:rPr>
          <w:rFonts w:ascii="Times New Roman" w:eastAsia="Calibri" w:hAnsi="Times New Roman" w:cs="Times New Roman"/>
          <w:sz w:val="24"/>
          <w:szCs w:val="24"/>
          <w:u w:color="000000"/>
          <w:bdr w:val="nil"/>
          <w:lang w:eastAsia="ro-RO"/>
        </w:rPr>
        <w:t xml:space="preserve"> 3,2, in ciuda tratamentului cu csDMARDs </w:t>
      </w:r>
    </w:p>
    <w:p w14:paraId="5F7BEC2E" w14:textId="77777777" w:rsidR="00004853" w:rsidRPr="00004853" w:rsidRDefault="00004853" w:rsidP="002161CA">
      <w:pPr>
        <w:numPr>
          <w:ilvl w:val="0"/>
          <w:numId w:val="211"/>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 xml:space="preserve">valori mari ale reactanţilor de fază acută: proteina C reactivă &gt; 5 ori limita superioară a normalului sau VSH &gt; 50 mm/1 h </w:t>
      </w:r>
    </w:p>
    <w:p w14:paraId="3020959A" w14:textId="77777777" w:rsidR="00004853" w:rsidRPr="00004853" w:rsidRDefault="00004853" w:rsidP="002161CA">
      <w:pPr>
        <w:numPr>
          <w:ilvl w:val="0"/>
          <w:numId w:val="211"/>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numărul mare de articulaţii tumefiate (&gt; 5 articulaţii tumefiate)</w:t>
      </w:r>
    </w:p>
    <w:p w14:paraId="6D17F635" w14:textId="77777777" w:rsidR="00004853" w:rsidRPr="00004853" w:rsidRDefault="00004853" w:rsidP="002161CA">
      <w:pPr>
        <w:numPr>
          <w:ilvl w:val="0"/>
          <w:numId w:val="211"/>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un titru înalt al factorilor reumatoizi sau al anticorpilor anti-CCP (de peste 10 ori valoarea normală);</w:t>
      </w:r>
    </w:p>
    <w:p w14:paraId="4B4D311C" w14:textId="77777777" w:rsidR="00004853" w:rsidRPr="00004853" w:rsidRDefault="00004853" w:rsidP="002161CA">
      <w:pPr>
        <w:numPr>
          <w:ilvl w:val="0"/>
          <w:numId w:val="211"/>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eroziuni evidenţiate imagistic (radiografic sau prin ultrasonografie)</w:t>
      </w:r>
    </w:p>
    <w:p w14:paraId="6B61E1B3" w14:textId="77777777" w:rsidR="00004853" w:rsidRPr="00004853" w:rsidRDefault="00004853" w:rsidP="002161CA">
      <w:pPr>
        <w:numPr>
          <w:ilvl w:val="0"/>
          <w:numId w:val="211"/>
        </w:numPr>
        <w:pBdr>
          <w:top w:val="nil"/>
          <w:left w:val="nil"/>
          <w:bottom w:val="nil"/>
          <w:right w:val="nil"/>
          <w:between w:val="nil"/>
          <w:bar w:val="nil"/>
        </w:pBdr>
        <w:spacing w:after="0" w:line="240" w:lineRule="auto"/>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raspunsul insuficient la cel putin 2 preparate csDMARDs</w:t>
      </w:r>
    </w:p>
    <w:p w14:paraId="251C8AC3"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p>
    <w:p w14:paraId="530422B2"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r w:rsidRPr="00004853">
        <w:rPr>
          <w:rFonts w:ascii="Times New Roman" w:eastAsia="Calibri" w:hAnsi="Times New Roman" w:cs="Times New Roman"/>
          <w:b/>
          <w:sz w:val="24"/>
          <w:szCs w:val="24"/>
          <w:lang w:eastAsia="ro-RO"/>
        </w:rPr>
        <w:t>II. Tratamentul remisiv al poliartritei reumatoide, evaluare, criterii de includere şi excludere, scheme terapeutice pentru terapia biologică şi cu remisive sintetice ţintite</w:t>
      </w:r>
    </w:p>
    <w:p w14:paraId="60B3E7EB"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3A490256" w14:textId="2D3D5C4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Tratamentul remisiv (de fond) al poliartritei reumatoide este obligatoriu în toate formele active ale bolii.  </w:t>
      </w:r>
    </w:p>
    <w:p w14:paraId="1DEB6A32"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lastRenderedPageBreak/>
        <w:t>Nomenclatura utilizată în acest protocol respectă recomandările actuale EULAR: terapii remisive sau modificatoare de boală (Disease-Modifying Antirheumatic Drugs - DMARDs), care se clasifică în:</w:t>
      </w:r>
    </w:p>
    <w:p w14:paraId="6B55C88B" w14:textId="77777777" w:rsidR="00004853" w:rsidRPr="00004853" w:rsidRDefault="00004853" w:rsidP="002161CA">
      <w:pPr>
        <w:numPr>
          <w:ilvl w:val="0"/>
          <w:numId w:val="21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remisive sintetice (sDMARDs), cu subtipurile: sintetice convenţionale (</w:t>
      </w:r>
      <w:bookmarkStart w:id="36" w:name="_Hlk156153616"/>
      <w:r w:rsidRPr="00004853">
        <w:rPr>
          <w:rFonts w:ascii="Times New Roman" w:eastAsia="Calibri" w:hAnsi="Times New Roman" w:cs="Times New Roman"/>
          <w:sz w:val="24"/>
          <w:szCs w:val="24"/>
          <w:u w:color="000000"/>
          <w:bdr w:val="nil"/>
          <w:lang w:eastAsia="ro-RO"/>
        </w:rPr>
        <w:t>csDMARDs</w:t>
      </w:r>
      <w:bookmarkEnd w:id="36"/>
      <w:r w:rsidRPr="00004853">
        <w:rPr>
          <w:rFonts w:ascii="Times New Roman" w:eastAsia="Calibri" w:hAnsi="Times New Roman" w:cs="Times New Roman"/>
          <w:sz w:val="24"/>
          <w:szCs w:val="24"/>
          <w:u w:color="000000"/>
          <w:bdr w:val="nil"/>
          <w:lang w:eastAsia="ro-RO"/>
        </w:rPr>
        <w:t>) şi sintetice ţintite (tsDMARDs);</w:t>
      </w:r>
    </w:p>
    <w:p w14:paraId="54FB682B" w14:textId="77777777" w:rsidR="00004853" w:rsidRPr="00004853" w:rsidRDefault="00004853" w:rsidP="002161CA">
      <w:pPr>
        <w:numPr>
          <w:ilvl w:val="0"/>
          <w:numId w:val="21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remisive biologice (bDMARDs), care pot fi originale (boDMARDs) sau biosimilare (bsDMARDs).</w:t>
      </w:r>
    </w:p>
    <w:p w14:paraId="4BD81436"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3B8C263F"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Conform recomandărilor EULAR, revizia 2022, tratamentul cu remisive sintetice convenţionale reprezintă prima linie terapeutică, este obligatoriu în toate formele active ale bolii şi trebuie început cât mai devreme de la stabilirea diagnosticului (ideal în primele 6 săptămâni de la diagnostic).</w:t>
      </w:r>
    </w:p>
    <w:p w14:paraId="0AA4156F"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p>
    <w:tbl>
      <w:tblPr>
        <w:tblW w:w="9781"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7230"/>
        <w:gridCol w:w="2551"/>
      </w:tblGrid>
      <w:tr w:rsidR="00004853" w:rsidRPr="00004853" w14:paraId="779915B8" w14:textId="77777777" w:rsidTr="002130FD">
        <w:tc>
          <w:tcPr>
            <w:tcW w:w="9781" w:type="dxa"/>
            <w:gridSpan w:val="2"/>
            <w:tcBorders>
              <w:top w:val="nil"/>
              <w:left w:val="nil"/>
              <w:bottom w:val="single" w:sz="6" w:space="0" w:color="000000"/>
              <w:right w:val="nil"/>
            </w:tcBorders>
            <w:hideMark/>
          </w:tcPr>
          <w:p w14:paraId="53D6EEEE"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Tabel 1. Criteriile de clasificare a poliartritei reumatoide conform EULAR/ACR 2010</w:t>
            </w:r>
          </w:p>
        </w:tc>
      </w:tr>
      <w:tr w:rsidR="00004853" w:rsidRPr="00004853" w14:paraId="5047F151"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46E33E50"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A. Afectarea articulară</w:t>
            </w:r>
            <w:r w:rsidRPr="00004853">
              <w:rPr>
                <w:rFonts w:ascii="Times New Roman" w:eastAsia="Calibri" w:hAnsi="Times New Roman" w:cs="Times New Roman"/>
                <w:sz w:val="20"/>
                <w:szCs w:val="20"/>
                <w:vertAlign w:val="superscript"/>
                <w:lang w:eastAsia="ro-RO"/>
              </w:rPr>
              <w:t>1)</w:t>
            </w:r>
          </w:p>
        </w:tc>
        <w:tc>
          <w:tcPr>
            <w:tcW w:w="2551" w:type="dxa"/>
            <w:tcBorders>
              <w:top w:val="single" w:sz="6" w:space="0" w:color="000000"/>
              <w:left w:val="single" w:sz="6" w:space="0" w:color="000000"/>
              <w:bottom w:val="single" w:sz="6" w:space="0" w:color="000000"/>
              <w:right w:val="single" w:sz="6" w:space="0" w:color="000000"/>
            </w:tcBorders>
            <w:hideMark/>
          </w:tcPr>
          <w:p w14:paraId="16DA5051"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Puncte</w:t>
            </w:r>
          </w:p>
        </w:tc>
      </w:tr>
      <w:tr w:rsidR="00004853" w:rsidRPr="00004853" w14:paraId="02CDC24D"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73018B9C"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1 articulaţie mare</w:t>
            </w:r>
            <w:r w:rsidRPr="00004853">
              <w:rPr>
                <w:rFonts w:ascii="Times New Roman" w:eastAsia="Calibri" w:hAnsi="Times New Roman" w:cs="Times New Roman"/>
                <w:sz w:val="20"/>
                <w:szCs w:val="20"/>
                <w:vertAlign w:val="superscript"/>
                <w:lang w:eastAsia="ro-RO"/>
              </w:rPr>
              <w:t>2)</w:t>
            </w:r>
          </w:p>
        </w:tc>
        <w:tc>
          <w:tcPr>
            <w:tcW w:w="2551" w:type="dxa"/>
            <w:tcBorders>
              <w:top w:val="single" w:sz="6" w:space="0" w:color="000000"/>
              <w:left w:val="single" w:sz="6" w:space="0" w:color="000000"/>
              <w:bottom w:val="single" w:sz="6" w:space="0" w:color="000000"/>
              <w:right w:val="single" w:sz="6" w:space="0" w:color="000000"/>
            </w:tcBorders>
            <w:hideMark/>
          </w:tcPr>
          <w:p w14:paraId="1D55E20D"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0</w:t>
            </w:r>
          </w:p>
        </w:tc>
      </w:tr>
      <w:tr w:rsidR="00004853" w:rsidRPr="00004853" w14:paraId="4CBBB147"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2AA3B294"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2 - 10 articulaţii mari</w:t>
            </w:r>
          </w:p>
        </w:tc>
        <w:tc>
          <w:tcPr>
            <w:tcW w:w="2551" w:type="dxa"/>
            <w:tcBorders>
              <w:top w:val="single" w:sz="6" w:space="0" w:color="000000"/>
              <w:left w:val="single" w:sz="6" w:space="0" w:color="000000"/>
              <w:bottom w:val="single" w:sz="6" w:space="0" w:color="000000"/>
              <w:right w:val="single" w:sz="6" w:space="0" w:color="000000"/>
            </w:tcBorders>
            <w:hideMark/>
          </w:tcPr>
          <w:p w14:paraId="6506B0DB"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1</w:t>
            </w:r>
          </w:p>
        </w:tc>
      </w:tr>
      <w:tr w:rsidR="00004853" w:rsidRPr="00004853" w14:paraId="075C6FCE"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578CC3F6"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1 - 3 articulaţii mici (cu sau fără afectare a articulaţiilor mari)</w:t>
            </w:r>
            <w:r w:rsidRPr="00004853">
              <w:rPr>
                <w:rFonts w:ascii="Times New Roman" w:eastAsia="Calibri" w:hAnsi="Times New Roman" w:cs="Times New Roman"/>
                <w:sz w:val="20"/>
                <w:szCs w:val="20"/>
                <w:vertAlign w:val="superscript"/>
                <w:lang w:eastAsia="ro-RO"/>
              </w:rPr>
              <w:t>3)</w:t>
            </w:r>
          </w:p>
        </w:tc>
        <w:tc>
          <w:tcPr>
            <w:tcW w:w="2551" w:type="dxa"/>
            <w:tcBorders>
              <w:top w:val="single" w:sz="6" w:space="0" w:color="000000"/>
              <w:left w:val="single" w:sz="6" w:space="0" w:color="000000"/>
              <w:bottom w:val="single" w:sz="6" w:space="0" w:color="000000"/>
              <w:right w:val="single" w:sz="6" w:space="0" w:color="000000"/>
            </w:tcBorders>
            <w:hideMark/>
          </w:tcPr>
          <w:p w14:paraId="4E46A608"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2</w:t>
            </w:r>
          </w:p>
        </w:tc>
      </w:tr>
      <w:tr w:rsidR="00004853" w:rsidRPr="00004853" w14:paraId="00114250"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0039DEB9"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4 - 10 articulaţii mici (cu sau fără afectare a articulaţiilor mari)</w:t>
            </w:r>
          </w:p>
        </w:tc>
        <w:tc>
          <w:tcPr>
            <w:tcW w:w="2551" w:type="dxa"/>
            <w:tcBorders>
              <w:top w:val="single" w:sz="6" w:space="0" w:color="000000"/>
              <w:left w:val="single" w:sz="6" w:space="0" w:color="000000"/>
              <w:bottom w:val="single" w:sz="6" w:space="0" w:color="000000"/>
              <w:right w:val="single" w:sz="6" w:space="0" w:color="000000"/>
            </w:tcBorders>
            <w:hideMark/>
          </w:tcPr>
          <w:p w14:paraId="47220B1D"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3</w:t>
            </w:r>
          </w:p>
        </w:tc>
      </w:tr>
      <w:tr w:rsidR="00004853" w:rsidRPr="00004853" w14:paraId="156478F3"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3129B2B5"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&gt; 10 articulaţii (cu cel puţin o articulaţie mică)</w:t>
            </w:r>
            <w:r w:rsidRPr="00004853">
              <w:rPr>
                <w:rFonts w:ascii="Times New Roman" w:eastAsia="Calibri" w:hAnsi="Times New Roman" w:cs="Times New Roman"/>
                <w:sz w:val="20"/>
                <w:szCs w:val="20"/>
                <w:vertAlign w:val="superscript"/>
                <w:lang w:eastAsia="ro-RO"/>
              </w:rPr>
              <w:t>4)</w:t>
            </w:r>
          </w:p>
        </w:tc>
        <w:tc>
          <w:tcPr>
            <w:tcW w:w="2551" w:type="dxa"/>
            <w:tcBorders>
              <w:top w:val="single" w:sz="6" w:space="0" w:color="000000"/>
              <w:left w:val="single" w:sz="6" w:space="0" w:color="000000"/>
              <w:bottom w:val="single" w:sz="6" w:space="0" w:color="000000"/>
              <w:right w:val="single" w:sz="6" w:space="0" w:color="000000"/>
            </w:tcBorders>
            <w:hideMark/>
          </w:tcPr>
          <w:p w14:paraId="27B993B6"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5</w:t>
            </w:r>
          </w:p>
        </w:tc>
      </w:tr>
      <w:tr w:rsidR="00004853" w:rsidRPr="00004853" w14:paraId="19C3B078"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4A80AEDC"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B. Serologie (cel puţin un test necesar pentru diagnostic)</w:t>
            </w:r>
            <w:r w:rsidRPr="00004853">
              <w:rPr>
                <w:rFonts w:ascii="Times New Roman" w:eastAsia="Calibri" w:hAnsi="Times New Roman" w:cs="Times New Roman"/>
                <w:sz w:val="20"/>
                <w:szCs w:val="20"/>
                <w:vertAlign w:val="superscript"/>
                <w:lang w:eastAsia="ro-RO"/>
              </w:rPr>
              <w:t>5)</w:t>
            </w:r>
          </w:p>
        </w:tc>
        <w:tc>
          <w:tcPr>
            <w:tcW w:w="2551" w:type="dxa"/>
            <w:tcBorders>
              <w:top w:val="single" w:sz="6" w:space="0" w:color="000000"/>
              <w:left w:val="single" w:sz="6" w:space="0" w:color="000000"/>
              <w:bottom w:val="single" w:sz="6" w:space="0" w:color="000000"/>
              <w:right w:val="single" w:sz="6" w:space="0" w:color="000000"/>
            </w:tcBorders>
            <w:hideMark/>
          </w:tcPr>
          <w:p w14:paraId="45C10AAF"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p>
        </w:tc>
      </w:tr>
      <w:tr w:rsidR="00004853" w:rsidRPr="00004853" w14:paraId="616BE949"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0355BDB8"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FR şi anticorpi anti-CCP negativi</w:t>
            </w:r>
          </w:p>
        </w:tc>
        <w:tc>
          <w:tcPr>
            <w:tcW w:w="2551" w:type="dxa"/>
            <w:tcBorders>
              <w:top w:val="single" w:sz="6" w:space="0" w:color="000000"/>
              <w:left w:val="single" w:sz="6" w:space="0" w:color="000000"/>
              <w:bottom w:val="single" w:sz="6" w:space="0" w:color="000000"/>
              <w:right w:val="single" w:sz="6" w:space="0" w:color="000000"/>
            </w:tcBorders>
            <w:hideMark/>
          </w:tcPr>
          <w:p w14:paraId="0B5BF252"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0</w:t>
            </w:r>
          </w:p>
        </w:tc>
      </w:tr>
      <w:tr w:rsidR="00004853" w:rsidRPr="00004853" w14:paraId="300E5567"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03E189E3"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FR sau anticorpi anti-CCP pozitivi în titru mic</w:t>
            </w:r>
          </w:p>
        </w:tc>
        <w:tc>
          <w:tcPr>
            <w:tcW w:w="2551" w:type="dxa"/>
            <w:tcBorders>
              <w:top w:val="single" w:sz="6" w:space="0" w:color="000000"/>
              <w:left w:val="single" w:sz="6" w:space="0" w:color="000000"/>
              <w:bottom w:val="single" w:sz="6" w:space="0" w:color="000000"/>
              <w:right w:val="single" w:sz="6" w:space="0" w:color="000000"/>
            </w:tcBorders>
            <w:hideMark/>
          </w:tcPr>
          <w:p w14:paraId="7E73804F"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2</w:t>
            </w:r>
          </w:p>
        </w:tc>
      </w:tr>
      <w:tr w:rsidR="00004853" w:rsidRPr="00004853" w14:paraId="1B0E8BF3"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30EF3041"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FR sau anticorpi anti-CCP pozitivi în titru mare</w:t>
            </w:r>
          </w:p>
        </w:tc>
        <w:tc>
          <w:tcPr>
            <w:tcW w:w="2551" w:type="dxa"/>
            <w:tcBorders>
              <w:top w:val="single" w:sz="6" w:space="0" w:color="000000"/>
              <w:left w:val="single" w:sz="6" w:space="0" w:color="000000"/>
              <w:bottom w:val="single" w:sz="6" w:space="0" w:color="000000"/>
              <w:right w:val="single" w:sz="6" w:space="0" w:color="000000"/>
            </w:tcBorders>
            <w:hideMark/>
          </w:tcPr>
          <w:p w14:paraId="631AED4D"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3</w:t>
            </w:r>
          </w:p>
        </w:tc>
      </w:tr>
      <w:tr w:rsidR="00004853" w:rsidRPr="00004853" w14:paraId="689F749F"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181BAF1D"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C. Reactanţi de fază acută (cel puţin un test necesar pentru diagnostic)</w:t>
            </w:r>
            <w:r w:rsidRPr="00004853">
              <w:rPr>
                <w:rFonts w:ascii="Times New Roman" w:eastAsia="Calibri" w:hAnsi="Times New Roman" w:cs="Times New Roman"/>
                <w:sz w:val="20"/>
                <w:szCs w:val="20"/>
                <w:vertAlign w:val="superscript"/>
                <w:lang w:eastAsia="ro-RO"/>
              </w:rPr>
              <w:t>6)</w:t>
            </w:r>
          </w:p>
        </w:tc>
        <w:tc>
          <w:tcPr>
            <w:tcW w:w="2551" w:type="dxa"/>
            <w:tcBorders>
              <w:top w:val="single" w:sz="6" w:space="0" w:color="000000"/>
              <w:left w:val="single" w:sz="6" w:space="0" w:color="000000"/>
              <w:bottom w:val="single" w:sz="6" w:space="0" w:color="000000"/>
              <w:right w:val="single" w:sz="6" w:space="0" w:color="000000"/>
            </w:tcBorders>
            <w:hideMark/>
          </w:tcPr>
          <w:p w14:paraId="7919AA19"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p>
        </w:tc>
      </w:tr>
      <w:tr w:rsidR="00004853" w:rsidRPr="00004853" w14:paraId="28A2AB8B"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4849D532"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PCR şi VSH normale</w:t>
            </w:r>
          </w:p>
        </w:tc>
        <w:tc>
          <w:tcPr>
            <w:tcW w:w="2551" w:type="dxa"/>
            <w:tcBorders>
              <w:top w:val="single" w:sz="6" w:space="0" w:color="000000"/>
              <w:left w:val="single" w:sz="6" w:space="0" w:color="000000"/>
              <w:bottom w:val="single" w:sz="6" w:space="0" w:color="000000"/>
              <w:right w:val="single" w:sz="6" w:space="0" w:color="000000"/>
            </w:tcBorders>
            <w:hideMark/>
          </w:tcPr>
          <w:p w14:paraId="5384CC69"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0</w:t>
            </w:r>
          </w:p>
        </w:tc>
      </w:tr>
      <w:tr w:rsidR="00004853" w:rsidRPr="00004853" w14:paraId="2378A416"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039BAD58"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PCR sau VSH crescute</w:t>
            </w:r>
          </w:p>
        </w:tc>
        <w:tc>
          <w:tcPr>
            <w:tcW w:w="2551" w:type="dxa"/>
            <w:tcBorders>
              <w:top w:val="single" w:sz="6" w:space="0" w:color="000000"/>
              <w:left w:val="single" w:sz="6" w:space="0" w:color="000000"/>
              <w:bottom w:val="single" w:sz="6" w:space="0" w:color="000000"/>
              <w:right w:val="single" w:sz="6" w:space="0" w:color="000000"/>
            </w:tcBorders>
            <w:hideMark/>
          </w:tcPr>
          <w:p w14:paraId="0655C524"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1</w:t>
            </w:r>
          </w:p>
        </w:tc>
      </w:tr>
      <w:tr w:rsidR="00004853" w:rsidRPr="00004853" w14:paraId="43469C92"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663BA7B2"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D. Durata simptomelor</w:t>
            </w:r>
            <w:r w:rsidRPr="00004853">
              <w:rPr>
                <w:rFonts w:ascii="Times New Roman" w:eastAsia="Calibri" w:hAnsi="Times New Roman" w:cs="Times New Roman"/>
                <w:sz w:val="20"/>
                <w:szCs w:val="20"/>
                <w:vertAlign w:val="superscript"/>
                <w:lang w:eastAsia="ro-RO"/>
              </w:rPr>
              <w:t>7)</w:t>
            </w:r>
          </w:p>
        </w:tc>
        <w:tc>
          <w:tcPr>
            <w:tcW w:w="2551" w:type="dxa"/>
            <w:tcBorders>
              <w:top w:val="single" w:sz="6" w:space="0" w:color="000000"/>
              <w:left w:val="single" w:sz="6" w:space="0" w:color="000000"/>
              <w:bottom w:val="single" w:sz="6" w:space="0" w:color="000000"/>
              <w:right w:val="single" w:sz="6" w:space="0" w:color="000000"/>
            </w:tcBorders>
            <w:hideMark/>
          </w:tcPr>
          <w:p w14:paraId="199D515A"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p>
        </w:tc>
      </w:tr>
      <w:tr w:rsidR="00004853" w:rsidRPr="00004853" w14:paraId="523A2BD6"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06F173B2"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&lt; 6 săptămâni</w:t>
            </w:r>
          </w:p>
        </w:tc>
        <w:tc>
          <w:tcPr>
            <w:tcW w:w="2551" w:type="dxa"/>
            <w:tcBorders>
              <w:top w:val="single" w:sz="6" w:space="0" w:color="000000"/>
              <w:left w:val="single" w:sz="6" w:space="0" w:color="000000"/>
              <w:bottom w:val="single" w:sz="6" w:space="0" w:color="000000"/>
              <w:right w:val="single" w:sz="6" w:space="0" w:color="000000"/>
            </w:tcBorders>
            <w:hideMark/>
          </w:tcPr>
          <w:p w14:paraId="77F0214B"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0</w:t>
            </w:r>
          </w:p>
        </w:tc>
      </w:tr>
      <w:tr w:rsidR="00004853" w:rsidRPr="00004853" w14:paraId="7CA2204E" w14:textId="77777777" w:rsidTr="002130FD">
        <w:tc>
          <w:tcPr>
            <w:tcW w:w="7230" w:type="dxa"/>
            <w:tcBorders>
              <w:top w:val="single" w:sz="6" w:space="0" w:color="000000"/>
              <w:left w:val="single" w:sz="6" w:space="0" w:color="000000"/>
              <w:bottom w:val="single" w:sz="6" w:space="0" w:color="000000"/>
              <w:right w:val="single" w:sz="6" w:space="0" w:color="000000"/>
            </w:tcBorders>
            <w:hideMark/>
          </w:tcPr>
          <w:p w14:paraId="1CB098AC"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&gt; 6 săptămâni</w:t>
            </w:r>
          </w:p>
        </w:tc>
        <w:tc>
          <w:tcPr>
            <w:tcW w:w="2551" w:type="dxa"/>
            <w:tcBorders>
              <w:top w:val="single" w:sz="6" w:space="0" w:color="000000"/>
              <w:left w:val="single" w:sz="6" w:space="0" w:color="000000"/>
              <w:bottom w:val="single" w:sz="6" w:space="0" w:color="000000"/>
              <w:right w:val="single" w:sz="6" w:space="0" w:color="000000"/>
            </w:tcBorders>
            <w:hideMark/>
          </w:tcPr>
          <w:p w14:paraId="3DDDAF7D"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1</w:t>
            </w:r>
          </w:p>
        </w:tc>
      </w:tr>
      <w:tr w:rsidR="00004853" w:rsidRPr="00004853" w14:paraId="07758EB8" w14:textId="77777777" w:rsidTr="002130FD">
        <w:tc>
          <w:tcPr>
            <w:tcW w:w="9781" w:type="dxa"/>
            <w:gridSpan w:val="2"/>
            <w:tcBorders>
              <w:top w:val="single" w:sz="6" w:space="0" w:color="000000"/>
              <w:left w:val="single" w:sz="6" w:space="0" w:color="000000"/>
              <w:bottom w:val="nil"/>
              <w:right w:val="single" w:sz="6" w:space="0" w:color="000000"/>
            </w:tcBorders>
            <w:hideMark/>
          </w:tcPr>
          <w:p w14:paraId="72BE3EA1"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Note:</w:t>
            </w:r>
          </w:p>
        </w:tc>
      </w:tr>
      <w:tr w:rsidR="00004853" w:rsidRPr="00004853" w14:paraId="08529DB5" w14:textId="77777777" w:rsidTr="002130FD">
        <w:tc>
          <w:tcPr>
            <w:tcW w:w="9781" w:type="dxa"/>
            <w:gridSpan w:val="2"/>
            <w:tcBorders>
              <w:top w:val="nil"/>
              <w:left w:val="single" w:sz="6" w:space="0" w:color="000000"/>
              <w:bottom w:val="nil"/>
              <w:right w:val="single" w:sz="6" w:space="0" w:color="000000"/>
            </w:tcBorders>
            <w:hideMark/>
          </w:tcPr>
          <w:p w14:paraId="43F0CF6F" w14:textId="77777777" w:rsidR="00004853" w:rsidRPr="00004853" w:rsidRDefault="00004853" w:rsidP="002161CA">
            <w:pPr>
              <w:numPr>
                <w:ilvl w:val="0"/>
                <w:numId w:val="23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004853">
              <w:rPr>
                <w:rFonts w:ascii="Times New Roman" w:eastAsia="Calibri" w:hAnsi="Times New Roman" w:cs="Times New Roman"/>
                <w:sz w:val="20"/>
                <w:szCs w:val="20"/>
                <w:u w:color="000000"/>
                <w:bdr w:val="nil"/>
                <w:lang w:eastAsia="ro-RO"/>
              </w:rPr>
              <w:t>afectarea articulară se referă la orice articulaţie dureroasă sau tumefiată la examinare, care pot fi confirmate de evidenţierea imagistică a sinovitei. Primele articulaţii carpo-metacarpiene, primele articulaţii metatarsofalangiene şi articulaţiile interfalangiene distale nu se evaluează.</w:t>
            </w:r>
          </w:p>
        </w:tc>
      </w:tr>
      <w:tr w:rsidR="00004853" w:rsidRPr="00004853" w14:paraId="0E51B654" w14:textId="77777777" w:rsidTr="002130FD">
        <w:tc>
          <w:tcPr>
            <w:tcW w:w="9781" w:type="dxa"/>
            <w:gridSpan w:val="2"/>
            <w:tcBorders>
              <w:top w:val="nil"/>
              <w:left w:val="single" w:sz="6" w:space="0" w:color="000000"/>
              <w:bottom w:val="nil"/>
              <w:right w:val="single" w:sz="6" w:space="0" w:color="000000"/>
            </w:tcBorders>
            <w:hideMark/>
          </w:tcPr>
          <w:p w14:paraId="6478EE10" w14:textId="77777777" w:rsidR="00004853" w:rsidRPr="00004853" w:rsidRDefault="00004853" w:rsidP="002161CA">
            <w:pPr>
              <w:numPr>
                <w:ilvl w:val="0"/>
                <w:numId w:val="23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004853">
              <w:rPr>
                <w:rFonts w:ascii="Times New Roman" w:eastAsia="Calibri" w:hAnsi="Times New Roman" w:cs="Times New Roman"/>
                <w:sz w:val="20"/>
                <w:szCs w:val="20"/>
                <w:u w:color="000000"/>
                <w:bdr w:val="nil"/>
                <w:lang w:eastAsia="ro-RO"/>
              </w:rPr>
              <w:t>articulaţii mari sunt: umerii, coatele, şoldurile, genunchii, articulaţiile tibio-tarsiene.</w:t>
            </w:r>
          </w:p>
        </w:tc>
      </w:tr>
      <w:tr w:rsidR="00004853" w:rsidRPr="00004853" w14:paraId="122B3104" w14:textId="77777777" w:rsidTr="002130FD">
        <w:tc>
          <w:tcPr>
            <w:tcW w:w="9781" w:type="dxa"/>
            <w:gridSpan w:val="2"/>
            <w:tcBorders>
              <w:top w:val="nil"/>
              <w:left w:val="single" w:sz="6" w:space="0" w:color="000000"/>
              <w:bottom w:val="nil"/>
              <w:right w:val="single" w:sz="6" w:space="0" w:color="000000"/>
            </w:tcBorders>
            <w:hideMark/>
          </w:tcPr>
          <w:p w14:paraId="6FCC782C" w14:textId="77777777" w:rsidR="00004853" w:rsidRPr="00004853" w:rsidRDefault="00004853" w:rsidP="002161CA">
            <w:pPr>
              <w:numPr>
                <w:ilvl w:val="0"/>
                <w:numId w:val="23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004853">
              <w:rPr>
                <w:rFonts w:ascii="Times New Roman" w:eastAsia="Calibri" w:hAnsi="Times New Roman" w:cs="Times New Roman"/>
                <w:sz w:val="20"/>
                <w:szCs w:val="20"/>
                <w:u w:color="000000"/>
                <w:bdr w:val="nil"/>
                <w:lang w:eastAsia="ro-RO"/>
              </w:rPr>
              <w:t>articulaţii mici sunt: metacarpofalangiene, interfalangiene proximale, metatarsofalangiene, interfalangiană a policelui, radiocubitocarpiene.</w:t>
            </w:r>
          </w:p>
        </w:tc>
      </w:tr>
      <w:tr w:rsidR="00004853" w:rsidRPr="00004853" w14:paraId="1D2D1F1A" w14:textId="77777777" w:rsidTr="002130FD">
        <w:tc>
          <w:tcPr>
            <w:tcW w:w="9781" w:type="dxa"/>
            <w:gridSpan w:val="2"/>
            <w:tcBorders>
              <w:top w:val="nil"/>
              <w:left w:val="single" w:sz="6" w:space="0" w:color="000000"/>
              <w:bottom w:val="nil"/>
              <w:right w:val="single" w:sz="6" w:space="0" w:color="000000"/>
            </w:tcBorders>
            <w:hideMark/>
          </w:tcPr>
          <w:p w14:paraId="1E0411D7" w14:textId="77777777" w:rsidR="00004853" w:rsidRPr="00004853" w:rsidRDefault="00004853" w:rsidP="002161CA">
            <w:pPr>
              <w:numPr>
                <w:ilvl w:val="0"/>
                <w:numId w:val="23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004853">
              <w:rPr>
                <w:rFonts w:ascii="Times New Roman" w:eastAsia="Calibri" w:hAnsi="Times New Roman" w:cs="Times New Roman"/>
                <w:sz w:val="20"/>
                <w:szCs w:val="20"/>
                <w:u w:color="000000"/>
                <w:bdr w:val="nil"/>
                <w:lang w:eastAsia="ro-RO"/>
              </w:rPr>
              <w:t>se referă la orice combinaţie de articulaţii mari cu cel puţin o articulaţie mică, inclusiv articulaţii nespecificate anterior (de exemplu temporomandibulare, acromioclaviculare, sternoclaviculare etc.).</w:t>
            </w:r>
          </w:p>
        </w:tc>
      </w:tr>
      <w:tr w:rsidR="00004853" w:rsidRPr="00004853" w14:paraId="437BD75A" w14:textId="77777777" w:rsidTr="002130FD">
        <w:tc>
          <w:tcPr>
            <w:tcW w:w="9781" w:type="dxa"/>
            <w:gridSpan w:val="2"/>
            <w:tcBorders>
              <w:top w:val="nil"/>
              <w:left w:val="single" w:sz="6" w:space="0" w:color="000000"/>
              <w:bottom w:val="nil"/>
              <w:right w:val="single" w:sz="6" w:space="0" w:color="000000"/>
            </w:tcBorders>
            <w:hideMark/>
          </w:tcPr>
          <w:p w14:paraId="670EF28C" w14:textId="77777777" w:rsidR="00004853" w:rsidRPr="00004853" w:rsidRDefault="00004853" w:rsidP="002161CA">
            <w:pPr>
              <w:numPr>
                <w:ilvl w:val="0"/>
                <w:numId w:val="23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004853">
              <w:rPr>
                <w:rFonts w:ascii="Times New Roman" w:eastAsia="Calibri" w:hAnsi="Times New Roman" w:cs="Times New Roman"/>
                <w:sz w:val="20"/>
                <w:szCs w:val="20"/>
                <w:u w:color="000000"/>
                <w:bdr w:val="nil"/>
                <w:lang w:eastAsia="ro-RO"/>
              </w:rPr>
              <w:t>valori negative se referă la valori în unităţi internaţionale mai mici sau egale cu valoarea superioară a normalului (VSN); titrul mic se referă la valori mai mari decât VSN dar mai mici sau egale cu de 3 ori VSN a laboratorului; titrul mare se referă la valori mai mari de 3 ori VSN. În cazurile în care testarea FR este disponibilă numai ca test calitativ (rezultat cu FR negativ sau pozitiv), un rezultat pozitiv va fi catalogat drept FR în titru mic.</w:t>
            </w:r>
          </w:p>
        </w:tc>
      </w:tr>
      <w:tr w:rsidR="00004853" w:rsidRPr="00004853" w14:paraId="2CD28472" w14:textId="77777777" w:rsidTr="002130FD">
        <w:tc>
          <w:tcPr>
            <w:tcW w:w="9781" w:type="dxa"/>
            <w:gridSpan w:val="2"/>
            <w:tcBorders>
              <w:top w:val="nil"/>
              <w:left w:val="single" w:sz="6" w:space="0" w:color="000000"/>
              <w:bottom w:val="nil"/>
              <w:right w:val="single" w:sz="6" w:space="0" w:color="000000"/>
            </w:tcBorders>
            <w:hideMark/>
          </w:tcPr>
          <w:p w14:paraId="01016028" w14:textId="77777777" w:rsidR="00004853" w:rsidRPr="00004853" w:rsidRDefault="00004853" w:rsidP="002161CA">
            <w:pPr>
              <w:numPr>
                <w:ilvl w:val="0"/>
                <w:numId w:val="23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004853">
              <w:rPr>
                <w:rFonts w:ascii="Times New Roman" w:eastAsia="Calibri" w:hAnsi="Times New Roman" w:cs="Times New Roman"/>
                <w:sz w:val="20"/>
                <w:szCs w:val="20"/>
                <w:u w:color="000000"/>
                <w:bdr w:val="nil"/>
                <w:lang w:eastAsia="ro-RO"/>
              </w:rPr>
              <w:t>valorile normale sau crescute se determină conform standardelor laboratorului local.</w:t>
            </w:r>
          </w:p>
        </w:tc>
      </w:tr>
      <w:tr w:rsidR="00004853" w:rsidRPr="00004853" w14:paraId="7EA9D7BB" w14:textId="77777777" w:rsidTr="002130FD">
        <w:tc>
          <w:tcPr>
            <w:tcW w:w="9781" w:type="dxa"/>
            <w:gridSpan w:val="2"/>
            <w:tcBorders>
              <w:top w:val="nil"/>
              <w:left w:val="single" w:sz="6" w:space="0" w:color="000000"/>
              <w:bottom w:val="single" w:sz="6" w:space="0" w:color="000000"/>
              <w:right w:val="single" w:sz="6" w:space="0" w:color="000000"/>
            </w:tcBorders>
            <w:hideMark/>
          </w:tcPr>
          <w:p w14:paraId="232FDFCF" w14:textId="77777777" w:rsidR="00004853" w:rsidRPr="00004853" w:rsidRDefault="00004853" w:rsidP="002161CA">
            <w:pPr>
              <w:numPr>
                <w:ilvl w:val="0"/>
                <w:numId w:val="23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0"/>
                <w:szCs w:val="20"/>
                <w:u w:color="000000"/>
                <w:bdr w:val="nil"/>
                <w:lang w:eastAsia="ro-RO"/>
              </w:rPr>
            </w:pPr>
            <w:r w:rsidRPr="00004853">
              <w:rPr>
                <w:rFonts w:ascii="Times New Roman" w:eastAsia="Calibri" w:hAnsi="Times New Roman" w:cs="Times New Roman"/>
                <w:sz w:val="20"/>
                <w:szCs w:val="20"/>
                <w:u w:color="000000"/>
                <w:bdr w:val="nil"/>
                <w:lang w:eastAsia="ro-RO"/>
              </w:rPr>
              <w:t>durata simptomelor se referă la auto-evaluarea pacientului asupra perioadei semnelor de sinovită (durere, tumefacţie, sensibilitate) la articulaţiile afectate clinic la momentul evaluării, indiferent de tratament.</w:t>
            </w:r>
          </w:p>
        </w:tc>
      </w:tr>
      <w:tr w:rsidR="00004853" w:rsidRPr="00004853" w14:paraId="51BC88DF" w14:textId="77777777" w:rsidTr="002130FD">
        <w:tc>
          <w:tcPr>
            <w:tcW w:w="9781" w:type="dxa"/>
            <w:gridSpan w:val="2"/>
            <w:tcBorders>
              <w:top w:val="single" w:sz="6" w:space="0" w:color="000000"/>
              <w:left w:val="single" w:sz="6" w:space="0" w:color="000000"/>
              <w:bottom w:val="single" w:sz="6" w:space="0" w:color="000000"/>
              <w:right w:val="single" w:sz="6" w:space="0" w:color="000000"/>
            </w:tcBorders>
            <w:hideMark/>
          </w:tcPr>
          <w:p w14:paraId="54C62D16"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Abrevieri: FR - factor reumatoid, CCP - cyclic citrullinated peptides, PR - poliartrită reumatoidă, PCR - proteina C reactivă, RCC - radiocubitocarpiene, VSH - viteza de sedimentare a hematiilor.</w:t>
            </w:r>
          </w:p>
        </w:tc>
      </w:tr>
    </w:tbl>
    <w:p w14:paraId="48DBB1B9"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p>
    <w:p w14:paraId="2F3DD076"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Obiectivul terapeutic urmărit este obţinerea:</w:t>
      </w:r>
    </w:p>
    <w:p w14:paraId="717318EE" w14:textId="77777777" w:rsidR="00004853" w:rsidRPr="00004853" w:rsidRDefault="00004853" w:rsidP="002161CA">
      <w:pPr>
        <w:numPr>
          <w:ilvl w:val="0"/>
          <w:numId w:val="21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remisiunii bolii, ori de câte ori este posibil (cel mai frecvent în formele de boală depistate timpuriu, cu iniţierea precoce a tratamentului);</w:t>
      </w:r>
    </w:p>
    <w:p w14:paraId="67904909" w14:textId="77777777" w:rsidR="00004853" w:rsidRPr="00004853" w:rsidRDefault="00004853" w:rsidP="002161CA">
      <w:pPr>
        <w:numPr>
          <w:ilvl w:val="0"/>
          <w:numId w:val="21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activităţii joase a bolii (LDA), la cazurile la care nu se poate obţine remisiunea (cel mai frecvent în formele constituite de boală).</w:t>
      </w:r>
    </w:p>
    <w:p w14:paraId="254ED1B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5BD0EF9D"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Cele mai utilizate terapii remisive sintetice convenţionale sunt reprezentate de:</w:t>
      </w:r>
    </w:p>
    <w:p w14:paraId="79853D76" w14:textId="77777777" w:rsidR="00004853" w:rsidRPr="00004853" w:rsidRDefault="00004853" w:rsidP="002161CA">
      <w:pPr>
        <w:numPr>
          <w:ilvl w:val="0"/>
          <w:numId w:val="21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 xml:space="preserve">metotrexat - conform EULAR reprezintă medicaţia remisivă sintetică convenţională de primă alegere, cu excepţia cazurilor când există contraindicaţii majore, în doza de întreţinere uzuală: 20 mg/săptămână (în funcţie de toleranţă), de regulă oral. Pentru creşterea toleranţei, asocierea de folat este de regulă recomandată, iar administrarea injectabilă (subcutanat sau intramuscular) a metotrexatului trebuie luată în calcul pentru creşterea biodisponibilităţii şi reducerea riscului de </w:t>
      </w:r>
      <w:r w:rsidRPr="00004853">
        <w:rPr>
          <w:rFonts w:ascii="Times New Roman" w:eastAsia="Calibri" w:hAnsi="Times New Roman" w:cs="Times New Roman"/>
          <w:sz w:val="24"/>
          <w:szCs w:val="24"/>
          <w:u w:color="000000"/>
          <w:bdr w:val="nil"/>
          <w:lang w:eastAsia="ro-RO"/>
        </w:rPr>
        <w:lastRenderedPageBreak/>
        <w:t>efecte adverse digestive (alături de administrarea de domperidonă şi antiemetice: ondansetron sau granisetron);</w:t>
      </w:r>
    </w:p>
    <w:p w14:paraId="0793D97F" w14:textId="77777777" w:rsidR="00004853" w:rsidRPr="00004853" w:rsidRDefault="00004853" w:rsidP="002161CA">
      <w:pPr>
        <w:numPr>
          <w:ilvl w:val="0"/>
          <w:numId w:val="21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leflunomid - utilizat ca alternativă la metotrexat doar atunci când acesta este contraindicat ori la pacienţii nonresponsivi, cu răspuns insuficient sau care au dezvoltat reacţii adverse la metotrexat, în doza uzuală de 20 mg/zi;</w:t>
      </w:r>
    </w:p>
    <w:p w14:paraId="4E0B99E7" w14:textId="77777777" w:rsidR="00004853" w:rsidRPr="00004853" w:rsidRDefault="00004853" w:rsidP="002161CA">
      <w:pPr>
        <w:numPr>
          <w:ilvl w:val="0"/>
          <w:numId w:val="21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sulfasalazina - utilizat ca alternativă la metotrexat doar atunci când acesta este contraindicat ori la pacienţii nonresponsivi, cu răspuns insuficient sau care au dezvoltat reacţii adverse la alte remisive sintetice, doza de întreţinere uzuală minim 2 g/zi, crescută la nevoie până la 3 g/zi (funcţie de toleranţă);</w:t>
      </w:r>
    </w:p>
    <w:p w14:paraId="2E1C18AC" w14:textId="77777777" w:rsidR="00004853" w:rsidRPr="00004853" w:rsidRDefault="00004853" w:rsidP="002161CA">
      <w:pPr>
        <w:numPr>
          <w:ilvl w:val="0"/>
          <w:numId w:val="21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hidroxiclorochina - utilizată de obicei în asociere cu alte remisive sintetice convenţionale majore (de exemplu: metotrexat, leflunomid, sulfasalazină), din cauza eficacităţii relative mai mici; utilizarea sa, ca a doua opţiune de remisiv sintetic, în afara metotrexat, nu este considerată suficientă pentru indicaţia de terapie biologică şi sintetică ţintită (tsDMARDs); doza uzuală de 400 mg/zi;</w:t>
      </w:r>
    </w:p>
    <w:p w14:paraId="06EB4B97" w14:textId="77777777" w:rsidR="00004853" w:rsidRPr="00004853" w:rsidRDefault="00004853" w:rsidP="002161CA">
      <w:pPr>
        <w:numPr>
          <w:ilvl w:val="0"/>
          <w:numId w:val="214"/>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următoarele 2 preparate remisive sintetice convenţionale au în prezent, conform EULAR, indicaţie foarte limitată în PR, rezervată doar formelor nonresponsive, care nu au răspuns la nicio altă terapie sintetică sau biologică sau care au dezvoltat reacţii adverse la alte remisive sintetice sau biologice, fiind utilizate doar în situaţii excepţionale:</w:t>
      </w:r>
    </w:p>
    <w:p w14:paraId="0BBF8FD0" w14:textId="77777777" w:rsidR="00004853" w:rsidRPr="00004853" w:rsidRDefault="00004853" w:rsidP="002161CA">
      <w:pPr>
        <w:numPr>
          <w:ilvl w:val="0"/>
          <w:numId w:val="215"/>
        </w:numPr>
        <w:pBdr>
          <w:top w:val="nil"/>
          <w:left w:val="nil"/>
          <w:bottom w:val="nil"/>
          <w:right w:val="nil"/>
          <w:between w:val="nil"/>
          <w:bar w:val="nil"/>
        </w:pBdr>
        <w:spacing w:after="0" w:line="240" w:lineRule="auto"/>
        <w:ind w:left="567" w:hanging="283"/>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ciclosporina A, în doză uzuală de 3 - 5 mg/kgc/zi;</w:t>
      </w:r>
    </w:p>
    <w:p w14:paraId="4EFCDBA1" w14:textId="77777777" w:rsidR="00004853" w:rsidRPr="00004853" w:rsidRDefault="00004853" w:rsidP="002161CA">
      <w:pPr>
        <w:numPr>
          <w:ilvl w:val="0"/>
          <w:numId w:val="215"/>
        </w:numPr>
        <w:pBdr>
          <w:top w:val="nil"/>
          <w:left w:val="nil"/>
          <w:bottom w:val="nil"/>
          <w:right w:val="nil"/>
          <w:between w:val="nil"/>
          <w:bar w:val="nil"/>
        </w:pBdr>
        <w:spacing w:after="0" w:line="240" w:lineRule="auto"/>
        <w:ind w:left="567" w:hanging="283"/>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azatioprina, în doză uzuală de 100 mg/zi.</w:t>
      </w:r>
    </w:p>
    <w:p w14:paraId="55828AC0"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0C11CAB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În funcţie de particularităţile cazului tratat şi de gradul de activitate a bolii, medicul curant formulează schema de tratament şi indică aceste preparate remisive, care se pot utiliza singure sau în asociere, iar asocierea trebuie de obicei să includă metotrexat.</w:t>
      </w:r>
    </w:p>
    <w:p w14:paraId="219B3FC0"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5BE97E18"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Glucocorticoizii administrati pe perioade scurte de timp trebuie avuţi în vedere la initierea sau schimbarea csDMARDs, in doze si cai variate de administrare, însă tratamentul trebuie redus şi oprit cât mai rapid posibil.</w:t>
      </w:r>
    </w:p>
    <w:p w14:paraId="2797344A"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w:t>
      </w:r>
    </w:p>
    <w:p w14:paraId="6EBDBEFD"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r w:rsidRPr="00004853">
        <w:rPr>
          <w:rFonts w:ascii="Times New Roman" w:eastAsia="Calibri" w:hAnsi="Times New Roman" w:cs="Times New Roman"/>
          <w:b/>
          <w:sz w:val="24"/>
          <w:szCs w:val="24"/>
          <w:lang w:eastAsia="ro-RO"/>
        </w:rPr>
        <w:t>Evaluarea activităţii bolii</w:t>
      </w:r>
    </w:p>
    <w:p w14:paraId="0054F463"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Evaluarea activităţii bolii este obligatorie pentru alegerea schemei terapeutice şi evaluarea gradului de răspuns la tratament; se face prin calcularea unui indice cumulativ numit scorul activităţii bolii (DAS28).</w:t>
      </w:r>
    </w:p>
    <w:p w14:paraId="563032D6"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121B106A"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Indicele cumulativ DAS28 cu 4 variabile include:</w:t>
      </w:r>
    </w:p>
    <w:p w14:paraId="33517E1D" w14:textId="77777777" w:rsidR="00004853" w:rsidRPr="00004853" w:rsidRDefault="00004853" w:rsidP="002161CA">
      <w:pPr>
        <w:numPr>
          <w:ilvl w:val="0"/>
          <w:numId w:val="21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NAD: numărul articulaţiilor dureroase;</w:t>
      </w:r>
    </w:p>
    <w:p w14:paraId="585FDC93" w14:textId="77777777" w:rsidR="00004853" w:rsidRPr="00004853" w:rsidRDefault="00004853" w:rsidP="002161CA">
      <w:pPr>
        <w:numPr>
          <w:ilvl w:val="0"/>
          <w:numId w:val="21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NAT: numărul articulaţiilor tumefiate;</w:t>
      </w:r>
    </w:p>
    <w:p w14:paraId="709DDC86" w14:textId="77777777" w:rsidR="00004853" w:rsidRPr="00004853" w:rsidRDefault="00004853" w:rsidP="002161CA">
      <w:pPr>
        <w:numPr>
          <w:ilvl w:val="0"/>
          <w:numId w:val="21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VAS: scală analogă vizuală (mm) pentru evaluarea globală a activităţii bolii, de către pacient;</w:t>
      </w:r>
    </w:p>
    <w:p w14:paraId="7321FACF" w14:textId="77777777" w:rsidR="00004853" w:rsidRPr="00004853" w:rsidRDefault="00004853" w:rsidP="002161CA">
      <w:pPr>
        <w:numPr>
          <w:ilvl w:val="0"/>
          <w:numId w:val="21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VSH (la 1 h) sau proteina C reactivă cantitativ.</w:t>
      </w:r>
    </w:p>
    <w:p w14:paraId="799FDA65"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048A56FF"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În evaluarea semnificaţiei DAS28 se ţine cont de următoarele definiţii:</w:t>
      </w:r>
    </w:p>
    <w:p w14:paraId="4A382351" w14:textId="77777777" w:rsidR="00004853" w:rsidRPr="00004853" w:rsidRDefault="00004853" w:rsidP="002161CA">
      <w:pPr>
        <w:numPr>
          <w:ilvl w:val="0"/>
          <w:numId w:val="21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DAS28 ≤ 2,6 = remisiune:</w:t>
      </w:r>
    </w:p>
    <w:p w14:paraId="66AFBA7B" w14:textId="77777777" w:rsidR="00004853" w:rsidRPr="00004853" w:rsidRDefault="00004853" w:rsidP="002161CA">
      <w:pPr>
        <w:numPr>
          <w:ilvl w:val="0"/>
          <w:numId w:val="21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DAS28 &gt; 2,6 şi ≤ 3,2 = activitate scăzută a bolii (LDA);</w:t>
      </w:r>
    </w:p>
    <w:p w14:paraId="7E91FBA3" w14:textId="77777777" w:rsidR="00004853" w:rsidRPr="00004853" w:rsidRDefault="00004853" w:rsidP="002161CA">
      <w:pPr>
        <w:numPr>
          <w:ilvl w:val="0"/>
          <w:numId w:val="21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bookmarkStart w:id="37" w:name="_Hlk156153545"/>
      <w:r w:rsidRPr="00004853">
        <w:rPr>
          <w:rFonts w:ascii="Times New Roman" w:eastAsia="Calibri" w:hAnsi="Times New Roman" w:cs="Times New Roman"/>
          <w:sz w:val="24"/>
          <w:szCs w:val="24"/>
          <w:u w:color="000000"/>
          <w:bdr w:val="nil"/>
          <w:lang w:eastAsia="ro-RO"/>
        </w:rPr>
        <w:t xml:space="preserve">DAS28 &gt; 3,2 </w:t>
      </w:r>
      <w:bookmarkEnd w:id="37"/>
      <w:r w:rsidRPr="00004853">
        <w:rPr>
          <w:rFonts w:ascii="Times New Roman" w:eastAsia="Calibri" w:hAnsi="Times New Roman" w:cs="Times New Roman"/>
          <w:sz w:val="24"/>
          <w:szCs w:val="24"/>
          <w:u w:color="000000"/>
          <w:bdr w:val="nil"/>
          <w:lang w:eastAsia="ro-RO"/>
        </w:rPr>
        <w:t>şi &lt; 5,1 = activitate moderată a bolii (MDA);</w:t>
      </w:r>
    </w:p>
    <w:p w14:paraId="416F9F31" w14:textId="77777777" w:rsidR="00004853" w:rsidRPr="00004853" w:rsidRDefault="00004853" w:rsidP="002161CA">
      <w:pPr>
        <w:numPr>
          <w:ilvl w:val="0"/>
          <w:numId w:val="21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DAS28 ≥ 5,1 = activitate ridicată a bolii (HDA).</w:t>
      </w:r>
    </w:p>
    <w:p w14:paraId="723AE1C1"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57F3A9D7"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Pentru aprecierea răspunsului la tratament se vor folosi criteriile de răspuns EULAR, utilizând DAS28 (Tabel 2):</w:t>
      </w:r>
    </w:p>
    <w:p w14:paraId="39C77958"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p>
    <w:tbl>
      <w:tblPr>
        <w:tblW w:w="9639" w:type="dxa"/>
        <w:tblBorders>
          <w:top w:val="outset" w:sz="2" w:space="0" w:color="auto"/>
          <w:left w:val="outset" w:sz="2" w:space="0" w:color="auto"/>
          <w:bottom w:val="outset" w:sz="2" w:space="0" w:color="auto"/>
          <w:right w:val="outset" w:sz="2" w:space="0" w:color="auto"/>
        </w:tblBorders>
        <w:tblCellMar>
          <w:left w:w="0" w:type="dxa"/>
          <w:right w:w="0" w:type="dxa"/>
        </w:tblCellMar>
        <w:tblLook w:val="04A0" w:firstRow="1" w:lastRow="0" w:firstColumn="1" w:lastColumn="0" w:noHBand="0" w:noVBand="1"/>
      </w:tblPr>
      <w:tblGrid>
        <w:gridCol w:w="2539"/>
        <w:gridCol w:w="2540"/>
        <w:gridCol w:w="2540"/>
        <w:gridCol w:w="2020"/>
      </w:tblGrid>
      <w:tr w:rsidR="00004853" w:rsidRPr="00004853" w14:paraId="379CD762" w14:textId="77777777" w:rsidTr="002130FD">
        <w:tc>
          <w:tcPr>
            <w:tcW w:w="9639" w:type="dxa"/>
            <w:gridSpan w:val="4"/>
            <w:tcBorders>
              <w:top w:val="nil"/>
              <w:left w:val="nil"/>
              <w:bottom w:val="nil"/>
              <w:right w:val="nil"/>
            </w:tcBorders>
            <w:hideMark/>
          </w:tcPr>
          <w:p w14:paraId="3486EF73"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    Tabel 2. Criteriile EULAR de răspuns la tratament a PR folosind DAS28</w:t>
            </w:r>
          </w:p>
        </w:tc>
      </w:tr>
      <w:tr w:rsidR="00004853" w:rsidRPr="00004853" w14:paraId="6862B413" w14:textId="77777777" w:rsidTr="002130FD">
        <w:tc>
          <w:tcPr>
            <w:tcW w:w="9639" w:type="dxa"/>
            <w:gridSpan w:val="4"/>
            <w:tcBorders>
              <w:top w:val="nil"/>
              <w:left w:val="nil"/>
              <w:bottom w:val="single" w:sz="6" w:space="0" w:color="000000"/>
              <w:right w:val="nil"/>
            </w:tcBorders>
            <w:hideMark/>
          </w:tcPr>
          <w:p w14:paraId="16FFA4D1"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p>
        </w:tc>
      </w:tr>
      <w:tr w:rsidR="00004853" w:rsidRPr="00004853" w14:paraId="41F73ACC" w14:textId="77777777" w:rsidTr="002130FD">
        <w:tc>
          <w:tcPr>
            <w:tcW w:w="2539" w:type="dxa"/>
            <w:tcBorders>
              <w:top w:val="single" w:sz="6" w:space="0" w:color="000000"/>
              <w:left w:val="single" w:sz="6" w:space="0" w:color="000000"/>
              <w:bottom w:val="single" w:sz="6" w:space="0" w:color="000000"/>
              <w:right w:val="single" w:sz="6" w:space="0" w:color="000000"/>
            </w:tcBorders>
            <w:hideMark/>
          </w:tcPr>
          <w:p w14:paraId="2DA3280D"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p>
        </w:tc>
        <w:tc>
          <w:tcPr>
            <w:tcW w:w="7100" w:type="dxa"/>
            <w:gridSpan w:val="3"/>
            <w:tcBorders>
              <w:top w:val="single" w:sz="6" w:space="0" w:color="000000"/>
              <w:left w:val="single" w:sz="6" w:space="0" w:color="000000"/>
              <w:bottom w:val="single" w:sz="6" w:space="0" w:color="000000"/>
              <w:right w:val="single" w:sz="6" w:space="0" w:color="000000"/>
            </w:tcBorders>
            <w:hideMark/>
          </w:tcPr>
          <w:p w14:paraId="67444AD2"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scăderea DAS28</w:t>
            </w:r>
          </w:p>
        </w:tc>
      </w:tr>
      <w:tr w:rsidR="00004853" w:rsidRPr="00004853" w14:paraId="747ACD3B" w14:textId="77777777" w:rsidTr="002130FD">
        <w:tc>
          <w:tcPr>
            <w:tcW w:w="2539" w:type="dxa"/>
            <w:tcBorders>
              <w:top w:val="single" w:sz="6" w:space="0" w:color="000000"/>
              <w:left w:val="single" w:sz="6" w:space="0" w:color="000000"/>
              <w:bottom w:val="single" w:sz="6" w:space="0" w:color="000000"/>
              <w:right w:val="single" w:sz="6" w:space="0" w:color="000000"/>
            </w:tcBorders>
            <w:hideMark/>
          </w:tcPr>
          <w:p w14:paraId="44977C26"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nivel DAS atins</w:t>
            </w:r>
          </w:p>
        </w:tc>
        <w:tc>
          <w:tcPr>
            <w:tcW w:w="2540" w:type="dxa"/>
            <w:tcBorders>
              <w:top w:val="single" w:sz="6" w:space="0" w:color="000000"/>
              <w:left w:val="single" w:sz="6" w:space="0" w:color="000000"/>
              <w:bottom w:val="single" w:sz="6" w:space="0" w:color="000000"/>
              <w:right w:val="single" w:sz="6" w:space="0" w:color="000000"/>
            </w:tcBorders>
            <w:hideMark/>
          </w:tcPr>
          <w:p w14:paraId="0282A80F"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&gt; 1,2</w:t>
            </w:r>
          </w:p>
        </w:tc>
        <w:tc>
          <w:tcPr>
            <w:tcW w:w="2540" w:type="dxa"/>
            <w:tcBorders>
              <w:top w:val="single" w:sz="6" w:space="0" w:color="000000"/>
              <w:left w:val="single" w:sz="6" w:space="0" w:color="000000"/>
              <w:bottom w:val="single" w:sz="6" w:space="0" w:color="000000"/>
              <w:right w:val="single" w:sz="6" w:space="0" w:color="000000"/>
            </w:tcBorders>
            <w:hideMark/>
          </w:tcPr>
          <w:p w14:paraId="6975EA4A"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0,6 - 1,2</w:t>
            </w:r>
          </w:p>
        </w:tc>
        <w:tc>
          <w:tcPr>
            <w:tcW w:w="2020" w:type="dxa"/>
            <w:tcBorders>
              <w:top w:val="single" w:sz="6" w:space="0" w:color="000000"/>
              <w:left w:val="single" w:sz="6" w:space="0" w:color="000000"/>
              <w:bottom w:val="single" w:sz="6" w:space="0" w:color="000000"/>
              <w:right w:val="single" w:sz="6" w:space="0" w:color="000000"/>
            </w:tcBorders>
            <w:hideMark/>
          </w:tcPr>
          <w:p w14:paraId="6BAA047B"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&lt; 0,6</w:t>
            </w:r>
          </w:p>
        </w:tc>
      </w:tr>
      <w:tr w:rsidR="00004853" w:rsidRPr="00004853" w14:paraId="20252C23" w14:textId="77777777" w:rsidTr="002130FD">
        <w:tc>
          <w:tcPr>
            <w:tcW w:w="2539" w:type="dxa"/>
            <w:tcBorders>
              <w:top w:val="single" w:sz="6" w:space="0" w:color="000000"/>
              <w:left w:val="single" w:sz="6" w:space="0" w:color="000000"/>
              <w:bottom w:val="single" w:sz="6" w:space="0" w:color="000000"/>
              <w:right w:val="single" w:sz="6" w:space="0" w:color="000000"/>
            </w:tcBorders>
            <w:hideMark/>
          </w:tcPr>
          <w:p w14:paraId="262035AA"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DAS28 &lt; 3,2</w:t>
            </w:r>
          </w:p>
        </w:tc>
        <w:tc>
          <w:tcPr>
            <w:tcW w:w="2540" w:type="dxa"/>
            <w:tcBorders>
              <w:top w:val="single" w:sz="6" w:space="0" w:color="000000"/>
              <w:left w:val="single" w:sz="6" w:space="0" w:color="000000"/>
              <w:bottom w:val="single" w:sz="6" w:space="0" w:color="000000"/>
              <w:right w:val="single" w:sz="6" w:space="0" w:color="000000"/>
            </w:tcBorders>
            <w:hideMark/>
          </w:tcPr>
          <w:p w14:paraId="3CB77D85"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răspuns bun</w:t>
            </w:r>
          </w:p>
        </w:tc>
        <w:tc>
          <w:tcPr>
            <w:tcW w:w="2540" w:type="dxa"/>
            <w:tcBorders>
              <w:top w:val="single" w:sz="6" w:space="0" w:color="000000"/>
              <w:left w:val="single" w:sz="6" w:space="0" w:color="000000"/>
              <w:bottom w:val="single" w:sz="6" w:space="0" w:color="000000"/>
              <w:right w:val="single" w:sz="6" w:space="0" w:color="000000"/>
            </w:tcBorders>
            <w:hideMark/>
          </w:tcPr>
          <w:p w14:paraId="66572B16"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răspuns moderat</w:t>
            </w:r>
          </w:p>
        </w:tc>
        <w:tc>
          <w:tcPr>
            <w:tcW w:w="2020" w:type="dxa"/>
            <w:tcBorders>
              <w:top w:val="single" w:sz="6" w:space="0" w:color="000000"/>
              <w:left w:val="single" w:sz="6" w:space="0" w:color="000000"/>
              <w:bottom w:val="single" w:sz="6" w:space="0" w:color="000000"/>
              <w:right w:val="single" w:sz="6" w:space="0" w:color="000000"/>
            </w:tcBorders>
            <w:hideMark/>
          </w:tcPr>
          <w:p w14:paraId="391CC7AE"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fără răspuns</w:t>
            </w:r>
          </w:p>
        </w:tc>
      </w:tr>
      <w:tr w:rsidR="00004853" w:rsidRPr="00004853" w14:paraId="634CD6EA" w14:textId="77777777" w:rsidTr="002130FD">
        <w:tc>
          <w:tcPr>
            <w:tcW w:w="2539" w:type="dxa"/>
            <w:tcBorders>
              <w:top w:val="single" w:sz="6" w:space="0" w:color="000000"/>
              <w:left w:val="single" w:sz="6" w:space="0" w:color="000000"/>
              <w:bottom w:val="single" w:sz="6" w:space="0" w:color="000000"/>
              <w:right w:val="single" w:sz="6" w:space="0" w:color="000000"/>
            </w:tcBorders>
            <w:hideMark/>
          </w:tcPr>
          <w:p w14:paraId="4D1B10F5"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3,2 ≤ DAS28 ≤ 5,1</w:t>
            </w:r>
          </w:p>
        </w:tc>
        <w:tc>
          <w:tcPr>
            <w:tcW w:w="2540" w:type="dxa"/>
            <w:tcBorders>
              <w:top w:val="single" w:sz="6" w:space="0" w:color="000000"/>
              <w:left w:val="single" w:sz="6" w:space="0" w:color="000000"/>
              <w:bottom w:val="single" w:sz="6" w:space="0" w:color="000000"/>
              <w:right w:val="single" w:sz="6" w:space="0" w:color="000000"/>
            </w:tcBorders>
            <w:hideMark/>
          </w:tcPr>
          <w:p w14:paraId="22666378"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răspuns moderat</w:t>
            </w:r>
          </w:p>
        </w:tc>
        <w:tc>
          <w:tcPr>
            <w:tcW w:w="2540" w:type="dxa"/>
            <w:tcBorders>
              <w:top w:val="single" w:sz="6" w:space="0" w:color="000000"/>
              <w:left w:val="single" w:sz="6" w:space="0" w:color="000000"/>
              <w:bottom w:val="single" w:sz="6" w:space="0" w:color="000000"/>
              <w:right w:val="single" w:sz="6" w:space="0" w:color="000000"/>
            </w:tcBorders>
            <w:hideMark/>
          </w:tcPr>
          <w:p w14:paraId="4D02AB9D"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răspuns moderat</w:t>
            </w:r>
          </w:p>
        </w:tc>
        <w:tc>
          <w:tcPr>
            <w:tcW w:w="2020" w:type="dxa"/>
            <w:tcBorders>
              <w:top w:val="single" w:sz="6" w:space="0" w:color="000000"/>
              <w:left w:val="single" w:sz="6" w:space="0" w:color="000000"/>
              <w:bottom w:val="single" w:sz="6" w:space="0" w:color="000000"/>
              <w:right w:val="single" w:sz="6" w:space="0" w:color="000000"/>
            </w:tcBorders>
            <w:hideMark/>
          </w:tcPr>
          <w:p w14:paraId="7A7E88A3"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fără răspuns</w:t>
            </w:r>
          </w:p>
        </w:tc>
      </w:tr>
      <w:tr w:rsidR="00004853" w:rsidRPr="00004853" w14:paraId="20930E6F" w14:textId="77777777" w:rsidTr="002130FD">
        <w:tc>
          <w:tcPr>
            <w:tcW w:w="2539" w:type="dxa"/>
            <w:tcBorders>
              <w:top w:val="single" w:sz="6" w:space="0" w:color="000000"/>
              <w:left w:val="single" w:sz="6" w:space="0" w:color="000000"/>
              <w:bottom w:val="single" w:sz="6" w:space="0" w:color="000000"/>
              <w:right w:val="single" w:sz="6" w:space="0" w:color="000000"/>
            </w:tcBorders>
            <w:hideMark/>
          </w:tcPr>
          <w:p w14:paraId="15DDB909"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DAS28 &gt; 5,1</w:t>
            </w:r>
          </w:p>
        </w:tc>
        <w:tc>
          <w:tcPr>
            <w:tcW w:w="2540" w:type="dxa"/>
            <w:tcBorders>
              <w:top w:val="single" w:sz="6" w:space="0" w:color="000000"/>
              <w:left w:val="single" w:sz="6" w:space="0" w:color="000000"/>
              <w:bottom w:val="single" w:sz="6" w:space="0" w:color="000000"/>
              <w:right w:val="single" w:sz="6" w:space="0" w:color="000000"/>
            </w:tcBorders>
            <w:hideMark/>
          </w:tcPr>
          <w:p w14:paraId="76104291"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răspuns moderat</w:t>
            </w:r>
          </w:p>
        </w:tc>
        <w:tc>
          <w:tcPr>
            <w:tcW w:w="2540" w:type="dxa"/>
            <w:tcBorders>
              <w:top w:val="single" w:sz="6" w:space="0" w:color="000000"/>
              <w:left w:val="single" w:sz="6" w:space="0" w:color="000000"/>
              <w:bottom w:val="single" w:sz="6" w:space="0" w:color="000000"/>
              <w:right w:val="single" w:sz="6" w:space="0" w:color="000000"/>
            </w:tcBorders>
            <w:hideMark/>
          </w:tcPr>
          <w:p w14:paraId="68D6ACA2"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fără răspuns</w:t>
            </w:r>
          </w:p>
        </w:tc>
        <w:tc>
          <w:tcPr>
            <w:tcW w:w="2020" w:type="dxa"/>
            <w:tcBorders>
              <w:top w:val="single" w:sz="6" w:space="0" w:color="000000"/>
              <w:left w:val="single" w:sz="6" w:space="0" w:color="000000"/>
              <w:bottom w:val="single" w:sz="6" w:space="0" w:color="000000"/>
              <w:right w:val="single" w:sz="6" w:space="0" w:color="000000"/>
            </w:tcBorders>
            <w:hideMark/>
          </w:tcPr>
          <w:p w14:paraId="0EA9BBB7" w14:textId="77777777" w:rsidR="00004853" w:rsidRPr="00004853" w:rsidRDefault="00004853" w:rsidP="00004853">
            <w:pPr>
              <w:spacing w:after="0" w:line="240" w:lineRule="auto"/>
              <w:jc w:val="both"/>
              <w:rPr>
                <w:rFonts w:ascii="Times New Roman" w:eastAsia="Calibri" w:hAnsi="Times New Roman" w:cs="Times New Roman"/>
                <w:sz w:val="20"/>
                <w:szCs w:val="20"/>
                <w:lang w:eastAsia="ro-RO"/>
              </w:rPr>
            </w:pPr>
            <w:r w:rsidRPr="00004853">
              <w:rPr>
                <w:rFonts w:ascii="Times New Roman" w:eastAsia="Calibri" w:hAnsi="Times New Roman" w:cs="Times New Roman"/>
                <w:sz w:val="20"/>
                <w:szCs w:val="20"/>
                <w:lang w:eastAsia="ro-RO"/>
              </w:rPr>
              <w:t>fără răspuns</w:t>
            </w:r>
          </w:p>
        </w:tc>
      </w:tr>
    </w:tbl>
    <w:p w14:paraId="69344700"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lastRenderedPageBreak/>
        <w:t>Evoluţia bolii va fi strâns monitorizată, clinic şi biologic (lunar sau cel puţin o dată la fiecare 3 - 6 luni), iar medicul curant va adapta şi modifica schema de tratament, utilizând DAS28 ca indicator global de evoluţie al afecţiunii, ţinta terapeutică fiind obţinerea remisiunii sau atingerea unui grad scăzut de activitate a bolii. Nu este recomandată utilizarea de parametri individuali (clinici sau biologici) pentru a aprecia evoluţia bolii sub tratament, aplicarea indicilor compoziţi fiind întotdeauna superioară. Dacă nu se obţine nicio îmbunătăţire în interval de cel mult 3 luni de la iniţierea terapiei sau dacă obiectivul terapeutic nu este atins în 6 luni, terapia trebuie ajustată, ca preparate, doze ori scheme terapeutice.</w:t>
      </w:r>
    </w:p>
    <w:p w14:paraId="1594BCF8"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06223423"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Medicul curant este singurul care poate evalua corect gradul de răspuns la terapie şi poate încadra cazul ca având lipsă de răspuns sau răspuns parţial la tratamentul remisiv sintetic convenţional, situaţie în care se poate indica utilizarea terapiilor biologice sau sintetice ţintite (tsDMARDs).</w:t>
      </w:r>
    </w:p>
    <w:p w14:paraId="6936E579"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7A0E4D16"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Pacienţii cu poliartrită reumatoidă activă, la care boala nu poate fi satisfăcător controlată prin aplicarea corectă a tratamentului remisiv sintetic convenţional, necesită utilizarea de tratament biologic sau sintetic ţintit (tsDMARDs).</w:t>
      </w:r>
    </w:p>
    <w:p w14:paraId="11B0480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32C89BFF"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În vederea iniţierii unei terapii biologice sau sintetice ţintite (tsDMARDs), medicul curant va înregistra o serie de parametri de activitate a bolii, între care următorii sunt obligatorii:</w:t>
      </w:r>
    </w:p>
    <w:p w14:paraId="551562D9" w14:textId="77777777" w:rsidR="00004853" w:rsidRPr="00004853" w:rsidRDefault="00004853" w:rsidP="002161CA">
      <w:pPr>
        <w:numPr>
          <w:ilvl w:val="0"/>
          <w:numId w:val="21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numărul de articulaţii dureroase (NAD);</w:t>
      </w:r>
    </w:p>
    <w:p w14:paraId="307DF72C" w14:textId="77777777" w:rsidR="00004853" w:rsidRPr="00004853" w:rsidRDefault="00004853" w:rsidP="002161CA">
      <w:pPr>
        <w:numPr>
          <w:ilvl w:val="0"/>
          <w:numId w:val="21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numărul de articulaţii tumefiate (NAT);</w:t>
      </w:r>
    </w:p>
    <w:p w14:paraId="6B8032BE" w14:textId="77777777" w:rsidR="00004853" w:rsidRPr="00004853" w:rsidRDefault="00004853" w:rsidP="002161CA">
      <w:pPr>
        <w:numPr>
          <w:ilvl w:val="0"/>
          <w:numId w:val="21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redoarea matinală (în minute);</w:t>
      </w:r>
    </w:p>
    <w:p w14:paraId="3027821C" w14:textId="77777777" w:rsidR="00004853" w:rsidRPr="00004853" w:rsidRDefault="00004853" w:rsidP="002161CA">
      <w:pPr>
        <w:numPr>
          <w:ilvl w:val="0"/>
          <w:numId w:val="21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scala analogă vizuală (VAS în milimetri) pentru evaluarea globală a activităţii bolii de către pacient;</w:t>
      </w:r>
    </w:p>
    <w:p w14:paraId="76B732FA" w14:textId="77777777" w:rsidR="00004853" w:rsidRPr="00004853" w:rsidRDefault="00004853" w:rsidP="002161CA">
      <w:pPr>
        <w:numPr>
          <w:ilvl w:val="0"/>
          <w:numId w:val="21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VSH (la 1 oră);</w:t>
      </w:r>
    </w:p>
    <w:p w14:paraId="6D2B939C" w14:textId="77777777" w:rsidR="00004853" w:rsidRPr="00004853" w:rsidRDefault="00004853" w:rsidP="002161CA">
      <w:pPr>
        <w:numPr>
          <w:ilvl w:val="0"/>
          <w:numId w:val="21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proteina C reactivă (determinată cantitativ, nu se admit evaluări calitative sau semicantitative), determinarea este obligatorie, chiar dacă nu este folosită la calculul DAS28.</w:t>
      </w:r>
    </w:p>
    <w:p w14:paraId="3BCAAC00"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69355E3B"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Criterii de includere a pacienţilor cu poliartrită reumatoidă în tratamentul cu agenţii biologici infliximabum (original şi biosimilar), etanerceptum (original şi biosimilar), adalimumabum (original şi biosimilar), golimumabum, certolizumabum, rituximabum (original şi biosimilar), tocilizumabum, abataceptum şi cu remisive sintetice ţintite (baricitinib, tofacitinib, upadacitinib, filgotinib).</w:t>
      </w:r>
    </w:p>
    <w:p w14:paraId="3F6CDC4B"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4E4C0170"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Pentru includerea unui pacient cu poliartrită reumatoidă în terapia biologică sau în terapia cu remisive sintetice ţintite (tsDMARD) este necesară îndeplinirea simultană a următoarelor 4 criterii:</w:t>
      </w:r>
    </w:p>
    <w:p w14:paraId="54DFF782"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2F271D8E"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1. Diagnostic cert de poliartrită reumatoidă conform criteriilor ACR/EULAR (2010);</w:t>
      </w:r>
    </w:p>
    <w:p w14:paraId="0AA59693"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0D8E2B8B" w14:textId="77777777" w:rsidR="00004853" w:rsidRPr="00004853" w:rsidRDefault="00004853" w:rsidP="00004853">
      <w:pPr>
        <w:spacing w:after="0" w:line="240" w:lineRule="auto"/>
        <w:ind w:left="284" w:hanging="284"/>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2. Pacienţi cu poliartrită reumatoidă severă, cu activitate moderata sau ridicată a bolii (DAS </w:t>
      </w:r>
      <w:r w:rsidRPr="00004853">
        <w:rPr>
          <w:rFonts w:ascii="Times New Roman" w:eastAsia="Calibri" w:hAnsi="Times New Roman" w:cs="Times New Roman"/>
          <w:sz w:val="24"/>
          <w:szCs w:val="24"/>
          <w:u w:val="single"/>
          <w:lang w:eastAsia="ro-RO"/>
        </w:rPr>
        <w:t>&gt;</w:t>
      </w:r>
      <w:r w:rsidRPr="00004853">
        <w:rPr>
          <w:rFonts w:ascii="Times New Roman" w:eastAsia="Calibri" w:hAnsi="Times New Roman" w:cs="Times New Roman"/>
          <w:sz w:val="24"/>
          <w:szCs w:val="24"/>
          <w:lang w:eastAsia="ro-RO"/>
        </w:rPr>
        <w:t xml:space="preserve"> 3,2), în pofida  tratamentului administrat; pacienţii trebuie să prezinte cel puţin:</w:t>
      </w:r>
    </w:p>
    <w:p w14:paraId="2229386F" w14:textId="77777777" w:rsidR="00004853" w:rsidRPr="00004853" w:rsidRDefault="00004853" w:rsidP="002161CA">
      <w:pPr>
        <w:numPr>
          <w:ilvl w:val="0"/>
          <w:numId w:val="219"/>
        </w:numPr>
        <w:pBdr>
          <w:top w:val="nil"/>
          <w:left w:val="nil"/>
          <w:bottom w:val="nil"/>
          <w:right w:val="nil"/>
          <w:between w:val="nil"/>
          <w:bar w:val="nil"/>
        </w:pBdr>
        <w:spacing w:after="0" w:line="240" w:lineRule="auto"/>
        <w:ind w:left="567" w:hanging="283"/>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5 sau mai multe articulaţii cu sinovită activă (articulaţii dureroase şi/sau tumefiate);</w:t>
      </w:r>
    </w:p>
    <w:p w14:paraId="2266B200" w14:textId="77777777" w:rsidR="00004853" w:rsidRPr="00004853" w:rsidRDefault="00004853" w:rsidP="002161CA">
      <w:pPr>
        <w:numPr>
          <w:ilvl w:val="0"/>
          <w:numId w:val="219"/>
        </w:numPr>
        <w:pBdr>
          <w:top w:val="nil"/>
          <w:left w:val="nil"/>
          <w:bottom w:val="nil"/>
          <w:right w:val="nil"/>
          <w:between w:val="nil"/>
          <w:bar w:val="nil"/>
        </w:pBdr>
        <w:spacing w:after="0" w:line="240" w:lineRule="auto"/>
        <w:ind w:left="567" w:hanging="283"/>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şi 2 din următoarele 3 criterii:</w:t>
      </w:r>
    </w:p>
    <w:p w14:paraId="58C75BE7" w14:textId="77777777" w:rsidR="00004853" w:rsidRPr="00004853" w:rsidRDefault="00004853" w:rsidP="002161CA">
      <w:pPr>
        <w:numPr>
          <w:ilvl w:val="0"/>
          <w:numId w:val="220"/>
        </w:numPr>
        <w:pBdr>
          <w:top w:val="nil"/>
          <w:left w:val="nil"/>
          <w:bottom w:val="nil"/>
          <w:right w:val="nil"/>
          <w:between w:val="nil"/>
          <w:bar w:val="nil"/>
        </w:pBdr>
        <w:spacing w:after="0" w:line="240" w:lineRule="auto"/>
        <w:ind w:left="851"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redoare matinală peste 60 de minute;</w:t>
      </w:r>
    </w:p>
    <w:p w14:paraId="731D85B5" w14:textId="77777777" w:rsidR="00004853" w:rsidRPr="00004853" w:rsidRDefault="00004853" w:rsidP="002161CA">
      <w:pPr>
        <w:numPr>
          <w:ilvl w:val="0"/>
          <w:numId w:val="220"/>
        </w:numPr>
        <w:pBdr>
          <w:top w:val="nil"/>
          <w:left w:val="nil"/>
          <w:bottom w:val="nil"/>
          <w:right w:val="nil"/>
          <w:between w:val="nil"/>
          <w:bar w:val="nil"/>
        </w:pBdr>
        <w:spacing w:after="0" w:line="240" w:lineRule="auto"/>
        <w:ind w:left="851"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VSH &gt; 28 mm la o oră (respectiv peste 50 mm/h pentru pacientii cu factori de prognostic nefavorabil);</w:t>
      </w:r>
    </w:p>
    <w:p w14:paraId="4E9F53F5" w14:textId="77777777" w:rsidR="00004853" w:rsidRPr="00004853" w:rsidRDefault="00004853" w:rsidP="002161CA">
      <w:pPr>
        <w:numPr>
          <w:ilvl w:val="0"/>
          <w:numId w:val="220"/>
        </w:numPr>
        <w:pBdr>
          <w:top w:val="nil"/>
          <w:left w:val="nil"/>
          <w:bottom w:val="nil"/>
          <w:right w:val="nil"/>
          <w:between w:val="nil"/>
          <w:bar w:val="nil"/>
        </w:pBdr>
        <w:spacing w:after="0" w:line="240" w:lineRule="auto"/>
        <w:ind w:left="851"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 xml:space="preserve">proteina C reactivă &gt; de 3 ori (respectiv de 5 ori pentru pentru pacientii cu factori de prognostic nefavorabil) limita superioară a valorilor normale. </w:t>
      </w:r>
    </w:p>
    <w:p w14:paraId="5164CAB9"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p>
    <w:p w14:paraId="22C20A8D"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Indicele DAS28 se calculează conform practicii uzuale (automat în cazul utilizării aplicaţiei on-line RRBR) în varianta cu 4 variabile (NAD, NAT, VAS, VSH sau CRP). Medicul curant poate alege să calculeze DAS28 cu oricare dintre cei doi reactanţi de fază acută, va ţine însă cont că pentru toate evaluările ulterioare va trebui să utilizeze acelaşi parametru care a fost folosit la prima evaluare.   </w:t>
      </w:r>
    </w:p>
    <w:p w14:paraId="091B99EB"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3. Cazuri de poliartrită reumatoidă care nu au răspuns la terapia remisivă sintetică convenţională, corect administrată (atât ca doze, cât şi ca durate a terapiei), respectiv după utilizarea a cel puţin 2 </w:t>
      </w:r>
      <w:r w:rsidRPr="00004853">
        <w:rPr>
          <w:rFonts w:ascii="Times New Roman" w:eastAsia="Calibri" w:hAnsi="Times New Roman" w:cs="Times New Roman"/>
          <w:sz w:val="24"/>
          <w:szCs w:val="24"/>
          <w:lang w:eastAsia="ro-RO"/>
        </w:rPr>
        <w:lastRenderedPageBreak/>
        <w:t xml:space="preserve">terapii remisive sintetice convenţionale, cu durata de minimum 12 săptămâni fiecare, dintre care una este de obicei reprezentată de metotrexat (cu excepţia cazurilor cu contraindicaţie majoră la acest preparat sau a cazurilor care nu tolerează acest tratament, corespunzător documentate). Pentru categoria de pacienţi cu poliartrită reumatoidă cu factori de prognostic nefavorabil, cu activitate moderata a bolii (DAS </w:t>
      </w:r>
      <w:r w:rsidRPr="00004853">
        <w:rPr>
          <w:rFonts w:ascii="Times New Roman" w:eastAsia="Calibri" w:hAnsi="Times New Roman" w:cs="Times New Roman"/>
          <w:sz w:val="24"/>
          <w:szCs w:val="24"/>
          <w:u w:val="single"/>
          <w:lang w:eastAsia="ro-RO"/>
        </w:rPr>
        <w:t>&gt;</w:t>
      </w:r>
      <w:r w:rsidRPr="00004853">
        <w:rPr>
          <w:rFonts w:ascii="Times New Roman" w:eastAsia="Calibri" w:hAnsi="Times New Roman" w:cs="Times New Roman"/>
          <w:sz w:val="24"/>
          <w:szCs w:val="24"/>
          <w:lang w:eastAsia="ro-RO"/>
        </w:rPr>
        <w:t xml:space="preserve"> 3,2) în pofida tratamentului administrat, dar cu prezenţa a cel puţin 3 factori de prognostic nefavorabil, este necesară utilizarea unei singure terapii remisive sintetice convenţionale, cu durata de minimum 12 săptămâni, de obicei reprezentată de metotrexat (cu excepţia cazurilor cu contraindicaţie majoră la acest preparat sau a cazurilor care nu tolerează acest tratament, corespunzător documentate).</w:t>
      </w:r>
    </w:p>
    <w:p w14:paraId="02EC85E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46DA4F07"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4. Absenţa contraindicaţiilor recunoscute pentru terapiile biologice sau sintetice ţintite (tsDMARDs). Definirea unui caz ca având lipsă de răspuns sau răspuns parţial la terapia remisivă sintetică convenţională se face prin persistenţa criteriilor de activitate, după 12 săptămâni de tratament continuu, cu doza maximă uzual recomandată şi tolerată din preparatul remisiv convenţional respectiv. Pentru a fi relevante, evaluările (clinice şi de laborator) privind activitatea bolii, precum şi cele pentru excluderea contraindicaţiilor de terapie biologică sau sintetică ţintită (tsDMARDs) vor fi efectuate într-o perioadă relativ scurtă (ce nu va depăşi de regulă 4 săptămâni).</w:t>
      </w:r>
    </w:p>
    <w:p w14:paraId="4016A466"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3FADBA44"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r w:rsidRPr="00004853">
        <w:rPr>
          <w:rFonts w:ascii="Times New Roman" w:eastAsia="Calibri" w:hAnsi="Times New Roman" w:cs="Times New Roman"/>
          <w:b/>
          <w:sz w:val="24"/>
          <w:szCs w:val="24"/>
          <w:lang w:eastAsia="ro-RO"/>
        </w:rPr>
        <w:t>Screeningul necesar înainte de orice iniţiere a terapiei biologice sau sintetice ţintite (tsDMARDs)</w:t>
      </w:r>
    </w:p>
    <w:p w14:paraId="06CF9B0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657BD4C1"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r w:rsidRPr="00004853">
        <w:rPr>
          <w:rFonts w:ascii="Times New Roman" w:eastAsia="Calibri" w:hAnsi="Times New Roman" w:cs="Times New Roman"/>
          <w:b/>
          <w:sz w:val="24"/>
          <w:szCs w:val="24"/>
          <w:lang w:eastAsia="ro-RO"/>
        </w:rPr>
        <w:t>1. Tuberculoza</w:t>
      </w:r>
    </w:p>
    <w:p w14:paraId="5A9DCF32"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Înaintea iniţierii terapiei se va evalua riscul pacientului cu poliartrită reumatoidă de a dezvolta o reactivare a unei tuberculoze latente, în condiţiile riscului epidemiologic mare al acestei populaţii.</w:t>
      </w:r>
    </w:p>
    <w:p w14:paraId="73229E42"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p>
    <w:p w14:paraId="121E35CD"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Evaluarea riscului de tuberculoză va cuprinde: anamneză, examen clinic, radiografie pulmonară şi teste de tip IGRA (interferon-gamma release assays): QuantiFERON TB Gold sau testul cutanat la tuberculină (TCT). Pentru pacienţii testaţi pozitiv la QuantiFERON sau la TCT (TCT) ≥ 5 mm se indică consult pneumologic în vederea chimioprofilaxiei (efectuată sub supravegherea medicului pneumolog; terapia biologică se poate iniţia după minimum o lună de tratament profilactic, numai cu avizul expres al medicului pneumolog). Numai la pacienţii care au avut teste iniţiale negative, se recomandă repetarea periodică a screening-ului pentru reactivarea tuberculozei (inclusiv testul QuantiFERON sau TCT), în caz de necesitate dar nu mai rar de un an (la reevaluare se va folosi acelaşi test care a fost folosit iniţial).</w:t>
      </w:r>
    </w:p>
    <w:p w14:paraId="2C02BBA3"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7FE51E99"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Pentru detalii legate de definirea pacienţilor cu risc crescut şi a conduitei de urmat, precum şi a situaţiilor particulare întâlnite în practică, medicul curant va utiliza recomandările în extenso din Ghidul de tratament al poliartritei reumatoide elaborat de Societatea Română de Reumatologie.</w:t>
      </w:r>
    </w:p>
    <w:p w14:paraId="13D3D13D"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400EDC2A"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r w:rsidRPr="00004853">
        <w:rPr>
          <w:rFonts w:ascii="Times New Roman" w:eastAsia="Calibri" w:hAnsi="Times New Roman" w:cs="Times New Roman"/>
          <w:b/>
          <w:sz w:val="24"/>
          <w:szCs w:val="24"/>
          <w:lang w:eastAsia="ro-RO"/>
        </w:rPr>
        <w:t>2. Hepatitele virale</w:t>
      </w:r>
    </w:p>
    <w:p w14:paraId="15210A48"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Ţinând cont de riscul crescut al reactivării infecţiilor cu virusuri hepatitice B şi C, care pot îmbrăca forme fulminante, deseori letale, este imperios necesar ca înaintea iniţierii terapiei cu un agent biologic sau sintetic ţintit (tsDMARDs) să se efectueze screeningul infecţiilor cronice cu virusurile hepatitice B şi C.</w:t>
      </w:r>
    </w:p>
    <w:p w14:paraId="2F942986"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6209CA73"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Markerii serologici virali care trebuie obligatoriu solicitaţi alături de transaminaze înainte de iniţierea unei terapii biologice sau sintetice ţintite (tsDMARDs) sunt pentru virusul hepatitic B (VHB): antigen HBs, anticorpi anti-HBs, anticorpi anti-HBc (IgG); pentru virusul hepatitic C (VHC): anticorpi anti-VHC.</w:t>
      </w:r>
    </w:p>
    <w:p w14:paraId="2CA896A3"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5AA7C487"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Decizia de iniţiere a terapiei biologice sau sintetice ţintite (tsDMARDs) la cei cu markeri virali pozitivi impune avizul explicit al medicului specialist în boli infecţioase sau gastroenterologie, care va efectua o evaluare completă (hepatică şi virusologică) a pacientului şi va recomanda măsurile profilactice care se impun, stabilind momentul când terapia biologică sau sintetică ţintită </w:t>
      </w:r>
      <w:r w:rsidRPr="00004853">
        <w:rPr>
          <w:rFonts w:ascii="Times New Roman" w:eastAsia="Calibri" w:hAnsi="Times New Roman" w:cs="Times New Roman"/>
          <w:sz w:val="24"/>
          <w:szCs w:val="24"/>
          <w:lang w:eastAsia="ro-RO"/>
        </w:rPr>
        <w:lastRenderedPageBreak/>
        <w:t>(tsDMARDs) a poliartritei reumatoide poate fi iniţiată, precum şi schema de monitorizare a siguranţei hepatice. Se recomandă repetarea periodică a screening-ului pentru infecţiile cronice cu virusuri hepatitice B şi C, în caz de necesitate, dar nu mai rar de un an.</w:t>
      </w:r>
    </w:p>
    <w:p w14:paraId="712B5CA9"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278EB5A2"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Pentru detalii legate de managementul infecţiei cu virusuri hepatitice la pacienţii cu terapii biologice sau sintetice ţintite (tsDMARDs) medicul curant va utiliza recomandările în extenso din Ghidul de tratament al poliartritei reumatoide elaborat de Societatea Română de Reumatologie şi protocoalele terapeutice din hepatitele cronice aprobate de Ministerul Sănătăţii şi Casa Naţională de Asigurări de Sănătate.</w:t>
      </w:r>
    </w:p>
    <w:p w14:paraId="28DAD39B"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p>
    <w:p w14:paraId="6DF4AD49"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r w:rsidRPr="00004853">
        <w:rPr>
          <w:rFonts w:ascii="Times New Roman" w:eastAsia="Calibri" w:hAnsi="Times New Roman" w:cs="Times New Roman"/>
          <w:b/>
          <w:sz w:val="24"/>
          <w:szCs w:val="24"/>
          <w:lang w:eastAsia="ro-RO"/>
        </w:rPr>
        <w:t>Scheme terapeutice în tratamentul cu agenţi biologici şi terapii sintetice ţintite (tsDMARDs)</w:t>
      </w:r>
    </w:p>
    <w:p w14:paraId="5EA8AA66"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p>
    <w:p w14:paraId="079E0604"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Conform recomandărilor EULAR, medicul curant poate alege ca primă soluţie terapeutică biologică sau sintetică ţintită (tsDMARDs) oricare dintre următoarele (fără a se acorda preferinţă sau prioritate unei clase):</w:t>
      </w:r>
    </w:p>
    <w:p w14:paraId="54597DB3" w14:textId="77777777" w:rsidR="00004853" w:rsidRPr="00004853" w:rsidRDefault="00004853" w:rsidP="002161CA">
      <w:pPr>
        <w:numPr>
          <w:ilvl w:val="0"/>
          <w:numId w:val="22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inhibitori TNF (listaţi în ordine alfabetică: adalimumab original şi biosimilar, certolizumab pegol, etanercept original sau biosimilar, golimumab, infliximab original sau biosimilar);</w:t>
      </w:r>
    </w:p>
    <w:p w14:paraId="0838295A" w14:textId="77777777" w:rsidR="00004853" w:rsidRPr="00004853" w:rsidRDefault="00004853" w:rsidP="002161CA">
      <w:pPr>
        <w:numPr>
          <w:ilvl w:val="0"/>
          <w:numId w:val="22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abatacept;</w:t>
      </w:r>
    </w:p>
    <w:p w14:paraId="6D9715B1" w14:textId="77777777" w:rsidR="00004853" w:rsidRPr="00004853" w:rsidRDefault="00004853" w:rsidP="002161CA">
      <w:pPr>
        <w:numPr>
          <w:ilvl w:val="0"/>
          <w:numId w:val="22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tocilizumab;</w:t>
      </w:r>
    </w:p>
    <w:p w14:paraId="582829C0" w14:textId="77777777" w:rsidR="00004853" w:rsidRPr="00004853" w:rsidRDefault="00004853" w:rsidP="002161CA">
      <w:pPr>
        <w:numPr>
          <w:ilvl w:val="0"/>
          <w:numId w:val="22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în anumite circumstanţe (detaliate ulterior), rituximab (original şi biosimilar);</w:t>
      </w:r>
    </w:p>
    <w:p w14:paraId="17D68DBC" w14:textId="77777777" w:rsidR="00004853" w:rsidRPr="00004853" w:rsidRDefault="00004853" w:rsidP="002161CA">
      <w:pPr>
        <w:numPr>
          <w:ilvl w:val="0"/>
          <w:numId w:val="221"/>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 xml:space="preserve">sau un preparat sintetic ţintit (tsDMARDs) (baricitinib, tofacitinib, </w:t>
      </w:r>
      <w:bookmarkStart w:id="38" w:name="_Hlk93182711"/>
      <w:r w:rsidRPr="00004853">
        <w:rPr>
          <w:rFonts w:ascii="Times New Roman" w:eastAsia="Calibri" w:hAnsi="Times New Roman" w:cs="Times New Roman"/>
          <w:sz w:val="24"/>
          <w:szCs w:val="24"/>
          <w:u w:color="000000"/>
          <w:bdr w:val="nil"/>
          <w:lang w:eastAsia="ro-RO"/>
        </w:rPr>
        <w:t>upadacitinib</w:t>
      </w:r>
      <w:bookmarkEnd w:id="38"/>
      <w:r w:rsidRPr="00004853">
        <w:rPr>
          <w:rFonts w:ascii="Times New Roman" w:eastAsia="Calibri" w:hAnsi="Times New Roman" w:cs="Times New Roman"/>
          <w:sz w:val="24"/>
          <w:szCs w:val="24"/>
          <w:u w:color="000000"/>
          <w:bdr w:val="nil"/>
          <w:lang w:eastAsia="ro-RO"/>
        </w:rPr>
        <w:t>, filgotinib)</w:t>
      </w:r>
    </w:p>
    <w:p w14:paraId="1D0816C1"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5A5D9918"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Tratamentul biologic sau sintetic ţintit (tsDMARDs) iniţiat este continuat atâta vreme cât pacientul răspunde la terapie (îndeplinind criteriile de ameliorare de mai jos) şi nu dezvoltă reacţii adverse care să impună oprirea terapiei. Evaluarea răspunsului la tratament se face de regulă la fiecare 24 săptămâni de tratament.</w:t>
      </w:r>
    </w:p>
    <w:p w14:paraId="53C70349"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14D5F1FF"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De regulă, orice terapie biologică (inclusiv tocilizumab) şi sintetică ţintită (tsDMARDs) se recomandă a fi administrată asociat cu un remisiv sintetic convenţional (de regulă unul singur, cel mai frecvent utilizat fiind metotrexat, pentru care se recomandă o doză minimă de 10 mg/săptămână), care este menţinut şi după iniţierea biologicului sau remisivului sintetic ţintit (tsDMARDs). În cazul în care din motive obiective, documentate corespunzător, nu este posibilă utilizarea concomitentă a niciunui remisiv sintetic convenţional, se recomandă utilizarea preferenţială de tocilizumab sau de sintetic ţintit (tsDMARDs). De menţionat că în conformitate cu rezumatele caracteristicilor produselor aprobate, următoarele terapii biologice sau sintetice ţintite (tsDMARDs) pot fi utilizate în monoterapie, în situaţii speciale ce trebuie documentate: adalimumab original şi biosimilar, certolizumab, etanercept original sau biosimilar, tsDMARDs (baricitinib, tofacitinib, upadacitinib, filgotinib).</w:t>
      </w:r>
    </w:p>
    <w:p w14:paraId="6EB17B61"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29D73DD6"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Evaluarea răspunsului la tratament este apreciat prin urmărirea următorilor parametri clinici şi de laborator:</w:t>
      </w:r>
    </w:p>
    <w:p w14:paraId="416C0F7C" w14:textId="77777777" w:rsidR="00004853" w:rsidRPr="00004853" w:rsidRDefault="00004853" w:rsidP="002161CA">
      <w:pPr>
        <w:numPr>
          <w:ilvl w:val="0"/>
          <w:numId w:val="22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numărul de articulaţii dureroase (NAD);</w:t>
      </w:r>
    </w:p>
    <w:p w14:paraId="699AF298" w14:textId="77777777" w:rsidR="00004853" w:rsidRPr="00004853" w:rsidRDefault="00004853" w:rsidP="002161CA">
      <w:pPr>
        <w:numPr>
          <w:ilvl w:val="0"/>
          <w:numId w:val="22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numărul de articulaţii tumefiate (NAT);</w:t>
      </w:r>
    </w:p>
    <w:p w14:paraId="7859964B" w14:textId="77777777" w:rsidR="00004853" w:rsidRPr="00004853" w:rsidRDefault="00004853" w:rsidP="002161CA">
      <w:pPr>
        <w:numPr>
          <w:ilvl w:val="0"/>
          <w:numId w:val="22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scala analogă vizuală (VAS în milimetri) pentru evaluarea globală a activităţii bolii de către pacient;</w:t>
      </w:r>
    </w:p>
    <w:p w14:paraId="1FE7BCB9" w14:textId="77777777" w:rsidR="00004853" w:rsidRPr="00004853" w:rsidRDefault="00004853" w:rsidP="002161CA">
      <w:pPr>
        <w:numPr>
          <w:ilvl w:val="0"/>
          <w:numId w:val="22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VSH (la 1 oră);</w:t>
      </w:r>
    </w:p>
    <w:p w14:paraId="183FDA41" w14:textId="77777777" w:rsidR="00004853" w:rsidRPr="00004853" w:rsidRDefault="00004853" w:rsidP="002161CA">
      <w:pPr>
        <w:numPr>
          <w:ilvl w:val="0"/>
          <w:numId w:val="22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proteina C reactivă (cantitativ), a cărui determinare este obligatorie, chiar dacă nu este folosit la calculul DAS28;</w:t>
      </w:r>
    </w:p>
    <w:p w14:paraId="64A4A94E" w14:textId="77777777" w:rsidR="00004853" w:rsidRPr="00004853" w:rsidRDefault="00004853" w:rsidP="002161CA">
      <w:pPr>
        <w:numPr>
          <w:ilvl w:val="0"/>
          <w:numId w:val="22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indicele cumulativ DAS28 cu 4 variabile (NAD, NAT, VAS şi nivel VSH sau CRP).</w:t>
      </w:r>
    </w:p>
    <w:p w14:paraId="1C00104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497DE9DB"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Pentru a fi relevante, toate evaluările (clinice şi de laborator) privind activitatea bolii, precum şi cele pentru identificarea unor potenţiale reacţii adverse vor fi efectuate într-o perioadă relativ scurtă (ce nu va depăşi de regulă 4 săptămâni). În conformitate cu recomandările EULAR şi principiile strategiei </w:t>
      </w:r>
      <w:r w:rsidRPr="00004853">
        <w:rPr>
          <w:rFonts w:ascii="Times New Roman" w:eastAsia="Calibri" w:hAnsi="Times New Roman" w:cs="Times New Roman"/>
          <w:sz w:val="24"/>
          <w:szCs w:val="24"/>
          <w:lang w:eastAsia="ro-RO"/>
        </w:rPr>
        <w:lastRenderedPageBreak/>
        <w:t>terapeutice "treat to target (T2T)" obiectivul terapeutic este reprezentat de obţinerea remisiunii, iar în cazurile în care aceasta nu este posibilă, de obţinerea unei activităţi joase a bolii.</w:t>
      </w:r>
    </w:p>
    <w:p w14:paraId="7E8163E0"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44E1891A"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r w:rsidRPr="00004853">
        <w:rPr>
          <w:rFonts w:ascii="Times New Roman" w:eastAsia="Calibri" w:hAnsi="Times New Roman" w:cs="Times New Roman"/>
          <w:b/>
          <w:sz w:val="24"/>
          <w:szCs w:val="24"/>
          <w:lang w:eastAsia="ro-RO"/>
        </w:rPr>
        <w:t>Continuarea tratamentului</w:t>
      </w:r>
    </w:p>
    <w:p w14:paraId="1B5586AF" w14:textId="77777777" w:rsidR="00004853" w:rsidRPr="00004853" w:rsidRDefault="00004853" w:rsidP="00004853">
      <w:pPr>
        <w:spacing w:after="0" w:line="240" w:lineRule="auto"/>
        <w:jc w:val="both"/>
        <w:rPr>
          <w:rFonts w:ascii="Times New Roman" w:eastAsia="Calibri" w:hAnsi="Times New Roman" w:cs="Times New Roman"/>
          <w:strike/>
          <w:sz w:val="24"/>
          <w:szCs w:val="24"/>
          <w:lang w:eastAsia="ro-RO"/>
        </w:rPr>
      </w:pPr>
      <w:r w:rsidRPr="00004853">
        <w:rPr>
          <w:rFonts w:ascii="Times New Roman" w:eastAsia="Calibri" w:hAnsi="Times New Roman" w:cs="Times New Roman"/>
          <w:sz w:val="24"/>
          <w:szCs w:val="24"/>
          <w:lang w:eastAsia="ro-RO"/>
        </w:rPr>
        <w:t>În cazul pacienţilor în curs de tratament biologic sau sintetic ţintit (tsDMARDs) (inclusiv cei provenind din cazuri pediatrice, terapii iniţiate în străinătate sau alte situaţii justificate, corespunzător documentate), pacientul este considerat ameliorat şi poate continua tratamentul cu condiţia atingerii obiectivului terapeutic, respectiv atingerea remisiunii sau cel puţin activitatea joasă a bolii (definite ca o valoare DAS28 mai mică de 2,6 şi respectiv 3,2). Conform recomandarilor de management al AR elaborate de EULAR in 2022, până la atingerea ţintei terapeutice raspunsul terapeutic se va evalua folosind criteriul de ameliorare semnificativa, reprezentand o imbunatatire cu 50% a indicilor de activitate ai bolii fata de evaluarea de la initierea terapiei.</w:t>
      </w:r>
    </w:p>
    <w:p w14:paraId="3B1CB20E"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56E78BB1"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Medicul curant este singurul care poate evalua corect gradul de răspuns la terapie şi poate recomanda continuarea sau schimbarea tratamentului administrat. Schimbarea terapiei biologice sau sintetice ţintite (tsDMARDs): la pacienţii care nu ating tinta terapeutica (remisiunea sau activitatea joasa a bolii) dupa 6 luni de tratament sau nu prezinta o ameliorare semnificativa dupa 3 luni (reprezentand o imbunatatire cu 50% a indicilor de activitate ai bolii fata de evaluarea de la initierea terapiei) la primul tratament biologic sau sintetic ţintit (tsDMARDs) administrat sau care au dezvoltat o reacţie adversă documentată care să impună oprirea respectivului tratament, medicul curant va recomanda utilizarea altei terapii biologice sau sintetice ţintite (tsDMARDs), putând alege, conform recomandărilor EULAR, între oricare dintre următoarele opţiuni (alegerea făcându-se în funcţie de particularităţile cazului, de evoluţia şi de severitatea bolii):</w:t>
      </w:r>
    </w:p>
    <w:p w14:paraId="0BE6DF85" w14:textId="77777777" w:rsidR="00004853" w:rsidRPr="00004853" w:rsidRDefault="00004853" w:rsidP="002161CA">
      <w:pPr>
        <w:numPr>
          <w:ilvl w:val="0"/>
          <w:numId w:val="22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un alt inhibitor TNFα biosimilar sau original, pe care pacientul nu l-a mai încercat, cu menţiunea că nu este permisă folosirea unui biosimilar după un produs original care nu a fost eficient sau a produs o reacţie adversă (inversul afirmaţiei fiind şi el corect); conform recomandărilor EULAR este în mod explicit permisă utilizarea unui al doilea inhibitor de TNFα după eşecul primului; în cazul eşecului celui de-al doilea blocant TNFα din motive de eficacitate, se recomandă utilizarea unei terapii cu un alt mod de acţiune;</w:t>
      </w:r>
    </w:p>
    <w:p w14:paraId="3319991B" w14:textId="77777777" w:rsidR="00004853" w:rsidRPr="00004853" w:rsidRDefault="00004853" w:rsidP="002161CA">
      <w:pPr>
        <w:numPr>
          <w:ilvl w:val="0"/>
          <w:numId w:val="22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abatacept;</w:t>
      </w:r>
    </w:p>
    <w:p w14:paraId="78136597" w14:textId="77777777" w:rsidR="00004853" w:rsidRPr="00004853" w:rsidRDefault="00004853" w:rsidP="002161CA">
      <w:pPr>
        <w:numPr>
          <w:ilvl w:val="0"/>
          <w:numId w:val="22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rituximab (original şi biosimilar);</w:t>
      </w:r>
    </w:p>
    <w:p w14:paraId="1B2D4852" w14:textId="77777777" w:rsidR="00004853" w:rsidRPr="00004853" w:rsidRDefault="00004853" w:rsidP="002161CA">
      <w:pPr>
        <w:numPr>
          <w:ilvl w:val="0"/>
          <w:numId w:val="22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tocilizumab;</w:t>
      </w:r>
    </w:p>
    <w:p w14:paraId="333C2C02" w14:textId="77777777" w:rsidR="00004853" w:rsidRPr="00004853" w:rsidRDefault="00004853" w:rsidP="002161CA">
      <w:pPr>
        <w:numPr>
          <w:ilvl w:val="0"/>
          <w:numId w:val="22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terapie sintetică ţintită (tsDMARDs) (baricitinib, tofacitinib, upadacitinib, filgotinib).</w:t>
      </w:r>
    </w:p>
    <w:p w14:paraId="267127BD"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5E0E3D6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În cazul în care medicul curant constată lipsa de răspuns la tratamentul administrat sau apariţia unei reacţii adverse care să impună oprirea tratamentului, acesta poate recomanda modificarea schemei terapeutice înainte de împlinirea celor 24 de săptămâni prevăzute pentru evaluarea uzuală de eficacitate.</w:t>
      </w:r>
    </w:p>
    <w:p w14:paraId="6357482D"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2678CE6D"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Acelaşi protocol de modificare a schemei de tratament se repetă ori de câte ori este nevoie, respectiv pacientul nu mai răspunde la terapie sau dezvoltă o reacţie adversă care să impună oprirea terapiei. În cazul pacienţilor care au răspuns la tratament, dar la care se înregistrează o pierdere a răspunsului, exprimată într-o creştere a DAS28 mai mare de 1,2 între 2 evaluări succesive, cu condiţia trecerii într-un grad mai mare de activitate (de exemplu de la remisiune la LDA) sau de la LDA la MDA, se recomandă ajustarea schemei de tratament administrate (prin modificarea dozelor, frecvenţei de administrare, preparatelor utilizate sau terapiilor asociate).</w:t>
      </w:r>
    </w:p>
    <w:p w14:paraId="0393EA8B"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w:t>
      </w:r>
    </w:p>
    <w:p w14:paraId="5C9979C9"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p>
    <w:p w14:paraId="06E20311"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b/>
          <w:sz w:val="24"/>
          <w:szCs w:val="24"/>
          <w:lang w:eastAsia="ro-RO"/>
        </w:rPr>
        <w:t>A. Clasa blocanţilor de TNFα:</w:t>
      </w:r>
      <w:r w:rsidRPr="00004853">
        <w:rPr>
          <w:rFonts w:ascii="Times New Roman" w:eastAsia="Calibri" w:hAnsi="Times New Roman" w:cs="Times New Roman"/>
          <w:sz w:val="24"/>
          <w:szCs w:val="24"/>
          <w:lang w:eastAsia="ro-RO"/>
        </w:rPr>
        <w:t> adalimumab (original şi biosimilar), certolizumab, etanercept (original şi biosimilar), golimumab, infliximab (original şi biosimilar)</w:t>
      </w:r>
    </w:p>
    <w:p w14:paraId="279C5DFF"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34CEC9AB"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b/>
          <w:sz w:val="24"/>
          <w:szCs w:val="24"/>
          <w:lang w:eastAsia="ro-RO"/>
        </w:rPr>
        <w:t>1. Adalimumab (original şi biosimilar):</w:t>
      </w:r>
      <w:r w:rsidRPr="00004853">
        <w:rPr>
          <w:rFonts w:ascii="Times New Roman" w:eastAsia="Calibri" w:hAnsi="Times New Roman" w:cs="Times New Roman"/>
          <w:sz w:val="24"/>
          <w:szCs w:val="24"/>
          <w:lang w:eastAsia="ro-RO"/>
        </w:rPr>
        <w:t xml:space="preserve"> se utilizează în doze de 40 mg o dată la 2 săptămâni, subcutanat.</w:t>
      </w:r>
    </w:p>
    <w:p w14:paraId="7C1B6A47"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lastRenderedPageBreak/>
        <w:t>Pentru a asigura eficacitatea maximă se utilizează de regulă asociat cu metotrexat, în doză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w:t>
      </w:r>
    </w:p>
    <w:p w14:paraId="42C918BC"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p>
    <w:p w14:paraId="37C6B05A"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b/>
          <w:sz w:val="24"/>
          <w:szCs w:val="24"/>
          <w:lang w:eastAsia="ro-RO"/>
        </w:rPr>
        <w:t>2. Certolizumab:</w:t>
      </w:r>
      <w:r w:rsidRPr="00004853">
        <w:rPr>
          <w:rFonts w:ascii="Times New Roman" w:eastAsia="Calibri" w:hAnsi="Times New Roman" w:cs="Times New Roman"/>
          <w:sz w:val="24"/>
          <w:szCs w:val="24"/>
          <w:lang w:eastAsia="ro-RO"/>
        </w:rPr>
        <w:t xml:space="preserve"> se utilizează în doze de 200 mg x 2, injectabil subcutanat la 0, 2, 4 săptămâni, apoi 200 mg subcutanat la 2 săptămâni. Atunci când este obţinut răspunsul clinic, poate fi luată în considerare o doză de menţinere alternativă de 400 mg o dată la 4 săptămâni. Pentru a asigura eficacitatea maximă, se utilizează de regulă asociat cu metotrexat, în doză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w:t>
      </w:r>
    </w:p>
    <w:p w14:paraId="5C682E2E"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23C09179"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b/>
          <w:sz w:val="24"/>
          <w:szCs w:val="24"/>
          <w:lang w:eastAsia="ro-RO"/>
        </w:rPr>
        <w:t>3. Etanercept (original şi biosimilar):</w:t>
      </w:r>
      <w:r w:rsidRPr="00004853">
        <w:rPr>
          <w:rFonts w:ascii="Times New Roman" w:eastAsia="Calibri" w:hAnsi="Times New Roman" w:cs="Times New Roman"/>
          <w:sz w:val="24"/>
          <w:szCs w:val="24"/>
          <w:lang w:eastAsia="ro-RO"/>
        </w:rPr>
        <w:t xml:space="preserve"> se utilizează în doze de 25 mg de 2 ori pe săptămână sau 50 mg o dată pe săptămână, subcutanat. Pentru a asigura eficacitatea maximă se utilizează asociat cu metotrexat, în doza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w:t>
      </w:r>
    </w:p>
    <w:p w14:paraId="2D99A4FA"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7A5AD260"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b/>
          <w:sz w:val="24"/>
          <w:szCs w:val="24"/>
          <w:lang w:eastAsia="ro-RO"/>
        </w:rPr>
        <w:t>4. Golimumab:</w:t>
      </w:r>
      <w:r w:rsidRPr="00004853">
        <w:rPr>
          <w:rFonts w:ascii="Times New Roman" w:eastAsia="Calibri" w:hAnsi="Times New Roman" w:cs="Times New Roman"/>
          <w:sz w:val="24"/>
          <w:szCs w:val="24"/>
          <w:lang w:eastAsia="ro-RO"/>
        </w:rPr>
        <w:t xml:space="preserve"> se utilizează în doze de 50 mg o dată pe lună, injectabil subcutanat în aceeaşi dată a lunii.</w:t>
      </w:r>
    </w:p>
    <w:p w14:paraId="094598A0"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La pacienţii cu greutate peste 100 kg care nu ating răspunsul clinic după 3 sau 4 doze golimumab 50 mg, se poate folosi doza de 100 mg injectabil subcutanat lunar în aceeaşi dată a lunii. Pentru a asigura eficacitatea maximă se utilizează de regulă asociat cu metotrexat, în doză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w:t>
      </w:r>
    </w:p>
    <w:p w14:paraId="4DFCED65"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7B2C092A"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b/>
          <w:sz w:val="24"/>
          <w:szCs w:val="24"/>
          <w:lang w:eastAsia="ro-RO"/>
        </w:rPr>
        <w:t>5. Infliximab (original şi biosimilar):</w:t>
      </w:r>
      <w:r w:rsidRPr="00004853">
        <w:rPr>
          <w:rFonts w:ascii="Times New Roman" w:eastAsia="Calibri" w:hAnsi="Times New Roman" w:cs="Times New Roman"/>
          <w:sz w:val="24"/>
          <w:szCs w:val="24"/>
          <w:lang w:eastAsia="ro-RO"/>
        </w:rPr>
        <w:t xml:space="preserve"> în doze de 3 mg/kgc, în PEV, administrat în ziua 0 şi apoi la 2 şi 6 săptămâni, ulterior la fiecare 8 săptămâni. Pentru a asigura eficacitatea maximă se utilizează de regulă asociat cu metotrexat, în doză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 În caz de răspuns insuficient se poate creşte treptat doza de </w:t>
      </w:r>
      <w:bookmarkStart w:id="39" w:name="_Hlk108035627"/>
      <w:r w:rsidRPr="00004853">
        <w:rPr>
          <w:rFonts w:ascii="Times New Roman" w:eastAsia="Calibri" w:hAnsi="Times New Roman" w:cs="Times New Roman"/>
          <w:sz w:val="24"/>
          <w:szCs w:val="24"/>
          <w:lang w:eastAsia="ro-RO"/>
        </w:rPr>
        <w:t>infliximabum</w:t>
      </w:r>
      <w:bookmarkEnd w:id="39"/>
      <w:r w:rsidRPr="00004853">
        <w:rPr>
          <w:rFonts w:ascii="Times New Roman" w:eastAsia="Calibri" w:hAnsi="Times New Roman" w:cs="Times New Roman"/>
          <w:sz w:val="24"/>
          <w:szCs w:val="24"/>
          <w:lang w:eastAsia="ro-RO"/>
        </w:rPr>
        <w:t xml:space="preserve"> până la 7,5 mg/kgc sau se poate reduce intervalul dintre administrări până la 6 săptămâni. </w:t>
      </w:r>
    </w:p>
    <w:p w14:paraId="6368896A"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Tratamentul cu infliximabum în forma farmaceutică pentru utilizare subcutanată trebuie inițiat cu dozele de infliximab de încărcare, care pot fi administrate intravenos sau subcutanat. Când dozele de încărcare sunt administrate subcutanat, Infliximabum 120 mg trebuie administrat sub formă de injecție subcutanată, urmat de injecții subcutanate suplimentare la 1, 2, 3 și 4 săptămâni de la prima injecție, apoi la interval de 2 săptămâni. Dacă pentru inițierea tratamentului dozele de infliximab de încărcare se administrează intravenos, trebuie administrate intravenos 2 perfuzii cu infliximab 3 mg/kg la interval de 2 săptămâni. Primul tratament cu </w:t>
      </w:r>
      <w:bookmarkStart w:id="40" w:name="_Hlk108035162"/>
      <w:r w:rsidRPr="00004853">
        <w:rPr>
          <w:rFonts w:ascii="Times New Roman" w:eastAsia="Calibri" w:hAnsi="Times New Roman" w:cs="Times New Roman"/>
          <w:sz w:val="24"/>
          <w:szCs w:val="24"/>
          <w:lang w:eastAsia="ro-RO"/>
        </w:rPr>
        <w:t xml:space="preserve">infliximab administrat subcutanat </w:t>
      </w:r>
      <w:bookmarkEnd w:id="40"/>
      <w:r w:rsidRPr="00004853">
        <w:rPr>
          <w:rFonts w:ascii="Times New Roman" w:eastAsia="Calibri" w:hAnsi="Times New Roman" w:cs="Times New Roman"/>
          <w:sz w:val="24"/>
          <w:szCs w:val="24"/>
          <w:lang w:eastAsia="ro-RO"/>
        </w:rPr>
        <w:t>trebuie inițiat ca tratament de întreținere la 4 săptămâni de la a doua administrare intravenoasă. Doza recomandată de întreținere pentru infliximab în forma farmaceutică pentru utilizare subcutanată este de 120 mg, la interval de 2 săptămâni.</w:t>
      </w:r>
    </w:p>
    <w:p w14:paraId="3C6C9CC5"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În cazul în care tratamentul de întreţinere este întrerupt şi este necesară reînceperea tratamentului, nu este recomandată utilizarea unui regim de re-inducţie a infliximabului intravenos. În această situație, infliximabul trebuie reinițiat ca doză unică de infliximab intravenos urmată de recomandările privind doza de întreținere pentru infliximab subcutanat descrise mai sus, la 4 săptămâni după ultima administrare de infliximab intravenos.</w:t>
      </w:r>
    </w:p>
    <w:p w14:paraId="2DC715A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Când se trece de la terapia de întreținere cu infliximab formulă intravenoasă la forma farmaceutică subcutanată a infliximab, forma farmaceutică subcutanată poate fi administrată la 8 săptămâni după ultima administrare a perfuziilor intravenoase de infliximab.</w:t>
      </w:r>
    </w:p>
    <w:p w14:paraId="499734B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lastRenderedPageBreak/>
        <w:t>Nu sunt disponibile informații privind trecerea pacienților de la forma farmaceutică subcutanată la forma farmaceutică intravenoasă a infliximabum.</w:t>
      </w:r>
    </w:p>
    <w:p w14:paraId="48CEF48D"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Dacă pacienții omit administrarea unei injecții cu formularea subcutanată a infliximab, trebuie să fie instruiți să-și administreze imediat doza omisă în cazul în care acest lucru se întâmplă în termen de 7 zile de la doza omisă, apoi să rămână la schema lor inițială. Dacă doza este întârziată cu 8 zile sau mai mult, pacienții trebuie să fie instruiți să sară peste doza omisă, să aștepte până la următoarea doză programată și apoi să rămână la schema lor inițială.</w:t>
      </w:r>
    </w:p>
    <w:p w14:paraId="4688A069"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w:t>
      </w:r>
    </w:p>
    <w:p w14:paraId="027EB829"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b/>
          <w:sz w:val="24"/>
          <w:szCs w:val="24"/>
          <w:lang w:eastAsia="ro-RO"/>
        </w:rPr>
        <w:t>B. Clasa blocanţilor co-stimulării limfocitelor T - abatacept:</w:t>
      </w:r>
      <w:r w:rsidRPr="00004853">
        <w:rPr>
          <w:rFonts w:ascii="Times New Roman" w:eastAsia="Calibri" w:hAnsi="Times New Roman" w:cs="Times New Roman"/>
          <w:sz w:val="24"/>
          <w:szCs w:val="24"/>
          <w:lang w:eastAsia="ro-RO"/>
        </w:rPr>
        <w:t xml:space="preserve"> se utilizează în doză de 125 mg săptămânal sub formă de injecţie subcutanată, indiferent de greutatea corporală. Pentru a asigura eficacitatea maximă se utilizează de regulă asociat cu metotrexat, în doză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w:t>
      </w:r>
    </w:p>
    <w:p w14:paraId="526BB278"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w:t>
      </w:r>
    </w:p>
    <w:p w14:paraId="08AA7A92"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b/>
          <w:sz w:val="24"/>
          <w:szCs w:val="24"/>
          <w:lang w:eastAsia="ro-RO"/>
        </w:rPr>
        <w:t>C. Blocanţi ai receptorului pentru IL-6 - tocilizumab:</w:t>
      </w:r>
      <w:r w:rsidRPr="00004853">
        <w:rPr>
          <w:rFonts w:ascii="Times New Roman" w:eastAsia="Calibri" w:hAnsi="Times New Roman" w:cs="Times New Roman"/>
          <w:sz w:val="24"/>
          <w:szCs w:val="24"/>
          <w:lang w:eastAsia="ro-RO"/>
        </w:rPr>
        <w:t xml:space="preserve"> se administrează în perfuzie intravenoasă (timp de o oră), la interval de 4 săptămâni în doză de 8 mg/kg (fără a se depăşi doza totală de 800 mg/PEV).</w:t>
      </w:r>
    </w:p>
    <w:p w14:paraId="0F2CD669"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Pentru situaţiile de reacţii adverse care nu impun întreruperea tratamentului, doza se scade la 4 mg/kg.</w:t>
      </w:r>
    </w:p>
    <w:p w14:paraId="462A236E"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Pentru administrarea dozei adecvate se vor folosi atât flacoanele concentrat pentru soluţie perfuzabilă de 200 sau 400 mg/flacon, cât şi cele de 80 mg/flacon. În funcţie de greutatea pacientului, reconstituirea dozei standard se realizează în felul următor:</w:t>
      </w:r>
    </w:p>
    <w:p w14:paraId="599E1005" w14:textId="77777777" w:rsidR="00004853" w:rsidRPr="00004853" w:rsidRDefault="00004853" w:rsidP="002161CA">
      <w:pPr>
        <w:numPr>
          <w:ilvl w:val="0"/>
          <w:numId w:val="224"/>
        </w:numPr>
        <w:pBdr>
          <w:top w:val="nil"/>
          <w:left w:val="nil"/>
          <w:bottom w:val="nil"/>
          <w:right w:val="nil"/>
          <w:between w:val="nil"/>
          <w:bar w:val="nil"/>
        </w:pBdr>
        <w:spacing w:after="0" w:line="240" w:lineRule="auto"/>
        <w:ind w:left="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50 kg - 1 flacon de 400 mg</w:t>
      </w:r>
    </w:p>
    <w:p w14:paraId="1FD98096" w14:textId="77777777" w:rsidR="00004853" w:rsidRPr="00004853" w:rsidRDefault="00004853" w:rsidP="002161CA">
      <w:pPr>
        <w:numPr>
          <w:ilvl w:val="0"/>
          <w:numId w:val="224"/>
        </w:numPr>
        <w:pBdr>
          <w:top w:val="nil"/>
          <w:left w:val="nil"/>
          <w:bottom w:val="nil"/>
          <w:right w:val="nil"/>
          <w:between w:val="nil"/>
          <w:bar w:val="nil"/>
        </w:pBdr>
        <w:spacing w:after="0" w:line="240" w:lineRule="auto"/>
        <w:ind w:left="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51 - 61 kg - 1 flacon de 400 mg + 1 flacon de 80 mg</w:t>
      </w:r>
    </w:p>
    <w:p w14:paraId="7626BC20" w14:textId="77777777" w:rsidR="00004853" w:rsidRPr="00004853" w:rsidRDefault="00004853" w:rsidP="002161CA">
      <w:pPr>
        <w:numPr>
          <w:ilvl w:val="0"/>
          <w:numId w:val="224"/>
        </w:numPr>
        <w:pBdr>
          <w:top w:val="nil"/>
          <w:left w:val="nil"/>
          <w:bottom w:val="nil"/>
          <w:right w:val="nil"/>
          <w:between w:val="nil"/>
          <w:bar w:val="nil"/>
        </w:pBdr>
        <w:spacing w:after="0" w:line="240" w:lineRule="auto"/>
        <w:ind w:left="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62 - 65 kg - 1 flacon de 200 mg + 4 flacoane de 80 mg</w:t>
      </w:r>
    </w:p>
    <w:p w14:paraId="470C1C53" w14:textId="77777777" w:rsidR="00004853" w:rsidRPr="00004853" w:rsidRDefault="00004853" w:rsidP="002161CA">
      <w:pPr>
        <w:numPr>
          <w:ilvl w:val="0"/>
          <w:numId w:val="224"/>
        </w:numPr>
        <w:pBdr>
          <w:top w:val="nil"/>
          <w:left w:val="nil"/>
          <w:bottom w:val="nil"/>
          <w:right w:val="nil"/>
          <w:between w:val="nil"/>
          <w:bar w:val="nil"/>
        </w:pBdr>
        <w:spacing w:after="0" w:line="240" w:lineRule="auto"/>
        <w:ind w:left="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66 - 70 kg - 1 flacon de 400 mg + 2 flacoane de 80 mg</w:t>
      </w:r>
    </w:p>
    <w:p w14:paraId="36A76A01" w14:textId="77777777" w:rsidR="00004853" w:rsidRPr="00004853" w:rsidRDefault="00004853" w:rsidP="002161CA">
      <w:pPr>
        <w:numPr>
          <w:ilvl w:val="0"/>
          <w:numId w:val="224"/>
        </w:numPr>
        <w:pBdr>
          <w:top w:val="nil"/>
          <w:left w:val="nil"/>
          <w:bottom w:val="nil"/>
          <w:right w:val="nil"/>
          <w:between w:val="nil"/>
          <w:bar w:val="nil"/>
        </w:pBdr>
        <w:spacing w:after="0" w:line="240" w:lineRule="auto"/>
        <w:ind w:left="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71 - 75 kg - 1 flacon de 400 mg + 1 flacon de 200 mg</w:t>
      </w:r>
    </w:p>
    <w:p w14:paraId="4F9A77A3" w14:textId="77777777" w:rsidR="00004853" w:rsidRPr="00004853" w:rsidRDefault="00004853" w:rsidP="002161CA">
      <w:pPr>
        <w:numPr>
          <w:ilvl w:val="0"/>
          <w:numId w:val="224"/>
        </w:numPr>
        <w:pBdr>
          <w:top w:val="nil"/>
          <w:left w:val="nil"/>
          <w:bottom w:val="nil"/>
          <w:right w:val="nil"/>
          <w:between w:val="nil"/>
          <w:bar w:val="nil"/>
        </w:pBdr>
        <w:spacing w:after="0" w:line="240" w:lineRule="auto"/>
        <w:ind w:left="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76 - 80 kg - 1 flacon de 400 mg + 3 flacoane de 80 mg</w:t>
      </w:r>
    </w:p>
    <w:p w14:paraId="73EC88CB" w14:textId="77777777" w:rsidR="00004853" w:rsidRPr="00004853" w:rsidRDefault="00004853" w:rsidP="002161CA">
      <w:pPr>
        <w:numPr>
          <w:ilvl w:val="0"/>
          <w:numId w:val="224"/>
        </w:numPr>
        <w:pBdr>
          <w:top w:val="nil"/>
          <w:left w:val="nil"/>
          <w:bottom w:val="nil"/>
          <w:right w:val="nil"/>
          <w:between w:val="nil"/>
          <w:bar w:val="nil"/>
        </w:pBdr>
        <w:spacing w:after="0" w:line="240" w:lineRule="auto"/>
        <w:ind w:left="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81 - 84 kg - 1 flacon de 400 mg + 1 flacon de 200 mg + 1 flacon de 80 mg</w:t>
      </w:r>
    </w:p>
    <w:p w14:paraId="5448D91E" w14:textId="77777777" w:rsidR="00004853" w:rsidRPr="00004853" w:rsidRDefault="00004853" w:rsidP="002161CA">
      <w:pPr>
        <w:numPr>
          <w:ilvl w:val="0"/>
          <w:numId w:val="224"/>
        </w:numPr>
        <w:pBdr>
          <w:top w:val="nil"/>
          <w:left w:val="nil"/>
          <w:bottom w:val="nil"/>
          <w:right w:val="nil"/>
          <w:between w:val="nil"/>
          <w:bar w:val="nil"/>
        </w:pBdr>
        <w:spacing w:after="0" w:line="240" w:lineRule="auto"/>
        <w:ind w:left="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85 - 90 kg - 1 flacon de 400 mg + 4 flacoane de 80 mg</w:t>
      </w:r>
    </w:p>
    <w:p w14:paraId="09BE3A08" w14:textId="77777777" w:rsidR="00004853" w:rsidRPr="00004853" w:rsidRDefault="00004853" w:rsidP="002161CA">
      <w:pPr>
        <w:numPr>
          <w:ilvl w:val="0"/>
          <w:numId w:val="224"/>
        </w:numPr>
        <w:pBdr>
          <w:top w:val="nil"/>
          <w:left w:val="nil"/>
          <w:bottom w:val="nil"/>
          <w:right w:val="nil"/>
          <w:between w:val="nil"/>
          <w:bar w:val="nil"/>
        </w:pBdr>
        <w:spacing w:after="0" w:line="240" w:lineRule="auto"/>
        <w:ind w:left="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91 - 94 kg - 1 flacon de 400 mg + 1 flacon de 200 mg + 2 flacoane de 80 mg</w:t>
      </w:r>
    </w:p>
    <w:p w14:paraId="61C4E81F" w14:textId="77777777" w:rsidR="00004853" w:rsidRPr="00004853" w:rsidRDefault="00004853" w:rsidP="002161CA">
      <w:pPr>
        <w:numPr>
          <w:ilvl w:val="0"/>
          <w:numId w:val="224"/>
        </w:numPr>
        <w:pBdr>
          <w:top w:val="nil"/>
          <w:left w:val="nil"/>
          <w:bottom w:val="nil"/>
          <w:right w:val="nil"/>
          <w:between w:val="nil"/>
          <w:bar w:val="nil"/>
        </w:pBdr>
        <w:spacing w:after="0" w:line="240" w:lineRule="auto"/>
        <w:ind w:left="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95 kg - 2 flacoane de 400 mg</w:t>
      </w:r>
    </w:p>
    <w:p w14:paraId="5A09D556"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464A298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Pentru formularea subcutanată a tocilizumabului, doza recomandată este de 162 mg (conţinutul unei seringi pre-umplute) administrată subcutanat o dată pe săptămână. Pacienţii care trec de la forma farmaceutică intravenoasă la cea subcutanată trebuie să-şi administreze subcutanat prima doză care înlocuieşte următoarea doză programată a fi administrată intravenos, sub supravegherea medicului calificat. Pentru a asigura eficacitatea maximă se utilizează de regulă asociat cu metotrexat, în doză maxim tolerată (atunci când acesta nu este contraindicat), dar nu mai puţin de 10 mg/săptămână. În cazul în care nu se foloseşte asociat cu metotrexat, medicul curant poate indica, în funcţie de particularităţile cazului, asocierea cu un alt preparat remisiv sintetic convenţional. Tocilizumab poate fi administrat ca monoterapie în cazul intoleranţei la remisivele sintetice convenţionale sau unde continuarea tratamentului cu acestea nu este adecvată.</w:t>
      </w:r>
    </w:p>
    <w:p w14:paraId="2628A984"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w:t>
      </w:r>
    </w:p>
    <w:p w14:paraId="00FBF5A3"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r w:rsidRPr="00004853">
        <w:rPr>
          <w:rFonts w:ascii="Times New Roman" w:eastAsia="Calibri" w:hAnsi="Times New Roman" w:cs="Times New Roman"/>
          <w:b/>
          <w:sz w:val="24"/>
          <w:szCs w:val="24"/>
          <w:lang w:eastAsia="ro-RO"/>
        </w:rPr>
        <w:t>D. Terapia cu anticorpi anti-CD20: rituximab (original şi biosimilar)</w:t>
      </w:r>
    </w:p>
    <w:p w14:paraId="5D0B2908"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Tratamentul cu rituximab (original şi biosimilar) este de regulă o terapie biologică de linia a doua, fiind indicat în prezenţa cumulativă a două criterii:</w:t>
      </w:r>
    </w:p>
    <w:p w14:paraId="1032084E" w14:textId="77777777" w:rsidR="00004853" w:rsidRPr="00004853" w:rsidRDefault="00004853" w:rsidP="002161CA">
      <w:pPr>
        <w:numPr>
          <w:ilvl w:val="0"/>
          <w:numId w:val="22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pacienţi cu PR activă (DAS28 &gt; 3,2) şi</w:t>
      </w:r>
    </w:p>
    <w:p w14:paraId="6A754298" w14:textId="77777777" w:rsidR="00004853" w:rsidRPr="00004853" w:rsidRDefault="00004853" w:rsidP="002161CA">
      <w:pPr>
        <w:numPr>
          <w:ilvl w:val="0"/>
          <w:numId w:val="22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având lipsă de răspuns sau răspuns moderat sau intoleranţă la unul sau mai mulţi agenţi biologici (incluzând cel puţin un blocant de TNFα), apreciat după criteriile de evaluare la tratament mai sus-descrise.</w:t>
      </w:r>
    </w:p>
    <w:p w14:paraId="2F88AC25"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2940C2A3"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lastRenderedPageBreak/>
        <w:t>În situaţii particulare menţionate mai jos, rituximab (original şi biosimilar) poate fi folosit ca terapie biologică de linia I după eşecul terapiilor remisive sintetice convenţionale (situaţie în care se aplică criteriile de activitate a bolii de la prima soluţie terapeutică biologică):</w:t>
      </w:r>
    </w:p>
    <w:p w14:paraId="3477ADB9" w14:textId="77777777" w:rsidR="00004853" w:rsidRPr="00004853" w:rsidRDefault="00004853" w:rsidP="002161CA">
      <w:pPr>
        <w:numPr>
          <w:ilvl w:val="0"/>
          <w:numId w:val="22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istoric de limfom;</w:t>
      </w:r>
    </w:p>
    <w:p w14:paraId="6E50691F" w14:textId="77777777" w:rsidR="00004853" w:rsidRPr="00004853" w:rsidRDefault="00004853" w:rsidP="002161CA">
      <w:pPr>
        <w:numPr>
          <w:ilvl w:val="0"/>
          <w:numId w:val="22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tuberculoză latentă, cu contraindicaţie specifică pentru chimioprofilaxie;</w:t>
      </w:r>
    </w:p>
    <w:p w14:paraId="1DDDBF14" w14:textId="77777777" w:rsidR="00004853" w:rsidRPr="00004853" w:rsidRDefault="00004853" w:rsidP="002161CA">
      <w:pPr>
        <w:numPr>
          <w:ilvl w:val="0"/>
          <w:numId w:val="22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antecedente recente de neoplazie;</w:t>
      </w:r>
    </w:p>
    <w:p w14:paraId="5EF81CA2" w14:textId="77777777" w:rsidR="00004853" w:rsidRPr="00004853" w:rsidRDefault="00004853" w:rsidP="002161CA">
      <w:pPr>
        <w:numPr>
          <w:ilvl w:val="0"/>
          <w:numId w:val="22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istoric de afecţiuni demielinizante</w:t>
      </w:r>
    </w:p>
    <w:p w14:paraId="6F6F5FCB" w14:textId="77777777" w:rsidR="00004853" w:rsidRPr="00004853" w:rsidRDefault="00004853" w:rsidP="002161CA">
      <w:pPr>
        <w:numPr>
          <w:ilvl w:val="0"/>
          <w:numId w:val="226"/>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 xml:space="preserve">prezența unei suprapuneri cu o altă colagenoză (lupus eritematos sistemic, sclerodermie sistemică, dermato/polimiozita, etc). </w:t>
      </w:r>
    </w:p>
    <w:p w14:paraId="1EBAF2FF"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0508EB0B"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b/>
          <w:sz w:val="24"/>
          <w:szCs w:val="24"/>
          <w:lang w:eastAsia="ro-RO"/>
        </w:rPr>
        <w:t>Rituximab (original şi biosimilar)</w:t>
      </w:r>
      <w:r w:rsidRPr="00004853">
        <w:rPr>
          <w:rFonts w:ascii="Times New Roman" w:eastAsia="Calibri" w:hAnsi="Times New Roman" w:cs="Times New Roman"/>
          <w:sz w:val="24"/>
          <w:szCs w:val="24"/>
          <w:lang w:eastAsia="ro-RO"/>
        </w:rPr>
        <w:t>: se administrează de regulă asociat cu metotrexat, în doză maxim tolerată (atunci când acesta nu este contraindicat), dar nu mai puţin de 10 mg/săptămână. În cazul în care rituximab (original şi biosimilar) nu poate fi asociat cu metotrexat, medicul curant va indica, în funcţie de particularităţile cazului, asocierea cu un alt preparat remisiv sintetic.</w:t>
      </w:r>
    </w:p>
    <w:p w14:paraId="422DC6A2" w14:textId="77777777" w:rsidR="00004853" w:rsidRPr="00004853" w:rsidRDefault="00004853" w:rsidP="00004853">
      <w:pPr>
        <w:spacing w:after="0" w:line="240" w:lineRule="auto"/>
        <w:jc w:val="both"/>
        <w:rPr>
          <w:rFonts w:ascii="Times New Roman" w:eastAsia="Calibri" w:hAnsi="Times New Roman" w:cs="Times New Roman"/>
          <w:sz w:val="16"/>
          <w:szCs w:val="16"/>
          <w:lang w:eastAsia="ro-RO"/>
        </w:rPr>
      </w:pPr>
      <w:r w:rsidRPr="00004853">
        <w:rPr>
          <w:rFonts w:ascii="Times New Roman" w:eastAsia="Calibri" w:hAnsi="Times New Roman" w:cs="Times New Roman"/>
          <w:sz w:val="24"/>
          <w:szCs w:val="24"/>
          <w:lang w:eastAsia="ro-RO"/>
        </w:rPr>
        <w:t xml:space="preserve">    </w:t>
      </w:r>
    </w:p>
    <w:p w14:paraId="712A132F"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O serie de tratament cu rituximab (original şi biosimilar) constă în două perfuzii intravenoase de 1000 mg fiecare, administrate la două săptămâni interval. Premedicaţia cu antipiretice (exemplu: paracetamol), antihistaminice (exemplu: difenhidramină) şi 100 mg metilprednisolon (cu 30 minute înaintea administrării de rituximab original şi biosimilar) este obligatorie.</w:t>
      </w:r>
    </w:p>
    <w:p w14:paraId="762EE636" w14:textId="77777777" w:rsidR="00004853" w:rsidRPr="00004853" w:rsidRDefault="00004853" w:rsidP="00004853">
      <w:pPr>
        <w:spacing w:after="0" w:line="240" w:lineRule="auto"/>
        <w:jc w:val="both"/>
        <w:rPr>
          <w:rFonts w:ascii="Times New Roman" w:eastAsia="Calibri" w:hAnsi="Times New Roman" w:cs="Times New Roman"/>
          <w:sz w:val="16"/>
          <w:szCs w:val="16"/>
          <w:lang w:eastAsia="ro-RO"/>
        </w:rPr>
      </w:pPr>
      <w:r w:rsidRPr="00004853">
        <w:rPr>
          <w:rFonts w:ascii="Times New Roman" w:eastAsia="Calibri" w:hAnsi="Times New Roman" w:cs="Times New Roman"/>
          <w:sz w:val="24"/>
          <w:szCs w:val="24"/>
          <w:lang w:eastAsia="ro-RO"/>
        </w:rPr>
        <w:t xml:space="preserve">    </w:t>
      </w:r>
    </w:p>
    <w:p w14:paraId="00429471"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Evaluarea răspunsului la tratamentul cu rituximab (original şi biosimilar) se face la 24 de săptămâni de la seria precedentă de tratament cu rituximab (original şi biosimilar). Astfel, la 24 de săptămâni de la primul ciclu de tratament dacă pacientul este considerat ca având răspuns EULAR bun, continuă tratamentul până atinge obiectivul terapeutic, respectiv obţinerea remisiunii sau cel puţin activitatea joasă a bolii (definite ca o valoare DAS28 mai mică de 2,6 şi, respectiv, 3,2). Până la atingerea ţintei terapeutice se va evalua folosind criteriul de răspuns bun EULAR, respectiv o scădere a DAS28 de minimum 1,2 faţă de evaluarea precedentă.</w:t>
      </w:r>
    </w:p>
    <w:p w14:paraId="1545590B" w14:textId="77777777" w:rsidR="00004853" w:rsidRPr="00004853" w:rsidRDefault="00004853" w:rsidP="00004853">
      <w:pPr>
        <w:spacing w:after="0" w:line="240" w:lineRule="auto"/>
        <w:jc w:val="both"/>
        <w:rPr>
          <w:rFonts w:ascii="Times New Roman" w:eastAsia="Calibri" w:hAnsi="Times New Roman" w:cs="Times New Roman"/>
          <w:sz w:val="16"/>
          <w:szCs w:val="16"/>
          <w:lang w:eastAsia="ro-RO"/>
        </w:rPr>
      </w:pPr>
      <w:r w:rsidRPr="00004853">
        <w:rPr>
          <w:rFonts w:ascii="Times New Roman" w:eastAsia="Calibri" w:hAnsi="Times New Roman" w:cs="Times New Roman"/>
          <w:sz w:val="24"/>
          <w:szCs w:val="24"/>
          <w:lang w:eastAsia="ro-RO"/>
        </w:rPr>
        <w:t xml:space="preserve">    </w:t>
      </w:r>
    </w:p>
    <w:p w14:paraId="2075B1FF"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Repetarea tratamentului se va face după cel puţin 24 săptămâni de la ciclul de tratament precedent, doar la responderi, şi numai la momentul în care sunt îndeplinite una din următoarele condiţii de activitate a bolii:</w:t>
      </w:r>
    </w:p>
    <w:p w14:paraId="5E3A51EB" w14:textId="77777777" w:rsidR="00004853" w:rsidRPr="00004853" w:rsidRDefault="00004853" w:rsidP="002161CA">
      <w:pPr>
        <w:numPr>
          <w:ilvl w:val="0"/>
          <w:numId w:val="22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există o boală activă reziduală (DAS 28 ≥ 3,2); sau</w:t>
      </w:r>
    </w:p>
    <w:p w14:paraId="7E657EF5" w14:textId="77777777" w:rsidR="00004853" w:rsidRPr="00004853" w:rsidRDefault="00004853" w:rsidP="002161CA">
      <w:pPr>
        <w:numPr>
          <w:ilvl w:val="0"/>
          <w:numId w:val="227"/>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se produce o reactivare a bolii cu creşterea DAS 28 cu ≥ 1,2, cu condiţia trecerii bolii la nivelul superior de activitate (din remisiune în LDA sau din LDA în MDA).</w:t>
      </w:r>
    </w:p>
    <w:p w14:paraId="16C46E00" w14:textId="77777777" w:rsidR="00004853" w:rsidRPr="00004853" w:rsidRDefault="00004853" w:rsidP="00004853">
      <w:pPr>
        <w:spacing w:after="0" w:line="240" w:lineRule="auto"/>
        <w:jc w:val="both"/>
        <w:rPr>
          <w:rFonts w:ascii="Times New Roman" w:eastAsia="Calibri" w:hAnsi="Times New Roman" w:cs="Times New Roman"/>
          <w:sz w:val="16"/>
          <w:szCs w:val="16"/>
          <w:lang w:eastAsia="ro-RO"/>
        </w:rPr>
      </w:pPr>
      <w:r w:rsidRPr="00004853">
        <w:rPr>
          <w:rFonts w:ascii="Times New Roman" w:eastAsia="Calibri" w:hAnsi="Times New Roman" w:cs="Times New Roman"/>
          <w:sz w:val="24"/>
          <w:szCs w:val="24"/>
          <w:lang w:eastAsia="ro-RO"/>
        </w:rPr>
        <w:t>    </w:t>
      </w:r>
    </w:p>
    <w:p w14:paraId="08BCA62F"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r w:rsidRPr="00004853">
        <w:rPr>
          <w:rFonts w:ascii="Times New Roman" w:eastAsia="Calibri" w:hAnsi="Times New Roman" w:cs="Times New Roman"/>
          <w:b/>
          <w:sz w:val="24"/>
          <w:szCs w:val="24"/>
          <w:lang w:eastAsia="ro-RO"/>
        </w:rPr>
        <w:t>E. Terapia cu remisive sintetice ţintite (tsDMARDs):</w:t>
      </w:r>
    </w:p>
    <w:p w14:paraId="484004AF" w14:textId="77777777" w:rsidR="00004853" w:rsidRPr="00004853" w:rsidRDefault="00004853" w:rsidP="002161CA">
      <w:pPr>
        <w:numPr>
          <w:ilvl w:val="0"/>
          <w:numId w:val="22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color w:val="FF0000"/>
          <w:sz w:val="24"/>
          <w:szCs w:val="24"/>
          <w:u w:color="000000"/>
          <w:bdr w:val="nil"/>
          <w:lang w:eastAsia="ro-RO"/>
        </w:rPr>
      </w:pPr>
      <w:r w:rsidRPr="00004853">
        <w:rPr>
          <w:rFonts w:ascii="Times New Roman" w:eastAsia="Calibri" w:hAnsi="Times New Roman" w:cs="Times New Roman"/>
          <w:b/>
          <w:bCs/>
          <w:sz w:val="24"/>
          <w:szCs w:val="24"/>
          <w:u w:color="000000"/>
          <w:bdr w:val="nil"/>
          <w:lang w:eastAsia="ro-RO"/>
        </w:rPr>
        <w:t>baricitinib:</w:t>
      </w:r>
      <w:r w:rsidRPr="00004853">
        <w:rPr>
          <w:rFonts w:ascii="Times New Roman" w:eastAsia="Calibri" w:hAnsi="Times New Roman" w:cs="Times New Roman"/>
          <w:sz w:val="24"/>
          <w:szCs w:val="24"/>
          <w:u w:color="000000"/>
          <w:bdr w:val="nil"/>
          <w:lang w:eastAsia="ro-RO"/>
        </w:rPr>
        <w:t xml:space="preserve"> doza recomandată este de 4 mg/zi per os. </w:t>
      </w:r>
      <w:r w:rsidRPr="00004853">
        <w:rPr>
          <w:rFonts w:ascii="Times New Roman" w:eastAsia="Calibri" w:hAnsi="Times New Roman" w:cs="Times New Roman"/>
          <w:color w:val="FF0000"/>
          <w:sz w:val="24"/>
          <w:szCs w:val="24"/>
          <w:u w:color="000000"/>
          <w:bdr w:val="nil"/>
          <w:lang w:eastAsia="ro-RO"/>
        </w:rPr>
        <w:t>Doza de 2 mg o dată pe zi este recomandată pentru pacienții cu risc mai mare de tromboembolism venos (TEV), evenimente adverse cardiovasculare majore (MACE) și malignitate, pentru pacienții cu vârste de ≥ 65 ani și pentru pacienții cu un istoric de infecții cronice sau recurente. O doză de 4 mg o dată pe zi poate fi luată în considerare pentru pacienții care nu au obținut un control adecvat al activității bolii cu doza de 2 mg o dată pe zi. Doza recomandată este de 2 mg odată pe zi pentru pacienții cu clearance-ul creatininei între 30 și 60 ml/minut. Nu este necesară ajustarea dozei în cazul pacienților cu insuficiență hepatică ușoară sau moderată. Doza recomandată de baricitinib trebuie redusă la jumătate pentru pacienții aflați sub tratament cu inhibitori de OAT3 cu potențial puternic de inhibare, cum este probenecidul.</w:t>
      </w:r>
    </w:p>
    <w:p w14:paraId="5B007C79" w14:textId="77777777" w:rsidR="00004853" w:rsidRPr="00004853" w:rsidRDefault="00004853" w:rsidP="002161CA">
      <w:pPr>
        <w:numPr>
          <w:ilvl w:val="0"/>
          <w:numId w:val="22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b/>
          <w:bCs/>
          <w:sz w:val="24"/>
          <w:szCs w:val="24"/>
          <w:u w:color="000000"/>
          <w:bdr w:val="nil"/>
          <w:lang w:eastAsia="ro-RO"/>
        </w:rPr>
        <w:t>tofacitinib:</w:t>
      </w:r>
      <w:r w:rsidRPr="00004853">
        <w:rPr>
          <w:rFonts w:ascii="Times New Roman" w:eastAsia="Calibri" w:hAnsi="Times New Roman" w:cs="Times New Roman"/>
          <w:sz w:val="24"/>
          <w:szCs w:val="24"/>
          <w:u w:color="000000"/>
          <w:bdr w:val="nil"/>
          <w:lang w:eastAsia="ro-RO"/>
        </w:rPr>
        <w:t xml:space="preserve"> </w:t>
      </w:r>
      <w:bookmarkStart w:id="41" w:name="_Hlk93180631"/>
      <w:r w:rsidRPr="00004853">
        <w:rPr>
          <w:rFonts w:ascii="Times New Roman" w:eastAsia="Calibri" w:hAnsi="Times New Roman" w:cs="Times New Roman"/>
          <w:sz w:val="24"/>
          <w:szCs w:val="24"/>
          <w:u w:color="000000"/>
          <w:bdr w:val="nil"/>
          <w:lang w:eastAsia="ro-RO"/>
        </w:rPr>
        <w:t xml:space="preserve">doza recomandată este de 5 mg (comprimate filmate) de 2 ori pe zi oral </w:t>
      </w:r>
      <w:bookmarkEnd w:id="41"/>
      <w:r w:rsidRPr="00004853">
        <w:rPr>
          <w:rFonts w:ascii="Times New Roman" w:eastAsia="Calibri" w:hAnsi="Times New Roman" w:cs="Times New Roman"/>
          <w:sz w:val="24"/>
          <w:szCs w:val="24"/>
          <w:u w:color="000000"/>
          <w:bdr w:val="nil"/>
          <w:lang w:eastAsia="ro-RO"/>
        </w:rPr>
        <w:t>sau 11 mg (comprimate cu eliberare prelungita) o data pe zi, oral. Schimbul bidirecţional între tratamentul cu tofacitinib 5 mg comprimate filmate, de două ori pe zi și cel cu tofacitinib 11 mg comprimat cu eliberare prelungită, o dată pe zi se poate face în ziua imediat următoare ultimei doze din fiecare comprimat. Doza de tofacitinib  trebuie redusă la jumătate la pacienţii cărora li se administrează inhibitori ai citocromilor hepatici (ketoconazol, fluconazol). Acest medicament face obiectul unei monitorizări suplimentare. Pacienţii trebuie monitorizaţi pe parcursul tratamentului pentru semne şi simptome de embolism pulmonar. </w:t>
      </w:r>
    </w:p>
    <w:p w14:paraId="3CB41210" w14:textId="77777777" w:rsidR="00004853" w:rsidRPr="00004853" w:rsidRDefault="00004853" w:rsidP="002161CA">
      <w:pPr>
        <w:numPr>
          <w:ilvl w:val="0"/>
          <w:numId w:val="228"/>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lang w:eastAsia="ro-RO"/>
        </w:rPr>
      </w:pPr>
      <w:r w:rsidRPr="00004853">
        <w:rPr>
          <w:rFonts w:ascii="Times New Roman" w:eastAsia="Calibri" w:hAnsi="Times New Roman" w:cs="Times New Roman"/>
          <w:b/>
          <w:bCs/>
          <w:sz w:val="24"/>
          <w:szCs w:val="24"/>
          <w:u w:color="000000"/>
          <w:bdr w:val="nil"/>
          <w:lang w:eastAsia="ro-RO"/>
        </w:rPr>
        <w:lastRenderedPageBreak/>
        <w:t>upadacitinib</w:t>
      </w:r>
      <w:r w:rsidRPr="00004853">
        <w:rPr>
          <w:rFonts w:ascii="Times New Roman" w:eastAsia="Calibri" w:hAnsi="Times New Roman" w:cs="Times New Roman"/>
          <w:b/>
          <w:bCs/>
          <w:sz w:val="24"/>
          <w:szCs w:val="24"/>
          <w:lang w:eastAsia="ro-RO"/>
        </w:rPr>
        <w:t>:</w:t>
      </w:r>
      <w:r w:rsidRPr="00004853">
        <w:rPr>
          <w:rFonts w:ascii="Times New Roman" w:eastAsia="Calibri" w:hAnsi="Times New Roman" w:cs="Times New Roman"/>
          <w:sz w:val="24"/>
          <w:szCs w:val="24"/>
          <w:lang w:eastAsia="ro-RO"/>
        </w:rPr>
        <w:t xml:space="preserve"> </w:t>
      </w:r>
      <w:r w:rsidRPr="00004853">
        <w:rPr>
          <w:rFonts w:ascii="Times New Roman" w:eastAsia="Calibri" w:hAnsi="Times New Roman" w:cs="Times New Roman"/>
          <w:sz w:val="24"/>
          <w:szCs w:val="24"/>
          <w:u w:color="000000"/>
          <w:bdr w:val="nil"/>
          <w:lang w:eastAsia="ro-RO"/>
        </w:rPr>
        <w:t>doza recomandată este de 15 mg (comprimate cu eliberare prelungită)/zi, oral</w:t>
      </w:r>
      <w:r w:rsidRPr="00004853">
        <w:rPr>
          <w:rFonts w:ascii="Times New Roman" w:eastAsia="Calibri" w:hAnsi="Times New Roman" w:cs="Times New Roman"/>
          <w:sz w:val="24"/>
          <w:szCs w:val="24"/>
          <w:lang w:eastAsia="ro-RO"/>
        </w:rPr>
        <w:t>. Nu este necesară ajustarea dozei la pacienţii cu insuficienţă hepatică uşoară sau moderată (clasă Child-Pugh A sau B). Nu este necesară ajustarea dozei la pacienţii cu insuficienţă renală uşoară sau moderată; trebuie utilizat cu precauție la pacienții cu insuficiență renală severă. Tratamentul trebuie întrerupt în cazul în care pacientul are o infecţie gravă până la obţinerea controlului asupra infecţiei. Upadacitinib trebuie utilizat cu prudență la pacienţii cu risc înalt de TVP/EP. Asocierea cu alte medicamente imunosupresoare puternice cum sunt azatioprina, ciclosporina, tacrolimus nu este recomandată. Upadacitinib trebuie utilizat cu precauţie la pacienţii care urmează tratamente de lungă durată cu inhibitori puternici ai CYP3A4 (ketoconazol, itraconazol, posaconazol, voriconazol şi claritromicina). </w:t>
      </w:r>
    </w:p>
    <w:p w14:paraId="6325BD10" w14:textId="77777777" w:rsidR="00004853" w:rsidRPr="00004853" w:rsidRDefault="00004853" w:rsidP="002161CA">
      <w:pPr>
        <w:numPr>
          <w:ilvl w:val="0"/>
          <w:numId w:val="228"/>
        </w:numPr>
        <w:pBdr>
          <w:top w:val="nil"/>
          <w:left w:val="nil"/>
          <w:bottom w:val="nil"/>
          <w:right w:val="nil"/>
          <w:between w:val="nil"/>
          <w:bar w:val="nil"/>
        </w:pBdr>
        <w:spacing w:after="0" w:line="240" w:lineRule="auto"/>
        <w:ind w:left="284" w:hanging="284"/>
        <w:jc w:val="both"/>
        <w:rPr>
          <w:rFonts w:ascii="Times New Roman" w:eastAsia="Times New Roman" w:hAnsi="Times New Roman" w:cs="Times New Roman"/>
          <w:sz w:val="24"/>
          <w:szCs w:val="24"/>
          <w:lang w:eastAsia="ro-RO"/>
        </w:rPr>
      </w:pPr>
      <w:r w:rsidRPr="00004853">
        <w:rPr>
          <w:rFonts w:ascii="Times New Roman" w:eastAsia="Calibri" w:hAnsi="Times New Roman" w:cs="Times New Roman"/>
          <w:b/>
          <w:bCs/>
          <w:sz w:val="24"/>
          <w:szCs w:val="24"/>
          <w:u w:color="000000"/>
          <w:bdr w:val="nil"/>
          <w:lang w:eastAsia="ro-RO"/>
        </w:rPr>
        <w:t>filgotinib:</w:t>
      </w:r>
      <w:r w:rsidRPr="00004853">
        <w:rPr>
          <w:rFonts w:ascii="Times New Roman" w:eastAsia="Calibri" w:hAnsi="Times New Roman" w:cs="Times New Roman"/>
          <w:sz w:val="24"/>
          <w:szCs w:val="24"/>
          <w:lang w:eastAsia="ro-RO"/>
        </w:rPr>
        <w:t xml:space="preserve"> doza recomandată este de 200 mg (comprimate filmate)/zi, oral. </w:t>
      </w:r>
      <w:r w:rsidRPr="00004853">
        <w:rPr>
          <w:rFonts w:ascii="Times New Roman" w:eastAsia="Times New Roman" w:hAnsi="Times New Roman" w:cs="Times New Roman"/>
          <w:sz w:val="24"/>
          <w:szCs w:val="24"/>
          <w:lang w:eastAsia="ro-RO"/>
        </w:rPr>
        <w:t xml:space="preserve">Administrarea filgotinibului în asociere cu alte imunosupresoare puternice, precum ciclosporina, tacrolimusul nu este recomandată. Doza de 100 mg o dată pe zi este recomandată la pacienții cu vârsta de ≥ </w:t>
      </w:r>
      <w:r w:rsidRPr="00004853">
        <w:rPr>
          <w:rFonts w:ascii="Times New Roman" w:eastAsia="Times New Roman" w:hAnsi="Times New Roman" w:cs="Times New Roman"/>
          <w:strike/>
          <w:sz w:val="24"/>
          <w:szCs w:val="24"/>
          <w:lang w:eastAsia="ro-RO"/>
        </w:rPr>
        <w:t>75</w:t>
      </w:r>
      <w:r w:rsidRPr="00004853">
        <w:rPr>
          <w:rFonts w:ascii="Times New Roman" w:eastAsia="Times New Roman" w:hAnsi="Times New Roman" w:cs="Times New Roman"/>
          <w:sz w:val="24"/>
          <w:szCs w:val="24"/>
          <w:lang w:eastAsia="ro-RO"/>
        </w:rPr>
        <w:t xml:space="preserve"> </w:t>
      </w:r>
      <w:r w:rsidRPr="00004853">
        <w:rPr>
          <w:rFonts w:ascii="Times New Roman" w:eastAsia="Times New Roman" w:hAnsi="Times New Roman" w:cs="Times New Roman"/>
          <w:color w:val="FF0000"/>
          <w:sz w:val="24"/>
          <w:szCs w:val="24"/>
          <w:lang w:eastAsia="ro-RO"/>
        </w:rPr>
        <w:t>65</w:t>
      </w:r>
      <w:r w:rsidRPr="00004853">
        <w:rPr>
          <w:rFonts w:ascii="Times New Roman" w:eastAsia="Times New Roman" w:hAnsi="Times New Roman" w:cs="Times New Roman"/>
          <w:sz w:val="24"/>
          <w:szCs w:val="24"/>
          <w:lang w:eastAsia="ro-RO"/>
        </w:rPr>
        <w:t xml:space="preserve"> ani și insuficiență renală moderată sau severă (ClCr între 15 și &lt; 60 ml/minut). </w:t>
      </w:r>
      <w:r w:rsidRPr="00004853">
        <w:rPr>
          <w:rFonts w:ascii="Times New Roman" w:eastAsia="Times New Roman" w:hAnsi="Times New Roman" w:cs="Times New Roman"/>
          <w:color w:val="FF0000"/>
          <w:sz w:val="24"/>
          <w:szCs w:val="24"/>
          <w:lang w:eastAsia="ro-RO"/>
        </w:rPr>
        <w:t>Nu este necesară ajustarea dozei la pacienții cu insuficiență renală ușoară (clearance-ul creatininei [ClCr] ≥60 ml/minut).</w:t>
      </w:r>
      <w:r w:rsidRPr="00004853">
        <w:rPr>
          <w:rFonts w:ascii="Times New Roman" w:eastAsia="Times New Roman" w:hAnsi="Times New Roman" w:cs="Times New Roman"/>
          <w:sz w:val="24"/>
          <w:szCs w:val="24"/>
          <w:lang w:eastAsia="ro-RO"/>
        </w:rPr>
        <w:t xml:space="preserve"> Filgotinibul trebuie administrat cu prudență la pacienții aflați în tratament cu inhibitori ai carboxilesterazei 2 (CES2), precum fenofibrat, carvedilol, diltiazem sau simvastatină. </w:t>
      </w:r>
      <w:r w:rsidRPr="00004853">
        <w:rPr>
          <w:rFonts w:ascii="Times New Roman" w:eastAsia="Times New Roman" w:hAnsi="Times New Roman" w:cs="Times New Roman"/>
          <w:color w:val="FF0000"/>
          <w:sz w:val="24"/>
          <w:szCs w:val="24"/>
          <w:lang w:eastAsia="ro-RO"/>
        </w:rPr>
        <w:t>Datele din studiile clinice nu au fost sugestive pentru efectele asociate filgotinib asupra funcției testiculare</w:t>
      </w:r>
      <w:r w:rsidRPr="00004853">
        <w:rPr>
          <w:rFonts w:ascii="Times New Roman" w:eastAsia="Times New Roman" w:hAnsi="Times New Roman" w:cs="Times New Roman"/>
          <w:sz w:val="24"/>
          <w:szCs w:val="24"/>
          <w:lang w:eastAsia="ro-RO"/>
        </w:rPr>
        <w:t>.</w:t>
      </w:r>
    </w:p>
    <w:p w14:paraId="39D2F311" w14:textId="77777777" w:rsidR="00004853" w:rsidRPr="00004853" w:rsidRDefault="00004853" w:rsidP="00004853">
      <w:pPr>
        <w:pBdr>
          <w:top w:val="nil"/>
          <w:left w:val="nil"/>
          <w:bottom w:val="nil"/>
          <w:right w:val="nil"/>
          <w:between w:val="nil"/>
          <w:bar w:val="nil"/>
        </w:pBdr>
        <w:spacing w:after="0" w:line="240" w:lineRule="auto"/>
        <w:jc w:val="both"/>
        <w:rPr>
          <w:rFonts w:ascii="Times New Roman" w:eastAsia="Calibri" w:hAnsi="Times New Roman" w:cs="Times New Roman"/>
          <w:sz w:val="24"/>
          <w:szCs w:val="24"/>
          <w:lang w:eastAsia="ro-RO"/>
        </w:rPr>
      </w:pPr>
    </w:p>
    <w:p w14:paraId="6CC3AE5C" w14:textId="77777777" w:rsidR="00004853" w:rsidRPr="00004853" w:rsidRDefault="00004853" w:rsidP="00004853">
      <w:pPr>
        <w:spacing w:after="0" w:line="240" w:lineRule="auto"/>
        <w:jc w:val="both"/>
        <w:rPr>
          <w:rFonts w:ascii="Times New Roman" w:eastAsia="Calibri" w:hAnsi="Times New Roman" w:cs="Times New Roman"/>
          <w:b/>
          <w:bCs/>
          <w:sz w:val="24"/>
          <w:szCs w:val="24"/>
          <w:lang w:eastAsia="ro-RO"/>
        </w:rPr>
      </w:pPr>
    </w:p>
    <w:p w14:paraId="2A0501CC" w14:textId="77777777" w:rsidR="00004853" w:rsidRPr="00004853" w:rsidRDefault="00004853" w:rsidP="00004853">
      <w:pPr>
        <w:spacing w:after="0" w:line="240" w:lineRule="auto"/>
        <w:jc w:val="both"/>
        <w:rPr>
          <w:rFonts w:ascii="Times New Roman" w:eastAsia="Calibri" w:hAnsi="Times New Roman" w:cs="Times New Roman"/>
          <w:b/>
          <w:bCs/>
          <w:sz w:val="24"/>
          <w:szCs w:val="24"/>
          <w:lang w:eastAsia="ro-RO"/>
        </w:rPr>
      </w:pPr>
      <w:r w:rsidRPr="00004853">
        <w:rPr>
          <w:rFonts w:ascii="Times New Roman" w:eastAsia="Calibri" w:hAnsi="Times New Roman" w:cs="Times New Roman"/>
          <w:b/>
          <w:bCs/>
          <w:sz w:val="24"/>
          <w:szCs w:val="24"/>
          <w:lang w:eastAsia="ro-RO"/>
        </w:rPr>
        <w:t>Atitudinea la pacienţii cu poliartrită reumatoidă aflaţi în remisiune persistentă</w:t>
      </w:r>
    </w:p>
    <w:p w14:paraId="1D22CB0D"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5AD46054"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Ţinta terapeutică finală este reprezentată de remisiunea bolii, pentru evaluarea posibilităţii de reducere treptată a terapiei administrate se utilizează o definiţie a remisiunii stringente care a fost validată de ACR şi EULAR, care poate fi aplicată în două variante:</w:t>
      </w:r>
    </w:p>
    <w:p w14:paraId="20804F9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757AC605"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A. Definiţia bazată pe analiza booleană: în orice moment, pacientul trebuie să satisfacă toate condiţiile de mai jos:</w:t>
      </w:r>
    </w:p>
    <w:p w14:paraId="020BB06C" w14:textId="77777777" w:rsidR="00004853" w:rsidRPr="00004853" w:rsidRDefault="00004853" w:rsidP="002161CA">
      <w:pPr>
        <w:numPr>
          <w:ilvl w:val="0"/>
          <w:numId w:val="229"/>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numărul articulaţiilor dureroase ≤ 1;</w:t>
      </w:r>
    </w:p>
    <w:p w14:paraId="157BC36D" w14:textId="77777777" w:rsidR="00004853" w:rsidRPr="00004853" w:rsidRDefault="00004853" w:rsidP="002161CA">
      <w:pPr>
        <w:numPr>
          <w:ilvl w:val="0"/>
          <w:numId w:val="229"/>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numărul articulaţiilor tumefiate ≤ 1;</w:t>
      </w:r>
    </w:p>
    <w:p w14:paraId="4804FC2C" w14:textId="77777777" w:rsidR="00004853" w:rsidRPr="00004853" w:rsidRDefault="00004853" w:rsidP="002161CA">
      <w:pPr>
        <w:numPr>
          <w:ilvl w:val="0"/>
          <w:numId w:val="229"/>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proteina C reactivă ≤ 1 mg/dl;</w:t>
      </w:r>
    </w:p>
    <w:p w14:paraId="024B1116" w14:textId="77777777" w:rsidR="00004853" w:rsidRPr="00004853" w:rsidRDefault="00004853" w:rsidP="002161CA">
      <w:pPr>
        <w:numPr>
          <w:ilvl w:val="0"/>
          <w:numId w:val="229"/>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aprecierea globală de către pacient ≤ 2 (pe o scală de la 0 la 10).</w:t>
      </w:r>
    </w:p>
    <w:p w14:paraId="14DB1817"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w:t>
      </w:r>
    </w:p>
    <w:p w14:paraId="3437EC72"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B. Definiţia bazată pe indicele compozit: în orice moment, pacientul trebuie să aibă un scor al indicelui simplificat de activitate a bolii (SDAI) ≤ 3,3, definit conform formulei SDAI = NAD28 + NAT28 + evaluarea globală a pacientului pe o scală (0 - 10) + evaluarea globală a medicului pe o scală (0 - 10) + proteina C reactivă (mg/dL).</w:t>
      </w:r>
    </w:p>
    <w:p w14:paraId="6076A3D5"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w:t>
      </w:r>
    </w:p>
    <w:p w14:paraId="42781B17"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În conformitate cu recomandările EULAR şi ţinând cont de preocuparea pentru minimalizarea expunerii la riscurile implicite ale tratamentului biologic şi sintetic ţintit (tsDMARDs), se recomandă ca la pacienţii aflaţi în remisiune persistentă, definită conform criteriilor ACR/EULAR 2011 (vezi mai sus), la două evaluări succesive (la minimum 6 luni interval între evaluări), să se ia în considerare, de comun acord cu pacientul, reducerea treptată a administrării tratamentului biologic sau sintetic ţintit (tsDMARDs), sau a terapiei remisive sintetice convenţionale asociate. Această reducere a expunerii la terapie se face treptat, monitorizând evoluţia pacientului, cu posibilitatea revenirii în orice moment la schema iniţială în cazul unui puseu evolutiv de boală, după discutarea propunerii de reducere a dozei de biologic sau sintetic ţintit (tsDMARDs) sau remisiv sintetic convenţional cu pacientul şi semnarea unui consimţământ informat.</w:t>
      </w:r>
    </w:p>
    <w:p w14:paraId="14B40CB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5A5957CB"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O schemă propusă de reducere a expunerii la agentul biologic sau sintetic ţintit (tsDMARDs) se face după cum urmează:</w:t>
      </w:r>
    </w:p>
    <w:p w14:paraId="3089FC3C" w14:textId="77777777" w:rsidR="00004853" w:rsidRPr="00004853" w:rsidRDefault="00004853" w:rsidP="002161CA">
      <w:pPr>
        <w:numPr>
          <w:ilvl w:val="0"/>
          <w:numId w:val="19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abatacept: 125 mg - se creşte intervalul între administrări la 10 zile timp de 6 luni, apoi la două săptămâni, cu condiţia păstrării răspunsului terapeutic.</w:t>
      </w:r>
    </w:p>
    <w:p w14:paraId="389E5C72" w14:textId="77777777" w:rsidR="00004853" w:rsidRPr="00004853" w:rsidRDefault="00004853" w:rsidP="002161CA">
      <w:pPr>
        <w:numPr>
          <w:ilvl w:val="0"/>
          <w:numId w:val="19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lastRenderedPageBreak/>
        <w:t>adalimumab (original şi biosimilar): 40 mg - se creşte intervalul între administrări la 3 săptămâni timp de 6 luni, apoi la o lună, cu condiţia păstrării răspunsului terapeutic.</w:t>
      </w:r>
    </w:p>
    <w:p w14:paraId="2E4D424E" w14:textId="77777777" w:rsidR="00004853" w:rsidRPr="00004853" w:rsidRDefault="00004853" w:rsidP="002161CA">
      <w:pPr>
        <w:numPr>
          <w:ilvl w:val="0"/>
          <w:numId w:val="19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certolizumab: se creşte intervalul între administrări la 6 săptămâni timp de 6 luni, apoi la 2 luni, cu condiţia păstrării răspunsului terapeutic (schema aplicabilă în cazul în care remisiunea este obţinută cu 400 mg o dată la 4 săptămâni). Dacă se utilizează 200 mg la 2 săptămâni, se creşte intervalul la 3 săptămâni timp de 6 luni, apoi la 4 săptămâni.</w:t>
      </w:r>
    </w:p>
    <w:p w14:paraId="64F56959" w14:textId="77777777" w:rsidR="00004853" w:rsidRPr="00004853" w:rsidRDefault="00004853" w:rsidP="002161CA">
      <w:pPr>
        <w:numPr>
          <w:ilvl w:val="0"/>
          <w:numId w:val="19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etanercept (original şi biosimilar): pentru doza de 50 mg/săpt. se creşte intervalul între administrări la 10 zile timp de 6 luni, apoi la 2 săptămâni, cu condiţia păstrării răspunsului terapeutic. Alternativ se poate folosi doza de 25 mg la 5 zile pentru 6 luni, apoi 25 mg/săpt., cu condiţia păstrării răspunsului terapeutic.</w:t>
      </w:r>
    </w:p>
    <w:p w14:paraId="35D77252" w14:textId="77777777" w:rsidR="00004853" w:rsidRPr="00004853" w:rsidRDefault="00004853" w:rsidP="002161CA">
      <w:pPr>
        <w:numPr>
          <w:ilvl w:val="0"/>
          <w:numId w:val="19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golimumab: 50 mg - se creşte intervalul între administrări la 6 săptămâni timp de 6 luni, apoi la 2 luni, cu condiţia păstrării răspunsului terapeutic.</w:t>
      </w:r>
    </w:p>
    <w:p w14:paraId="2549785A" w14:textId="77777777" w:rsidR="00004853" w:rsidRPr="00004853" w:rsidRDefault="00004853" w:rsidP="002161CA">
      <w:pPr>
        <w:numPr>
          <w:ilvl w:val="0"/>
          <w:numId w:val="195"/>
        </w:numPr>
        <w:pBdr>
          <w:top w:val="nil"/>
          <w:left w:val="nil"/>
          <w:bottom w:val="nil"/>
          <w:right w:val="nil"/>
          <w:between w:val="nil"/>
          <w:bar w:val="nil"/>
        </w:pBdr>
        <w:spacing w:after="0" w:line="240" w:lineRule="auto"/>
        <w:ind w:left="284" w:hanging="284"/>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infliximab (original sau biosimilar): utilizat în doza care a indus remisiunea, se creşte intervalul între perfuzii la 10 săptămâni timp de 6 luni, apoi la 12 săptămâni, cu condiţia păstrării răspunsului terapeutic, cu grija de a nu depăşi 16 săptămâni între administrări.</w:t>
      </w:r>
      <w:r w:rsidRPr="00004853">
        <w:rPr>
          <w:rFonts w:ascii="Times New Roman" w:eastAsia="Times New Roman" w:hAnsi="Times New Roman" w:cs="Times New Roman"/>
          <w:sz w:val="24"/>
          <w:szCs w:val="24"/>
          <w:u w:color="000000"/>
          <w:bdr w:val="nil"/>
          <w:lang w:eastAsia="ro-RO"/>
        </w:rPr>
        <w:t xml:space="preserve"> Infliximab administrat subcutanat: </w:t>
      </w:r>
      <w:r w:rsidRPr="00004853">
        <w:rPr>
          <w:rFonts w:ascii="Times New Roman" w:eastAsia="Calibri" w:hAnsi="Times New Roman" w:cs="Times New Roman"/>
          <w:sz w:val="24"/>
          <w:szCs w:val="24"/>
          <w:u w:color="000000"/>
          <w:bdr w:val="nil"/>
          <w:lang w:eastAsia="ro-RO"/>
        </w:rPr>
        <w:t>se creşte intervalul între administrări la 3 săptămâni timp de 6 luni, apoi la o lună, cu condiţia păstrării răspunsului terapeutic.</w:t>
      </w:r>
    </w:p>
    <w:p w14:paraId="0E9ACFE4" w14:textId="77777777" w:rsidR="00004853" w:rsidRPr="00004853" w:rsidRDefault="00004853" w:rsidP="00004853">
      <w:pPr>
        <w:pBdr>
          <w:top w:val="nil"/>
          <w:left w:val="nil"/>
          <w:bottom w:val="nil"/>
          <w:right w:val="nil"/>
          <w:between w:val="nil"/>
          <w:bar w:val="nil"/>
        </w:pBdr>
        <w:spacing w:after="0" w:line="240" w:lineRule="auto"/>
        <w:ind w:left="284" w:hanging="284"/>
        <w:rPr>
          <w:rFonts w:ascii="Times New Roman" w:eastAsia="Calibri" w:hAnsi="Times New Roman" w:cs="Times New Roman"/>
          <w:sz w:val="24"/>
          <w:szCs w:val="24"/>
          <w:u w:color="000000"/>
          <w:bdr w:val="nil"/>
          <w:lang w:eastAsia="ro-RO"/>
        </w:rPr>
      </w:pPr>
    </w:p>
    <w:p w14:paraId="64262455" w14:textId="77777777" w:rsidR="00004853" w:rsidRPr="00004853" w:rsidRDefault="00004853" w:rsidP="002161CA">
      <w:pPr>
        <w:numPr>
          <w:ilvl w:val="0"/>
          <w:numId w:val="19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rituximab (original şi biosimilar): 1.000 mg x 2, readministrare doar în cazul reluării activităţii bolii (creşterea DAS28 cu peste 1.2, cu trecerea într-o categorie superioară de activitate a bolii (din remisiune în LDA sau din LDA în MDA) sau existenţa unei boli cu activitate reziduală (DAS28 peste 3,2).</w:t>
      </w:r>
    </w:p>
    <w:p w14:paraId="264CCE29" w14:textId="77777777" w:rsidR="00004853" w:rsidRPr="00004853" w:rsidRDefault="00004853" w:rsidP="002161CA">
      <w:pPr>
        <w:numPr>
          <w:ilvl w:val="0"/>
          <w:numId w:val="19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tocilizumab: 8 mg/kg - se creşte intervalul între administrări la 6 săptămâni timp de 6 luni, apoi la două luni, cu condiţia păstrării răspunsului terapeutic.</w:t>
      </w:r>
    </w:p>
    <w:p w14:paraId="6B8DC958" w14:textId="77777777" w:rsidR="00004853" w:rsidRPr="00004853" w:rsidRDefault="00004853" w:rsidP="002161CA">
      <w:pPr>
        <w:numPr>
          <w:ilvl w:val="0"/>
          <w:numId w:val="19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baricitinib: 4 mg/zi sau 2 mg/zi - la cei cu 4 mg/zi se reduce doza la 2 mg/zi, cu condiţia păstrării răspunsului terapeutic.</w:t>
      </w:r>
    </w:p>
    <w:p w14:paraId="397215A1" w14:textId="77777777" w:rsidR="00004853" w:rsidRPr="00004853" w:rsidRDefault="00004853" w:rsidP="002161CA">
      <w:pPr>
        <w:numPr>
          <w:ilvl w:val="0"/>
          <w:numId w:val="19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 xml:space="preserve">tofacitinib: </w:t>
      </w:r>
      <w:bookmarkStart w:id="42" w:name="_Hlk93180251"/>
      <w:r w:rsidRPr="00004853">
        <w:rPr>
          <w:rFonts w:ascii="Times New Roman" w:eastAsia="Calibri" w:hAnsi="Times New Roman" w:cs="Times New Roman"/>
          <w:sz w:val="24"/>
          <w:szCs w:val="24"/>
          <w:u w:color="000000"/>
          <w:bdr w:val="nil"/>
          <w:lang w:eastAsia="ro-RO"/>
        </w:rPr>
        <w:t>10 mg/zi sau 11mg/zi - se reduce doza la 5 mg/zi, cu condiţia păstrării răspunsului terapeutic.</w:t>
      </w:r>
    </w:p>
    <w:bookmarkEnd w:id="42"/>
    <w:p w14:paraId="68B48140" w14:textId="77777777" w:rsidR="00004853" w:rsidRPr="00004853" w:rsidRDefault="00004853" w:rsidP="002161CA">
      <w:pPr>
        <w:numPr>
          <w:ilvl w:val="0"/>
          <w:numId w:val="19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upadacitinib: 15mg/zi - se reduce doza la 15 mg o data la 2 zile, cu condiţia păstrării răspunsului terapeutic.</w:t>
      </w:r>
    </w:p>
    <w:p w14:paraId="6FCF6431" w14:textId="77777777" w:rsidR="00004853" w:rsidRPr="00004853" w:rsidRDefault="00004853" w:rsidP="002161CA">
      <w:pPr>
        <w:numPr>
          <w:ilvl w:val="0"/>
          <w:numId w:val="195"/>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filgotinib: 200 mg/zi – se reduce doza la 100 mg o dată pe zi, cu condiția păstrării răspunsului terapeutic.</w:t>
      </w:r>
    </w:p>
    <w:p w14:paraId="024393E1"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758CDDC0" w14:textId="77777777" w:rsidR="00004853" w:rsidRPr="00004853" w:rsidRDefault="00004853" w:rsidP="00004853">
      <w:pPr>
        <w:spacing w:after="0" w:line="240" w:lineRule="auto"/>
        <w:jc w:val="both"/>
        <w:rPr>
          <w:rFonts w:ascii="Times New Roman" w:eastAsia="Calibri" w:hAnsi="Times New Roman" w:cs="Times New Roman"/>
          <w:b/>
          <w:bCs/>
          <w:sz w:val="24"/>
          <w:szCs w:val="24"/>
          <w:lang w:eastAsia="ro-RO"/>
        </w:rPr>
      </w:pPr>
      <w:r w:rsidRPr="00004853">
        <w:rPr>
          <w:rFonts w:ascii="Times New Roman" w:eastAsia="Calibri" w:hAnsi="Times New Roman" w:cs="Times New Roman"/>
          <w:b/>
          <w:bCs/>
          <w:sz w:val="24"/>
          <w:szCs w:val="24"/>
          <w:lang w:eastAsia="ro-RO"/>
        </w:rPr>
        <w:t>Criterii de excludere a pacienţilor din tratamentul cu terapii biologice sau sintetice ţintite (tsDMARDs) sau contraindicaţii pentru acestea:</w:t>
      </w:r>
    </w:p>
    <w:p w14:paraId="382405BD"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58FCFF4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1. Criterii valabile pentru toate medicamentele biologice şi sintetice ţintite (tsDMARDs):</w:t>
      </w:r>
    </w:p>
    <w:p w14:paraId="7CDAE611" w14:textId="77777777" w:rsidR="00004853" w:rsidRPr="00004853" w:rsidRDefault="00004853" w:rsidP="002161CA">
      <w:pPr>
        <w:numPr>
          <w:ilvl w:val="1"/>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pacienţi cu infecţii severe (actuale, netratate) precum (dar nu limitativ): stări septice, abcese, tuberculoză activă, infecţii oportuniste sau orice alte infecţii considerate semnificative în opinia medicului curant;</w:t>
      </w:r>
    </w:p>
    <w:p w14:paraId="74B903BF" w14:textId="77777777" w:rsidR="00004853" w:rsidRPr="00004853" w:rsidRDefault="00004853" w:rsidP="002161CA">
      <w:pPr>
        <w:numPr>
          <w:ilvl w:val="1"/>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tratamentul biologic şi sintetic ţintit (tsDMARDs) este contraindicat la pacienţii cu infecţii active cu VHB şi utilizat cu prudenţă la cei cu infecţie cronică VHC, cu monitorizare atentă. În ambele situaţii de infecţie virală B sau C decizia de iniţiere şi continuare a terapiei impune avizul medicului infecţionist sau gastroenterolog;</w:t>
      </w:r>
    </w:p>
    <w:p w14:paraId="78D1B40A" w14:textId="77777777" w:rsidR="00004853" w:rsidRPr="00004853" w:rsidRDefault="00004853" w:rsidP="002161CA">
      <w:pPr>
        <w:numPr>
          <w:ilvl w:val="1"/>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antecedente de hipersensibilitate la abatacept, adalimumab (original şi biosimilar), baricitinib, certolizumab, etanercept (original sau biosimilar), golimumab, infliximab (original sau biosimilar), rituximab (original şi biosimilar), tocilizumab, tofacitinib, upadacitinib, filgotinib, la proteine murine sau la oricare dintre excipienţii produsului folosit;</w:t>
      </w:r>
    </w:p>
    <w:p w14:paraId="1FF4D500" w14:textId="77777777" w:rsidR="00004853" w:rsidRPr="00004853" w:rsidRDefault="00004853" w:rsidP="002161CA">
      <w:pPr>
        <w:numPr>
          <w:ilvl w:val="1"/>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sarcina/alăptarea: la pacienţii de vârstă fertilă eventualitatea unei sarcini va fi atent discutată anterior concepţiei împreună cu medicul curant şi medicul de obstetrică-ginecologie; pentru pacienţii care doresc să procreeze, medicul curant va ţine cont de informaţiile din rezumatul caracteristicilor produsului pentru certolizumab pegol;</w:t>
      </w:r>
    </w:p>
    <w:p w14:paraId="0E9C3419" w14:textId="77777777" w:rsidR="00004853" w:rsidRPr="00004853" w:rsidRDefault="00004853" w:rsidP="002161CA">
      <w:pPr>
        <w:numPr>
          <w:ilvl w:val="1"/>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pacienţi cu stări de imunodeficienţă severă;</w:t>
      </w:r>
    </w:p>
    <w:p w14:paraId="1987676B" w14:textId="77777777" w:rsidR="00004853" w:rsidRPr="00004853" w:rsidRDefault="00004853" w:rsidP="002161CA">
      <w:pPr>
        <w:numPr>
          <w:ilvl w:val="1"/>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administrarea concomitentă a vaccinurilor cu germeni vii;</w:t>
      </w:r>
    </w:p>
    <w:p w14:paraId="7A974085" w14:textId="77777777" w:rsidR="00004853" w:rsidRPr="00004853" w:rsidRDefault="00004853" w:rsidP="002161CA">
      <w:pPr>
        <w:numPr>
          <w:ilvl w:val="1"/>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lastRenderedPageBreak/>
        <w:t>afecţiuni maligne prezente sau afecţiuni maligne în antecedente, fără avizul oncologic;</w:t>
      </w:r>
    </w:p>
    <w:p w14:paraId="1793278E" w14:textId="77777777" w:rsidR="00004853" w:rsidRPr="00004853" w:rsidRDefault="00004853" w:rsidP="002161CA">
      <w:pPr>
        <w:numPr>
          <w:ilvl w:val="1"/>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orice contraindicaţii recunoscute ale terapiilor biologice şi sintetice ţintite (tsDMARDs), conform rezumatului caracteristicilor fiecărui produs;</w:t>
      </w:r>
    </w:p>
    <w:p w14:paraId="0361222B" w14:textId="77777777" w:rsidR="00004853" w:rsidRPr="00004853" w:rsidRDefault="00004853" w:rsidP="002161CA">
      <w:pPr>
        <w:numPr>
          <w:ilvl w:val="1"/>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lipsa/retragerea consimţământului pacientului faţă de tratament;</w:t>
      </w:r>
    </w:p>
    <w:p w14:paraId="40688C36" w14:textId="77777777" w:rsidR="00004853" w:rsidRPr="00004853" w:rsidRDefault="00004853" w:rsidP="002161CA">
      <w:pPr>
        <w:numPr>
          <w:ilvl w:val="1"/>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pierderea calităţii de asigurat;</w:t>
      </w:r>
    </w:p>
    <w:p w14:paraId="05D7BD20" w14:textId="77777777" w:rsidR="00004853" w:rsidRPr="00004853" w:rsidRDefault="00004853" w:rsidP="002161CA">
      <w:pPr>
        <w:numPr>
          <w:ilvl w:val="1"/>
          <w:numId w:val="232"/>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în cazul non-aderenţei majore la tratament, medicul curant va evalua cauzele acesteia şi oportunitatea continuării terapiei biologice sau sintetice ţintite (tsDMARDs), având în vedere îndeplinirea tuturor criteriilor de continuare/modificare a terapiei.</w:t>
      </w:r>
    </w:p>
    <w:p w14:paraId="407F2F5E"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6A491292"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2. Criterii particulare:</w:t>
      </w:r>
    </w:p>
    <w:p w14:paraId="105A5AAF" w14:textId="77777777" w:rsidR="00004853" w:rsidRPr="00004853" w:rsidRDefault="00004853" w:rsidP="002161CA">
      <w:pPr>
        <w:numPr>
          <w:ilvl w:val="1"/>
          <w:numId w:val="23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pentru infliximab original sau biosimilar: readministrarea după un interval liber de peste 16 săptămâni;</w:t>
      </w:r>
    </w:p>
    <w:p w14:paraId="7555B7C6" w14:textId="77777777" w:rsidR="00004853" w:rsidRPr="00004853" w:rsidRDefault="00004853" w:rsidP="002161CA">
      <w:pPr>
        <w:numPr>
          <w:ilvl w:val="1"/>
          <w:numId w:val="23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pentru agenţii anti-TNFα (cu excepţia etanercept la care se va consulta rezumatul caracteristicilor produsului) şi rituximab (original şi biosimilar): pacienţi cu insuficienţă cardiacă congestivă severă (NYHA clasa III/IV);</w:t>
      </w:r>
    </w:p>
    <w:p w14:paraId="74781CB7" w14:textId="77777777" w:rsidR="00004853" w:rsidRPr="00004853" w:rsidRDefault="00004853" w:rsidP="002161CA">
      <w:pPr>
        <w:numPr>
          <w:ilvl w:val="1"/>
          <w:numId w:val="23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pentru agenţii anti-TNFα: pacienţi cu lupus sau sindroame lupus-like;</w:t>
      </w:r>
    </w:p>
    <w:p w14:paraId="3EF28700" w14:textId="77777777" w:rsidR="00004853" w:rsidRPr="00004853" w:rsidRDefault="00004853" w:rsidP="002161CA">
      <w:pPr>
        <w:numPr>
          <w:ilvl w:val="1"/>
          <w:numId w:val="23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pentru baricitinib: pacienţi cu număr absolut de limfocite &lt; 0,5 x 10</w:t>
      </w:r>
      <w:r w:rsidRPr="00004853">
        <w:rPr>
          <w:rFonts w:ascii="Times New Roman" w:eastAsia="Calibri" w:hAnsi="Times New Roman" w:cs="Times New Roman"/>
          <w:sz w:val="24"/>
          <w:szCs w:val="24"/>
          <w:u w:color="000000"/>
          <w:bdr w:val="nil"/>
          <w:vertAlign w:val="superscript"/>
          <w:lang w:eastAsia="ro-RO"/>
        </w:rPr>
        <w:t>9</w:t>
      </w:r>
      <w:r w:rsidRPr="00004853">
        <w:rPr>
          <w:rFonts w:ascii="Times New Roman" w:eastAsia="Calibri" w:hAnsi="Times New Roman" w:cs="Times New Roman"/>
          <w:sz w:val="24"/>
          <w:szCs w:val="24"/>
          <w:u w:color="000000"/>
          <w:bdr w:val="nil"/>
          <w:lang w:eastAsia="ro-RO"/>
        </w:rPr>
        <w:t> celule/L, număr absolut de neutrofile &lt; 1 x 10</w:t>
      </w:r>
      <w:r w:rsidRPr="00004853">
        <w:rPr>
          <w:rFonts w:ascii="Times New Roman" w:eastAsia="Calibri" w:hAnsi="Times New Roman" w:cs="Times New Roman"/>
          <w:sz w:val="24"/>
          <w:szCs w:val="24"/>
          <w:u w:color="000000"/>
          <w:bdr w:val="nil"/>
          <w:vertAlign w:val="superscript"/>
          <w:lang w:eastAsia="ro-RO"/>
        </w:rPr>
        <w:t>9</w:t>
      </w:r>
      <w:r w:rsidRPr="00004853">
        <w:rPr>
          <w:rFonts w:ascii="Times New Roman" w:eastAsia="Calibri" w:hAnsi="Times New Roman" w:cs="Times New Roman"/>
          <w:sz w:val="24"/>
          <w:szCs w:val="24"/>
          <w:u w:color="000000"/>
          <w:bdr w:val="nil"/>
          <w:lang w:eastAsia="ro-RO"/>
        </w:rPr>
        <w:t> celule/L, valoare a hemoglobinei &lt; 8 g/dL, pacienţi cu clearance al creatininei &lt; 30 ml/minut şi pacienţii cu insuficienţă hepatică severă.</w:t>
      </w:r>
    </w:p>
    <w:p w14:paraId="7931E1D7" w14:textId="77777777" w:rsidR="00004853" w:rsidRPr="00004853" w:rsidRDefault="00004853" w:rsidP="002161CA">
      <w:pPr>
        <w:numPr>
          <w:ilvl w:val="1"/>
          <w:numId w:val="23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pentru tofacitinib: pacienţi cu număr absolut de limfocite &lt; 750 celule/mm3, număr absolut de neutrofile &lt; 1000 celule/mm3, scăderea hemoglobinei cu mai mult de 2 g/dL sau hemoglobină &lt; 8 g/dL (confirmată prin testare repetată), insuficienţă hepatică severă (clasa Child Pugh C).</w:t>
      </w:r>
    </w:p>
    <w:p w14:paraId="09B1E2F4" w14:textId="77777777" w:rsidR="00004853" w:rsidRPr="00004853" w:rsidRDefault="00004853" w:rsidP="002161CA">
      <w:pPr>
        <w:numPr>
          <w:ilvl w:val="1"/>
          <w:numId w:val="23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pentru upadacitinib: tratamentul nu trebuie iniţiat sau trebuie oprit temporar în cazul pacienţilor cu valori ale numarului absolut de neutrofile &lt; 1 x 10</w:t>
      </w:r>
      <w:r w:rsidRPr="00004853">
        <w:rPr>
          <w:rFonts w:ascii="Times New Roman" w:eastAsia="Calibri" w:hAnsi="Times New Roman" w:cs="Times New Roman"/>
          <w:sz w:val="24"/>
          <w:szCs w:val="24"/>
          <w:u w:color="000000"/>
          <w:bdr w:val="nil"/>
          <w:vertAlign w:val="superscript"/>
          <w:lang w:eastAsia="ro-RO"/>
        </w:rPr>
        <w:t>9</w:t>
      </w:r>
      <w:r w:rsidRPr="00004853">
        <w:rPr>
          <w:rFonts w:ascii="Times New Roman" w:eastAsia="Calibri" w:hAnsi="Times New Roman" w:cs="Times New Roman"/>
          <w:sz w:val="24"/>
          <w:szCs w:val="24"/>
          <w:u w:color="000000"/>
          <w:bdr w:val="nil"/>
          <w:lang w:eastAsia="ro-RO"/>
        </w:rPr>
        <w:t xml:space="preserve"> celule/L, numarului absolut de limfocite &lt; 0,5 x 10</w:t>
      </w:r>
      <w:r w:rsidRPr="00004853">
        <w:rPr>
          <w:rFonts w:ascii="Times New Roman" w:eastAsia="Calibri" w:hAnsi="Times New Roman" w:cs="Times New Roman"/>
          <w:sz w:val="24"/>
          <w:szCs w:val="24"/>
          <w:u w:color="000000"/>
          <w:bdr w:val="nil"/>
          <w:vertAlign w:val="superscript"/>
          <w:lang w:eastAsia="ro-RO"/>
        </w:rPr>
        <w:t>9</w:t>
      </w:r>
      <w:r w:rsidRPr="00004853">
        <w:rPr>
          <w:rFonts w:ascii="Times New Roman" w:eastAsia="Calibri" w:hAnsi="Times New Roman" w:cs="Times New Roman"/>
          <w:sz w:val="24"/>
          <w:szCs w:val="24"/>
          <w:u w:color="000000"/>
          <w:bdr w:val="nil"/>
          <w:lang w:eastAsia="ro-RO"/>
        </w:rPr>
        <w:t xml:space="preserve"> celule/L sau valori ale hemoglobinei &lt; 8 g/dL, insuficiență hepatică severă (clasă Child-Pugh C).</w:t>
      </w:r>
    </w:p>
    <w:p w14:paraId="085C6936" w14:textId="77777777" w:rsidR="00004853" w:rsidRPr="00004853" w:rsidRDefault="00004853" w:rsidP="002161CA">
      <w:pPr>
        <w:numPr>
          <w:ilvl w:val="1"/>
          <w:numId w:val="233"/>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 xml:space="preserve">pentru filgotinib: </w:t>
      </w:r>
      <w:r w:rsidRPr="00004853">
        <w:rPr>
          <w:rFonts w:ascii="Times New Roman" w:eastAsia="Times New Roman" w:hAnsi="Times New Roman" w:cs="Times New Roman"/>
          <w:sz w:val="24"/>
          <w:szCs w:val="24"/>
          <w:u w:color="000000"/>
          <w:bdr w:val="nil"/>
          <w:lang w:eastAsia="ro-RO"/>
        </w:rPr>
        <w:t>tratamentul nu trebuie inițiat sau trebuie întrerupt temporar la pacienții la care se observă valori ale numărului absolut de neutrofile</w:t>
      </w:r>
      <w:r w:rsidRPr="00004853">
        <w:rPr>
          <w:rFonts w:ascii="Times New Roman" w:eastAsia="Calibri" w:hAnsi="Times New Roman" w:cs="Times New Roman"/>
          <w:sz w:val="24"/>
          <w:szCs w:val="24"/>
          <w:u w:color="000000"/>
          <w:bdr w:val="nil"/>
          <w:lang w:eastAsia="ro-RO"/>
        </w:rPr>
        <w:t>&lt;1 × 10</w:t>
      </w:r>
      <w:r w:rsidRPr="00004853">
        <w:rPr>
          <w:rFonts w:ascii="Times New Roman" w:eastAsia="Calibri" w:hAnsi="Times New Roman" w:cs="Times New Roman"/>
          <w:sz w:val="24"/>
          <w:szCs w:val="24"/>
          <w:u w:color="000000"/>
          <w:bdr w:val="nil"/>
          <w:vertAlign w:val="superscript"/>
          <w:lang w:eastAsia="ro-RO"/>
        </w:rPr>
        <w:t>9</w:t>
      </w:r>
      <w:r w:rsidRPr="00004853">
        <w:rPr>
          <w:rFonts w:ascii="Times New Roman" w:eastAsia="Calibri" w:hAnsi="Times New Roman" w:cs="Times New Roman"/>
          <w:sz w:val="24"/>
          <w:szCs w:val="24"/>
          <w:u w:color="000000"/>
          <w:bdr w:val="nil"/>
          <w:lang w:eastAsia="ro-RO"/>
        </w:rPr>
        <w:t xml:space="preserve"> celule/l, numărului absolut de limfocite &lt;0,5 × 10</w:t>
      </w:r>
      <w:r w:rsidRPr="00004853">
        <w:rPr>
          <w:rFonts w:ascii="Times New Roman" w:eastAsia="Calibri" w:hAnsi="Times New Roman" w:cs="Times New Roman"/>
          <w:sz w:val="24"/>
          <w:szCs w:val="24"/>
          <w:u w:color="000000"/>
          <w:bdr w:val="nil"/>
          <w:vertAlign w:val="superscript"/>
          <w:lang w:eastAsia="ro-RO"/>
        </w:rPr>
        <w:t>9</w:t>
      </w:r>
      <w:r w:rsidRPr="00004853">
        <w:rPr>
          <w:rFonts w:ascii="Times New Roman" w:eastAsia="Calibri" w:hAnsi="Times New Roman" w:cs="Times New Roman"/>
          <w:sz w:val="24"/>
          <w:szCs w:val="24"/>
          <w:u w:color="000000"/>
          <w:bdr w:val="nil"/>
          <w:lang w:eastAsia="ro-RO"/>
        </w:rPr>
        <w:t xml:space="preserve"> celule/l sau hemoglobină &lt;8 g/dl în timpul abordării terapeutice de rutină a pacientului, pacienți cu clearance al creatininei &lt; 15 ml/minut și pacienți cu </w:t>
      </w:r>
      <w:r w:rsidRPr="00004853">
        <w:rPr>
          <w:rFonts w:ascii="Times New Roman" w:eastAsia="Times New Roman" w:hAnsi="Times New Roman" w:cs="Times New Roman"/>
          <w:sz w:val="24"/>
          <w:szCs w:val="24"/>
          <w:u w:color="000000"/>
          <w:bdr w:val="nil"/>
          <w:lang w:eastAsia="ro-RO"/>
        </w:rPr>
        <w:t>insuficiență hepatică severă (clasa C conform clasificării Child-Pugh).</w:t>
      </w:r>
    </w:p>
    <w:p w14:paraId="5C3CE36E"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p>
    <w:p w14:paraId="26EDD040" w14:textId="77777777" w:rsidR="00004853" w:rsidRPr="00004853" w:rsidRDefault="00004853" w:rsidP="00004853">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004853">
        <w:rPr>
          <w:rFonts w:ascii="Times New Roman" w:eastAsia="Times New Roman" w:hAnsi="Times New Roman" w:cs="Times New Roman"/>
          <w:sz w:val="24"/>
          <w:szCs w:val="24"/>
          <w:lang w:eastAsia="ro-RO"/>
        </w:rPr>
        <w:t>3. Precauții și atenționări pentru pacienții tratați cu inhibitori de JAK (JAKi):</w:t>
      </w:r>
    </w:p>
    <w:p w14:paraId="0C5AE033" w14:textId="77777777" w:rsidR="00004853" w:rsidRPr="00004853" w:rsidRDefault="00004853" w:rsidP="00004853">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004853">
        <w:rPr>
          <w:rFonts w:ascii="Times New Roman" w:eastAsia="Times New Roman" w:hAnsi="Times New Roman" w:cs="Times New Roman"/>
          <w:sz w:val="24"/>
          <w:szCs w:val="24"/>
          <w:lang w:eastAsia="ro-RO"/>
        </w:rPr>
        <w:t>A fost observată o incidență crescută de afecțiuni maligne, evenimente adverse cardiovasculare majore (MACE), infecții grave, trombembolism venos (TEV) și mortalitate, la pacienții cu poliartrită reumatoidă (PR) cu anumiți factori de risc, care au fost tratați cu JAKi, comparativ cu pacienții tratați cu inhibitori de TNF-α. Aceste riscuri sunt considerate efecte de clasă și sunt relevante în cadrul tuturor indicațiilor aprobate ale JAKi, în afecțiunile inflamatoare și dermatologice. JAKi trebuie administrați numai dacă nu sunt disponibile alternative de tratament adecvate, la pacienții:</w:t>
      </w:r>
    </w:p>
    <w:p w14:paraId="1557B9CE" w14:textId="77777777" w:rsidR="00004853" w:rsidRPr="00004853" w:rsidRDefault="00004853" w:rsidP="00004853">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004853">
        <w:rPr>
          <w:rFonts w:ascii="Times New Roman" w:eastAsia="Times New Roman" w:hAnsi="Times New Roman" w:cs="Times New Roman"/>
          <w:sz w:val="24"/>
          <w:szCs w:val="24"/>
          <w:lang w:eastAsia="ro-RO"/>
        </w:rPr>
        <w:t>- cu vârstă de 65 de ani și peste;</w:t>
      </w:r>
    </w:p>
    <w:p w14:paraId="617FCCEE" w14:textId="77777777" w:rsidR="00004853" w:rsidRPr="00004853" w:rsidRDefault="00004853" w:rsidP="00004853">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004853">
        <w:rPr>
          <w:rFonts w:ascii="Times New Roman" w:eastAsia="Times New Roman" w:hAnsi="Times New Roman" w:cs="Times New Roman"/>
          <w:sz w:val="24"/>
          <w:szCs w:val="24"/>
          <w:lang w:eastAsia="ro-RO"/>
        </w:rPr>
        <w:t>- fumători actuali sau care au fumat o perioadă îndelungată în trecut;</w:t>
      </w:r>
    </w:p>
    <w:p w14:paraId="7EE5B008" w14:textId="77777777" w:rsidR="00004853" w:rsidRPr="00004853" w:rsidRDefault="00004853" w:rsidP="00004853">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004853">
        <w:rPr>
          <w:rFonts w:ascii="Times New Roman" w:eastAsia="Times New Roman" w:hAnsi="Times New Roman" w:cs="Times New Roman"/>
          <w:sz w:val="24"/>
          <w:szCs w:val="24"/>
          <w:lang w:eastAsia="ro-RO"/>
        </w:rPr>
        <w:t>- cu alți factori de risc cardiovascular sau cu factori de risc pentru apariția afecțiunilor maligne.</w:t>
      </w:r>
    </w:p>
    <w:p w14:paraId="4C9F207C" w14:textId="77777777" w:rsidR="00004853" w:rsidRPr="00004853" w:rsidRDefault="00004853" w:rsidP="00004853">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004853">
        <w:rPr>
          <w:rFonts w:ascii="Times New Roman" w:eastAsia="Times New Roman" w:hAnsi="Times New Roman" w:cs="Times New Roman"/>
          <w:sz w:val="24"/>
          <w:szCs w:val="24"/>
          <w:lang w:eastAsia="ro-RO"/>
        </w:rPr>
        <w:t xml:space="preserve">JAKi trebuie administrați cu precauție la pacienții cu factori de risc pentru TEV, alții decât cei enumerați mai sus. Recomandările privind dozele sunt reviziute pentru anumite grupe de pacienți cu factori de risc. Se recomandă examinarea perioadică a pielii pentru toți pacienții. Medicii prescriptori trebuie să discute cu pacienții despre riscurile asociate cu administrarea JAKi. </w:t>
      </w:r>
    </w:p>
    <w:p w14:paraId="0FAE1F60"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p>
    <w:p w14:paraId="25F64FB0" w14:textId="77777777" w:rsidR="00004853" w:rsidRPr="00004853" w:rsidRDefault="00004853" w:rsidP="00004853">
      <w:pPr>
        <w:spacing w:after="0" w:line="240" w:lineRule="auto"/>
        <w:jc w:val="both"/>
        <w:rPr>
          <w:rFonts w:ascii="Times New Roman" w:eastAsia="Calibri" w:hAnsi="Times New Roman" w:cs="Times New Roman"/>
          <w:b/>
          <w:sz w:val="24"/>
          <w:szCs w:val="24"/>
          <w:lang w:eastAsia="ro-RO"/>
        </w:rPr>
      </w:pPr>
      <w:r w:rsidRPr="00004853">
        <w:rPr>
          <w:rFonts w:ascii="Times New Roman" w:eastAsia="Calibri" w:hAnsi="Times New Roman" w:cs="Times New Roman"/>
          <w:b/>
          <w:sz w:val="24"/>
          <w:szCs w:val="24"/>
          <w:lang w:eastAsia="ro-RO"/>
        </w:rPr>
        <w:t>III. Prescriptori</w:t>
      </w:r>
    </w:p>
    <w:p w14:paraId="755BD40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Medicul de specialitate care are dreptul de a prescrie tratament specific în conformitate cu Hotărârea Guvernului nr. 720/2008 pentru aprobarea Listei cuprinzând denumirile comune internaţionale corespunzătoare medicamentelor de care beneficiază asiguraţii, cu sau fără contribuţie personală, pe bază de prescripţie medicală, în sistemul de asigurări sociale de sănătate, precum şi denumirile comune internaţionale corespunzătoare medicamentelor care se acordă în cadrul programelor naţionale de sănătate, cu modificările şi completările ulterioare, va completa o foaie de observaţie/fişă </w:t>
      </w:r>
      <w:r w:rsidRPr="00004853">
        <w:rPr>
          <w:rFonts w:ascii="Times New Roman" w:eastAsia="Calibri" w:hAnsi="Times New Roman" w:cs="Times New Roman"/>
          <w:sz w:val="24"/>
          <w:szCs w:val="24"/>
          <w:lang w:eastAsia="ro-RO"/>
        </w:rPr>
        <w:lastRenderedPageBreak/>
        <w:t>medicală care va conţine evaluările clinice şi de laborator sau imagistice necesare, datele fiind introduse în aplicația informatică Registrul Român de Boli Reumatice.</w:t>
      </w:r>
    </w:p>
    <w:p w14:paraId="5EE2CAA4"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Se recomandă înregistrarea următoarelor date, atât la iniţierea terapiei, cât şi pe parcursul evoluţiei bolii sub tratament:</w:t>
      </w:r>
    </w:p>
    <w:p w14:paraId="3D84E034"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informaţii demografice şi generale despre pacient;</w:t>
      </w:r>
    </w:p>
    <w:p w14:paraId="2D99F093"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diagnosticul cert de PR, confirmat conform criteriilor ACR/EULAR (2010);</w:t>
      </w:r>
    </w:p>
    <w:p w14:paraId="05AF0E66"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istoricul bolii (debut, evoluţie, scheme terapeutice anterioare - preparate, doze, data iniţierii şi data opririi tratamentului, evoluţie sub tratament), prezenţa manifestărilor sistemice sau nonarticulare;</w:t>
      </w:r>
    </w:p>
    <w:p w14:paraId="27C80E1D"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antecedente semnificative şi comorbidităţi;</w:t>
      </w:r>
    </w:p>
    <w:p w14:paraId="40D224B5"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starea clinică actuală (NAD, NAT, redoare matinală, VAS, deficite funcţionale)</w:t>
      </w:r>
    </w:p>
    <w:p w14:paraId="58D71A1B"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nivelul reactanţilor de fază acută (VSH, CRP cantitativ),</w:t>
      </w:r>
    </w:p>
    <w:p w14:paraId="4F115C4B"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rezultatele screening-ului pentru TB (inclusiv rezultat test Quantiferon), avizul medicului pneumolog în cazul unui rezultat pozitiv;</w:t>
      </w:r>
    </w:p>
    <w:p w14:paraId="680E84F5"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rezultatele testelor pentru hepatitele virale B şi C, avizul medicului gastroenterolog sau infecţionist în cazul unui rezultat pozitiv;</w:t>
      </w:r>
    </w:p>
    <w:p w14:paraId="100F916F"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alte teste de laborator relevante,</w:t>
      </w:r>
    </w:p>
    <w:p w14:paraId="404B0E6A"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evaluarea gradului de leziuni osteo-articulare (imagistic: radiologic/echografic), opţional, acolo unde este aplicabil;</w:t>
      </w:r>
    </w:p>
    <w:p w14:paraId="1A74D01A"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justificarea recomandării tratamentului cu agenţi biologici sau sintetici ţintiţi (tsDMARDs) (verificarea îndeplinirii criteriilor de protocol);</w:t>
      </w:r>
    </w:p>
    <w:p w14:paraId="0E6035E3"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preparatul biologic sau sintetic ţintit (tsDMARDs) recomandat: denumirea comună internaţională şi denumirea comercială, precizând doza şi schema terapeutică;</w:t>
      </w:r>
    </w:p>
    <w:p w14:paraId="1C000109"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nivelul indicilor compoziţi: DAS28 şi după caz îndeplinirea criteriilor de remisiune/remisiune stringentă;</w:t>
      </w:r>
    </w:p>
    <w:p w14:paraId="47347941" w14:textId="77777777" w:rsidR="00004853" w:rsidRPr="00004853" w:rsidRDefault="00004853" w:rsidP="002161CA">
      <w:pPr>
        <w:numPr>
          <w:ilvl w:val="0"/>
          <w:numId w:val="230"/>
        </w:numPr>
        <w:pBdr>
          <w:top w:val="nil"/>
          <w:left w:val="nil"/>
          <w:bottom w:val="nil"/>
          <w:right w:val="nil"/>
          <w:between w:val="nil"/>
          <w:bar w:val="nil"/>
        </w:pBdr>
        <w:spacing w:after="0" w:line="240" w:lineRule="auto"/>
        <w:ind w:left="284" w:hanging="284"/>
        <w:jc w:val="both"/>
        <w:rPr>
          <w:rFonts w:ascii="Times New Roman" w:eastAsia="Calibri" w:hAnsi="Times New Roman" w:cs="Times New Roman"/>
          <w:sz w:val="24"/>
          <w:szCs w:val="24"/>
          <w:u w:color="000000"/>
          <w:bdr w:val="nil"/>
          <w:lang w:eastAsia="ro-RO"/>
        </w:rPr>
      </w:pPr>
      <w:r w:rsidRPr="00004853">
        <w:rPr>
          <w:rFonts w:ascii="Times New Roman" w:eastAsia="Calibri" w:hAnsi="Times New Roman" w:cs="Times New Roman"/>
          <w:sz w:val="24"/>
          <w:szCs w:val="24"/>
          <w:u w:color="000000"/>
          <w:bdr w:val="nil"/>
          <w:lang w:eastAsia="ro-RO"/>
        </w:rPr>
        <w:t>apariţia şi evoluţia în caz de reacţii adverse post-terapeutice, complicaţii, comorbidităţi.</w:t>
      </w:r>
    </w:p>
    <w:p w14:paraId="431C9B4A"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3B7E3635"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Scala analogă vizuală (VAS) pentru evaluarea globală a activităţii bolii de către pacient este completată direct de pacient pe fişă, acesta semnând şi datând personal.</w:t>
      </w:r>
    </w:p>
    <w:p w14:paraId="73F25E4D"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w:t>
      </w:r>
    </w:p>
    <w:p w14:paraId="3418A204"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Pentru iniţierea terapiei biologice sau sintetice ţintite (tsDMARDs) se recomandă obţinerea unei a doua opinii de la un medic primar în specialitatea reumatologie dintr-un centru universitar (Bucureşti, Iaşi, Cluj, Târgu Mureş, Constanţa, Craiova, Timişoara) privind diagnosticul, gradul de activitate a bolii şi necesitatea instituirii tratamentului biologic sau sintetic ţintit (tsDMARDs).</w:t>
      </w:r>
    </w:p>
    <w:p w14:paraId="300C389D"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5FE4AB9C"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Medicul curant are obligaţia să discute cu pacientul starea evolutivă a bolii, prognosticul şi riscurile de complicaţii, justificând indicaţia de tratament biologic sau sintetic ţintit (tsDMARDs). Vor fi detaliate atât beneficiile previzibile, cât şi limitele şi riscurile potenţiale ale acestor terapii, vor fi discutate diversele variante de tratament disponibil (preparate şi scheme terapeutice), precum şi monitorizarea necesară, astfel încât pacientul să fie complet informat asupra tuturor aspectelor legate de tratamentul biologic sau sintetic ţintit (tsDMARDs) recomandat.</w:t>
      </w:r>
    </w:p>
    <w:p w14:paraId="629871F0"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 xml:space="preserve">    </w:t>
      </w:r>
    </w:p>
    <w:p w14:paraId="0D57DE1B" w14:textId="77777777" w:rsidR="00004853" w:rsidRPr="00004853" w:rsidRDefault="00004853" w:rsidP="00004853">
      <w:pPr>
        <w:spacing w:after="0" w:line="240" w:lineRule="auto"/>
        <w:jc w:val="both"/>
        <w:rPr>
          <w:rFonts w:ascii="Times New Roman" w:eastAsia="Calibri" w:hAnsi="Times New Roman" w:cs="Times New Roman"/>
          <w:sz w:val="24"/>
          <w:szCs w:val="24"/>
          <w:lang w:eastAsia="ro-RO"/>
        </w:rPr>
      </w:pPr>
      <w:r w:rsidRPr="00004853">
        <w:rPr>
          <w:rFonts w:ascii="Times New Roman" w:eastAsia="Calibri" w:hAnsi="Times New Roman" w:cs="Times New Roman"/>
          <w:sz w:val="24"/>
          <w:szCs w:val="24"/>
          <w:lang w:eastAsia="ro-RO"/>
        </w:rPr>
        <w:t>Medicul curant va solicita pacientului să semneze o declaraţie de consimţământ informat privind tratamentul recomandat, care va include în clar denumirea comună internaţională şi numele comercial al preparatului recomandat şi va fi semnată şi datată personal de către pacient. Consimţământul este obligatoriu la iniţierea tratamentului biologic sau sintetic ţintit (tsDMARDs) precum şi pe parcursul acestuia, dacă: se schimbă schema terapeutică (denumirea comună internaţională sau preparat comercial, doza sau frecvenţa de administrare) sau pacientul trece în grija altui medic curant. Medicul curant are obligaţia de a păstra originalul consimţământului informat.”</w:t>
      </w:r>
    </w:p>
    <w:p w14:paraId="7EF06415" w14:textId="77777777" w:rsidR="00004853" w:rsidRPr="00004853" w:rsidRDefault="00004853" w:rsidP="00004853">
      <w:pPr>
        <w:spacing w:after="0" w:line="240" w:lineRule="auto"/>
        <w:rPr>
          <w:rFonts w:ascii="Times New Roman" w:eastAsia="Times New Roman" w:hAnsi="Times New Roman" w:cs="Times New Roman"/>
          <w:sz w:val="24"/>
          <w:szCs w:val="24"/>
          <w:lang w:eastAsia="ro-RO"/>
        </w:rPr>
      </w:pPr>
    </w:p>
    <w:p w14:paraId="673C7542" w14:textId="77777777" w:rsidR="00004853" w:rsidRPr="00004853" w:rsidRDefault="00004853" w:rsidP="00004853">
      <w:pPr>
        <w:rPr>
          <w:rFonts w:ascii="Calibri" w:eastAsia="Calibri" w:hAnsi="Calibri" w:cs="Times New Roman"/>
        </w:rPr>
      </w:pPr>
    </w:p>
    <w:p w14:paraId="1987BF85" w14:textId="77777777" w:rsidR="009B5A01" w:rsidRDefault="009B5A01" w:rsidP="002124DE">
      <w:pPr>
        <w:tabs>
          <w:tab w:val="left" w:pos="426"/>
        </w:tabs>
        <w:jc w:val="both"/>
        <w:rPr>
          <w:rFonts w:ascii="Times New Roman" w:eastAsia="Arial" w:hAnsi="Times New Roman" w:cs="Times New Roman"/>
          <w:b/>
          <w:bCs/>
          <w:sz w:val="24"/>
          <w:szCs w:val="24"/>
          <w:lang w:val="en-US" w:eastAsia="ro-RO"/>
        </w:rPr>
      </w:pPr>
    </w:p>
    <w:p w14:paraId="166C32E2" w14:textId="77777777" w:rsidR="00004853" w:rsidRPr="0049126A" w:rsidRDefault="00004853" w:rsidP="002124DE">
      <w:pPr>
        <w:tabs>
          <w:tab w:val="left" w:pos="426"/>
        </w:tabs>
        <w:jc w:val="both"/>
        <w:rPr>
          <w:rFonts w:ascii="Times New Roman" w:eastAsia="Arial" w:hAnsi="Times New Roman" w:cs="Times New Roman"/>
          <w:b/>
          <w:bCs/>
          <w:sz w:val="24"/>
          <w:szCs w:val="24"/>
          <w:lang w:val="en-US" w:eastAsia="ro-RO"/>
        </w:rPr>
      </w:pPr>
    </w:p>
    <w:p w14:paraId="18F26CAA" w14:textId="093E95C1" w:rsidR="00A42AE3" w:rsidRPr="0049126A" w:rsidRDefault="00A42AE3" w:rsidP="00C26280">
      <w:pPr>
        <w:pStyle w:val="ListParagraph"/>
        <w:numPr>
          <w:ilvl w:val="0"/>
          <w:numId w:val="9"/>
        </w:numPr>
        <w:tabs>
          <w:tab w:val="left" w:pos="426"/>
        </w:tabs>
        <w:jc w:val="both"/>
        <w:rPr>
          <w:rFonts w:eastAsia="Arial"/>
          <w:b/>
          <w:bCs/>
          <w:color w:val="auto"/>
          <w:lang w:val="en-US"/>
        </w:rPr>
      </w:pPr>
      <w:r w:rsidRPr="0049126A">
        <w:rPr>
          <w:rFonts w:eastAsia="Arial"/>
          <w:b/>
          <w:bCs/>
          <w:color w:val="auto"/>
          <w:lang w:val="en-US"/>
        </w:rPr>
        <w:lastRenderedPageBreak/>
        <w:t>La anexa nr. 2, protocolul terapeutic corespunzător poziţiei nr. 19 cod (L044L): PSORIAZIS CRONIC SEVER (ÎN PLĂCI) - AGENŢI BIOLOGICI ŞI TERAPII CU MOLECULE MICI CU ACŢIUNE INTRACELULARĂ se modifică și se înlocuiește cu următorul protocol:</w:t>
      </w:r>
    </w:p>
    <w:p w14:paraId="273F6CC2" w14:textId="77777777" w:rsidR="00A42AE3" w:rsidRPr="0049126A" w:rsidRDefault="00A42AE3" w:rsidP="00A42AE3">
      <w:pPr>
        <w:pStyle w:val="ListParagraph"/>
        <w:tabs>
          <w:tab w:val="left" w:pos="426"/>
        </w:tabs>
        <w:jc w:val="both"/>
        <w:rPr>
          <w:rFonts w:eastAsia="Arial"/>
          <w:b/>
          <w:bCs/>
          <w:color w:val="auto"/>
          <w:lang w:val="en-US"/>
        </w:rPr>
      </w:pPr>
    </w:p>
    <w:p w14:paraId="6F9D73DA" w14:textId="6AF29A65" w:rsidR="002124DE" w:rsidRPr="0049126A" w:rsidRDefault="00A42AE3" w:rsidP="002124DE">
      <w:pPr>
        <w:tabs>
          <w:tab w:val="left" w:pos="426"/>
        </w:tabs>
        <w:jc w:val="both"/>
        <w:rPr>
          <w:rFonts w:ascii="Times New Roman" w:eastAsia="Arial" w:hAnsi="Times New Roman" w:cs="Times New Roman"/>
          <w:b/>
          <w:bCs/>
          <w:sz w:val="24"/>
          <w:szCs w:val="24"/>
          <w:lang w:val="en-US"/>
        </w:rPr>
      </w:pPr>
      <w:r w:rsidRPr="0049126A">
        <w:rPr>
          <w:rFonts w:ascii="Times New Roman" w:eastAsia="Arial" w:hAnsi="Times New Roman" w:cs="Times New Roman"/>
          <w:b/>
          <w:bCs/>
          <w:sz w:val="24"/>
          <w:szCs w:val="24"/>
          <w:lang w:val="en-US"/>
        </w:rPr>
        <w:t xml:space="preserve">”Protocol terapeutic corespunzător poziției nr. 19 cod (L044L): </w:t>
      </w:r>
      <w:r w:rsidR="002124DE" w:rsidRPr="0049126A">
        <w:rPr>
          <w:rFonts w:ascii="Times New Roman" w:eastAsia="Arial" w:hAnsi="Times New Roman" w:cs="Times New Roman"/>
          <w:b/>
          <w:bCs/>
          <w:sz w:val="24"/>
          <w:szCs w:val="24"/>
          <w:lang w:eastAsia="ro-RO"/>
        </w:rPr>
        <w:t>PSORIAZIS CRONIC SEVER (ÎN PLĂCI) - AGENŢI BIOLOGICI ŞI TERAPII CU MOLECULE MICI CU ACŢIUNE INTRACELULARĂ</w:t>
      </w:r>
    </w:p>
    <w:p w14:paraId="1F036703" w14:textId="77777777" w:rsidR="00A42AE3" w:rsidRPr="0049126A" w:rsidRDefault="00A42AE3"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35309D6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u w:val="single"/>
          <w:lang w:eastAsia="ro-RO"/>
        </w:rPr>
        <w:t>Psoriazis vulgar - generalităţi</w:t>
      </w:r>
    </w:p>
    <w:p w14:paraId="25125B3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eastAsia="ro-RO"/>
        </w:rPr>
        <w:t xml:space="preserve">Psoriazisul vulgar este o afecţiune cutanată cronică, cu determinism genetic, a cărei frecvenţă în populaţia generală este de 0,91 - 8,5%. </w:t>
      </w:r>
      <w:r w:rsidRPr="0049126A">
        <w:rPr>
          <w:rFonts w:ascii="Times New Roman" w:eastAsia="Times New Roman" w:hAnsi="Times New Roman" w:cs="Times New Roman"/>
          <w:sz w:val="24"/>
          <w:szCs w:val="24"/>
          <w:lang w:val="fr-MC" w:eastAsia="ro-RO"/>
        </w:rPr>
        <w:t>În România, conform unui studio de prevalență, aceasta se situează la 4,9%.</w:t>
      </w:r>
    </w:p>
    <w:p w14:paraId="4C424A0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261F1B2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Psoriazis vulgar - clasificare</w:t>
      </w:r>
    </w:p>
    <w:p w14:paraId="12627A5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Clasificarea severităţii psoriazisului vulgar are în vedere indicatori clinici: suprafaţa tegumentului afectat de psoriazis, regiunea topografică afectată şi caracteristicile afectării cutanate sintetizate în scorul PASI (Psoriasis Area and Severity Index) dar și în scorurile NAPSI (Nail Psoriasis Severity Index), PSSI (Psoriasis Scalp Severity Index), ESIF (Erythema,Scaling,Induration,Fissuring Scale). Pentru calculul suprafeţei tegumentare afectate se consideră că suprafaţa unei palme a pacientului reprezintă 1% din suprafaţa sa corporală (S corp).</w:t>
      </w:r>
    </w:p>
    <w:p w14:paraId="66FD4D0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E7FE59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Pentru evaluarea pacienţilor se folosesc şi elemente referitoare la calitatea vieţii pacientului (scorul DLQI - Anexa 1) şi se apreciază răspunsul terapeutic.</w:t>
      </w:r>
    </w:p>
    <w:p w14:paraId="2B96F373" w14:textId="77777777" w:rsidR="005D3C7A" w:rsidRPr="0049126A" w:rsidRDefault="005D3C7A" w:rsidP="005D3C7A">
      <w:pPr>
        <w:numPr>
          <w:ilvl w:val="0"/>
          <w:numId w:val="50"/>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PSO cu afectare uşoară: afectare sub 2% din S corp;</w:t>
      </w:r>
    </w:p>
    <w:p w14:paraId="59063B59" w14:textId="77777777" w:rsidR="005D3C7A" w:rsidRPr="0049126A" w:rsidRDefault="005D3C7A" w:rsidP="005D3C7A">
      <w:pPr>
        <w:numPr>
          <w:ilvl w:val="0"/>
          <w:numId w:val="50"/>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PSO cu afectare medie: afectare 2 - 10% din S corp;</w:t>
      </w:r>
    </w:p>
    <w:p w14:paraId="5F1FA47D" w14:textId="77777777" w:rsidR="005D3C7A" w:rsidRPr="0049126A" w:rsidRDefault="005D3C7A" w:rsidP="005D3C7A">
      <w:pPr>
        <w:numPr>
          <w:ilvl w:val="0"/>
          <w:numId w:val="50"/>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PSO cu afectare severă: afectare peste 10% din S corp sau PASI &gt; 10 sau leziuni dispuse la nivelul unor regiuni topografice asociate cu afectare semnificativă funcţională şi/sau cu nivel înalt de suferinţă şi/sau dificil de tratat: regiunea feţei, scalpul, palmele, plantele, unghiile, regiunea genitală, pliurile mari, cuantificate prin scoruri de zona.</w:t>
      </w:r>
    </w:p>
    <w:p w14:paraId="5BF64379"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en-US" w:eastAsia="ro-RO"/>
        </w:rPr>
      </w:pPr>
      <w:r w:rsidRPr="0049126A">
        <w:rPr>
          <w:rFonts w:ascii="Times New Roman" w:eastAsia="Times New Roman" w:hAnsi="Times New Roman" w:cs="Times New Roman"/>
          <w:sz w:val="24"/>
          <w:szCs w:val="24"/>
          <w:u w:val="single"/>
          <w:lang w:val="en-US" w:eastAsia="ro-RO"/>
        </w:rPr>
        <w:t>Psoriazis - cuantificare rezultate terapeutice obţinute</w:t>
      </w:r>
    </w:p>
    <w:p w14:paraId="118760A9"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en-US" w:eastAsia="ro-RO"/>
        </w:rPr>
      </w:pPr>
    </w:p>
    <w:p w14:paraId="1193F5DC"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Evaluarea psoriazisului vulgar este realizată prin calcularea scorului PASI.</w:t>
      </w:r>
    </w:p>
    <w:p w14:paraId="744BB0D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tbl>
      <w:tblPr>
        <w:tblW w:w="9639" w:type="dxa"/>
        <w:tblInd w:w="-8" w:type="dxa"/>
        <w:tblLayout w:type="fixed"/>
        <w:tblCellMar>
          <w:left w:w="105" w:type="dxa"/>
          <w:right w:w="105" w:type="dxa"/>
        </w:tblCellMar>
        <w:tblLook w:val="0000" w:firstRow="0" w:lastRow="0" w:firstColumn="0" w:lastColumn="0" w:noHBand="0" w:noVBand="0"/>
      </w:tblPr>
      <w:tblGrid>
        <w:gridCol w:w="2253"/>
        <w:gridCol w:w="2162"/>
        <w:gridCol w:w="1822"/>
        <w:gridCol w:w="1843"/>
        <w:gridCol w:w="1559"/>
      </w:tblGrid>
      <w:tr w:rsidR="0049126A" w:rsidRPr="0049126A" w14:paraId="40B0DEB0" w14:textId="77777777" w:rsidTr="00300738">
        <w:tc>
          <w:tcPr>
            <w:tcW w:w="2253" w:type="dxa"/>
            <w:tcBorders>
              <w:top w:val="single" w:sz="6" w:space="0" w:color="000000"/>
              <w:left w:val="single" w:sz="6" w:space="0" w:color="000000"/>
              <w:bottom w:val="single" w:sz="6" w:space="0" w:color="000000"/>
              <w:right w:val="single" w:sz="6" w:space="0" w:color="000000"/>
            </w:tcBorders>
          </w:tcPr>
          <w:p w14:paraId="16CB2F1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2162" w:type="dxa"/>
            <w:tcBorders>
              <w:top w:val="single" w:sz="6" w:space="0" w:color="000000"/>
              <w:left w:val="single" w:sz="6" w:space="0" w:color="000000"/>
              <w:bottom w:val="single" w:sz="6" w:space="0" w:color="000000"/>
              <w:right w:val="single" w:sz="6" w:space="0" w:color="000000"/>
            </w:tcBorders>
          </w:tcPr>
          <w:p w14:paraId="0BDA9E9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cap</w:t>
            </w:r>
          </w:p>
        </w:tc>
        <w:tc>
          <w:tcPr>
            <w:tcW w:w="1822" w:type="dxa"/>
            <w:tcBorders>
              <w:top w:val="single" w:sz="6" w:space="0" w:color="000000"/>
              <w:left w:val="single" w:sz="6" w:space="0" w:color="000000"/>
              <w:bottom w:val="single" w:sz="6" w:space="0" w:color="000000"/>
              <w:right w:val="single" w:sz="6" w:space="0" w:color="000000"/>
            </w:tcBorders>
          </w:tcPr>
          <w:p w14:paraId="5D02A56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trunchi</w:t>
            </w:r>
          </w:p>
        </w:tc>
        <w:tc>
          <w:tcPr>
            <w:tcW w:w="1843" w:type="dxa"/>
            <w:tcBorders>
              <w:top w:val="single" w:sz="6" w:space="0" w:color="000000"/>
              <w:left w:val="single" w:sz="6" w:space="0" w:color="000000"/>
              <w:bottom w:val="single" w:sz="6" w:space="0" w:color="000000"/>
              <w:right w:val="single" w:sz="6" w:space="0" w:color="000000"/>
            </w:tcBorders>
          </w:tcPr>
          <w:p w14:paraId="499124A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 superioare</w:t>
            </w:r>
          </w:p>
        </w:tc>
        <w:tc>
          <w:tcPr>
            <w:tcW w:w="1559" w:type="dxa"/>
            <w:tcBorders>
              <w:top w:val="single" w:sz="6" w:space="0" w:color="000000"/>
              <w:left w:val="single" w:sz="6" w:space="0" w:color="000000"/>
              <w:bottom w:val="single" w:sz="6" w:space="0" w:color="000000"/>
              <w:right w:val="single" w:sz="6" w:space="0" w:color="000000"/>
            </w:tcBorders>
          </w:tcPr>
          <w:p w14:paraId="6037331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 inferioare</w:t>
            </w:r>
          </w:p>
        </w:tc>
      </w:tr>
      <w:tr w:rsidR="0049126A" w:rsidRPr="0049126A" w14:paraId="50F0EF8A" w14:textId="77777777" w:rsidTr="00300738">
        <w:tc>
          <w:tcPr>
            <w:tcW w:w="2253" w:type="dxa"/>
            <w:tcBorders>
              <w:top w:val="single" w:sz="6" w:space="0" w:color="000000"/>
              <w:left w:val="single" w:sz="6" w:space="0" w:color="000000"/>
              <w:bottom w:val="single" w:sz="6" w:space="0" w:color="000000"/>
              <w:right w:val="single" w:sz="6" w:space="0" w:color="000000"/>
            </w:tcBorders>
          </w:tcPr>
          <w:p w14:paraId="5C5BE92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Eritem</w:t>
            </w:r>
          </w:p>
        </w:tc>
        <w:tc>
          <w:tcPr>
            <w:tcW w:w="2162" w:type="dxa"/>
            <w:tcBorders>
              <w:top w:val="single" w:sz="6" w:space="0" w:color="000000"/>
              <w:left w:val="single" w:sz="6" w:space="0" w:color="000000"/>
              <w:bottom w:val="single" w:sz="6" w:space="0" w:color="000000"/>
              <w:right w:val="single" w:sz="6" w:space="0" w:color="000000"/>
            </w:tcBorders>
          </w:tcPr>
          <w:p w14:paraId="4D0BF6C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22" w:type="dxa"/>
            <w:tcBorders>
              <w:top w:val="single" w:sz="6" w:space="0" w:color="000000"/>
              <w:left w:val="single" w:sz="6" w:space="0" w:color="000000"/>
              <w:bottom w:val="single" w:sz="6" w:space="0" w:color="000000"/>
              <w:right w:val="single" w:sz="6" w:space="0" w:color="000000"/>
            </w:tcBorders>
          </w:tcPr>
          <w:p w14:paraId="5F07DF7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4C143BD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3F483A4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26EF74C6" w14:textId="77777777" w:rsidTr="00300738">
        <w:tc>
          <w:tcPr>
            <w:tcW w:w="2253" w:type="dxa"/>
            <w:tcBorders>
              <w:top w:val="single" w:sz="6" w:space="0" w:color="000000"/>
              <w:left w:val="single" w:sz="6" w:space="0" w:color="000000"/>
              <w:bottom w:val="single" w:sz="6" w:space="0" w:color="000000"/>
              <w:right w:val="single" w:sz="6" w:space="0" w:color="000000"/>
            </w:tcBorders>
          </w:tcPr>
          <w:p w14:paraId="462265F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Induraţie</w:t>
            </w:r>
          </w:p>
        </w:tc>
        <w:tc>
          <w:tcPr>
            <w:tcW w:w="2162" w:type="dxa"/>
            <w:tcBorders>
              <w:top w:val="single" w:sz="6" w:space="0" w:color="000000"/>
              <w:left w:val="single" w:sz="6" w:space="0" w:color="000000"/>
              <w:bottom w:val="single" w:sz="6" w:space="0" w:color="000000"/>
              <w:right w:val="single" w:sz="6" w:space="0" w:color="000000"/>
            </w:tcBorders>
          </w:tcPr>
          <w:p w14:paraId="30AF611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22" w:type="dxa"/>
            <w:tcBorders>
              <w:top w:val="single" w:sz="6" w:space="0" w:color="000000"/>
              <w:left w:val="single" w:sz="6" w:space="0" w:color="000000"/>
              <w:bottom w:val="single" w:sz="6" w:space="0" w:color="000000"/>
              <w:right w:val="single" w:sz="6" w:space="0" w:color="000000"/>
            </w:tcBorders>
          </w:tcPr>
          <w:p w14:paraId="532D9D4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17F8984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36F66E3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53DF55FA" w14:textId="77777777" w:rsidTr="00300738">
        <w:tc>
          <w:tcPr>
            <w:tcW w:w="2253" w:type="dxa"/>
            <w:tcBorders>
              <w:top w:val="single" w:sz="6" w:space="0" w:color="000000"/>
              <w:left w:val="single" w:sz="6" w:space="0" w:color="000000"/>
              <w:bottom w:val="single" w:sz="6" w:space="0" w:color="000000"/>
              <w:right w:val="single" w:sz="6" w:space="0" w:color="000000"/>
            </w:tcBorders>
          </w:tcPr>
          <w:p w14:paraId="4B5F914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Descuamare</w:t>
            </w:r>
          </w:p>
        </w:tc>
        <w:tc>
          <w:tcPr>
            <w:tcW w:w="2162" w:type="dxa"/>
            <w:tcBorders>
              <w:top w:val="single" w:sz="6" w:space="0" w:color="000000"/>
              <w:left w:val="single" w:sz="6" w:space="0" w:color="000000"/>
              <w:bottom w:val="single" w:sz="6" w:space="0" w:color="000000"/>
              <w:right w:val="single" w:sz="6" w:space="0" w:color="000000"/>
            </w:tcBorders>
          </w:tcPr>
          <w:p w14:paraId="2C54C68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22" w:type="dxa"/>
            <w:tcBorders>
              <w:top w:val="single" w:sz="6" w:space="0" w:color="000000"/>
              <w:left w:val="single" w:sz="6" w:space="0" w:color="000000"/>
              <w:bottom w:val="single" w:sz="6" w:space="0" w:color="000000"/>
              <w:right w:val="single" w:sz="6" w:space="0" w:color="000000"/>
            </w:tcBorders>
          </w:tcPr>
          <w:p w14:paraId="4B51074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7E92022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426911D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6D410D39" w14:textId="77777777" w:rsidTr="00300738">
        <w:tc>
          <w:tcPr>
            <w:tcW w:w="2253" w:type="dxa"/>
            <w:tcBorders>
              <w:top w:val="single" w:sz="6" w:space="0" w:color="000000"/>
              <w:left w:val="single" w:sz="6" w:space="0" w:color="000000"/>
              <w:bottom w:val="single" w:sz="6" w:space="0" w:color="000000"/>
              <w:right w:val="single" w:sz="6" w:space="0" w:color="000000"/>
            </w:tcBorders>
          </w:tcPr>
          <w:p w14:paraId="39F239F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subtotal parţial</w:t>
            </w:r>
          </w:p>
        </w:tc>
        <w:tc>
          <w:tcPr>
            <w:tcW w:w="2162" w:type="dxa"/>
            <w:tcBorders>
              <w:top w:val="single" w:sz="6" w:space="0" w:color="000000"/>
              <w:left w:val="single" w:sz="6" w:space="0" w:color="000000"/>
              <w:bottom w:val="single" w:sz="6" w:space="0" w:color="000000"/>
              <w:right w:val="single" w:sz="6" w:space="0" w:color="000000"/>
            </w:tcBorders>
          </w:tcPr>
          <w:p w14:paraId="1CA703B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22" w:type="dxa"/>
            <w:tcBorders>
              <w:top w:val="single" w:sz="6" w:space="0" w:color="000000"/>
              <w:left w:val="single" w:sz="6" w:space="0" w:color="000000"/>
              <w:bottom w:val="single" w:sz="6" w:space="0" w:color="000000"/>
              <w:right w:val="single" w:sz="6" w:space="0" w:color="000000"/>
            </w:tcBorders>
          </w:tcPr>
          <w:p w14:paraId="4E46396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7716026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22673AA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5E5C7D3E" w14:textId="77777777" w:rsidTr="00300738">
        <w:tc>
          <w:tcPr>
            <w:tcW w:w="2253" w:type="dxa"/>
            <w:tcBorders>
              <w:top w:val="single" w:sz="6" w:space="0" w:color="000000"/>
              <w:left w:val="single" w:sz="6" w:space="0" w:color="000000"/>
              <w:bottom w:val="single" w:sz="6" w:space="0" w:color="000000"/>
              <w:right w:val="single" w:sz="6" w:space="0" w:color="000000"/>
            </w:tcBorders>
          </w:tcPr>
          <w:p w14:paraId="73A542A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factorul A</w:t>
            </w:r>
          </w:p>
        </w:tc>
        <w:tc>
          <w:tcPr>
            <w:tcW w:w="2162" w:type="dxa"/>
            <w:tcBorders>
              <w:top w:val="single" w:sz="6" w:space="0" w:color="000000"/>
              <w:left w:val="single" w:sz="6" w:space="0" w:color="000000"/>
              <w:bottom w:val="single" w:sz="6" w:space="0" w:color="000000"/>
              <w:right w:val="single" w:sz="6" w:space="0" w:color="000000"/>
            </w:tcBorders>
          </w:tcPr>
          <w:p w14:paraId="25FA35A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22" w:type="dxa"/>
            <w:tcBorders>
              <w:top w:val="single" w:sz="6" w:space="0" w:color="000000"/>
              <w:left w:val="single" w:sz="6" w:space="0" w:color="000000"/>
              <w:bottom w:val="single" w:sz="6" w:space="0" w:color="000000"/>
              <w:right w:val="single" w:sz="6" w:space="0" w:color="000000"/>
            </w:tcBorders>
          </w:tcPr>
          <w:p w14:paraId="0AE99B7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3EFEF75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56643BF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7BB7371E" w14:textId="77777777" w:rsidTr="00300738">
        <w:tc>
          <w:tcPr>
            <w:tcW w:w="2253" w:type="dxa"/>
            <w:tcBorders>
              <w:top w:val="single" w:sz="6" w:space="0" w:color="000000"/>
              <w:left w:val="single" w:sz="6" w:space="0" w:color="000000"/>
              <w:bottom w:val="single" w:sz="6" w:space="0" w:color="000000"/>
              <w:right w:val="single" w:sz="6" w:space="0" w:color="000000"/>
            </w:tcBorders>
          </w:tcPr>
          <w:p w14:paraId="1D3D948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factor corecţie</w:t>
            </w:r>
          </w:p>
        </w:tc>
        <w:tc>
          <w:tcPr>
            <w:tcW w:w="2162" w:type="dxa"/>
            <w:tcBorders>
              <w:top w:val="single" w:sz="6" w:space="0" w:color="000000"/>
              <w:left w:val="single" w:sz="6" w:space="0" w:color="000000"/>
              <w:bottom w:val="single" w:sz="6" w:space="0" w:color="000000"/>
              <w:right w:val="single" w:sz="6" w:space="0" w:color="000000"/>
            </w:tcBorders>
          </w:tcPr>
          <w:p w14:paraId="5E78EE0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0,1 x</w:t>
            </w:r>
          </w:p>
        </w:tc>
        <w:tc>
          <w:tcPr>
            <w:tcW w:w="1822" w:type="dxa"/>
            <w:tcBorders>
              <w:top w:val="single" w:sz="6" w:space="0" w:color="000000"/>
              <w:left w:val="single" w:sz="6" w:space="0" w:color="000000"/>
              <w:bottom w:val="single" w:sz="6" w:space="0" w:color="000000"/>
              <w:right w:val="single" w:sz="6" w:space="0" w:color="000000"/>
            </w:tcBorders>
          </w:tcPr>
          <w:p w14:paraId="6050E96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0,3 x</w:t>
            </w:r>
          </w:p>
        </w:tc>
        <w:tc>
          <w:tcPr>
            <w:tcW w:w="1843" w:type="dxa"/>
            <w:tcBorders>
              <w:top w:val="single" w:sz="6" w:space="0" w:color="000000"/>
              <w:left w:val="single" w:sz="6" w:space="0" w:color="000000"/>
              <w:bottom w:val="single" w:sz="6" w:space="0" w:color="000000"/>
              <w:right w:val="single" w:sz="6" w:space="0" w:color="000000"/>
            </w:tcBorders>
          </w:tcPr>
          <w:p w14:paraId="1B16B9E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0,2 x</w:t>
            </w:r>
          </w:p>
        </w:tc>
        <w:tc>
          <w:tcPr>
            <w:tcW w:w="1559" w:type="dxa"/>
            <w:tcBorders>
              <w:top w:val="single" w:sz="6" w:space="0" w:color="000000"/>
              <w:left w:val="single" w:sz="6" w:space="0" w:color="000000"/>
              <w:bottom w:val="single" w:sz="6" w:space="0" w:color="000000"/>
              <w:right w:val="single" w:sz="6" w:space="0" w:color="000000"/>
            </w:tcBorders>
          </w:tcPr>
          <w:p w14:paraId="51E5E60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0,4 x</w:t>
            </w:r>
          </w:p>
        </w:tc>
      </w:tr>
      <w:tr w:rsidR="0049126A" w:rsidRPr="0049126A" w14:paraId="2469AE9F" w14:textId="77777777" w:rsidTr="00300738">
        <w:tc>
          <w:tcPr>
            <w:tcW w:w="2253" w:type="dxa"/>
            <w:tcBorders>
              <w:top w:val="single" w:sz="6" w:space="0" w:color="000000"/>
              <w:left w:val="single" w:sz="6" w:space="0" w:color="000000"/>
              <w:bottom w:val="single" w:sz="6" w:space="0" w:color="000000"/>
              <w:right w:val="single" w:sz="6" w:space="0" w:color="000000"/>
            </w:tcBorders>
          </w:tcPr>
          <w:p w14:paraId="3ECA752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Subtotal</w:t>
            </w:r>
          </w:p>
        </w:tc>
        <w:tc>
          <w:tcPr>
            <w:tcW w:w="2162" w:type="dxa"/>
            <w:tcBorders>
              <w:top w:val="single" w:sz="6" w:space="0" w:color="000000"/>
              <w:left w:val="single" w:sz="6" w:space="0" w:color="000000"/>
              <w:bottom w:val="single" w:sz="6" w:space="0" w:color="000000"/>
              <w:right w:val="single" w:sz="6" w:space="0" w:color="000000"/>
            </w:tcBorders>
          </w:tcPr>
          <w:p w14:paraId="77FD51B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22" w:type="dxa"/>
            <w:tcBorders>
              <w:top w:val="single" w:sz="6" w:space="0" w:color="000000"/>
              <w:left w:val="single" w:sz="6" w:space="0" w:color="000000"/>
              <w:bottom w:val="single" w:sz="6" w:space="0" w:color="000000"/>
              <w:right w:val="single" w:sz="6" w:space="0" w:color="000000"/>
            </w:tcBorders>
          </w:tcPr>
          <w:p w14:paraId="4C35306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2F8DAA9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68D73DC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6A54A92C" w14:textId="77777777" w:rsidTr="00300738">
        <w:tc>
          <w:tcPr>
            <w:tcW w:w="2253" w:type="dxa"/>
            <w:tcBorders>
              <w:top w:val="single" w:sz="6" w:space="0" w:color="000000"/>
              <w:left w:val="single" w:sz="6" w:space="0" w:color="000000"/>
              <w:bottom w:val="single" w:sz="6" w:space="0" w:color="000000"/>
              <w:right w:val="single" w:sz="6" w:space="0" w:color="000000"/>
            </w:tcBorders>
          </w:tcPr>
          <w:p w14:paraId="055CCD8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PASI</w:t>
            </w:r>
          </w:p>
        </w:tc>
        <w:tc>
          <w:tcPr>
            <w:tcW w:w="2162" w:type="dxa"/>
            <w:tcBorders>
              <w:top w:val="single" w:sz="6" w:space="0" w:color="000000"/>
              <w:left w:val="single" w:sz="6" w:space="0" w:color="000000"/>
              <w:bottom w:val="single" w:sz="6" w:space="0" w:color="000000"/>
              <w:right w:val="nil"/>
            </w:tcBorders>
          </w:tcPr>
          <w:p w14:paraId="544462C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p>
        </w:tc>
        <w:tc>
          <w:tcPr>
            <w:tcW w:w="1822" w:type="dxa"/>
            <w:tcBorders>
              <w:top w:val="single" w:sz="6" w:space="0" w:color="000000"/>
              <w:left w:val="nil"/>
              <w:bottom w:val="single" w:sz="6" w:space="0" w:color="000000"/>
              <w:right w:val="nil"/>
            </w:tcBorders>
          </w:tcPr>
          <w:p w14:paraId="5E8DED0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p>
        </w:tc>
        <w:tc>
          <w:tcPr>
            <w:tcW w:w="1843" w:type="dxa"/>
            <w:tcBorders>
              <w:top w:val="single" w:sz="6" w:space="0" w:color="000000"/>
              <w:left w:val="nil"/>
              <w:bottom w:val="single" w:sz="6" w:space="0" w:color="000000"/>
              <w:right w:val="nil"/>
            </w:tcBorders>
          </w:tcPr>
          <w:p w14:paraId="05CB91C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p>
        </w:tc>
        <w:tc>
          <w:tcPr>
            <w:tcW w:w="1559" w:type="dxa"/>
            <w:tcBorders>
              <w:top w:val="single" w:sz="6" w:space="0" w:color="000000"/>
              <w:left w:val="nil"/>
              <w:bottom w:val="single" w:sz="6" w:space="0" w:color="000000"/>
              <w:right w:val="single" w:sz="6" w:space="0" w:color="000000"/>
            </w:tcBorders>
          </w:tcPr>
          <w:p w14:paraId="6DA4E79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p>
        </w:tc>
      </w:tr>
    </w:tbl>
    <w:p w14:paraId="4CEAF4C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tbl>
      <w:tblPr>
        <w:tblW w:w="4530" w:type="dxa"/>
        <w:tblInd w:w="105" w:type="dxa"/>
        <w:tblLayout w:type="fixed"/>
        <w:tblCellMar>
          <w:left w:w="105" w:type="dxa"/>
          <w:right w:w="105" w:type="dxa"/>
        </w:tblCellMar>
        <w:tblLook w:val="0000" w:firstRow="0" w:lastRow="0" w:firstColumn="0" w:lastColumn="0" w:noHBand="0" w:noVBand="0"/>
      </w:tblPr>
      <w:tblGrid>
        <w:gridCol w:w="1060"/>
        <w:gridCol w:w="1396"/>
        <w:gridCol w:w="2074"/>
      </w:tblGrid>
      <w:tr w:rsidR="0049126A" w:rsidRPr="0049126A" w14:paraId="4FAFF96E" w14:textId="77777777" w:rsidTr="00300738">
        <w:tc>
          <w:tcPr>
            <w:tcW w:w="1058" w:type="dxa"/>
            <w:tcBorders>
              <w:top w:val="nil"/>
              <w:left w:val="nil"/>
              <w:bottom w:val="single" w:sz="6" w:space="0" w:color="auto"/>
              <w:right w:val="nil"/>
            </w:tcBorders>
          </w:tcPr>
          <w:p w14:paraId="6CBDFA9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leziuni</w:t>
            </w:r>
          </w:p>
        </w:tc>
        <w:tc>
          <w:tcPr>
            <w:tcW w:w="1394" w:type="dxa"/>
            <w:tcBorders>
              <w:top w:val="nil"/>
              <w:left w:val="nil"/>
              <w:bottom w:val="single" w:sz="6" w:space="0" w:color="auto"/>
              <w:right w:val="nil"/>
            </w:tcBorders>
          </w:tcPr>
          <w:p w14:paraId="4F4373C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p>
        </w:tc>
        <w:tc>
          <w:tcPr>
            <w:tcW w:w="2070" w:type="dxa"/>
            <w:tcBorders>
              <w:top w:val="nil"/>
              <w:left w:val="nil"/>
              <w:bottom w:val="single" w:sz="6" w:space="0" w:color="auto"/>
              <w:right w:val="nil"/>
            </w:tcBorders>
          </w:tcPr>
          <w:p w14:paraId="69BE96E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fără   marcate</w:t>
            </w:r>
          </w:p>
        </w:tc>
      </w:tr>
      <w:tr w:rsidR="0049126A" w:rsidRPr="0049126A" w14:paraId="08E6392A" w14:textId="77777777" w:rsidTr="00300738">
        <w:tc>
          <w:tcPr>
            <w:tcW w:w="1058" w:type="dxa"/>
            <w:tcBorders>
              <w:top w:val="single" w:sz="6" w:space="0" w:color="000000"/>
              <w:left w:val="nil"/>
              <w:bottom w:val="nil"/>
              <w:right w:val="nil"/>
            </w:tcBorders>
          </w:tcPr>
          <w:p w14:paraId="2D00BED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w:t>
            </w:r>
          </w:p>
        </w:tc>
        <w:tc>
          <w:tcPr>
            <w:tcW w:w="1394" w:type="dxa"/>
            <w:tcBorders>
              <w:top w:val="single" w:sz="6" w:space="0" w:color="000000"/>
              <w:left w:val="nil"/>
              <w:bottom w:val="nil"/>
              <w:right w:val="nil"/>
            </w:tcBorders>
          </w:tcPr>
          <w:p w14:paraId="10A500D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eritem</w:t>
            </w:r>
          </w:p>
        </w:tc>
        <w:tc>
          <w:tcPr>
            <w:tcW w:w="2070" w:type="dxa"/>
            <w:tcBorders>
              <w:top w:val="single" w:sz="6" w:space="0" w:color="000000"/>
              <w:left w:val="nil"/>
              <w:bottom w:val="nil"/>
              <w:right w:val="nil"/>
            </w:tcBorders>
          </w:tcPr>
          <w:p w14:paraId="251DF25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0   1   2   3   4</w:t>
            </w:r>
          </w:p>
        </w:tc>
      </w:tr>
      <w:tr w:rsidR="0049126A" w:rsidRPr="0049126A" w14:paraId="1B4A1688" w14:textId="77777777" w:rsidTr="00300738">
        <w:tc>
          <w:tcPr>
            <w:tcW w:w="1058" w:type="dxa"/>
            <w:tcBorders>
              <w:top w:val="nil"/>
              <w:left w:val="nil"/>
              <w:bottom w:val="nil"/>
              <w:right w:val="nil"/>
            </w:tcBorders>
          </w:tcPr>
          <w:p w14:paraId="032BC00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I </w:t>
            </w:r>
          </w:p>
        </w:tc>
        <w:tc>
          <w:tcPr>
            <w:tcW w:w="1394" w:type="dxa"/>
            <w:tcBorders>
              <w:top w:val="nil"/>
              <w:left w:val="nil"/>
              <w:bottom w:val="nil"/>
              <w:right w:val="nil"/>
            </w:tcBorders>
          </w:tcPr>
          <w:p w14:paraId="40726FC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induraţie</w:t>
            </w:r>
          </w:p>
        </w:tc>
        <w:tc>
          <w:tcPr>
            <w:tcW w:w="2070" w:type="dxa"/>
            <w:tcBorders>
              <w:top w:val="nil"/>
              <w:left w:val="nil"/>
              <w:bottom w:val="nil"/>
              <w:right w:val="nil"/>
            </w:tcBorders>
          </w:tcPr>
          <w:p w14:paraId="01364D8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0   1   2   3   4</w:t>
            </w:r>
          </w:p>
        </w:tc>
      </w:tr>
      <w:tr w:rsidR="005D3C7A" w:rsidRPr="0049126A" w14:paraId="3B227BAE" w14:textId="77777777" w:rsidTr="00300738">
        <w:tc>
          <w:tcPr>
            <w:tcW w:w="1058" w:type="dxa"/>
            <w:tcBorders>
              <w:top w:val="nil"/>
              <w:left w:val="nil"/>
              <w:bottom w:val="nil"/>
              <w:right w:val="nil"/>
            </w:tcBorders>
          </w:tcPr>
          <w:p w14:paraId="044F200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w:t>
            </w:r>
          </w:p>
        </w:tc>
        <w:tc>
          <w:tcPr>
            <w:tcW w:w="1394" w:type="dxa"/>
            <w:tcBorders>
              <w:top w:val="nil"/>
              <w:left w:val="nil"/>
              <w:bottom w:val="nil"/>
              <w:right w:val="nil"/>
            </w:tcBorders>
          </w:tcPr>
          <w:p w14:paraId="6A8B4EA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descuamare </w:t>
            </w:r>
          </w:p>
        </w:tc>
        <w:tc>
          <w:tcPr>
            <w:tcW w:w="2070" w:type="dxa"/>
            <w:tcBorders>
              <w:top w:val="nil"/>
              <w:left w:val="nil"/>
              <w:bottom w:val="nil"/>
              <w:right w:val="nil"/>
            </w:tcBorders>
          </w:tcPr>
          <w:p w14:paraId="7D54D95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0   1   2   3   4</w:t>
            </w:r>
          </w:p>
        </w:tc>
      </w:tr>
    </w:tbl>
    <w:p w14:paraId="34EF87F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6440130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0927D16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u w:val="single"/>
          <w:lang w:val="fr-MC" w:eastAsia="ro-RO"/>
        </w:rPr>
        <w:t>factorul A corespunzător ariei afectate</w:t>
      </w:r>
    </w:p>
    <w:p w14:paraId="57987983" w14:textId="77777777" w:rsidR="005D3C7A" w:rsidRPr="0049126A" w:rsidRDefault="005D3C7A" w:rsidP="005D3C7A">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1</w:t>
      </w:r>
      <w:r w:rsidRPr="0049126A">
        <w:rPr>
          <w:rFonts w:ascii="Times New Roman" w:eastAsia="Times New Roman" w:hAnsi="Times New Roman" w:cs="Times New Roman"/>
          <w:sz w:val="24"/>
          <w:szCs w:val="24"/>
          <w:lang w:val="fr-MC" w:eastAsia="ro-RO"/>
        </w:rPr>
        <w:t xml:space="preserve"> pentru 10%</w:t>
      </w:r>
    </w:p>
    <w:p w14:paraId="0F7A796C" w14:textId="77777777" w:rsidR="005D3C7A" w:rsidRPr="0049126A" w:rsidRDefault="005D3C7A" w:rsidP="005D3C7A">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2</w:t>
      </w:r>
      <w:r w:rsidRPr="0049126A">
        <w:rPr>
          <w:rFonts w:ascii="Times New Roman" w:eastAsia="Times New Roman" w:hAnsi="Times New Roman" w:cs="Times New Roman"/>
          <w:sz w:val="24"/>
          <w:szCs w:val="24"/>
          <w:lang w:val="fr-MC" w:eastAsia="ro-RO"/>
        </w:rPr>
        <w:t xml:space="preserve"> pentru 10 - 30%</w:t>
      </w:r>
    </w:p>
    <w:p w14:paraId="6890EE1D" w14:textId="77777777" w:rsidR="005D3C7A" w:rsidRPr="0049126A" w:rsidRDefault="005D3C7A" w:rsidP="005D3C7A">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3</w:t>
      </w:r>
      <w:r w:rsidRPr="0049126A">
        <w:rPr>
          <w:rFonts w:ascii="Times New Roman" w:eastAsia="Times New Roman" w:hAnsi="Times New Roman" w:cs="Times New Roman"/>
          <w:sz w:val="24"/>
          <w:szCs w:val="24"/>
          <w:lang w:val="fr-MC" w:eastAsia="ro-RO"/>
        </w:rPr>
        <w:t xml:space="preserve"> pentru 30 - 50%</w:t>
      </w:r>
    </w:p>
    <w:p w14:paraId="1B0BAC20" w14:textId="77777777" w:rsidR="005D3C7A" w:rsidRPr="0049126A" w:rsidRDefault="005D3C7A" w:rsidP="005D3C7A">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lastRenderedPageBreak/>
        <w:t xml:space="preserve">    </w:t>
      </w:r>
      <w:r w:rsidRPr="0049126A">
        <w:rPr>
          <w:rFonts w:ascii="Times New Roman" w:eastAsia="Times New Roman" w:hAnsi="Times New Roman" w:cs="Times New Roman"/>
          <w:b/>
          <w:bCs/>
          <w:sz w:val="24"/>
          <w:szCs w:val="24"/>
          <w:lang w:val="fr-MC" w:eastAsia="ro-RO"/>
        </w:rPr>
        <w:t>4</w:t>
      </w:r>
      <w:r w:rsidRPr="0049126A">
        <w:rPr>
          <w:rFonts w:ascii="Times New Roman" w:eastAsia="Times New Roman" w:hAnsi="Times New Roman" w:cs="Times New Roman"/>
          <w:sz w:val="24"/>
          <w:szCs w:val="24"/>
          <w:lang w:val="fr-MC" w:eastAsia="ro-RO"/>
        </w:rPr>
        <w:t xml:space="preserve"> pentru 50 - 70%</w:t>
      </w:r>
    </w:p>
    <w:p w14:paraId="29D6F615" w14:textId="77777777" w:rsidR="005D3C7A" w:rsidRPr="0049126A" w:rsidRDefault="005D3C7A" w:rsidP="005D3C7A">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5</w:t>
      </w:r>
      <w:r w:rsidRPr="0049126A">
        <w:rPr>
          <w:rFonts w:ascii="Times New Roman" w:eastAsia="Times New Roman" w:hAnsi="Times New Roman" w:cs="Times New Roman"/>
          <w:sz w:val="24"/>
          <w:szCs w:val="24"/>
          <w:lang w:val="fr-MC" w:eastAsia="ro-RO"/>
        </w:rPr>
        <w:t xml:space="preserve"> pentru 70 - 90%</w:t>
      </w:r>
    </w:p>
    <w:p w14:paraId="36AB4EC8" w14:textId="77777777" w:rsidR="005D3C7A" w:rsidRPr="0049126A" w:rsidRDefault="005D3C7A" w:rsidP="005D3C7A">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6</w:t>
      </w:r>
      <w:r w:rsidRPr="0049126A">
        <w:rPr>
          <w:rFonts w:ascii="Times New Roman" w:eastAsia="Times New Roman" w:hAnsi="Times New Roman" w:cs="Times New Roman"/>
          <w:sz w:val="24"/>
          <w:szCs w:val="24"/>
          <w:lang w:val="fr-MC" w:eastAsia="ro-RO"/>
        </w:rPr>
        <w:t xml:space="preserve"> pentru 90 - 100%</w:t>
      </w:r>
    </w:p>
    <w:p w14:paraId="64FA2F9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6D01758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Diagnosticul pacienţilor cu psoriazis vulgar</w:t>
      </w:r>
    </w:p>
    <w:p w14:paraId="6C066733" w14:textId="77777777" w:rsidR="005D3C7A" w:rsidRPr="0049126A" w:rsidRDefault="005D3C7A" w:rsidP="005D3C7A">
      <w:pPr>
        <w:numPr>
          <w:ilvl w:val="0"/>
          <w:numId w:val="5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diagnosticul pacientului suferind de psoriazis vulgar se realizează pe baza examenului clinic cu obiectivare prin scorul </w:t>
      </w:r>
      <w:r w:rsidRPr="0049126A">
        <w:rPr>
          <w:rFonts w:ascii="Times New Roman" w:eastAsia="Times New Roman" w:hAnsi="Times New Roman" w:cs="Times New Roman"/>
          <w:bCs/>
          <w:iCs/>
          <w:sz w:val="24"/>
          <w:szCs w:val="24"/>
          <w:lang w:val="fr-MC" w:eastAsia="ro-RO"/>
        </w:rPr>
        <w:t>PASI</w:t>
      </w:r>
      <w:r w:rsidRPr="0049126A">
        <w:rPr>
          <w:rFonts w:ascii="Times New Roman" w:eastAsia="Times New Roman" w:hAnsi="Times New Roman" w:cs="Times New Roman"/>
          <w:sz w:val="24"/>
          <w:szCs w:val="24"/>
          <w:lang w:val="fr-MC" w:eastAsia="ro-RO"/>
        </w:rPr>
        <w:t>, NAPSI, PSSI, ESIF, PGA etc.(alte scoruri pot fi colectate în scop de cercetare: BSA, PGA etc.);</w:t>
      </w:r>
    </w:p>
    <w:p w14:paraId="4CB20158" w14:textId="77777777" w:rsidR="005D3C7A" w:rsidRPr="0049126A" w:rsidRDefault="005D3C7A" w:rsidP="005D3C7A">
      <w:pPr>
        <w:numPr>
          <w:ilvl w:val="0"/>
          <w:numId w:val="5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calitatea vieţii pacientului suferind de psoriazis vulgar se evaluează pe baza scorului DLQI respectiv cDLQI;</w:t>
      </w:r>
    </w:p>
    <w:p w14:paraId="63EA6382" w14:textId="77777777" w:rsidR="005D3C7A" w:rsidRPr="0049126A" w:rsidRDefault="005D3C7A" w:rsidP="005D3C7A">
      <w:pPr>
        <w:numPr>
          <w:ilvl w:val="0"/>
          <w:numId w:val="5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pentru diagnosticul de certitudine în cazurile selectabile tratamentului biologic este necesară confirmarea prin examen histopatologic;</w:t>
      </w:r>
    </w:p>
    <w:p w14:paraId="31F86A90" w14:textId="77777777" w:rsidR="005D3C7A" w:rsidRPr="0049126A" w:rsidRDefault="005D3C7A" w:rsidP="005D3C7A">
      <w:pPr>
        <w:numPr>
          <w:ilvl w:val="0"/>
          <w:numId w:val="51"/>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pentru iniţierea şi monitorizarea terapeutică în cazul folosirii agenţilor biologici sunt necesare investigaţii pentru eventuale reacţii adverse sau complicaţii conform Fişei de evaluare şi monitorizare a pacientului cu psoriazis vulgar cronic în plăci şi placarde sever aflat în tratament cu agent biologic (Anexa 2, Anexa 3): hemoleucogramă, VSH, creatinină, uree, ASAT, ALAT, GGT, electroliţi (sodiu, potasiu), examen sumar urină, test cutanat tuberculinic/IGRA (cu excepția Apremilast), radiografie pulmonară, AgHBs, Ac anti HVC. La iniţierea terapiei biologice pacientul va prezenta adeverinţă de la medicul de familie cu bolile cronice pentru care acesta este în evidenţă. </w:t>
      </w:r>
      <w:r w:rsidRPr="0049126A">
        <w:rPr>
          <w:rFonts w:ascii="Times New Roman" w:eastAsia="Times New Roman" w:hAnsi="Times New Roman" w:cs="Times New Roman"/>
          <w:sz w:val="24"/>
          <w:szCs w:val="24"/>
          <w:lang w:val="en-US" w:eastAsia="ro-RO"/>
        </w:rPr>
        <w:t>În cazul afecţiunilor cronice care reprezintă contraindicaţii relative este obligatoriu consultul de specialitate.</w:t>
      </w:r>
    </w:p>
    <w:p w14:paraId="221CE53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en-US" w:eastAsia="ro-RO"/>
        </w:rPr>
        <w:t xml:space="preserve">Supravegherea terapeutică redată în prezentul protocol este obligatorie pentru toţi pacienţii cu psoriazis vulgar în tratament cu agent biologic. </w:t>
      </w:r>
      <w:r w:rsidRPr="0049126A">
        <w:rPr>
          <w:rFonts w:ascii="Times New Roman" w:eastAsia="Times New Roman" w:hAnsi="Times New Roman" w:cs="Times New Roman"/>
          <w:sz w:val="24"/>
          <w:szCs w:val="24"/>
          <w:lang w:val="fr-MC" w:eastAsia="ro-RO"/>
        </w:rPr>
        <w:t>În funcţie de particularităţile medicale ale pacientului, medicul curant va solicita şi alte evaluări paraclinice şi interdisciplinare.</w:t>
      </w:r>
    </w:p>
    <w:p w14:paraId="49922CB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07CA827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Tratamentul pacienţilor cu psoriazis</w:t>
      </w:r>
    </w:p>
    <w:p w14:paraId="7EFBA6C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Nu există tratament curativ pentru psoriazis. Toate medicamentele folosite în prezent realizează tratament supresiv, inducând remisiunea leziunilor sau reducând manifestările clinice până la pragul de torelabilitate al pacientului. Psoriazisul este o afecţiune cu evoluţie cronică, odată declanşată afecţiunea, bolnavul se va confrunta cu ea toată viaţa. Tratamentul pacientului este realizat pe o perioadă lungă de timp. Apariţia puseelor evolutive nu este previzibilă şi nu poate fi prevenită prin administrarea unei terapii topice.</w:t>
      </w:r>
    </w:p>
    <w:p w14:paraId="17393BA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Medicaţia utilizată în psoriazis trebuie să fie eficientă şi sigură în administrarea pe termen lung.</w:t>
      </w:r>
    </w:p>
    <w:p w14:paraId="09B2C4D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Terapia topică cu preparate combinate constituie o modalitate modernă de tratament a psoriazisului vulgar. Eficienţa acestor medicamente a fost dovedită de numeroase studii internaţionale (de exemplu terapia cu calcipotriol şi betametazonă, acid salicilic şi mometazonă, acid salicilic şi betametazonă), iar continuarea terapiei în ambulator cu medicamente similare asigură succesul terapeutic (de exemplu terapia cu calcipotriol, mometazonă, metilprednisolon, fluticazonă, hidrocortizon butirat). Acest tip de tratament topic este disponibil asiguraţilor potrivit legislaţiei în vigoare. Tratamentul topic al psoriazisului vulgar se adaptează regiunilor topografice afectate: pentru tegumentul cu păr (ex. scalp) se recomandă formele farmaceutice: gel (combinaţii calcipotriol şi dermatocorticoid) sau loţiuni/soluţii (calcipotriol, dermatocorticoizi).</w:t>
      </w:r>
    </w:p>
    <w:p w14:paraId="2A36756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641B4B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Tratamentul psoriazisului vulgar cu raze ultraviolete este eficient. Accesul pacienţilor la o cură completă de PUVA - terapie necesită pe de o parte disponibilitatea medicaţiei (8-metoxi psoralen) iar pe de altă parte posibilitatea continuării din ambulator a terapiei iniţiate </w:t>
      </w:r>
    </w:p>
    <w:p w14:paraId="21BEF6A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609F9A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Terapia clasică sistemică se realizează de exemplu cu metotrexat sau cu ciclosporină sau cu retinoizi (acitretin) în funcţie de particularităţile cazului. Pentru remisiunea leziunilor de psoriazis se pot efectua şi tratamente combinate. </w:t>
      </w:r>
    </w:p>
    <w:p w14:paraId="37BC4FD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Terapia sistemică actuală cu utilizarea de agenţi biologici (atât molecule originale cât şi biosimilarele acestora) sau terapiile cu molecule mici cu acţiune intracelulară  induc remisiuni de lungă durată pacienţilor cu forme moderate sau severe de psoriazis.</w:t>
      </w:r>
    </w:p>
    <w:p w14:paraId="4E4FDDD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68FD9EA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lastRenderedPageBreak/>
        <w:t>Protocol terapeutic cu terapii inovative (agenti biologici sau terapii cu molecule mici cu actiune intracelulara) la pacienţii suferinzi de psoriazis vulgar (cronic) în plăci şi placarde - populaţie ţintă</w:t>
      </w:r>
    </w:p>
    <w:p w14:paraId="64BC2C9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20727A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Pacienţi cu psoriazis vulgar cronic în plăci şi placarde forme severe.</w:t>
      </w:r>
    </w:p>
    <w:p w14:paraId="0788C4C7"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p>
    <w:p w14:paraId="24F1C5FC"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en-US" w:eastAsia="ro-RO"/>
        </w:rPr>
      </w:pPr>
      <w:r w:rsidRPr="0049126A">
        <w:rPr>
          <w:rFonts w:ascii="Times New Roman" w:eastAsia="Times New Roman" w:hAnsi="Times New Roman" w:cs="Times New Roman"/>
          <w:b/>
          <w:bCs/>
          <w:sz w:val="24"/>
          <w:szCs w:val="24"/>
          <w:u w:val="single"/>
          <w:lang w:val="en-US" w:eastAsia="ro-RO"/>
        </w:rPr>
        <w:t>Terapiile biologice disponibile în România</w:t>
      </w:r>
    </w:p>
    <w:p w14:paraId="6A45172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u w:val="single"/>
          <w:lang w:val="en-US" w:eastAsia="ro-RO"/>
        </w:rPr>
      </w:pPr>
    </w:p>
    <w:p w14:paraId="779645BA" w14:textId="77777777" w:rsidR="005D3C7A" w:rsidRPr="0049126A" w:rsidRDefault="005D3C7A" w:rsidP="005D3C7A">
      <w:pPr>
        <w:numPr>
          <w:ilvl w:val="0"/>
          <w:numId w:val="52"/>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b/>
          <w:bCs/>
          <w:sz w:val="24"/>
          <w:szCs w:val="24"/>
          <w:lang w:val="en-US" w:eastAsia="ro-RO"/>
        </w:rPr>
        <w:t>Adalimumab</w:t>
      </w:r>
      <w:r w:rsidRPr="0049126A">
        <w:rPr>
          <w:rFonts w:ascii="Times New Roman" w:eastAsia="Times New Roman" w:hAnsi="Times New Roman" w:cs="Times New Roman"/>
          <w:sz w:val="24"/>
          <w:szCs w:val="24"/>
          <w:lang w:val="en-US" w:eastAsia="ro-RO"/>
        </w:rPr>
        <w:t xml:space="preserve"> - original şi biosimilar - este un anticorp monoclonal uman recombinant exprimat pe celulele ovariene de hamster chinezesc.</w:t>
      </w:r>
    </w:p>
    <w:p w14:paraId="5AFDD57F"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en-US" w:eastAsia="ro-RO"/>
        </w:rPr>
      </w:pPr>
      <w:r w:rsidRPr="0049126A">
        <w:rPr>
          <w:rFonts w:ascii="Times New Roman" w:eastAsia="Times New Roman" w:hAnsi="Times New Roman" w:cs="Times New Roman"/>
          <w:sz w:val="24"/>
          <w:szCs w:val="24"/>
          <w:u w:val="single"/>
          <w:lang w:val="en-US" w:eastAsia="ro-RO"/>
        </w:rPr>
        <w:t>Adulţi</w:t>
      </w:r>
    </w:p>
    <w:p w14:paraId="56F45CC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Adalimumab - original şi biosimilar este indicat în tratamentul psoriazisului în plăci cronic, moderat până la sever, la pacienţi adulţi care sunt eligibili pentru tratamentul sistemic.</w:t>
      </w:r>
    </w:p>
    <w:p w14:paraId="7797160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Doza de Adalimumab - original şi biosimilar recomandată la adulţi este de 80 mg administrată subcutanat ca doză iniţială, urmată de 40 mg administrate subcutanat la fiecare două săptămâni începând la o săptămână după doza iniţială.</w:t>
      </w:r>
    </w:p>
    <w:p w14:paraId="7A33FF8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Continuarea tratamentului peste 16 săptămâni trebuie reevaluată atent în cazul unui pacient care nu răspunde la tratament în cursul acestei perioade.</w:t>
      </w:r>
    </w:p>
    <w:p w14:paraId="37DFA04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După 16 săptămâni, pacienţii care nu au avut răspuns la tratament faţă de momentul iniţial, obiectivat prin scorurile specifice pot beneficia de o creştere a frecvenţei dozei la 40 mg săptămânal (</w:t>
      </w:r>
      <w:r w:rsidRPr="0049126A">
        <w:rPr>
          <w:rFonts w:ascii="Times New Roman" w:eastAsia="Times New Roman" w:hAnsi="Times New Roman" w:cs="Times New Roman"/>
          <w:b/>
          <w:bCs/>
          <w:sz w:val="24"/>
          <w:szCs w:val="24"/>
          <w:lang w:val="en-US" w:eastAsia="ro-RO"/>
        </w:rPr>
        <w:t>nota bene: pentru maxim 13 săptămâni, o singură dată</w:t>
      </w:r>
      <w:r w:rsidRPr="0049126A">
        <w:rPr>
          <w:rFonts w:ascii="Times New Roman" w:eastAsia="Times New Roman" w:hAnsi="Times New Roman" w:cs="Times New Roman"/>
          <w:sz w:val="24"/>
          <w:szCs w:val="24"/>
          <w:lang w:val="en-US" w:eastAsia="ro-RO"/>
        </w:rPr>
        <w:t>). Dacă se obţine ţinta terapeutică la doza cu o frecvenţă crescută, după cele maxim 13 săptămâni de administrare, doza se scade la 40 mg la două săptămâni (ritm de administrare uzual). Dacă nu se obţine ţinta terapeutică la doza cu frecvenţă crescută după cele maxim 13 săptămâni de administrare, se ia în considerare schimbarea agentului biologic.</w:t>
      </w:r>
    </w:p>
    <w:p w14:paraId="1915D9A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În cazul pierderii eficacităţii terapeutice la doza uzuală de administrare (non responderi secundari), la pacienţii care nu au beneficiat anterior de tratament cu frecvenţă crescută, se poate lua în calcul o singură dată aceeaşi atitudine terapeutică descrisă mai sus.</w:t>
      </w:r>
    </w:p>
    <w:p w14:paraId="764CC00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en-US" w:eastAsia="ro-RO"/>
        </w:rPr>
      </w:pPr>
    </w:p>
    <w:p w14:paraId="796FA1E2"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en-US" w:eastAsia="ro-RO"/>
        </w:rPr>
      </w:pPr>
      <w:r w:rsidRPr="0049126A">
        <w:rPr>
          <w:rFonts w:ascii="Times New Roman" w:eastAsia="Times New Roman" w:hAnsi="Times New Roman" w:cs="Times New Roman"/>
          <w:sz w:val="24"/>
          <w:szCs w:val="24"/>
          <w:u w:val="single"/>
          <w:lang w:val="en-US" w:eastAsia="ro-RO"/>
        </w:rPr>
        <w:t>Copii şi adolescenţi</w:t>
      </w:r>
    </w:p>
    <w:p w14:paraId="4AA2571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Adalimumab - original şi biosimilar este indicat pentru tratamentul psoriazisului în plăci cronic sever la copii şi adolescenţi cu vârsta începând de la 4 ani care nu au răspuns corespunzător sau care nu au fost eligibili pentru tratamentul topic şi fototerapii.</w:t>
      </w:r>
    </w:p>
    <w:p w14:paraId="50F4985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Doza de adalimumab - original şi biosimilar recomandată este de 0,8 mg per kg greutate corporală (până la maxim 40 mg per doză) administrată prin injecţie subcutanată săptămânal, pentru primele două doze şi ulterior o dată la două săptămâni.</w:t>
      </w:r>
    </w:p>
    <w:p w14:paraId="5284891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Continuarea tratamentului peste 16 săptămâni trebuie atent evaluată la pacienţii care nu răspund la tratament în această perioadă.</w:t>
      </w:r>
    </w:p>
    <w:p w14:paraId="418CD2A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Volumul injecţiei este ales în funcţie de greutatea pacientului (Tabelul 1).</w:t>
      </w:r>
    </w:p>
    <w:p w14:paraId="527A6EE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DFDF8D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Tabelul 1: Doza de adalimumab - original şi biosimilar în funcţie de greutate pentru pacienţii copii şi adolescenţi cu psoriazis vulgar</w:t>
      </w:r>
    </w:p>
    <w:p w14:paraId="533F8D1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tbl>
      <w:tblPr>
        <w:tblW w:w="9781" w:type="dxa"/>
        <w:tblInd w:w="-8" w:type="dxa"/>
        <w:tblLayout w:type="fixed"/>
        <w:tblCellMar>
          <w:left w:w="105" w:type="dxa"/>
          <w:right w:w="105" w:type="dxa"/>
        </w:tblCellMar>
        <w:tblLook w:val="0000" w:firstRow="0" w:lastRow="0" w:firstColumn="0" w:lastColumn="0" w:noHBand="0" w:noVBand="0"/>
      </w:tblPr>
      <w:tblGrid>
        <w:gridCol w:w="2793"/>
        <w:gridCol w:w="6988"/>
      </w:tblGrid>
      <w:tr w:rsidR="0049126A" w:rsidRPr="0049126A" w14:paraId="0ABD64F1" w14:textId="77777777" w:rsidTr="00300738">
        <w:tc>
          <w:tcPr>
            <w:tcW w:w="2793" w:type="dxa"/>
            <w:tcBorders>
              <w:top w:val="single" w:sz="6" w:space="0" w:color="000000"/>
              <w:left w:val="single" w:sz="6" w:space="0" w:color="000000"/>
              <w:bottom w:val="single" w:sz="6" w:space="0" w:color="000000"/>
              <w:right w:val="single" w:sz="6" w:space="0" w:color="000000"/>
            </w:tcBorders>
          </w:tcPr>
          <w:p w14:paraId="4815A94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Greutate pacient</w:t>
            </w:r>
          </w:p>
        </w:tc>
        <w:tc>
          <w:tcPr>
            <w:tcW w:w="6988" w:type="dxa"/>
            <w:tcBorders>
              <w:top w:val="single" w:sz="6" w:space="0" w:color="000000"/>
              <w:left w:val="single" w:sz="6" w:space="0" w:color="000000"/>
              <w:bottom w:val="single" w:sz="6" w:space="0" w:color="000000"/>
              <w:right w:val="single" w:sz="6" w:space="0" w:color="000000"/>
            </w:tcBorders>
          </w:tcPr>
          <w:p w14:paraId="020B68B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Doza</w:t>
            </w:r>
          </w:p>
        </w:tc>
      </w:tr>
      <w:tr w:rsidR="0049126A" w:rsidRPr="0049126A" w14:paraId="4CB0D9EC" w14:textId="77777777" w:rsidTr="00300738">
        <w:tc>
          <w:tcPr>
            <w:tcW w:w="2793" w:type="dxa"/>
            <w:tcBorders>
              <w:top w:val="single" w:sz="6" w:space="0" w:color="000000"/>
              <w:left w:val="single" w:sz="6" w:space="0" w:color="000000"/>
              <w:bottom w:val="single" w:sz="6" w:space="0" w:color="000000"/>
              <w:right w:val="single" w:sz="6" w:space="0" w:color="000000"/>
            </w:tcBorders>
          </w:tcPr>
          <w:p w14:paraId="1ED61BF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15 kg până la &lt; 30 kg</w:t>
            </w:r>
          </w:p>
        </w:tc>
        <w:tc>
          <w:tcPr>
            <w:tcW w:w="6988" w:type="dxa"/>
            <w:tcBorders>
              <w:top w:val="single" w:sz="6" w:space="0" w:color="000000"/>
              <w:left w:val="single" w:sz="6" w:space="0" w:color="000000"/>
              <w:bottom w:val="single" w:sz="6" w:space="0" w:color="000000"/>
              <w:right w:val="single" w:sz="6" w:space="0" w:color="000000"/>
            </w:tcBorders>
          </w:tcPr>
          <w:p w14:paraId="16FB95D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Doza de inducţie de 20 mg, urmată de doza de 20 mg administrată la două săptămâni începând cu prima săptămână după doza iniţială</w:t>
            </w:r>
          </w:p>
        </w:tc>
      </w:tr>
      <w:tr w:rsidR="0049126A" w:rsidRPr="0049126A" w14:paraId="48B2E620" w14:textId="77777777" w:rsidTr="00300738">
        <w:tc>
          <w:tcPr>
            <w:tcW w:w="2793" w:type="dxa"/>
            <w:tcBorders>
              <w:top w:val="single" w:sz="6" w:space="0" w:color="000000"/>
              <w:left w:val="single" w:sz="6" w:space="0" w:color="000000"/>
              <w:bottom w:val="single" w:sz="6" w:space="0" w:color="000000"/>
              <w:right w:val="single" w:sz="6" w:space="0" w:color="000000"/>
            </w:tcBorders>
          </w:tcPr>
          <w:p w14:paraId="37A50F6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u w:val="single"/>
                <w:lang w:val="en-US" w:eastAsia="ro-RO"/>
              </w:rPr>
              <w:t>&gt;</w:t>
            </w:r>
            <w:r w:rsidRPr="0049126A">
              <w:rPr>
                <w:rFonts w:ascii="Times New Roman" w:eastAsia="Times New Roman" w:hAnsi="Times New Roman" w:cs="Times New Roman"/>
                <w:sz w:val="20"/>
                <w:szCs w:val="20"/>
                <w:lang w:val="en-US" w:eastAsia="ro-RO"/>
              </w:rPr>
              <w:t xml:space="preserve"> 30 kg</w:t>
            </w:r>
          </w:p>
        </w:tc>
        <w:tc>
          <w:tcPr>
            <w:tcW w:w="6988" w:type="dxa"/>
            <w:tcBorders>
              <w:top w:val="single" w:sz="6" w:space="0" w:color="000000"/>
              <w:left w:val="single" w:sz="6" w:space="0" w:color="000000"/>
              <w:bottom w:val="single" w:sz="6" w:space="0" w:color="000000"/>
              <w:right w:val="single" w:sz="6" w:space="0" w:color="000000"/>
            </w:tcBorders>
          </w:tcPr>
          <w:p w14:paraId="524C004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Doza de inducţie de 40 mg, urmată de doza de 40 mg administrată la două săptămâni începând cu prima săptămână după doza iniţială</w:t>
            </w:r>
          </w:p>
        </w:tc>
      </w:tr>
    </w:tbl>
    <w:p w14:paraId="1233470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p>
    <w:p w14:paraId="54386C26" w14:textId="77777777" w:rsidR="005D3C7A" w:rsidRPr="0049126A" w:rsidRDefault="005D3C7A" w:rsidP="005D3C7A">
      <w:pPr>
        <w:numPr>
          <w:ilvl w:val="0"/>
          <w:numId w:val="52"/>
        </w:numPr>
        <w:autoSpaceDE w:val="0"/>
        <w:autoSpaceDN w:val="0"/>
        <w:adjustRightInd w:val="0"/>
        <w:spacing w:after="0" w:line="240" w:lineRule="auto"/>
        <w:ind w:left="0" w:firstLine="36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Certolizumab pegol</w:t>
      </w:r>
      <w:r w:rsidRPr="0049126A">
        <w:rPr>
          <w:rFonts w:ascii="Times New Roman" w:eastAsia="Times New Roman" w:hAnsi="Times New Roman" w:cs="Times New Roman"/>
          <w:sz w:val="24"/>
          <w:szCs w:val="24"/>
          <w:lang w:val="fr-MC" w:eastAsia="ro-RO"/>
        </w:rPr>
        <w:t xml:space="preserve"> este un fragment Fab de anticorp monoclonal uamnizat,recombinat,impotriva factorului de necroza tumorala alfa,produs in E.coli,care a fost pegilat (atasat unei substante chimice numite polietilen glicol). Certolizumab pegol este indicat in tratamentul psoriazisului in placi moderat pana la sever la pacientii adulti care sunt eligibili pentru terapia biologica.</w:t>
      </w:r>
    </w:p>
    <w:p w14:paraId="1399C5C6" w14:textId="77777777" w:rsidR="005D3C7A" w:rsidRPr="0049126A" w:rsidRDefault="005D3C7A" w:rsidP="005D3C7A">
      <w:pPr>
        <w:autoSpaceDE w:val="0"/>
        <w:autoSpaceDN w:val="0"/>
        <w:adjustRightInd w:val="0"/>
        <w:spacing w:after="0" w:line="240" w:lineRule="auto"/>
        <w:ind w:firstLine="360"/>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Tratamentul se initiaza cu o doza de incarcare de 400 mg (administrat subcutanat) in saptamanile 0,2 si 4, dupa care se continua terapia cu o doza de 200 mg la fiecare doua saptamani. Poate fi luata in considerare o doza de 400 mg la fiecare doua saptamani pentru pacientii care nu raspund </w:t>
      </w:r>
      <w:r w:rsidRPr="0049126A">
        <w:rPr>
          <w:rFonts w:ascii="Times New Roman" w:eastAsia="Times New Roman" w:hAnsi="Times New Roman" w:cs="Times New Roman"/>
          <w:sz w:val="24"/>
          <w:szCs w:val="24"/>
          <w:lang w:val="fr-MC" w:eastAsia="ro-RO"/>
        </w:rPr>
        <w:lastRenderedPageBreak/>
        <w:t xml:space="preserve">corespunzator ,pentru un interval de </w:t>
      </w:r>
      <w:r w:rsidRPr="0049126A">
        <w:rPr>
          <w:rFonts w:ascii="Times New Roman" w:eastAsia="Times New Roman" w:hAnsi="Times New Roman" w:cs="Times New Roman"/>
          <w:b/>
          <w:bCs/>
          <w:sz w:val="24"/>
          <w:szCs w:val="24"/>
          <w:lang w:val="fr-MC" w:eastAsia="ro-RO"/>
        </w:rPr>
        <w:t>maxim 13 saptamani. Daca se obtine tinta terapeutica la doza crescuta dupa cele maxim 13 saptamani de administrare se revine la doza uzuala(de intretinere). Daca nu se obtine aceasta tinta terapeutica,se ia in considerare schimbarea agentului biologic</w:t>
      </w:r>
      <w:r w:rsidRPr="0049126A">
        <w:rPr>
          <w:rFonts w:ascii="Times New Roman" w:eastAsia="Times New Roman" w:hAnsi="Times New Roman" w:cs="Times New Roman"/>
          <w:sz w:val="24"/>
          <w:szCs w:val="24"/>
          <w:lang w:val="fr-MC" w:eastAsia="ro-RO"/>
        </w:rPr>
        <w:t xml:space="preserve">. Continuarea terapiei trebuie evaluata cu atentie la pacientii care nu prezinta semne ale beneficiului terapeutic in primele 16 saptamani de tratament. </w:t>
      </w:r>
      <w:r w:rsidRPr="0049126A">
        <w:rPr>
          <w:rFonts w:ascii="Times New Roman" w:eastAsia="Times New Roman" w:hAnsi="Times New Roman" w:cs="Times New Roman"/>
          <w:sz w:val="24"/>
          <w:szCs w:val="24"/>
          <w:lang w:val="en-US" w:eastAsia="ro-RO"/>
        </w:rPr>
        <w:t>Unii pacienti cu raspuns slab initial pot inregistra ulterior imbunatatiri prin continuarea tratamentului dupa 16 saptamani.</w:t>
      </w:r>
    </w:p>
    <w:p w14:paraId="0D44F9D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2A31C729" w14:textId="77777777" w:rsidR="005D3C7A" w:rsidRPr="0049126A" w:rsidRDefault="005D3C7A" w:rsidP="005D3C7A">
      <w:pPr>
        <w:numPr>
          <w:ilvl w:val="0"/>
          <w:numId w:val="52"/>
        </w:numPr>
        <w:autoSpaceDE w:val="0"/>
        <w:autoSpaceDN w:val="0"/>
        <w:adjustRightInd w:val="0"/>
        <w:spacing w:after="0" w:line="240" w:lineRule="auto"/>
        <w:ind w:left="0" w:firstLine="36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Etanercept</w:t>
      </w:r>
      <w:r w:rsidRPr="0049126A">
        <w:rPr>
          <w:rFonts w:ascii="Times New Roman" w:eastAsia="Times New Roman" w:hAnsi="Times New Roman" w:cs="Times New Roman"/>
          <w:sz w:val="24"/>
          <w:szCs w:val="24"/>
          <w:lang w:val="fr-MC" w:eastAsia="ro-RO"/>
        </w:rPr>
        <w:t xml:space="preserve"> - original şi biosimilar - este o proteină de fuziune formată prin cuplarea receptorului uman p75 al factorului de necroză tumorală cu un fragment Fc, obţinută prin tehnologie de recombinare ADN.</w:t>
      </w:r>
    </w:p>
    <w:p w14:paraId="52B234C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Adulţi</w:t>
      </w:r>
    </w:p>
    <w:p w14:paraId="199EA72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Tratamentul pacienţilor adulţi cu psoriazis în plăci în forme moderate până la severe care au prezentat fie rezistenţă, fie contraindicaţii, fie intoleranţă la alte tratamente sistemice incluzând ciclosporina, metotrexatul sau psoralenul şi radiaţiile ultraviolete A (PUVA).</w:t>
      </w:r>
    </w:p>
    <w:p w14:paraId="76806C1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Doza recomandată este de 25 mg etanercept administrată de două ori pe săptămână sau de 50 mg administrată o dată pe săptămână. În mod alternativ, poate fi utilizată o doză de 50 mg, administrată de două ori pe săptămână, timp de maximum 12 săptămâni, urmată, dacă este necesar, de o doză de 25 mg administrată de două ori pe săptămână sau de 50 mg administrată o dată pe săptămână. Tratamentul cu etanercept trebuie continuat până la remisia bolii, timp de maximum 24 de săptămâni. Tratamentul continuu, timp de peste 24 de săptămâni, poate fi adecvat pentru unii pacienţi adulţi. Alegerea tratamentului intermitent sau continuu trebuie să aibă la bază decizia medicului şi necesităţile individuale ale pacientului. Tratamentul va fi întrerupt la pacienţii care nu prezintă niciun răspuns după 12 săptămâni de tratament. În cazul în care se indică reluarea tratamentului cu etanercept, trebuie să fie respectate aceleaşi îndrumări privind durata tratamentului. Se va administra o doză de 25 mg, de două ori pe săptămână sau de 50 mg, o dată pe săptămână.</w:t>
      </w:r>
    </w:p>
    <w:p w14:paraId="37BFD380"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p>
    <w:p w14:paraId="552195DD"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Copii şi adolescenţi</w:t>
      </w:r>
    </w:p>
    <w:p w14:paraId="047F1A4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Tratamentul psoriazisului în plăci cronic sever la copii şi adolescenţi cu vârste peste 6 ani, care este inadecvat controlat prin alte tratamente sistemice sau fototerapie, sau în cazurile în care pacienţii sunt intoleranţi la aceste tratamente.</w:t>
      </w:r>
    </w:p>
    <w:p w14:paraId="1B1ED05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Doza recomandată este de 0,8 mg/kg (până la un maxim de 50 mg per doză), o dată pe săptămână.</w:t>
      </w:r>
    </w:p>
    <w:p w14:paraId="082C1B5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Tratamentul trebuie întrerupt în cazul pacienţilor care nu prezintă niciun răspuns după 12 săptămâni.</w:t>
      </w:r>
    </w:p>
    <w:p w14:paraId="1F226C4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cazul în care se indică continuarea tratamentului cu etanercept - original şi biosimilar, trebuie să fie respectate îndrumările de mai sus privind durata tratamentului. Doza trebuie să fie de 0,8 mg/kg (până la doza maximă de 50 mg), o dată pe săptămână.</w:t>
      </w:r>
    </w:p>
    <w:p w14:paraId="06A0505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F37A33A" w14:textId="77777777" w:rsidR="005D3C7A" w:rsidRPr="0049126A" w:rsidRDefault="005D3C7A" w:rsidP="005D3C7A">
      <w:pPr>
        <w:numPr>
          <w:ilvl w:val="0"/>
          <w:numId w:val="52"/>
        </w:numPr>
        <w:autoSpaceDE w:val="0"/>
        <w:autoSpaceDN w:val="0"/>
        <w:adjustRightInd w:val="0"/>
        <w:spacing w:after="0" w:line="240" w:lineRule="auto"/>
        <w:ind w:left="0" w:firstLine="36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Infliximab</w:t>
      </w:r>
      <w:r w:rsidRPr="0049126A">
        <w:rPr>
          <w:rFonts w:ascii="Times New Roman" w:eastAsia="Times New Roman" w:hAnsi="Times New Roman" w:cs="Times New Roman"/>
          <w:sz w:val="24"/>
          <w:szCs w:val="24"/>
          <w:lang w:val="fr-MC" w:eastAsia="ro-RO"/>
        </w:rPr>
        <w:t xml:space="preserve"> - original şi biosimilar - este un anticorp monoclonal chimeric uman-murin produs în celulele hibride murine prin tehnologia ADN-ului recombinat.</w:t>
      </w:r>
    </w:p>
    <w:p w14:paraId="247DBEB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val="fr-MC" w:eastAsia="ro-RO"/>
        </w:rPr>
        <w:t>Infliximab - original şi biosimilar este indicat pentru tratamentul psoriazisului în plăci moderat până la sever la pacienţi adulţi care nu au răspuns terapeutic, prezintă contraindicaţie sau nu tolerează alte terapii sistemice inclusiv pe cele cu ciclosporină, metotrexat sau psoralen ultraviolete A (PUVA).</w:t>
      </w:r>
      <w:r w:rsidRPr="0049126A">
        <w:rPr>
          <w:rFonts w:ascii="Times New Roman" w:eastAsia="Times New Roman" w:hAnsi="Times New Roman" w:cs="Times New Roman"/>
          <w:sz w:val="24"/>
          <w:szCs w:val="24"/>
          <w:lang w:eastAsia="ro-RO"/>
        </w:rPr>
        <w:t xml:space="preserve"> </w:t>
      </w:r>
    </w:p>
    <w:p w14:paraId="07093EE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Produsele cu administrare în perfuzie se prezintă sub forma de pulbere pentru concentrat pentru soluţie perfuzabilă (pulbere pentru concentrat). Doza recomandată este de 5 mg/kg administrată sub formă de perfuzie intravenoasă, urmată de perfuzii suplimentare a câte 5 mg/kg la interval de 2 şi 6 săptămâni după prima perfuzie şi apoi la fiecare 8 săptămâni.</w:t>
      </w:r>
    </w:p>
    <w:p w14:paraId="08BE088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xml:space="preserve"> Dacă pacientul nu prezintă răspuns terapeutic după 14 săptămâni (adică după administrarea a 4 doze sub forma de perfuzie intravenoasa), nu trebuie continuat tratamentul cu infliximab-original şi biosimilar.</w:t>
      </w:r>
    </w:p>
    <w:p w14:paraId="7D59946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eastAsia="ro-RO"/>
        </w:rPr>
        <w:t xml:space="preserve">Produsul cu administrare subcutanată este un medicament biosimilar care se prezintă sub forma unui stilou injector preumplut și seringă preumplută având o concentrație de 120mg. </w:t>
      </w:r>
      <w:r w:rsidRPr="0049126A">
        <w:rPr>
          <w:rFonts w:ascii="Times New Roman" w:eastAsia="Times New Roman" w:hAnsi="Times New Roman" w:cs="Times New Roman"/>
          <w:sz w:val="24"/>
          <w:szCs w:val="24"/>
          <w:lang w:val="fr-MC" w:eastAsia="ro-RO"/>
        </w:rPr>
        <w:t>Această formă terapeutică nu se folosește la inițierea tratamentului ci doar ca terapie de întreținere. Administrarea subcutanată se inițiază după ce pacientul a primit două perfuzii cu Infliximab în doze de 5 mg/kg (la inițiere și la 2 săptămâni). Doza recomandată pentru administrarea subcutanată (după cele două perfuzii) este de 120 mg la interval de 2 săptămâni.</w:t>
      </w:r>
    </w:p>
    <w:p w14:paraId="70A0300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eastAsia="ro-RO"/>
        </w:rPr>
        <w:lastRenderedPageBreak/>
        <w:t>Dacă un pacient nu prezintă răspuns terapeutic după 14 săptămâni (adică 2 perfuzări intravenoase și 5 injectări subcutanate), nu trebuie administrat în continuare tratament cu infliximab.</w:t>
      </w:r>
    </w:p>
    <w:p w14:paraId="4C6058B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739016F" w14:textId="77777777" w:rsidR="005D3C7A" w:rsidRPr="0049126A" w:rsidRDefault="005D3C7A" w:rsidP="002161CA">
      <w:pPr>
        <w:numPr>
          <w:ilvl w:val="0"/>
          <w:numId w:val="236"/>
        </w:num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b/>
          <w:bCs/>
          <w:sz w:val="24"/>
          <w:szCs w:val="24"/>
          <w:lang w:val="en-US" w:eastAsia="ro-RO"/>
        </w:rPr>
        <w:t>Ixekizumab</w:t>
      </w:r>
      <w:r w:rsidRPr="0049126A">
        <w:rPr>
          <w:rFonts w:ascii="Times New Roman" w:eastAsia="Times New Roman" w:hAnsi="Times New Roman" w:cs="Times New Roman"/>
          <w:sz w:val="24"/>
          <w:szCs w:val="24"/>
          <w:lang w:val="en-US" w:eastAsia="ro-RO"/>
        </w:rPr>
        <w:t xml:space="preserve"> este un anticorp monoclonal recombinant umanizat produs în celulele OHC.</w:t>
      </w:r>
    </w:p>
    <w:p w14:paraId="50F8D0B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en-US" w:eastAsia="ro-RO"/>
        </w:rPr>
      </w:pPr>
      <w:r w:rsidRPr="0049126A">
        <w:rPr>
          <w:rFonts w:ascii="Times New Roman" w:eastAsia="Times New Roman" w:hAnsi="Times New Roman" w:cs="Times New Roman"/>
          <w:sz w:val="24"/>
          <w:szCs w:val="24"/>
          <w:u w:val="single"/>
          <w:lang w:val="en-US" w:eastAsia="ro-RO"/>
        </w:rPr>
        <w:t>Adulti</w:t>
      </w:r>
    </w:p>
    <w:p w14:paraId="746B208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Ixekizumab este indicat pentru tratamentul psoriazisului în plăci moderat până la sever la adulţi care sunt eligibili pentru terapie sistemică.</w:t>
      </w:r>
    </w:p>
    <w:p w14:paraId="4CCC533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Doza recomandată este de 160 mg prin injectare subcutanată în săptămâna 0, urmată de 80 mg în săptămânile 2, 4, 6, 8, 10 şi 12, apoi doza de întreţinere de 80 mg la intervale de 4 săptămâni.</w:t>
      </w:r>
    </w:p>
    <w:p w14:paraId="55A0E28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Trebuie luată în considerare întreruperea tratamentului la pacienţii care nu au prezentat răspuns după 16 săptămâni de tratament.</w:t>
      </w:r>
    </w:p>
    <w:p w14:paraId="181E6F4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62A0507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Copii si adolescenti</w:t>
      </w:r>
    </w:p>
    <w:p w14:paraId="3B3B8BE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Ixekizumab este indicat pentru tratamentul psoriazisului în plăci cronic sever la copii şi adolescenţi cu vârste de 6 ani cu greutate corporală de minim 25 kg şi la adolescenţi care sunt eligibili pentru terapie biologică (care nu obtin control adecvat sau prezinta intoleranta la alte terapii sistemice sau fototerapie). Ixekizumab este destinat injectării subcutanate. Locurile de injectare pot fi alternate. Dacă este posibil, zonele de piele afectate de psoriazis trebuie evitate ca locuri de injectare. Soluția nu trebuie agitată. </w:t>
      </w:r>
    </w:p>
    <w:p w14:paraId="76729F8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Pentru copii cu vârsta sub 6 ani sau co o greutate sub 25 kg nu sunt disponibile date de siguranță și de eficacitate. Greutatea corporală a copiilor trebuie înregistrată şi măsurată periodic, înainte de administrare. În funcție de greutatea corporală se stabilește doza terapeutică.</w:t>
      </w:r>
    </w:p>
    <w:p w14:paraId="265F58B0" w14:textId="77777777" w:rsidR="005D3C7A" w:rsidRPr="0049126A" w:rsidRDefault="005D3C7A" w:rsidP="005D3C7A">
      <w:pPr>
        <w:numPr>
          <w:ilvl w:val="0"/>
          <w:numId w:val="60"/>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25-50kg – Doza inițială (S0) – 80 mg, ulterior din 4 în 4 săptămâni doza de 40 mg. Doza de 40 mg trebuie pregătită întotdeauna de către un cadru medical calificat. Se folosește seringa de 80 mg/1ml soluție. Se elimină întreg conţinutul seringii preumplute într-un flacon steril din sticlă transparentă fără a se agita sau a se roti flaconul. Cu o seringa gradate de unică folosință și cu un ac steril se extrag 0,5 ml (40 mg) din flacon. Se schimbă acul utilizat cu unul de 27g pentru a se efectua injecția. Doza astfel pregătită se administrază la temperature camerei, în interval de maxim 4 ore de la deschiderea flaconului steril, de preferat cât mai repede posibil. </w:t>
      </w:r>
      <w:r w:rsidRPr="0049126A">
        <w:rPr>
          <w:rFonts w:ascii="Times New Roman" w:eastAsia="Times New Roman" w:hAnsi="Times New Roman" w:cs="Times New Roman"/>
          <w:sz w:val="24"/>
          <w:szCs w:val="24"/>
          <w:lang w:val="en-US" w:eastAsia="ro-RO"/>
        </w:rPr>
        <w:t xml:space="preserve">Substanța rămasă și neutilizată se aruncă. </w:t>
      </w:r>
    </w:p>
    <w:p w14:paraId="32DA0C9D" w14:textId="77777777" w:rsidR="005D3C7A" w:rsidRPr="0049126A" w:rsidRDefault="005D3C7A" w:rsidP="005D3C7A">
      <w:pPr>
        <w:numPr>
          <w:ilvl w:val="0"/>
          <w:numId w:val="60"/>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&gt;50kg – Doza inițială (S0) – 160 mg, ulterior din 4 în 4 săptămâni doza de 80 mg. Se administrează direct din seringa preumplută.</w:t>
      </w:r>
    </w:p>
    <w:p w14:paraId="7222B11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Trebuie luată în considerare întreruperea tratamentului la pacienţii care nu au prezentat răspuns după 16 săptămâni de tratament.</w:t>
      </w:r>
    </w:p>
    <w:p w14:paraId="37F1635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27D47FD" w14:textId="77777777" w:rsidR="005D3C7A" w:rsidRPr="0049126A" w:rsidRDefault="005D3C7A" w:rsidP="002161CA">
      <w:pPr>
        <w:numPr>
          <w:ilvl w:val="0"/>
          <w:numId w:val="236"/>
        </w:num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b/>
          <w:bCs/>
          <w:sz w:val="24"/>
          <w:szCs w:val="24"/>
          <w:lang w:val="fr-MC" w:eastAsia="ro-RO"/>
        </w:rPr>
        <w:t>Secukinumab</w:t>
      </w:r>
      <w:r w:rsidRPr="0049126A">
        <w:rPr>
          <w:rFonts w:ascii="Times New Roman" w:eastAsia="Times New Roman" w:hAnsi="Times New Roman" w:cs="Times New Roman"/>
          <w:sz w:val="24"/>
          <w:szCs w:val="24"/>
          <w:u w:val="single"/>
          <w:lang w:val="fr-MC" w:eastAsia="ro-RO"/>
        </w:rPr>
        <w:t xml:space="preserve"> </w:t>
      </w:r>
      <w:r w:rsidRPr="0049126A">
        <w:rPr>
          <w:rFonts w:ascii="Times New Roman" w:eastAsia="Times New Roman" w:hAnsi="Times New Roman" w:cs="Times New Roman"/>
          <w:sz w:val="24"/>
          <w:szCs w:val="24"/>
          <w:lang w:val="fr-MC" w:eastAsia="ro-RO"/>
        </w:rPr>
        <w:t>este un anticorp monoclonal complet uman recombinant obţinut în celule ovariene de hamster chinezesc.</w:t>
      </w:r>
      <w:r w:rsidRPr="0049126A">
        <w:rPr>
          <w:rFonts w:ascii="Times New Roman" w:eastAsia="Times New Roman" w:hAnsi="Times New Roman" w:cs="Times New Roman"/>
          <w:sz w:val="24"/>
          <w:szCs w:val="24"/>
          <w:u w:val="single"/>
          <w:lang w:val="fr-MC" w:eastAsia="ro-RO"/>
        </w:rPr>
        <w:t xml:space="preserve"> </w:t>
      </w:r>
    </w:p>
    <w:p w14:paraId="5B3F9C0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fr-MC" w:eastAsia="ro-RO"/>
        </w:rPr>
      </w:pPr>
    </w:p>
    <w:p w14:paraId="3250F68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Adulti</w:t>
      </w:r>
    </w:p>
    <w:p w14:paraId="670E9845" w14:textId="77777777" w:rsidR="005D3C7A" w:rsidRPr="0049126A" w:rsidRDefault="005D3C7A" w:rsidP="005D3C7A">
      <w:pPr>
        <w:spacing w:after="0" w:line="240" w:lineRule="auto"/>
        <w:jc w:val="both"/>
        <w:rPr>
          <w:rFonts w:ascii="Times New Roman" w:eastAsia="Calibri"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Secukinumab este indicat pentru tratamentul psoriazisului în plăci moderat până la sever, la adulţi care sunt candidaţi pentru terapie sistemică.Doza recomandată este de secukinumab 300 mg prin injectare subcutanată în săptămânile 0, 1, 2, 3, 4, urmată de administrarea unei doze lunare de întreţinere.Trebuie luată în considerare întreruperea tratamentului la pacienţii care nu au prezentat răspuns după 16 săptămâni de tratament </w:t>
      </w:r>
      <w:r w:rsidRPr="0049126A">
        <w:rPr>
          <w:rFonts w:ascii="Times New Roman" w:eastAsia="Times New Roman" w:hAnsi="Times New Roman" w:cs="Times New Roman"/>
          <w:b/>
          <w:bCs/>
          <w:sz w:val="24"/>
          <w:szCs w:val="24"/>
          <w:lang w:val="fr-MC" w:eastAsia="ro-RO"/>
        </w:rPr>
        <w:t>cu o greutate corporală sub 90 kg.</w:t>
      </w:r>
      <w:r w:rsidRPr="0049126A">
        <w:rPr>
          <w:rFonts w:ascii="Times New Roman" w:eastAsia="Times New Roman" w:hAnsi="Times New Roman" w:cs="Times New Roman"/>
          <w:sz w:val="24"/>
          <w:szCs w:val="24"/>
          <w:lang w:val="fr-MC" w:eastAsia="ro-RO"/>
        </w:rPr>
        <w:t xml:space="preserve"> </w:t>
      </w:r>
      <w:r w:rsidRPr="0049126A">
        <w:rPr>
          <w:rFonts w:ascii="Times New Roman" w:eastAsia="Calibri" w:hAnsi="Times New Roman" w:cs="Times New Roman"/>
          <w:b/>
          <w:bCs/>
          <w:sz w:val="24"/>
          <w:szCs w:val="24"/>
          <w:lang w:val="fr-MC" w:eastAsia="ro-RO"/>
        </w:rPr>
        <w:t>Pentru pacienții cu greutate corporală ≥ 90 kg care nu au prezentat un răspuns satisfăcător sau care pe parcursul terapiei încep să piardă răspunsul terapeutic se poate utiliza doza de 300 mg la 2 săptămâni pentru o perioadă de maxim 3 luni și numai o singură data.</w:t>
      </w:r>
      <w:r w:rsidRPr="0049126A">
        <w:rPr>
          <w:rFonts w:ascii="Times New Roman" w:eastAsia="Calibri" w:hAnsi="Times New Roman" w:cs="Times New Roman"/>
          <w:sz w:val="24"/>
          <w:szCs w:val="24"/>
          <w:lang w:val="fr-MC" w:eastAsia="ro-RO"/>
        </w:rPr>
        <w:t xml:space="preserve"> </w:t>
      </w:r>
    </w:p>
    <w:p w14:paraId="35F4793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u w:val="single"/>
          <w:lang w:val="fr-MC" w:eastAsia="ro-RO"/>
        </w:rPr>
        <w:t xml:space="preserve">Copii si adolescenți </w:t>
      </w:r>
      <w:r w:rsidRPr="0049126A">
        <w:rPr>
          <w:rFonts w:ascii="Times New Roman" w:eastAsia="Times New Roman" w:hAnsi="Times New Roman" w:cs="Times New Roman"/>
          <w:sz w:val="24"/>
          <w:szCs w:val="24"/>
          <w:lang w:eastAsia="ro-RO"/>
        </w:rPr>
        <w:t xml:space="preserve">(copii și adolescenți, începând cu vârsta de 6 ani) </w:t>
      </w:r>
    </w:p>
    <w:p w14:paraId="7EDC01C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xml:space="preserve">Cosentyx este indicat pentru tratamentul psoriazisului în plăci, moderat până la sever, la copii și adolescenți, începând cu vârsta de 6 ani, care sunt candidați pentru terapie sistemică. Cosentyx se va utiliza sub îndrumarea şi supravegherea unui medic cu experienţă în diagnosticarea şi tratarea afecțiunilor pentru care este indicat Cosentyx. Se recomandă evitarea ca locuri de injectare a pielii lezionale. Doza recomandată este în funcție de greutatea corporală (Tabelul 1) și se administrează prin injecție subcutanată, în doza inițială în săptămânile 0, 1, 2, 3 și 4, urmată de o doză lunară de </w:t>
      </w:r>
      <w:r w:rsidRPr="0049126A">
        <w:rPr>
          <w:rFonts w:ascii="Times New Roman" w:eastAsia="Times New Roman" w:hAnsi="Times New Roman" w:cs="Times New Roman"/>
          <w:sz w:val="24"/>
          <w:szCs w:val="24"/>
          <w:lang w:eastAsia="ro-RO"/>
        </w:rPr>
        <w:lastRenderedPageBreak/>
        <w:t>întreținere. Fiecare doză de 75 mg este administrată sub forma unei injecții subcutanate a 75 mg. Fiecare doză de 150 mg este administrată sub forma unei injecții subcutanate a 150 mg. Fiecare doză de 300 mg este administrată sub forma unei injecții subcutanate a 300 mg sau a două injecții subcutanate a câte 150 mg.</w:t>
      </w:r>
    </w:p>
    <w:p w14:paraId="593C5F32" w14:textId="77777777" w:rsidR="005D3C7A" w:rsidRPr="0049126A" w:rsidRDefault="005D3C7A" w:rsidP="005D3C7A">
      <w:pPr>
        <w:tabs>
          <w:tab w:val="left" w:pos="426"/>
        </w:tabs>
        <w:spacing w:after="0" w:line="276" w:lineRule="auto"/>
        <w:jc w:val="both"/>
        <w:rPr>
          <w:rFonts w:ascii="Times New Roman" w:eastAsia="Arial" w:hAnsi="Times New Roman" w:cs="Times New Roman"/>
          <w:b/>
          <w:bCs/>
          <w:sz w:val="24"/>
          <w:szCs w:val="24"/>
          <w:lang w:val="fr-MC" w:eastAsia="ro-RO"/>
        </w:rPr>
      </w:pPr>
    </w:p>
    <w:p w14:paraId="7C1CD46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Tabelul 1 Doza recomandată în psoriazisul în plăci la copii și adolescenți</w:t>
      </w:r>
    </w:p>
    <w:tbl>
      <w:tblPr>
        <w:tblStyle w:val="TableGrid271"/>
        <w:tblW w:w="0" w:type="auto"/>
        <w:jc w:val="center"/>
        <w:tblLook w:val="04A0" w:firstRow="1" w:lastRow="0" w:firstColumn="1" w:lastColumn="0" w:noHBand="0" w:noVBand="1"/>
      </w:tblPr>
      <w:tblGrid>
        <w:gridCol w:w="5788"/>
        <w:gridCol w:w="3842"/>
      </w:tblGrid>
      <w:tr w:rsidR="0049126A" w:rsidRPr="0049126A" w14:paraId="39737898" w14:textId="77777777" w:rsidTr="00300738">
        <w:trPr>
          <w:jc w:val="center"/>
        </w:trPr>
        <w:tc>
          <w:tcPr>
            <w:tcW w:w="5791" w:type="dxa"/>
          </w:tcPr>
          <w:p w14:paraId="790D926A"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rPr>
              <w:t>Greutatea corporală la momentul administrării dozei</w:t>
            </w:r>
          </w:p>
        </w:tc>
        <w:tc>
          <w:tcPr>
            <w:tcW w:w="3843" w:type="dxa"/>
          </w:tcPr>
          <w:p w14:paraId="18B6D76F"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rPr>
              <w:t>Doza recomandată</w:t>
            </w:r>
          </w:p>
        </w:tc>
      </w:tr>
      <w:tr w:rsidR="0049126A" w:rsidRPr="0049126A" w14:paraId="11862CB2" w14:textId="77777777" w:rsidTr="00300738">
        <w:trPr>
          <w:jc w:val="center"/>
        </w:trPr>
        <w:tc>
          <w:tcPr>
            <w:tcW w:w="5791" w:type="dxa"/>
          </w:tcPr>
          <w:p w14:paraId="1DE62CB2"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lang w:val="en-US"/>
              </w:rPr>
              <w:t>&lt; 25 kg</w:t>
            </w:r>
          </w:p>
        </w:tc>
        <w:tc>
          <w:tcPr>
            <w:tcW w:w="3843" w:type="dxa"/>
          </w:tcPr>
          <w:p w14:paraId="224D7B76"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rPr>
              <w:t>75 mg</w:t>
            </w:r>
          </w:p>
        </w:tc>
      </w:tr>
      <w:tr w:rsidR="0049126A" w:rsidRPr="0049126A" w14:paraId="0AAEAC55" w14:textId="77777777" w:rsidTr="00300738">
        <w:trPr>
          <w:jc w:val="center"/>
        </w:trPr>
        <w:tc>
          <w:tcPr>
            <w:tcW w:w="5791" w:type="dxa"/>
          </w:tcPr>
          <w:p w14:paraId="636D5F6F"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rPr>
              <w:t>25 to</w:t>
            </w:r>
            <w:r w:rsidRPr="0049126A">
              <w:rPr>
                <w:sz w:val="24"/>
                <w:szCs w:val="24"/>
                <w:lang w:val="en-US"/>
              </w:rPr>
              <w:t xml:space="preserve"> &lt; 50 kg</w:t>
            </w:r>
          </w:p>
        </w:tc>
        <w:tc>
          <w:tcPr>
            <w:tcW w:w="3843" w:type="dxa"/>
          </w:tcPr>
          <w:p w14:paraId="75F31D0F"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rPr>
              <w:t>75 mg</w:t>
            </w:r>
          </w:p>
        </w:tc>
      </w:tr>
      <w:tr w:rsidR="0049126A" w:rsidRPr="0049126A" w14:paraId="5D969C1B" w14:textId="77777777" w:rsidTr="00300738">
        <w:trPr>
          <w:jc w:val="center"/>
        </w:trPr>
        <w:tc>
          <w:tcPr>
            <w:tcW w:w="5791" w:type="dxa"/>
          </w:tcPr>
          <w:p w14:paraId="6A15F14C" w14:textId="77777777" w:rsidR="005D3C7A" w:rsidRPr="0049126A" w:rsidRDefault="005D3C7A" w:rsidP="005D3C7A">
            <w:pPr>
              <w:autoSpaceDE w:val="0"/>
              <w:autoSpaceDN w:val="0"/>
              <w:adjustRightInd w:val="0"/>
              <w:jc w:val="both"/>
              <w:rPr>
                <w:sz w:val="24"/>
                <w:szCs w:val="24"/>
                <w:u w:val="single"/>
                <w:lang w:val="en-US"/>
              </w:rPr>
            </w:pPr>
            <w:r w:rsidRPr="0049126A">
              <w:rPr>
                <w:sz w:val="24"/>
                <w:szCs w:val="24"/>
                <w:u w:val="single"/>
                <w:lang w:val="en-US"/>
              </w:rPr>
              <w:t>&gt;</w:t>
            </w:r>
            <w:r w:rsidRPr="0049126A">
              <w:rPr>
                <w:sz w:val="24"/>
                <w:szCs w:val="24"/>
                <w:lang w:val="en-US"/>
              </w:rPr>
              <w:t xml:space="preserve"> 50 kg</w:t>
            </w:r>
          </w:p>
        </w:tc>
        <w:tc>
          <w:tcPr>
            <w:tcW w:w="3843" w:type="dxa"/>
          </w:tcPr>
          <w:p w14:paraId="66D6E831" w14:textId="77777777" w:rsidR="005D3C7A" w:rsidRPr="0049126A" w:rsidRDefault="005D3C7A" w:rsidP="005D3C7A">
            <w:pPr>
              <w:autoSpaceDE w:val="0"/>
              <w:autoSpaceDN w:val="0"/>
              <w:adjustRightInd w:val="0"/>
              <w:jc w:val="both"/>
              <w:rPr>
                <w:sz w:val="24"/>
                <w:szCs w:val="24"/>
                <w:u w:val="single"/>
                <w:lang w:val="fr-MC"/>
              </w:rPr>
            </w:pPr>
            <w:r w:rsidRPr="0049126A">
              <w:rPr>
                <w:sz w:val="24"/>
                <w:szCs w:val="24"/>
              </w:rPr>
              <w:t>150 mg (*poate fi crescută până la 300 mg)</w:t>
            </w:r>
          </w:p>
        </w:tc>
      </w:tr>
    </w:tbl>
    <w:p w14:paraId="75EF9EC2" w14:textId="77777777" w:rsidR="005D3C7A" w:rsidRPr="0049126A" w:rsidRDefault="005D3C7A" w:rsidP="005D3C7A">
      <w:pPr>
        <w:autoSpaceDE w:val="0"/>
        <w:autoSpaceDN w:val="0"/>
        <w:adjustRightInd w:val="0"/>
        <w:spacing w:after="0" w:line="240" w:lineRule="auto"/>
        <w:ind w:left="708"/>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xml:space="preserve">         *Unii pacienți pot avea beneficii suplimentare utilizând doza mai mare.</w:t>
      </w:r>
    </w:p>
    <w:p w14:paraId="04AA6859" w14:textId="77777777" w:rsidR="005D3C7A" w:rsidRPr="0049126A" w:rsidRDefault="005D3C7A" w:rsidP="005D3C7A">
      <w:pPr>
        <w:autoSpaceDE w:val="0"/>
        <w:autoSpaceDN w:val="0"/>
        <w:adjustRightInd w:val="0"/>
        <w:spacing w:after="0" w:line="240" w:lineRule="auto"/>
        <w:ind w:left="708"/>
        <w:jc w:val="both"/>
        <w:rPr>
          <w:rFonts w:ascii="Times New Roman" w:eastAsia="Times New Roman" w:hAnsi="Times New Roman" w:cs="Times New Roman"/>
          <w:sz w:val="24"/>
          <w:szCs w:val="24"/>
          <w:lang w:eastAsia="ro-RO"/>
        </w:rPr>
      </w:pPr>
    </w:p>
    <w:p w14:paraId="5A7DA4AF" w14:textId="38011B57" w:rsidR="005D3C7A" w:rsidRPr="0049126A" w:rsidRDefault="005D3C7A" w:rsidP="002161CA">
      <w:pPr>
        <w:numPr>
          <w:ilvl w:val="0"/>
          <w:numId w:val="236"/>
        </w:num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b/>
          <w:bCs/>
          <w:sz w:val="24"/>
          <w:szCs w:val="24"/>
          <w:lang w:val="fr-MC" w:eastAsia="ro-RO"/>
        </w:rPr>
        <w:t xml:space="preserve">Bimekizumab – </w:t>
      </w:r>
      <w:r w:rsidRPr="0049126A">
        <w:rPr>
          <w:rFonts w:ascii="Times New Roman" w:eastAsia="Times New Roman" w:hAnsi="Times New Roman" w:cs="Times New Roman"/>
          <w:sz w:val="24"/>
          <w:szCs w:val="24"/>
          <w:lang w:val="fr-MC" w:eastAsia="ro-RO"/>
        </w:rPr>
        <w:t>este un anticorp</w:t>
      </w:r>
      <w:r w:rsidRPr="0049126A">
        <w:rPr>
          <w:rFonts w:ascii="Times New Roman" w:eastAsia="Times New Roman" w:hAnsi="Times New Roman" w:cs="Times New Roman"/>
          <w:sz w:val="24"/>
          <w:szCs w:val="24"/>
          <w:lang w:eastAsia="ro-RO"/>
        </w:rPr>
        <w:t xml:space="preserve"> monoclonal de tip IgG1/k umanizat produs într-o linie de celule ovariene de hamster chinezesc (CHO), cu tehnologie de ADN recombinant. Acesta se leagă selectiv cu</w:t>
      </w:r>
      <w:r w:rsidRPr="0049126A">
        <w:rPr>
          <w:rFonts w:ascii="Times New Roman" w:eastAsia="Times New Roman" w:hAnsi="Times New Roman" w:cs="Times New Roman"/>
          <w:sz w:val="24"/>
          <w:szCs w:val="24"/>
          <w:u w:val="single"/>
          <w:lang w:val="fr-MC" w:eastAsia="ro-RO"/>
        </w:rPr>
        <w:t xml:space="preserve"> </w:t>
      </w:r>
      <w:r w:rsidRPr="0049126A">
        <w:rPr>
          <w:rFonts w:ascii="Times New Roman" w:eastAsia="Times New Roman" w:hAnsi="Times New Roman" w:cs="Times New Roman"/>
          <w:sz w:val="24"/>
          <w:szCs w:val="24"/>
          <w:lang w:eastAsia="ro-RO"/>
        </w:rPr>
        <w:t>afinitate crescută de citokinele IL-17AA, IL-17FF și IL-17AF, blocând interacțiunea cu complexul receptorului IL17RA/IL-17RC.</w:t>
      </w:r>
    </w:p>
    <w:p w14:paraId="2123C084" w14:textId="77777777" w:rsidR="005D3C7A" w:rsidRPr="0049126A" w:rsidRDefault="005D3C7A" w:rsidP="005D3C7A">
      <w:p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p>
    <w:p w14:paraId="739D53DA" w14:textId="77777777" w:rsidR="005D3C7A" w:rsidRPr="0049126A" w:rsidRDefault="005D3C7A" w:rsidP="005D3C7A">
      <w:p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u w:val="single"/>
          <w:lang w:eastAsia="ro-RO"/>
        </w:rPr>
      </w:pPr>
      <w:r w:rsidRPr="0049126A">
        <w:rPr>
          <w:rFonts w:ascii="Times New Roman" w:eastAsia="Times New Roman" w:hAnsi="Times New Roman" w:cs="Times New Roman"/>
          <w:sz w:val="24"/>
          <w:szCs w:val="24"/>
          <w:u w:val="single"/>
          <w:lang w:eastAsia="ro-RO"/>
        </w:rPr>
        <w:t>Adulți</w:t>
      </w:r>
    </w:p>
    <w:p w14:paraId="75A6D278" w14:textId="77777777" w:rsidR="005D3C7A" w:rsidRPr="0049126A" w:rsidRDefault="005D3C7A" w:rsidP="005D3C7A">
      <w:p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u w:val="single"/>
          <w:lang w:eastAsia="ro-RO"/>
        </w:rPr>
      </w:pPr>
    </w:p>
    <w:p w14:paraId="1BE5449A" w14:textId="77777777" w:rsidR="005D3C7A" w:rsidRPr="0049126A" w:rsidRDefault="005D3C7A" w:rsidP="005D3C7A">
      <w:pPr>
        <w:tabs>
          <w:tab w:val="left" w:pos="1560"/>
        </w:tabs>
        <w:autoSpaceDE w:val="0"/>
        <w:autoSpaceDN w:val="0"/>
        <w:adjustRightInd w:val="0"/>
        <w:spacing w:after="0" w:line="240" w:lineRule="auto"/>
        <w:contextualSpacing/>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u w:val="single"/>
          <w:lang w:eastAsia="ro-RO"/>
        </w:rPr>
        <w:t>Bimekizumab este indicat pentru tratamentul pacienților cu psoriazis vulgar</w:t>
      </w:r>
      <w:r w:rsidRPr="0049126A">
        <w:rPr>
          <w:rFonts w:ascii="Times New Roman" w:eastAsia="Times New Roman" w:hAnsi="Times New Roman" w:cs="Times New Roman"/>
          <w:sz w:val="24"/>
          <w:szCs w:val="24"/>
          <w:lang w:eastAsia="ro-RO"/>
        </w:rPr>
        <w:t xml:space="preserve"> în plăci moderat până la sever, la adulții care sunt eligibili pentru terapie sistemică. Doza recomandată pentru pacienții adulți cu psoriazis în plăci este de 320 mg (care se administrează sub forma a 2 injecții subcutanate a câte 160 mg fiecare) în săptămâna 0, 4, 8, 12, 16 și la interval de 8 săptămâni ulterior. La pacienții care nu prezintă nicio îmbunătățire după 16 săptămâni de tratament trebuie luată în considerare întreruperea tratamentului. Pentru unii pacienți cu greutatea corporală ≥120 kg care nu au obținut o vindecare completă a pielii în săptămâna 16, administrarea dozei de 320 mg la interval de 4 săptămâni poate îmbunătăți suplimentar răspunsul la tratament după săptămâna 16. Se poate utiliza această doză numai la pacienții care au obținut totuși un răspuns terapeutic la evaluarea de 3 luni. Această modificare de administrare se face o singură dată și numai pentru 3 luni.</w:t>
      </w:r>
    </w:p>
    <w:p w14:paraId="458576E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en-US" w:eastAsia="ro-RO"/>
        </w:rPr>
      </w:pPr>
    </w:p>
    <w:p w14:paraId="2C3037AB" w14:textId="77777777" w:rsidR="005D3C7A" w:rsidRPr="0049126A" w:rsidRDefault="005D3C7A" w:rsidP="005D3C7A">
      <w:pPr>
        <w:numPr>
          <w:ilvl w:val="0"/>
          <w:numId w:val="52"/>
        </w:numPr>
        <w:autoSpaceDE w:val="0"/>
        <w:autoSpaceDN w:val="0"/>
        <w:adjustRightInd w:val="0"/>
        <w:spacing w:after="0" w:line="240" w:lineRule="auto"/>
        <w:ind w:left="0" w:firstLine="36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Ustekinumab</w:t>
      </w:r>
      <w:r w:rsidRPr="0049126A">
        <w:rPr>
          <w:rFonts w:ascii="Times New Roman" w:eastAsia="Times New Roman" w:hAnsi="Times New Roman" w:cs="Times New Roman"/>
          <w:sz w:val="24"/>
          <w:szCs w:val="24"/>
          <w:lang w:val="fr-MC" w:eastAsia="ro-RO"/>
        </w:rPr>
        <w:t xml:space="preserve"> - este un anticorp monoclonal IgG1</w:t>
      </w:r>
      <w:r w:rsidRPr="0049126A">
        <w:rPr>
          <w:rFonts w:ascii="Times New Roman" w:eastAsia="Times New Roman" w:hAnsi="Times New Roman" w:cs="Times New Roman"/>
          <w:sz w:val="24"/>
          <w:szCs w:val="24"/>
          <w:lang w:val="en-US" w:eastAsia="ro-RO"/>
        </w:rPr>
        <w:t>к</w:t>
      </w:r>
      <w:r w:rsidRPr="0049126A">
        <w:rPr>
          <w:rFonts w:ascii="Times New Roman" w:eastAsia="Times New Roman" w:hAnsi="Times New Roman" w:cs="Times New Roman"/>
          <w:sz w:val="24"/>
          <w:szCs w:val="24"/>
          <w:lang w:val="fr-MC" w:eastAsia="ro-RO"/>
        </w:rPr>
        <w:t xml:space="preserve"> uman complet anti-interleukină (IL) 12/23 p40 produs de o linie celulară din mielom de origine murină, obţinut prin utilizarea tehnologiei recombinării ADN-ului.</w:t>
      </w:r>
    </w:p>
    <w:p w14:paraId="50D45F3B" w14:textId="77777777" w:rsidR="005D3C7A" w:rsidRPr="0049126A" w:rsidRDefault="005D3C7A" w:rsidP="005D3C7A">
      <w:pPr>
        <w:spacing w:before="100" w:beforeAutospacing="1" w:after="0" w:line="240" w:lineRule="auto"/>
        <w:rPr>
          <w:rFonts w:ascii="Times New Roman" w:eastAsia="Times New Roman" w:hAnsi="Times New Roman" w:cs="Times New Roman"/>
          <w:sz w:val="24"/>
          <w:szCs w:val="24"/>
          <w:u w:val="single"/>
          <w:lang w:val="fr-MC" w:eastAsia="en-GB"/>
        </w:rPr>
      </w:pPr>
      <w:r w:rsidRPr="0049126A">
        <w:rPr>
          <w:rFonts w:ascii="Times New Roman" w:eastAsia="Times New Roman" w:hAnsi="Times New Roman" w:cs="Times New Roman"/>
          <w:sz w:val="24"/>
          <w:szCs w:val="24"/>
          <w:u w:val="single"/>
          <w:lang w:val="fr-MC" w:eastAsia="en-GB"/>
        </w:rPr>
        <w:t>Adulti</w:t>
      </w:r>
    </w:p>
    <w:p w14:paraId="7E56388A" w14:textId="77777777" w:rsidR="005D3C7A" w:rsidRPr="0049126A" w:rsidRDefault="005D3C7A" w:rsidP="005D3C7A">
      <w:pPr>
        <w:spacing w:before="100" w:beforeAutospacing="1" w:after="100" w:afterAutospacing="1" w:line="240" w:lineRule="auto"/>
        <w:rPr>
          <w:rFonts w:ascii="Times New Roman" w:eastAsia="Times New Roman" w:hAnsi="Times New Roman" w:cs="Times New Roman"/>
          <w:sz w:val="24"/>
          <w:szCs w:val="24"/>
          <w:u w:val="single"/>
          <w:lang w:val="fr-MC" w:eastAsia="en-GB"/>
        </w:rPr>
      </w:pPr>
      <w:r w:rsidRPr="0049126A">
        <w:rPr>
          <w:rFonts w:ascii="Times New Roman" w:eastAsia="Times New Roman" w:hAnsi="Times New Roman" w:cs="Times New Roman"/>
          <w:sz w:val="24"/>
          <w:szCs w:val="24"/>
          <w:lang w:val="fr-MC" w:eastAsia="en-GB"/>
        </w:rPr>
        <w:t>Ustekinumab este indicat pentru tratamentul pacienţilor adulţi cu psoriazis în plăci, forme moderate până la severe, care au prezentat fie rezistenţă, fie contraindicaţii, fie intoleranţă la alte terapii sistemice incluzând ciclosporina, metotrexatul (MTX) sau PUVA (psoralen şi ultraviolete A).</w:t>
      </w:r>
    </w:p>
    <w:p w14:paraId="4CC40BB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Posologia recomandată pentru ustekinumab este o doză iniţială de 45 mg administrată subcutanat, urmată de o doză de 45 mg 4 săptămâni mai târziu, şi apoi la fiecare 12 săptămâni.</w:t>
      </w:r>
    </w:p>
    <w:p w14:paraId="1802D9A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La pacienţii care nu au răspuns după 28 săptămâni de tratament trebuie luată în considerare întreruperea tratamentului.</w:t>
      </w:r>
    </w:p>
    <w:p w14:paraId="4065AC6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Pacienţi cu greutate &gt; 100 kg</w:t>
      </w:r>
    </w:p>
    <w:p w14:paraId="179383C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Pentru pacienţii cu greutatea &gt; 100 kg doza iniţială este de 90 mg administrată subcutanat, urmată de o doză de 90 mg 4 săptămâni mai târziu, şi apoi la fiecare 12 săptămâni. De asemenea, la aceşti pacienţi, o doză de 45 mg a fost eficace. Cu toate acestea, doza de 90 mg a demonstrat o eficacitate mai mare.</w:t>
      </w:r>
    </w:p>
    <w:p w14:paraId="1132F7AF"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p>
    <w:p w14:paraId="6B54A34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p>
    <w:p w14:paraId="2907D4AC"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sz w:val="24"/>
          <w:szCs w:val="24"/>
          <w:u w:val="single"/>
          <w:lang w:val="fr-MC" w:eastAsia="ro-RO"/>
        </w:rPr>
        <w:t>Copii şi adolescenţi</w:t>
      </w:r>
    </w:p>
    <w:p w14:paraId="2C769F3B"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Calibri" w:hAnsi="Times New Roman" w:cs="Times New Roman"/>
          <w:sz w:val="24"/>
          <w:szCs w:val="24"/>
          <w:lang w:val="fr-MC" w:eastAsia="ro-RO"/>
        </w:rPr>
        <w:lastRenderedPageBreak/>
        <w:t xml:space="preserve">Tratamentul pacienţilor copii și adolescenți cu vârsta de 6 ani și peste, cu psoriazis în plăci, forme moderate până la severe, care nu obțin un control adecvat sau prezintă intoleranţă la alte terapii sistemice sau fototerapii </w:t>
      </w:r>
    </w:p>
    <w:p w14:paraId="5DC75E9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485B87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trike/>
          <w:sz w:val="24"/>
          <w:szCs w:val="24"/>
          <w:lang w:val="fr-MC" w:eastAsia="ro-RO"/>
        </w:rPr>
      </w:pPr>
      <w:r w:rsidRPr="0049126A">
        <w:rPr>
          <w:rFonts w:ascii="Times New Roman" w:eastAsia="Calibri" w:hAnsi="Times New Roman" w:cs="Times New Roman"/>
          <w:sz w:val="24"/>
          <w:szCs w:val="24"/>
          <w:lang w:val="fr-MC" w:eastAsia="en-GB"/>
        </w:rPr>
        <w:t>Doza recomandată de ustekinumab se administreaza în funcție de greutatea corporală. Ustekinumab trebuie administrat în Săptămânile 0 și 4 și ulterior o dată la 12 săptămâni.</w:t>
      </w:r>
    </w:p>
    <w:p w14:paraId="5902FB6F" w14:textId="77777777" w:rsidR="005D3C7A" w:rsidRPr="0049126A" w:rsidRDefault="005D3C7A" w:rsidP="005D3C7A">
      <w:pPr>
        <w:autoSpaceDE w:val="0"/>
        <w:autoSpaceDN w:val="0"/>
        <w:adjustRightInd w:val="0"/>
        <w:spacing w:after="0" w:line="240" w:lineRule="auto"/>
        <w:jc w:val="both"/>
        <w:rPr>
          <w:rFonts w:ascii="Times New Roman" w:eastAsia="Calibri" w:hAnsi="Times New Roman" w:cs="Times New Roman"/>
          <w:strike/>
          <w:sz w:val="24"/>
          <w:szCs w:val="24"/>
          <w:lang w:val="fr-MC" w:eastAsia="en-GB"/>
        </w:rPr>
      </w:pPr>
    </w:p>
    <w:p w14:paraId="6274A65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Doza de ustekinumab în funcţie de greutate pentru pacienţii copii şi adolescenţi:</w:t>
      </w:r>
    </w:p>
    <w:tbl>
      <w:tblPr>
        <w:tblW w:w="9776" w:type="dxa"/>
        <w:jc w:val="center"/>
        <w:tblCellMar>
          <w:top w:w="15" w:type="dxa"/>
          <w:left w:w="15" w:type="dxa"/>
          <w:bottom w:w="15" w:type="dxa"/>
          <w:right w:w="15" w:type="dxa"/>
        </w:tblCellMar>
        <w:tblLook w:val="04A0" w:firstRow="1" w:lastRow="0" w:firstColumn="1" w:lastColumn="0" w:noHBand="0" w:noVBand="1"/>
      </w:tblPr>
      <w:tblGrid>
        <w:gridCol w:w="4235"/>
        <w:gridCol w:w="5541"/>
      </w:tblGrid>
      <w:tr w:rsidR="0049126A" w:rsidRPr="0049126A" w14:paraId="20B75672" w14:textId="77777777" w:rsidTr="00300738">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01F4435"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Greutatea corporală în momentul administrării dozei </w:t>
            </w:r>
          </w:p>
        </w:tc>
        <w:tc>
          <w:tcPr>
            <w:tcW w:w="5541" w:type="dxa"/>
            <w:tcBorders>
              <w:top w:val="single" w:sz="4" w:space="0" w:color="000000"/>
              <w:left w:val="single" w:sz="4" w:space="0" w:color="000000"/>
              <w:bottom w:val="single" w:sz="4" w:space="0" w:color="000000"/>
              <w:right w:val="single" w:sz="4" w:space="0" w:color="000000"/>
            </w:tcBorders>
            <w:vAlign w:val="center"/>
            <w:hideMark/>
          </w:tcPr>
          <w:p w14:paraId="3A8879D9"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Doza recomandată </w:t>
            </w:r>
          </w:p>
        </w:tc>
      </w:tr>
      <w:tr w:rsidR="0049126A" w:rsidRPr="0049126A" w14:paraId="33EBD577" w14:textId="77777777" w:rsidTr="00300738">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347C1A5F"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&lt; 60 kg </w:t>
            </w:r>
          </w:p>
        </w:tc>
        <w:tc>
          <w:tcPr>
            <w:tcW w:w="5541" w:type="dxa"/>
            <w:tcBorders>
              <w:top w:val="single" w:sz="4" w:space="0" w:color="000000"/>
              <w:left w:val="single" w:sz="4" w:space="0" w:color="000000"/>
              <w:bottom w:val="single" w:sz="4" w:space="0" w:color="000000"/>
              <w:right w:val="single" w:sz="4" w:space="0" w:color="000000"/>
            </w:tcBorders>
            <w:vAlign w:val="center"/>
            <w:hideMark/>
          </w:tcPr>
          <w:p w14:paraId="180C88E1"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0,75 mg/kg </w:t>
            </w:r>
          </w:p>
        </w:tc>
      </w:tr>
      <w:tr w:rsidR="0049126A" w:rsidRPr="0049126A" w14:paraId="2411B9D6" w14:textId="77777777" w:rsidTr="00300738">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968F2C5"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 60 - ≤ 100 kg </w:t>
            </w:r>
          </w:p>
        </w:tc>
        <w:tc>
          <w:tcPr>
            <w:tcW w:w="5541" w:type="dxa"/>
            <w:tcBorders>
              <w:top w:val="single" w:sz="4" w:space="0" w:color="000000"/>
              <w:left w:val="single" w:sz="4" w:space="0" w:color="000000"/>
              <w:bottom w:val="single" w:sz="4" w:space="0" w:color="000000"/>
              <w:right w:val="single" w:sz="4" w:space="0" w:color="000000"/>
            </w:tcBorders>
            <w:vAlign w:val="center"/>
            <w:hideMark/>
          </w:tcPr>
          <w:p w14:paraId="4A3666C7"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45 mg </w:t>
            </w:r>
          </w:p>
        </w:tc>
      </w:tr>
      <w:tr w:rsidR="0049126A" w:rsidRPr="0049126A" w14:paraId="58C52D74" w14:textId="77777777" w:rsidTr="00300738">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14:paraId="5712FC8A"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&gt; 100 kg </w:t>
            </w:r>
          </w:p>
        </w:tc>
        <w:tc>
          <w:tcPr>
            <w:tcW w:w="5541" w:type="dxa"/>
            <w:tcBorders>
              <w:top w:val="single" w:sz="4" w:space="0" w:color="000000"/>
              <w:left w:val="single" w:sz="4" w:space="0" w:color="000000"/>
              <w:bottom w:val="single" w:sz="4" w:space="0" w:color="000000"/>
              <w:right w:val="single" w:sz="4" w:space="0" w:color="000000"/>
            </w:tcBorders>
            <w:vAlign w:val="center"/>
            <w:hideMark/>
          </w:tcPr>
          <w:p w14:paraId="0E6F2403" w14:textId="77777777" w:rsidR="005D3C7A" w:rsidRPr="0049126A" w:rsidRDefault="005D3C7A" w:rsidP="005D3C7A">
            <w:pPr>
              <w:spacing w:before="100" w:beforeAutospacing="1" w:after="100" w:afterAutospacing="1" w:line="240" w:lineRule="auto"/>
              <w:rPr>
                <w:rFonts w:ascii="Times New Roman" w:eastAsia="Calibri" w:hAnsi="Times New Roman" w:cs="Times New Roman"/>
                <w:sz w:val="20"/>
                <w:szCs w:val="20"/>
                <w:lang w:val="en-US" w:eastAsia="en-GB"/>
              </w:rPr>
            </w:pPr>
            <w:r w:rsidRPr="0049126A">
              <w:rPr>
                <w:rFonts w:ascii="Times New Roman" w:eastAsia="Calibri" w:hAnsi="Times New Roman" w:cs="Times New Roman"/>
                <w:sz w:val="20"/>
                <w:szCs w:val="20"/>
                <w:lang w:val="en-US" w:eastAsia="en-GB"/>
              </w:rPr>
              <w:t xml:space="preserve">90 mg </w:t>
            </w:r>
          </w:p>
        </w:tc>
      </w:tr>
    </w:tbl>
    <w:p w14:paraId="1F6D94FB" w14:textId="77777777" w:rsidR="005D3C7A" w:rsidRPr="0049126A" w:rsidRDefault="005D3C7A" w:rsidP="005D3C7A">
      <w:pPr>
        <w:spacing w:before="100" w:beforeAutospacing="1" w:after="100" w:afterAutospacing="1" w:line="240" w:lineRule="auto"/>
        <w:jc w:val="both"/>
        <w:rPr>
          <w:rFonts w:ascii="Times New Roman" w:eastAsia="Calibri" w:hAnsi="Times New Roman" w:cs="Times New Roman"/>
          <w:sz w:val="24"/>
          <w:szCs w:val="24"/>
          <w:lang w:val="fr-MC" w:eastAsia="en-GB"/>
        </w:rPr>
      </w:pPr>
      <w:r w:rsidRPr="0049126A">
        <w:rPr>
          <w:rFonts w:ascii="Times New Roman" w:eastAsia="Calibri" w:hAnsi="Times New Roman" w:cs="Times New Roman"/>
          <w:sz w:val="24"/>
          <w:szCs w:val="24"/>
          <w:lang w:eastAsia="en-GB"/>
        </w:rPr>
        <w:t xml:space="preserve">Pentru a calcula volumul injecției (ml) la pacienții &lt; 60 kg, utilizați formula următoare: greutatea corporală (kg) x 0,0083 (ml/kg). Volumul calculat trebuie rotunjit până la cea mai apropiată valoare de 0,01 ml și trebuie administrat folosind o seringă gradată de 1 ml. </w:t>
      </w:r>
      <w:r w:rsidRPr="0049126A">
        <w:rPr>
          <w:rFonts w:ascii="Times New Roman" w:eastAsia="Calibri" w:hAnsi="Times New Roman" w:cs="Times New Roman"/>
          <w:sz w:val="24"/>
          <w:szCs w:val="24"/>
          <w:lang w:val="fr-MC" w:eastAsia="en-GB"/>
        </w:rPr>
        <w:t xml:space="preserve">Este disponibil un flacon de 45 mg pentru pacienții copii și adolescenți care au nevoie de o doză inferioară celei de 45 mg. </w:t>
      </w:r>
    </w:p>
    <w:p w14:paraId="49F932DB" w14:textId="77777777" w:rsidR="005D3C7A" w:rsidRPr="0049126A" w:rsidRDefault="005D3C7A" w:rsidP="005D3C7A">
      <w:pPr>
        <w:numPr>
          <w:ilvl w:val="0"/>
          <w:numId w:val="52"/>
        </w:numPr>
        <w:autoSpaceDE w:val="0"/>
        <w:autoSpaceDN w:val="0"/>
        <w:adjustRightInd w:val="0"/>
        <w:spacing w:after="0" w:line="240" w:lineRule="auto"/>
        <w:ind w:left="0" w:firstLine="36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 xml:space="preserve">Guselkumab </w:t>
      </w:r>
      <w:r w:rsidRPr="0049126A">
        <w:rPr>
          <w:rFonts w:ascii="Times New Roman" w:eastAsia="Times New Roman" w:hAnsi="Times New Roman" w:cs="Times New Roman"/>
          <w:sz w:val="24"/>
          <w:szCs w:val="24"/>
          <w:lang w:val="fr-MC" w:eastAsia="ro-RO"/>
        </w:rPr>
        <w:t>este un anticorp monoclonal</w:t>
      </w:r>
      <w:r w:rsidRPr="0049126A">
        <w:rPr>
          <w:rFonts w:ascii="Times New Roman" w:eastAsia="Times New Roman" w:hAnsi="Times New Roman" w:cs="Times New Roman"/>
          <w:b/>
          <w:bCs/>
          <w:sz w:val="24"/>
          <w:szCs w:val="24"/>
          <w:lang w:val="fr-MC" w:eastAsia="ro-RO"/>
        </w:rPr>
        <w:t xml:space="preserve"> </w:t>
      </w:r>
      <w:r w:rsidRPr="0049126A">
        <w:rPr>
          <w:rFonts w:ascii="Times New Roman" w:eastAsia="Times New Roman" w:hAnsi="Times New Roman" w:cs="Times New Roman"/>
          <w:sz w:val="24"/>
          <w:szCs w:val="24"/>
          <w:lang w:val="fr-MC" w:eastAsia="ro-RO"/>
        </w:rPr>
        <w:t>uman complet de tip IGG1 care are ca tinta IL23 (interleukina23 p19) exprimat pe celule ovariene de hamster chinezesc (CHO) prin tehnologia ADN-ului recombinat.</w:t>
      </w:r>
    </w:p>
    <w:p w14:paraId="7820D4F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Guselkumab este indicat pentru tratamentul psoriazisului vulgar forma moderat-severa la pacientii adulti care sunt eligibili pentru terapie sistemică.</w:t>
      </w:r>
    </w:p>
    <w:p w14:paraId="1E963C8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sz w:val="24"/>
          <w:szCs w:val="24"/>
          <w:lang w:val="fr-MC" w:eastAsia="ro-RO"/>
        </w:rPr>
        <w:t>Doza terapeutica recomandata este de 100 mg administrata subcutanat in saptamanile 0, 4, urmata de o doza de intretinere la fiecare 8 saptamani. Se poate lua in considerare oprirea tratamentului pentru pacientii care nu au prezentat niciun raspuns dupa 16 saptamani de tratament.</w:t>
      </w:r>
    </w:p>
    <w:p w14:paraId="049BEC9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6CD13560" w14:textId="77777777" w:rsidR="005D3C7A" w:rsidRPr="0049126A" w:rsidRDefault="005D3C7A" w:rsidP="002161CA">
      <w:pPr>
        <w:numPr>
          <w:ilvl w:val="0"/>
          <w:numId w:val="236"/>
        </w:numPr>
        <w:tabs>
          <w:tab w:val="left" w:pos="156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 xml:space="preserve">Risankizumab </w:t>
      </w:r>
      <w:r w:rsidRPr="0049126A">
        <w:rPr>
          <w:rFonts w:ascii="Times New Roman" w:eastAsia="Times New Roman" w:hAnsi="Times New Roman" w:cs="Times New Roman"/>
          <w:sz w:val="24"/>
          <w:szCs w:val="24"/>
          <w:lang w:val="fr-MC" w:eastAsia="ro-RO"/>
        </w:rPr>
        <w:t>este un anticorp monoclonal umanizat de tip IGG1,care are ca tinta IL23 (interleukina23</w:t>
      </w:r>
    </w:p>
    <w:p w14:paraId="30F984C2" w14:textId="77777777" w:rsidR="005D3C7A" w:rsidRPr="0049126A" w:rsidRDefault="005D3C7A" w:rsidP="005D3C7A">
      <w:pPr>
        <w:tabs>
          <w:tab w:val="left" w:pos="1560"/>
        </w:tabs>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p19), produs in celulele ovariene de hamster chinezesc (CHO) prin tehnologia ADN-ului recombinat.</w:t>
      </w:r>
    </w:p>
    <w:p w14:paraId="6F66DB1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Risankizumab este indicat in tratamentul psoriazisului vulgar forma moderat-severa la pacientii adulti care sunt eligibili pentru terapie sistemică.</w:t>
      </w:r>
    </w:p>
    <w:p w14:paraId="57EF1E2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Doza terapeutica recomandata este de 150 mg administrata subcutanat in saptamanile 0, 4 si apoi la intervale de 12 saptamani.</w:t>
      </w:r>
    </w:p>
    <w:p w14:paraId="0B64852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Pentru pacientii care nu prezinta niciun raspuns dupa 16 saptamani trebuie luata in considerare oprirea tratamentului.La unii pacienti cu raspuns slab,raspunsul se poate imbunatati prin continuarea tratamentului pe o perioada mai lunga de 16 saptamani</w:t>
      </w:r>
    </w:p>
    <w:p w14:paraId="2A53F6F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723723FF" w14:textId="77777777" w:rsidR="005D3C7A" w:rsidRPr="0049126A" w:rsidRDefault="005D3C7A" w:rsidP="002161CA">
      <w:pPr>
        <w:numPr>
          <w:ilvl w:val="0"/>
          <w:numId w:val="236"/>
        </w:numPr>
        <w:pBdr>
          <w:top w:val="nil"/>
          <w:left w:val="nil"/>
          <w:bottom w:val="nil"/>
          <w:right w:val="nil"/>
          <w:between w:val="nil"/>
          <w:bar w:val="nil"/>
        </w:pBdr>
        <w:tabs>
          <w:tab w:val="left" w:pos="709"/>
          <w:tab w:val="left" w:pos="1560"/>
        </w:tabs>
        <w:spacing w:after="0" w:line="240" w:lineRule="auto"/>
        <w:contextualSpacing/>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eastAsia="ro-RO"/>
        </w:rPr>
        <w:t xml:space="preserve">Tildrakizumab </w:t>
      </w:r>
      <w:r w:rsidRPr="0049126A">
        <w:rPr>
          <w:rFonts w:ascii="Times New Roman" w:eastAsia="Times New Roman" w:hAnsi="Times New Roman" w:cs="Times New Roman"/>
          <w:sz w:val="24"/>
          <w:szCs w:val="24"/>
          <w:lang w:val="fr-MC" w:eastAsia="ro-RO"/>
        </w:rPr>
        <w:t xml:space="preserve"> este un anticorp monoclonal IgG1/k umanizat produs în celule de hamster chinezesc</w:t>
      </w:r>
    </w:p>
    <w:p w14:paraId="486CD08B" w14:textId="77777777" w:rsidR="005D3C7A" w:rsidRPr="0049126A" w:rsidRDefault="005D3C7A" w:rsidP="005D3C7A">
      <w:pPr>
        <w:pBdr>
          <w:top w:val="nil"/>
          <w:left w:val="nil"/>
          <w:bottom w:val="nil"/>
          <w:right w:val="nil"/>
          <w:between w:val="nil"/>
          <w:bar w:val="nil"/>
        </w:pBdr>
        <w:tabs>
          <w:tab w:val="left" w:pos="709"/>
          <w:tab w:val="left" w:pos="1560"/>
        </w:tabs>
        <w:spacing w:after="0" w:line="240" w:lineRule="auto"/>
        <w:contextualSpacing/>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(OHC) prin tehnologia ADN-ului recombinat. Tildrakizumab se leagă în mod specific de subunitatea proteinei p19 a citokinei interleukină-23 (IL-23)  și inhibă interacțiunea acesteia cu receptorul IL-23 (o citokină care apare în mod natural în corp și care este implicată în răspunsurile inflamatorii și imunitare). Prin această acțiune Tildrakizumab inhibă eliberarea de citokine și chemokine proinflamatorii.</w:t>
      </w:r>
      <w:bookmarkStart w:id="43" w:name="_Hlk92301164"/>
    </w:p>
    <w:p w14:paraId="11893559" w14:textId="77777777" w:rsidR="005D3C7A" w:rsidRPr="0049126A" w:rsidRDefault="005D3C7A" w:rsidP="005D3C7A">
      <w:pPr>
        <w:spacing w:after="0" w:line="240" w:lineRule="auto"/>
        <w:rPr>
          <w:rFonts w:ascii="Times New Roman" w:eastAsia="Calibri" w:hAnsi="Times New Roman" w:cs="Times New Roman"/>
          <w:sz w:val="24"/>
          <w:szCs w:val="24"/>
          <w:lang w:val="fr-MC" w:eastAsia="ro-RO"/>
        </w:rPr>
      </w:pPr>
      <w:r w:rsidRPr="0049126A">
        <w:rPr>
          <w:rFonts w:ascii="Times New Roman" w:eastAsia="Calibri" w:hAnsi="Times New Roman" w:cs="Times New Roman"/>
          <w:sz w:val="24"/>
          <w:szCs w:val="24"/>
          <w:lang w:val="fr-MC" w:eastAsia="ro-RO"/>
        </w:rPr>
        <w:t>Tildrakizumab</w:t>
      </w:r>
      <w:bookmarkEnd w:id="43"/>
      <w:r w:rsidRPr="0049126A">
        <w:rPr>
          <w:rFonts w:ascii="Times New Roman" w:eastAsia="Calibri" w:hAnsi="Times New Roman" w:cs="Times New Roman"/>
          <w:sz w:val="24"/>
          <w:szCs w:val="24"/>
          <w:lang w:val="x-none" w:eastAsia="ro-RO"/>
        </w:rPr>
        <w:t xml:space="preserve"> este indicat în tratamentul psoriazisului în plăci cronic, moderat până la sever, la pacienţi adulţi care sunt eligibili pentru tratamentul s</w:t>
      </w:r>
      <w:r w:rsidRPr="0049126A">
        <w:rPr>
          <w:rFonts w:ascii="Times New Roman" w:eastAsia="Calibri" w:hAnsi="Times New Roman" w:cs="Times New Roman"/>
          <w:sz w:val="24"/>
          <w:szCs w:val="24"/>
          <w:lang w:val="fr-MC" w:eastAsia="ro-RO"/>
        </w:rPr>
        <w:t>i</w:t>
      </w:r>
      <w:r w:rsidRPr="0049126A">
        <w:rPr>
          <w:rFonts w:ascii="Times New Roman" w:eastAsia="Calibri" w:hAnsi="Times New Roman" w:cs="Times New Roman"/>
          <w:sz w:val="24"/>
          <w:szCs w:val="24"/>
          <w:lang w:val="x-none" w:eastAsia="ro-RO"/>
        </w:rPr>
        <w:t>stemic</w:t>
      </w:r>
      <w:r w:rsidRPr="0049126A">
        <w:rPr>
          <w:rFonts w:ascii="Times New Roman" w:eastAsia="Calibri" w:hAnsi="Times New Roman" w:cs="Times New Roman"/>
          <w:sz w:val="24"/>
          <w:szCs w:val="24"/>
          <w:lang w:val="fr-MC" w:eastAsia="ro-RO"/>
        </w:rPr>
        <w:t xml:space="preserve">. Doza recomandată de Tildrakizumab este de 100 mg administrată prin injecție subcutanată în săptămânile 0 și 4 și ulterior la interval de 12 săptămâni. </w:t>
      </w:r>
      <w:r w:rsidRPr="0049126A">
        <w:rPr>
          <w:rFonts w:ascii="Times New Roman" w:eastAsia="Calibri" w:hAnsi="Times New Roman" w:cs="Times New Roman"/>
          <w:b/>
          <w:bCs/>
          <w:sz w:val="24"/>
          <w:szCs w:val="24"/>
          <w:lang w:val="fr-MC" w:eastAsia="ro-RO"/>
        </w:rPr>
        <w:t>Pentru pacienții cu greutate corporală ≥ 90 kg la care după trei luni nu s-a obținut un răspuns satisfăcător sau care pe parcursul terapiei încep să piardă răspunsul se poate utiliza doza de 200 mg pentru o perioadă de maxim 3 luni și numai o singură data.</w:t>
      </w:r>
      <w:r w:rsidRPr="0049126A">
        <w:rPr>
          <w:rFonts w:ascii="Times New Roman" w:eastAsia="Calibri" w:hAnsi="Times New Roman" w:cs="Times New Roman"/>
          <w:sz w:val="24"/>
          <w:szCs w:val="24"/>
          <w:lang w:val="fr-MC" w:eastAsia="ro-RO"/>
        </w:rPr>
        <w:t xml:space="preserve"> </w:t>
      </w:r>
    </w:p>
    <w:p w14:paraId="57D04A6F" w14:textId="77777777" w:rsidR="005D3C7A" w:rsidRPr="0049126A" w:rsidRDefault="005D3C7A" w:rsidP="005D3C7A">
      <w:pPr>
        <w:spacing w:after="0" w:line="240" w:lineRule="auto"/>
        <w:rPr>
          <w:rFonts w:ascii="Times New Roman" w:eastAsia="Calibri" w:hAnsi="Times New Roman" w:cs="Times New Roman"/>
          <w:sz w:val="24"/>
          <w:szCs w:val="24"/>
          <w:lang w:val="fr-MC" w:eastAsia="ro-RO"/>
        </w:rPr>
      </w:pPr>
      <w:r w:rsidRPr="0049126A">
        <w:rPr>
          <w:rFonts w:ascii="Times New Roman" w:eastAsia="Calibri" w:hAnsi="Times New Roman" w:cs="Times New Roman"/>
          <w:sz w:val="24"/>
          <w:szCs w:val="24"/>
          <w:lang w:val="fr-MC" w:eastAsia="ro-RO"/>
        </w:rPr>
        <w:t>La întreruperea tratamentului, trebuie adoptată o atitudine atentă la pacienții care nu au demonstrat niciun răspuns după 28 de săptămâni de tratament.</w:t>
      </w:r>
    </w:p>
    <w:p w14:paraId="6CC45984" w14:textId="77777777" w:rsidR="005D3C7A" w:rsidRPr="0049126A" w:rsidRDefault="005D3C7A" w:rsidP="005D3C7A">
      <w:pPr>
        <w:spacing w:after="0" w:line="240" w:lineRule="auto"/>
        <w:rPr>
          <w:rFonts w:ascii="Times New Roman" w:eastAsia="Calibri" w:hAnsi="Times New Roman" w:cs="Times New Roman"/>
          <w:sz w:val="24"/>
          <w:szCs w:val="24"/>
          <w:lang w:val="fr-MC" w:eastAsia="ro-RO"/>
        </w:rPr>
      </w:pPr>
      <w:r w:rsidRPr="0049126A">
        <w:rPr>
          <w:rFonts w:ascii="Times New Roman" w:eastAsia="Calibri" w:hAnsi="Times New Roman" w:cs="Times New Roman"/>
          <w:sz w:val="24"/>
          <w:szCs w:val="24"/>
          <w:lang w:val="fr-MC" w:eastAsia="ro-RO"/>
        </w:rPr>
        <w:lastRenderedPageBreak/>
        <w:t xml:space="preserve">Tildrakizumab se administrează prin injecție subcutanată. Locurile de injectare trebuie alternate. Tildrakizumab nu trebuie injectat în zone unde pielea este afectată de psoriazis în plăci sau este sensibilă, învinețită, eritematoasă sau infiltrată. </w:t>
      </w:r>
    </w:p>
    <w:p w14:paraId="43AB0AF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3CFD8A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Terapii cu molecule mici cu actiune intracelulara disponibile in Romania</w:t>
      </w:r>
    </w:p>
    <w:p w14:paraId="27B675D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1DD3EC1D" w14:textId="77777777" w:rsidR="005D3C7A" w:rsidRPr="0049126A" w:rsidRDefault="005D3C7A" w:rsidP="005D3C7A">
      <w:pPr>
        <w:numPr>
          <w:ilvl w:val="0"/>
          <w:numId w:val="52"/>
        </w:numPr>
        <w:pBdr>
          <w:top w:val="nil"/>
          <w:left w:val="nil"/>
          <w:bottom w:val="nil"/>
          <w:right w:val="nil"/>
          <w:between w:val="nil"/>
          <w:bar w:val="nil"/>
        </w:pBdr>
        <w:autoSpaceDE w:val="0"/>
        <w:autoSpaceDN w:val="0"/>
        <w:adjustRightInd w:val="0"/>
        <w:spacing w:after="0" w:line="240" w:lineRule="auto"/>
        <w:ind w:left="0" w:firstLine="36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Apremilast</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sz w:val="24"/>
          <w:szCs w:val="24"/>
          <w:lang w:val="fr-MC" w:eastAsia="ro-RO"/>
        </w:rPr>
        <w:t>face obiectul unui contract cost-volum)</w:t>
      </w:r>
      <w:r w:rsidRPr="0049126A">
        <w:rPr>
          <w:rFonts w:ascii="Times New Roman" w:eastAsia="Times New Roman" w:hAnsi="Times New Roman" w:cs="Times New Roman"/>
          <w:sz w:val="24"/>
          <w:szCs w:val="24"/>
          <w:lang w:val="fr-MC" w:eastAsia="ro-RO"/>
        </w:rPr>
        <w:t xml:space="preserve"> este un inhibitor cu molecule mici al fosfodiesterazei de tip 4 (PDE4) cu administrare orală. Apremilast  acționează la nivel intracelular si moduleaza o rețea de mediatori proinflamatori. Inhibarea PDE4 crește valorile intracelulare ale cAMP, ceea ce la rândul său reglează descrescător răspunsul inflamator modulând exprimarea TNF-</w:t>
      </w:r>
      <w:r w:rsidRPr="0049126A">
        <w:rPr>
          <w:rFonts w:ascii="Times New Roman" w:eastAsia="Times New Roman" w:hAnsi="Times New Roman" w:cs="Times New Roman"/>
          <w:sz w:val="24"/>
          <w:szCs w:val="24"/>
          <w:lang w:val="en-US" w:eastAsia="ro-RO"/>
        </w:rPr>
        <w:t>α</w:t>
      </w:r>
      <w:r w:rsidRPr="0049126A">
        <w:rPr>
          <w:rFonts w:ascii="Times New Roman" w:eastAsia="Times New Roman" w:hAnsi="Times New Roman" w:cs="Times New Roman"/>
          <w:sz w:val="24"/>
          <w:szCs w:val="24"/>
          <w:lang w:val="fr-MC" w:eastAsia="ro-RO"/>
        </w:rPr>
        <w:t>, IL-23, IL-17 și a altor citokine inflamatorii.</w:t>
      </w:r>
      <w:r w:rsidRPr="0049126A">
        <w:rPr>
          <w:rFonts w:ascii="Times New Roman" w:eastAsia="Calibri" w:hAnsi="Times New Roman" w:cs="Times New Roman"/>
          <w:sz w:val="24"/>
          <w:szCs w:val="24"/>
          <w:lang w:val="x-none" w:eastAsia="ro-RO"/>
        </w:rPr>
        <w:t xml:space="preserve"> </w:t>
      </w:r>
    </w:p>
    <w:p w14:paraId="6615C5B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sz w:val="24"/>
          <w:szCs w:val="24"/>
          <w:lang w:val="fr-MC" w:eastAsia="ro-RO"/>
        </w:rPr>
        <w:t>Doza recomandată de apremilast la pacientii adulti este de 30 mg, administrată pe cale orală de două ori pe zi (dimineața și seara), la interval de aproximativ 12 ore, fără restricții alimentare. Este necesar un program inițial de creștere treptată a dozelor. Dacă pacienții omit o doză, următoarea doză trebuie administrată cât mai curând posibil. Dacă se apropie ora pentru următoarea doză, doza omisă nu trebuie administrată, iar doza următoare trebuie administrată la ora obișnuită.</w:t>
      </w:r>
    </w:p>
    <w:p w14:paraId="6C4DD0C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004EFB9F"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 xml:space="preserve">Criterii de includere în tratamentul cu agenţi biologici sau terapii cu molecule mici cu actiune intracelulara pentru pacienţii adulţi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b/>
          <w:bCs/>
          <w:sz w:val="24"/>
          <w:szCs w:val="24"/>
          <w:u w:val="single"/>
          <w:lang w:val="fr-MC" w:eastAsia="ro-RO"/>
        </w:rPr>
        <w:t>peste 18 ani</w:t>
      </w:r>
      <w:r w:rsidRPr="0049126A">
        <w:rPr>
          <w:rFonts w:ascii="Times New Roman" w:eastAsia="Times New Roman" w:hAnsi="Times New Roman" w:cs="Times New Roman"/>
          <w:sz w:val="24"/>
          <w:szCs w:val="24"/>
          <w:u w:val="single"/>
          <w:lang w:val="fr-MC" w:eastAsia="ro-RO"/>
        </w:rPr>
        <w:t>)</w:t>
      </w:r>
    </w:p>
    <w:p w14:paraId="7117C58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Criterii de eligibilitate ale pacienţilor adulţi pentru tratamentul cu agenţi biologici:</w:t>
      </w:r>
    </w:p>
    <w:p w14:paraId="38017974"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suferă de psoriazis vulgar sever (afectare peste 10% din S corp sau PASI ≥10 sau leziuni dispuse la nivelul unor regiuni topografice asociate cu afectare semnificativă funcţională şi/sau cu nivel înalt de suferinţă şi/sau dificil de tratat: regiunea feţei, scalpul, palmele, plantele, unghiile, regiunea genitală, pliurile mari-cuantificate prin scorurile specifice de zonă - NAPSI ≥ 32, PSSI ≥ 24, ESIF ≥ 16) de peste 6 luni Cand pacientul prezinta leziuni atat in zonele speciale cat si in alte zone ale corpului si se pot calcula ambele scoruri(de ex. PASI si PSSI) se ia in consideratie scorul cel mai sever</w:t>
      </w:r>
    </w:p>
    <w:p w14:paraId="2B9D1BD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şi</w:t>
      </w:r>
    </w:p>
    <w:p w14:paraId="45424353"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DLQI ≥ 10</w:t>
      </w:r>
    </w:p>
    <w:p w14:paraId="1A1DABC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şi</w:t>
      </w:r>
    </w:p>
    <w:p w14:paraId="7F53EF52"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să fie un candidat eligibil pentru terapie biologică</w:t>
      </w:r>
    </w:p>
    <w:p w14:paraId="52110A8F" w14:textId="77777777" w:rsidR="005D3C7A" w:rsidRPr="0049126A" w:rsidRDefault="005D3C7A" w:rsidP="005D3C7A">
      <w:pPr>
        <w:tabs>
          <w:tab w:val="left" w:pos="284"/>
          <w:tab w:val="left" w:pos="567"/>
        </w:tabs>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şi</w:t>
      </w:r>
    </w:p>
    <w:p w14:paraId="72CEEDD5"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eşecul, intoleranţa sau contraindicaţia terapiei clasice sistemice după cum urmează îndeplinirea a cel puţin unul din următoarele criterii:</w:t>
      </w:r>
    </w:p>
    <w:p w14:paraId="0786F513"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sz w:val="24"/>
          <w:szCs w:val="24"/>
          <w:lang w:val="fr-MC" w:eastAsia="ro-RO"/>
        </w:rPr>
        <w:t xml:space="preserve">a devenit ne-responsiv la terapiile clasice sistemice (răspuns clinic nesatisfăcător reprezentat de îmbunătăţire a scorului PASI cu mai puţin de 50% din scorul la iniţierea tratamentului respectiv îmbunătăţire cu mai puţin de 50% a manifestărilor clinice de la nivelul regiunilor topografice speciale (NAPSI, PSSI, ESIF) de la iniţierea tratamentului </w:t>
      </w:r>
      <w:r w:rsidRPr="0049126A">
        <w:rPr>
          <w:rFonts w:ascii="Times New Roman" w:eastAsia="Times New Roman" w:hAnsi="Times New Roman" w:cs="Times New Roman"/>
          <w:b/>
          <w:bCs/>
          <w:sz w:val="24"/>
          <w:szCs w:val="24"/>
          <w:lang w:val="fr-MC" w:eastAsia="ro-RO"/>
        </w:rPr>
        <w:t>şi</w:t>
      </w:r>
    </w:p>
    <w:p w14:paraId="5F749492" w14:textId="77777777" w:rsidR="005D3C7A" w:rsidRPr="0049126A" w:rsidRDefault="005D3C7A" w:rsidP="005D3C7A">
      <w:pPr>
        <w:autoSpaceDE w:val="0"/>
        <w:autoSpaceDN w:val="0"/>
        <w:adjustRightInd w:val="0"/>
        <w:spacing w:after="0" w:line="240" w:lineRule="auto"/>
        <w:ind w:left="127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îmbunătăţire a scorului DLQI cu mai puţin de 5 puncte faţă de scorul de la iniţierea tratamentului, după cel puţin 6 luni de tratament (efectuat în ultimele 12 luni) la doze terapeutice şi cu o durată de minim 3 luni pentru fiecare tip de tratament (de exemplu):</w:t>
      </w:r>
    </w:p>
    <w:p w14:paraId="1674877F" w14:textId="77777777" w:rsidR="005D3C7A" w:rsidRPr="0049126A" w:rsidRDefault="005D3C7A" w:rsidP="005D3C7A">
      <w:pPr>
        <w:numPr>
          <w:ilvl w:val="0"/>
          <w:numId w:val="58"/>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metotrexat 15 mg - 30 mg/săptămână</w:t>
      </w:r>
    </w:p>
    <w:p w14:paraId="0F7EE08A" w14:textId="77777777" w:rsidR="005D3C7A" w:rsidRPr="0049126A" w:rsidRDefault="005D3C7A" w:rsidP="005D3C7A">
      <w:pPr>
        <w:numPr>
          <w:ilvl w:val="0"/>
          <w:numId w:val="58"/>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acitretin 25 - 50 mg zilnic</w:t>
      </w:r>
    </w:p>
    <w:p w14:paraId="1178D9F7" w14:textId="77777777" w:rsidR="005D3C7A" w:rsidRPr="0049126A" w:rsidRDefault="005D3C7A" w:rsidP="005D3C7A">
      <w:pPr>
        <w:numPr>
          <w:ilvl w:val="0"/>
          <w:numId w:val="58"/>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ciclosporină 2 - 5 mg/kgc zilnic</w:t>
      </w:r>
    </w:p>
    <w:p w14:paraId="644E8550" w14:textId="77777777" w:rsidR="005D3C7A" w:rsidRPr="0049126A" w:rsidRDefault="005D3C7A" w:rsidP="005D3C7A">
      <w:pPr>
        <w:numPr>
          <w:ilvl w:val="0"/>
          <w:numId w:val="58"/>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fototerapie UVB cu bandă îngustă sau PUVA terapie (minim 4 sedinte/saptamana)</w:t>
      </w:r>
    </w:p>
    <w:p w14:paraId="335D2AD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sau</w:t>
      </w:r>
    </w:p>
    <w:p w14:paraId="1840B58D"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 devenit intolerant sau are contraindicaţii sau nu se pot administra terapiile clasice sistemice</w:t>
      </w:r>
    </w:p>
    <w:p w14:paraId="05818DF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sau</w:t>
      </w:r>
    </w:p>
    <w:p w14:paraId="5630B305"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este la risc să dezvolte toxicitate la terapiile clasice sistemice folosite (de exemplu depăşirea dozei maxime recomandate), iar alte terapii alternative nu pot fi folosite</w:t>
      </w:r>
    </w:p>
    <w:p w14:paraId="2550A2A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lastRenderedPageBreak/>
        <w:t xml:space="preserve">               </w:t>
      </w:r>
      <w:r w:rsidRPr="0049126A">
        <w:rPr>
          <w:rFonts w:ascii="Times New Roman" w:eastAsia="Times New Roman" w:hAnsi="Times New Roman" w:cs="Times New Roman"/>
          <w:b/>
          <w:bCs/>
          <w:sz w:val="24"/>
          <w:szCs w:val="24"/>
          <w:lang w:val="en-US" w:eastAsia="ro-RO"/>
        </w:rPr>
        <w:t>sau</w:t>
      </w:r>
    </w:p>
    <w:p w14:paraId="217DBB37"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are o boală cu recădere rapidă ce nu poate fi controlată decât prin spitalizări repetate.</w:t>
      </w:r>
    </w:p>
    <w:p w14:paraId="6F83E3D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w:t>
      </w:r>
    </w:p>
    <w:p w14:paraId="31C8145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en-US" w:eastAsia="ro-RO"/>
        </w:rPr>
      </w:pPr>
      <w:r w:rsidRPr="0049126A">
        <w:rPr>
          <w:rFonts w:ascii="Times New Roman" w:eastAsia="Times New Roman" w:hAnsi="Times New Roman" w:cs="Times New Roman"/>
          <w:b/>
          <w:bCs/>
          <w:sz w:val="24"/>
          <w:szCs w:val="24"/>
          <w:u w:val="single"/>
          <w:lang w:val="en-US" w:eastAsia="ro-RO"/>
        </w:rPr>
        <w:t xml:space="preserve">Criterii de includere în tratamentul cu agenţi biologici pentru pacienţii copii </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b/>
          <w:bCs/>
          <w:sz w:val="24"/>
          <w:szCs w:val="24"/>
          <w:u w:val="single"/>
          <w:lang w:val="en-US" w:eastAsia="ro-RO"/>
        </w:rPr>
        <w:t>cu vârstă între 4 şi 18 ani</w:t>
      </w:r>
      <w:r w:rsidRPr="0049126A">
        <w:rPr>
          <w:rFonts w:ascii="Times New Roman" w:eastAsia="Times New Roman" w:hAnsi="Times New Roman" w:cs="Times New Roman"/>
          <w:sz w:val="24"/>
          <w:szCs w:val="24"/>
          <w:u w:val="single"/>
          <w:lang w:val="en-US" w:eastAsia="ro-RO"/>
        </w:rPr>
        <w:t>)</w:t>
      </w:r>
    </w:p>
    <w:p w14:paraId="63C1C6E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w:t>
      </w:r>
    </w:p>
    <w:p w14:paraId="1BF7FEE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Criterii de eligibilitate ale pacienţilor copii (4 - 18 ani) pentru tratamentul cu agenţi biologici:</w:t>
      </w:r>
    </w:p>
    <w:p w14:paraId="13F9E6B7"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pacientul suferă de psoriazis vulgar sever (afectare peste 10% din S corp sau PASI ≥ 10 sau leziuni dispuse la nivelul unor regiuni topografice asociate cu afectare semnificativă funcţională şi/sau cu nivel înalt de suferinţă şi/sau dificil de tratat: regiunea feţei, scalpul, palmele, plantele, unghiile, regiunea genitală, pliurile mari - cuantificate prin scorurile specifice de zonă – </w:t>
      </w:r>
      <w:bookmarkStart w:id="44" w:name="_Hlk115973337"/>
      <w:r w:rsidRPr="0049126A">
        <w:rPr>
          <w:rFonts w:ascii="Times New Roman" w:eastAsia="Times New Roman" w:hAnsi="Times New Roman" w:cs="Times New Roman"/>
          <w:sz w:val="24"/>
          <w:szCs w:val="24"/>
          <w:lang w:val="fr-MC" w:eastAsia="ro-RO"/>
        </w:rPr>
        <w:t>NAPSI ≥ 32, PSSI ≥ 24, ESIF ≥ 16</w:t>
      </w:r>
      <w:bookmarkEnd w:id="44"/>
      <w:r w:rsidRPr="0049126A">
        <w:rPr>
          <w:rFonts w:ascii="Times New Roman" w:eastAsia="Times New Roman" w:hAnsi="Times New Roman" w:cs="Times New Roman"/>
          <w:sz w:val="24"/>
          <w:szCs w:val="24"/>
          <w:lang w:val="fr-MC" w:eastAsia="ro-RO"/>
        </w:rPr>
        <w:t>) de peste 6 luni .</w:t>
      </w:r>
      <w:bookmarkStart w:id="45" w:name="_Hlk54538529"/>
      <w:r w:rsidRPr="0049126A">
        <w:rPr>
          <w:rFonts w:ascii="Times New Roman" w:eastAsia="Times New Roman" w:hAnsi="Times New Roman" w:cs="Times New Roman"/>
          <w:sz w:val="24"/>
          <w:szCs w:val="24"/>
          <w:lang w:val="fr-MC" w:eastAsia="ro-RO"/>
        </w:rPr>
        <w:t xml:space="preserve"> Cand pacientul prezinta leziuni atat in zonele speciale cat si in alte zone ale corpului si se pot calcula ambele scoruri (de ex. PASI si PSSI) se ia in consideratie scorul cel mai sever</w:t>
      </w:r>
      <w:bookmarkEnd w:id="45"/>
      <w:r w:rsidRPr="0049126A">
        <w:rPr>
          <w:rFonts w:ascii="Times New Roman" w:eastAsia="Times New Roman" w:hAnsi="Times New Roman" w:cs="Times New Roman"/>
          <w:sz w:val="24"/>
          <w:szCs w:val="24"/>
          <w:lang w:val="fr-MC" w:eastAsia="ro-RO"/>
        </w:rPr>
        <w:t>.</w:t>
      </w:r>
    </w:p>
    <w:p w14:paraId="7514C05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şi</w:t>
      </w:r>
    </w:p>
    <w:p w14:paraId="3822A1FE"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pacientul are vârstă între 4 - 18 ani</w:t>
      </w:r>
    </w:p>
    <w:p w14:paraId="23AD5A8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şi</w:t>
      </w:r>
    </w:p>
    <w:p w14:paraId="4C76AAEF"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scor cDLQI ≥ 10</w:t>
      </w:r>
    </w:p>
    <w:p w14:paraId="7F886E0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şi</w:t>
      </w:r>
    </w:p>
    <w:p w14:paraId="2FF1451A"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să fie un candidat eligibil pentru terapie biologică</w:t>
      </w:r>
    </w:p>
    <w:p w14:paraId="55F4D26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şi</w:t>
      </w:r>
    </w:p>
    <w:p w14:paraId="2C37CE92"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eşecul, intoleranţa sau contraindicaţia terapiei clasice sistemice după cum urmează (îndeplinirea a cel puţin unul din următoarele criterii):</w:t>
      </w:r>
    </w:p>
    <w:p w14:paraId="73FC9020"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a devenit ne-responsiv la terapiile clasice sistemice (răspuns clinic nesatisfăcător reprezentat de îmbunătăţire a scorului PASI cu mai puţin de 50% din scorul la iniţierea tratamentului respectiv îmbunătăţire cu mai puţin de 50% a manifestărilor clinice de la nivelul regiunilor topografice speciale de la iniţierea tratamentului </w:t>
      </w:r>
      <w:r w:rsidRPr="0049126A">
        <w:rPr>
          <w:rFonts w:ascii="Times New Roman" w:eastAsia="Times New Roman" w:hAnsi="Times New Roman" w:cs="Times New Roman"/>
          <w:b/>
          <w:bCs/>
          <w:sz w:val="24"/>
          <w:szCs w:val="24"/>
          <w:lang w:val="fr-MC" w:eastAsia="ro-RO"/>
        </w:rPr>
        <w:t>şi</w:t>
      </w:r>
      <w:r w:rsidRPr="0049126A">
        <w:rPr>
          <w:rFonts w:ascii="Times New Roman" w:eastAsia="Times New Roman" w:hAnsi="Times New Roman" w:cs="Times New Roman"/>
          <w:sz w:val="24"/>
          <w:szCs w:val="24"/>
          <w:lang w:val="fr-MC" w:eastAsia="ro-RO"/>
        </w:rPr>
        <w:t xml:space="preserve"> îmbunătăţire a scorului cDLQI cu mai puţin de 5 puncte faţă de scorul de la iniţierea tratamentului, după cel puţin 6 luni de tratament (efectuat în ultimele 12 luni) la doze terapeutice şi cu o durată de minim 3 luni pentru fiecare tip de tratament (de exemplu):</w:t>
      </w:r>
    </w:p>
    <w:p w14:paraId="3B321AB4" w14:textId="77777777" w:rsidR="005D3C7A" w:rsidRPr="0049126A" w:rsidRDefault="005D3C7A" w:rsidP="005D3C7A">
      <w:pPr>
        <w:numPr>
          <w:ilvl w:val="0"/>
          <w:numId w:val="59"/>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metotrexat 0,2 - 0,7 mg/kg corp/săptămână</w:t>
      </w:r>
    </w:p>
    <w:p w14:paraId="0C3747A1" w14:textId="77777777" w:rsidR="005D3C7A" w:rsidRPr="0049126A" w:rsidRDefault="005D3C7A" w:rsidP="005D3C7A">
      <w:pPr>
        <w:numPr>
          <w:ilvl w:val="0"/>
          <w:numId w:val="59"/>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acitretin 0,5 - 1 /kg corp zilnic</w:t>
      </w:r>
    </w:p>
    <w:p w14:paraId="3FC3B5F8" w14:textId="77777777" w:rsidR="005D3C7A" w:rsidRPr="0049126A" w:rsidRDefault="005D3C7A" w:rsidP="005D3C7A">
      <w:pPr>
        <w:numPr>
          <w:ilvl w:val="0"/>
          <w:numId w:val="59"/>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ciclosporină 0,4 mg/kgc zilnic – conform RCP</w:t>
      </w:r>
    </w:p>
    <w:p w14:paraId="5228B3B3" w14:textId="77777777" w:rsidR="005D3C7A" w:rsidRPr="0049126A" w:rsidRDefault="005D3C7A" w:rsidP="005D3C7A">
      <w:pPr>
        <w:numPr>
          <w:ilvl w:val="0"/>
          <w:numId w:val="59"/>
        </w:numPr>
        <w:autoSpaceDE w:val="0"/>
        <w:autoSpaceDN w:val="0"/>
        <w:adjustRightInd w:val="0"/>
        <w:spacing w:after="0" w:line="240" w:lineRule="auto"/>
        <w:ind w:left="1985"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fototerapie UVB cu bandă îngustă sau PUVA la pacient peste vârsta de 12 ani</w:t>
      </w:r>
    </w:p>
    <w:p w14:paraId="7E82B43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sau</w:t>
      </w:r>
    </w:p>
    <w:p w14:paraId="77497CAC"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 devenit intolerant sau are contraindicaţii sau nu se pot administra terapiile clasice sistemice</w:t>
      </w:r>
    </w:p>
    <w:p w14:paraId="5940BDB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sau</w:t>
      </w:r>
    </w:p>
    <w:p w14:paraId="23BA9FE6"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este la risc să dezvolte toxicitate la terapiile clasice sistemice folosite (de exemplu depăşirea dozei maxime recomandate), iar alte terapii alternative nu pot fi folosite</w:t>
      </w:r>
    </w:p>
    <w:p w14:paraId="4994F78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en-US" w:eastAsia="ro-RO"/>
        </w:rPr>
        <w:t>sau</w:t>
      </w:r>
    </w:p>
    <w:p w14:paraId="72E98A27" w14:textId="77777777" w:rsidR="005D3C7A" w:rsidRPr="0049126A" w:rsidRDefault="005D3C7A" w:rsidP="005D3C7A">
      <w:pPr>
        <w:numPr>
          <w:ilvl w:val="0"/>
          <w:numId w:val="57"/>
        </w:numPr>
        <w:autoSpaceDE w:val="0"/>
        <w:autoSpaceDN w:val="0"/>
        <w:adjustRightInd w:val="0"/>
        <w:spacing w:after="0" w:line="240" w:lineRule="auto"/>
        <w:ind w:left="1276" w:hanging="283"/>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are o boală cu recădere rapidă ce nu poate fi controlată decât prin spitalizări repetate.</w:t>
      </w:r>
    </w:p>
    <w:p w14:paraId="0465E14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en-US" w:eastAsia="ro-RO"/>
        </w:rPr>
      </w:pPr>
    </w:p>
    <w:p w14:paraId="537FEB82"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Criterii de alegere a terapiei biologice/terapie</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u w:val="single"/>
          <w:lang w:val="fr-MC" w:eastAsia="ro-RO"/>
        </w:rPr>
        <w:t>cu molecule mici cu actiune intracelulara</w:t>
      </w:r>
    </w:p>
    <w:p w14:paraId="6D7AB31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Alegerea agentului biologic/molecula mica cu actiune intracelulara se va face cu respectarea legislatiei in vigoare în funcţie de caracteristicile clinice ale bolii, de vârsta pacientului, de comorbidităţile pre-existente, de experienţa medicului curant şi de facilităţile locale. Nu se va folosi un produs biosimilar după produsul original care nu a fost eficient sau care a produs o reacţie adversă (inversul afirmaţiei fiind şi el corect).</w:t>
      </w:r>
    </w:p>
    <w:p w14:paraId="1735638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76381AB7"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Consimţământul pacientului</w:t>
      </w:r>
    </w:p>
    <w:p w14:paraId="6165D52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Pacientul trebuie să fie informat în detaliu despre riscurile şi beneficiile terapiei. Informaţii scrise vor fi furnizate iar pacientul trebuie să aibă la dispoziţie timpul necesar pentru a lua o decizie. Pacientul </w:t>
      </w:r>
      <w:r w:rsidRPr="0049126A">
        <w:rPr>
          <w:rFonts w:ascii="Times New Roman" w:eastAsia="Times New Roman" w:hAnsi="Times New Roman" w:cs="Times New Roman"/>
          <w:sz w:val="24"/>
          <w:szCs w:val="24"/>
          <w:lang w:val="fr-MC" w:eastAsia="ro-RO"/>
        </w:rPr>
        <w:lastRenderedPageBreak/>
        <w:t>va semna declaraţia de consimţământ la iniţierea terapiei biologice sau la schimbarea unui biologic cu altul sau cu terapie cu moleculă mică cu mecanism intracelular sau la initierea terapiei cu molecule mici cu actiune intracelulara (a se vedea Anexa 2). În cazul unui pacient cu vârsta între 4 - 17 ani, declaraţia de consimţământ va fi semnată, conform legislaţiei în vigoare, de către părinţi sau tutori legali (a se vedea Anexa 3).</w:t>
      </w:r>
    </w:p>
    <w:p w14:paraId="1AAFA1A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5EDA0F2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Registrul de pacienți</w:t>
      </w:r>
    </w:p>
    <w:p w14:paraId="6E84834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Este obligatorie introducerea pacienților în registrul de psoriazis în perioada terapiei conventionale sistemice la inițierea terapiei biologice sau cu molecule mici cu acțiune intracelulară, la evaluările de trei luni, de șase luni și pentru fiecare evaluare precum și la modificarea terapiei.</w:t>
      </w:r>
    </w:p>
    <w:p w14:paraId="6CACACB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u w:val="single"/>
          <w:lang w:val="fr-MC" w:eastAsia="ro-RO"/>
        </w:rPr>
      </w:pPr>
    </w:p>
    <w:p w14:paraId="376A6FE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u w:val="single"/>
          <w:lang w:val="fr-MC" w:eastAsia="ro-RO"/>
        </w:rPr>
        <w:t>Criterii de excludere a pacienţilor din tratamentul cu agenţi biologici/terapie</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u w:val="single"/>
          <w:lang w:val="fr-MC" w:eastAsia="ro-RO"/>
        </w:rPr>
        <w:t>cu molecule mici cu actiune intracelulara</w:t>
      </w:r>
    </w:p>
    <w:p w14:paraId="0953A3C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68BF896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Toţi pacienţii trebuie să aibă o anamneză completă, examen fizic şi investigaţiile cerute înainte de iniţierea terapiei biologice.</w:t>
      </w:r>
    </w:p>
    <w:p w14:paraId="1706E20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7E1AD7F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vor exclude (contraindicaţii absolute):</w:t>
      </w:r>
    </w:p>
    <w:p w14:paraId="66DB6D33" w14:textId="77777777" w:rsidR="005D3C7A" w:rsidRPr="0049126A" w:rsidRDefault="005D3C7A" w:rsidP="002161CA">
      <w:pPr>
        <w:numPr>
          <w:ilvl w:val="1"/>
          <w:numId w:val="23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pacienţi cu infecţii severe active precum: stare septică, abcese, tuberculoză activă, infecţii oportuniste;</w:t>
      </w:r>
    </w:p>
    <w:p w14:paraId="0AF93B56" w14:textId="77777777" w:rsidR="005D3C7A" w:rsidRPr="0049126A" w:rsidRDefault="005D3C7A" w:rsidP="002161CA">
      <w:pPr>
        <w:numPr>
          <w:ilvl w:val="1"/>
          <w:numId w:val="23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pacienţi cu insuficienţă cardiacă congestivă severă (NYHA clasa III/IV) (cu excepţia acelor terapii pentru care aceasta contraindicatie nu se regaseste in rezumatul caracteristicilor produsului);</w:t>
      </w:r>
    </w:p>
    <w:p w14:paraId="166604BF" w14:textId="77777777" w:rsidR="005D3C7A" w:rsidRPr="0049126A" w:rsidRDefault="005D3C7A" w:rsidP="002161CA">
      <w:pPr>
        <w:numPr>
          <w:ilvl w:val="1"/>
          <w:numId w:val="23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antecedente de hipersensibilitate la adalimumab, etanercept, infliximab,certolizumab, ixekizumab, secukinumab, ustekinumab, guselkumab, risankizumab la proteine murine sau la oricare dintre excipienţii produsului folosit;</w:t>
      </w:r>
    </w:p>
    <w:p w14:paraId="62D0D732" w14:textId="77777777" w:rsidR="005D3C7A" w:rsidRPr="0049126A" w:rsidRDefault="005D3C7A" w:rsidP="002161CA">
      <w:pPr>
        <w:numPr>
          <w:ilvl w:val="1"/>
          <w:numId w:val="23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administrarea concomitentă a vaccinurilor cu germeni vii; (exceptie pentru situatii de urgenta unde se solicita avizul explicit al medicului infectionist)</w:t>
      </w:r>
    </w:p>
    <w:p w14:paraId="00DC81C5" w14:textId="77777777" w:rsidR="005D3C7A" w:rsidRPr="0049126A" w:rsidRDefault="005D3C7A" w:rsidP="002161CA">
      <w:pPr>
        <w:numPr>
          <w:ilvl w:val="1"/>
          <w:numId w:val="23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hepatită cronică activă cu virusul hepatitei B (excepţie: pentru pacienţii aflaţi în tratament pentru hepatită cronică activă se solicită avizul medicului curant infecţionist/gastroenterolog);</w:t>
      </w:r>
    </w:p>
    <w:p w14:paraId="266B058F" w14:textId="77777777" w:rsidR="005D3C7A" w:rsidRPr="0049126A" w:rsidRDefault="005D3C7A" w:rsidP="002161CA">
      <w:pPr>
        <w:numPr>
          <w:ilvl w:val="1"/>
          <w:numId w:val="237"/>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orice contraindicaţii absolute recunoscute agenţilor biologici.</w:t>
      </w:r>
    </w:p>
    <w:p w14:paraId="1D82BCA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72C1121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Contraindicaţii relative:</w:t>
      </w:r>
    </w:p>
    <w:p w14:paraId="73E10610" w14:textId="77777777" w:rsidR="005D3C7A" w:rsidRPr="0049126A" w:rsidRDefault="005D3C7A" w:rsidP="002161CA">
      <w:pPr>
        <w:numPr>
          <w:ilvl w:val="1"/>
          <w:numId w:val="238"/>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PUVA-terapie peste 200 şedinţe, în special când sunt urmate de terapie cu ciclosporina</w:t>
      </w:r>
    </w:p>
    <w:p w14:paraId="1AB29178" w14:textId="77777777" w:rsidR="005D3C7A" w:rsidRPr="0049126A" w:rsidRDefault="005D3C7A" w:rsidP="002161CA">
      <w:pPr>
        <w:numPr>
          <w:ilvl w:val="1"/>
          <w:numId w:val="238"/>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infecţie HIV sau SIDA</w:t>
      </w:r>
    </w:p>
    <w:p w14:paraId="4F837399" w14:textId="77777777" w:rsidR="005D3C7A" w:rsidRPr="0049126A" w:rsidRDefault="005D3C7A" w:rsidP="002161CA">
      <w:pPr>
        <w:numPr>
          <w:ilvl w:val="1"/>
          <w:numId w:val="238"/>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sarcina şi alăptarea (se va consulta rezumatul caracteristicilor fiecărui produs);</w:t>
      </w:r>
    </w:p>
    <w:p w14:paraId="00F6879B" w14:textId="77777777" w:rsidR="005D3C7A" w:rsidRPr="0049126A" w:rsidRDefault="005D3C7A" w:rsidP="002161CA">
      <w:pPr>
        <w:numPr>
          <w:ilvl w:val="1"/>
          <w:numId w:val="238"/>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readministrarea după un interval liber de peste 20 săptămâni în cazul infliximab necesită precauţii conform rezumatului caracteristicilor produsului;</w:t>
      </w:r>
    </w:p>
    <w:p w14:paraId="0CBD02AE" w14:textId="77777777" w:rsidR="005D3C7A" w:rsidRPr="0049126A" w:rsidRDefault="005D3C7A" w:rsidP="002161CA">
      <w:pPr>
        <w:numPr>
          <w:ilvl w:val="1"/>
          <w:numId w:val="238"/>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afecţiuni maligne sau premaligne (se va consulta rezumatul caracteristicilor fiecărui produs);</w:t>
      </w:r>
    </w:p>
    <w:p w14:paraId="4A1C779F" w14:textId="77777777" w:rsidR="005D3C7A" w:rsidRPr="0049126A" w:rsidRDefault="005D3C7A" w:rsidP="002161CA">
      <w:pPr>
        <w:numPr>
          <w:ilvl w:val="1"/>
          <w:numId w:val="238"/>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boli cu demielinizare (se va consulta rezumatul caracteristicilor fiecărui produs);</w:t>
      </w:r>
    </w:p>
    <w:p w14:paraId="4125ECC2" w14:textId="77777777" w:rsidR="005D3C7A" w:rsidRPr="0049126A" w:rsidRDefault="005D3C7A" w:rsidP="002161CA">
      <w:pPr>
        <w:numPr>
          <w:ilvl w:val="1"/>
          <w:numId w:val="238"/>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recomandă iniţierea terapiei cu agenţi biologici după consult de specialitate gastroenterologie şi/sau de boli infecţioase la pacienţii care asociază afecţiuni hepato-biliare (inclusiv infecţie cu virusul hepatitei B sau C) sau boli inflamatorii intestinale (se va consulta rezumatul caracteristicilor fiecărui produs).</w:t>
      </w:r>
    </w:p>
    <w:p w14:paraId="66F8B67A" w14:textId="77777777" w:rsidR="005D3C7A" w:rsidRPr="0049126A" w:rsidRDefault="005D3C7A" w:rsidP="002161CA">
      <w:pPr>
        <w:numPr>
          <w:ilvl w:val="1"/>
          <w:numId w:val="238"/>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administrarea concomitentă a vaccinurilor ARN mesager</w:t>
      </w:r>
    </w:p>
    <w:p w14:paraId="6E7D44A7" w14:textId="77777777" w:rsidR="005D3C7A" w:rsidRPr="0049126A" w:rsidRDefault="005D3C7A" w:rsidP="002161CA">
      <w:pPr>
        <w:numPr>
          <w:ilvl w:val="1"/>
          <w:numId w:val="238"/>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orice contraindicaţii relative recunoscute agenţilor biologici.</w:t>
      </w:r>
    </w:p>
    <w:p w14:paraId="56BFAEC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en-US" w:eastAsia="ro-RO"/>
        </w:rPr>
      </w:pPr>
    </w:p>
    <w:p w14:paraId="12A203A8"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en-US" w:eastAsia="ro-RO"/>
        </w:rPr>
      </w:pPr>
      <w:r w:rsidRPr="0049126A">
        <w:rPr>
          <w:rFonts w:ascii="Times New Roman" w:eastAsia="Times New Roman" w:hAnsi="Times New Roman" w:cs="Times New Roman"/>
          <w:b/>
          <w:bCs/>
          <w:sz w:val="24"/>
          <w:szCs w:val="24"/>
          <w:u w:val="single"/>
          <w:lang w:val="en-US" w:eastAsia="ro-RO"/>
        </w:rPr>
        <w:t>EVALUAREA TRATAMENTULUI</w:t>
      </w:r>
    </w:p>
    <w:p w14:paraId="6C73104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Evaluarea tratamentului este realizată pentru siguranţa pacientului şi pentru demonstrarea eficacităţii terapeutice.</w:t>
      </w:r>
    </w:p>
    <w:p w14:paraId="15457D1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Se realizează la intervale fixe în cadrul unor controale medicale cu evaluarea statusului clinic şi biologic al pacientului. Sunt esenţiale pentru detectarea cât mai rapidă a apariţiei unor evenimente medicale care necesită intervenţia medicului.</w:t>
      </w:r>
    </w:p>
    <w:p w14:paraId="25DCC5D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lastRenderedPageBreak/>
        <w:t>Eficacitatea clinică se defineşte prin obţinerea unui răspuns la tratament faţă de momentul iniţial, obiectivat prin scorurile specifice.</w:t>
      </w:r>
    </w:p>
    <w:p w14:paraId="219E342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4D428ED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u w:val="single"/>
          <w:lang w:val="fr-MC" w:eastAsia="ro-RO"/>
        </w:rPr>
        <w:t>Ţinta terapeutică</w:t>
      </w:r>
      <w:r w:rsidRPr="0049126A">
        <w:rPr>
          <w:rFonts w:ascii="Times New Roman" w:eastAsia="Times New Roman" w:hAnsi="Times New Roman" w:cs="Times New Roman"/>
          <w:sz w:val="24"/>
          <w:szCs w:val="24"/>
          <w:lang w:val="fr-MC" w:eastAsia="ro-RO"/>
        </w:rPr>
        <w:t xml:space="preserve"> se defineşte prin:</w:t>
      </w:r>
    </w:p>
    <w:p w14:paraId="0D6F6298"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scăderea cu 50% a scorului PASI faţă de momentul iniţial (inclusiv 50% din scorurile specifice pentru regiunile topografice speciale afectate - NAPSI, PSSI, ESIF respectiv PGA≤2) cu un obiectiv pe temen lung de a ajunge la o remisiune a leziunilor in medie de 90%.</w:t>
      </w:r>
      <w:bookmarkStart w:id="46" w:name="_Hlk54538466"/>
      <w:r w:rsidRPr="0049126A">
        <w:rPr>
          <w:rFonts w:ascii="Times New Roman" w:eastAsia="Times New Roman" w:hAnsi="Times New Roman" w:cs="Times New Roman"/>
          <w:sz w:val="24"/>
          <w:szCs w:val="24"/>
          <w:lang w:val="fr-MC" w:eastAsia="ro-RO"/>
        </w:rPr>
        <w:t xml:space="preserve"> Cand pacientul prezinta leziuni atat in zonele speciale cat si in alte zone ale corpului si se pot calcula ambele scoruri (de ex. PASI si PSSI) se ia in consideratie scorul cel mai sever.</w:t>
      </w:r>
    </w:p>
    <w:bookmarkEnd w:id="46"/>
    <w:p w14:paraId="05261E7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şi</w:t>
      </w:r>
    </w:p>
    <w:p w14:paraId="226A7187" w14:textId="77777777" w:rsidR="005D3C7A" w:rsidRPr="0049126A" w:rsidRDefault="005D3C7A" w:rsidP="005D3C7A">
      <w:pPr>
        <w:numPr>
          <w:ilvl w:val="0"/>
          <w:numId w:val="5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scăderea cu minim  5 puncte a scorului DLQI faţă de momentul iniţial cu un obiectiv pe termen lung de a ajunge la o valoare absoluta de cel mult 2. </w:t>
      </w:r>
    </w:p>
    <w:p w14:paraId="6891FC6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u w:val="single"/>
          <w:lang w:val="fr-MC" w:eastAsia="ro-RO"/>
        </w:rPr>
      </w:pPr>
    </w:p>
    <w:p w14:paraId="438D6D7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u w:val="single"/>
          <w:lang w:val="fr-MC" w:eastAsia="ro-RO"/>
        </w:rPr>
        <w:t>Întreruperea tratamentului</w:t>
      </w:r>
      <w:r w:rsidRPr="0049126A">
        <w:rPr>
          <w:rFonts w:ascii="Times New Roman" w:eastAsia="Times New Roman" w:hAnsi="Times New Roman" w:cs="Times New Roman"/>
          <w:sz w:val="24"/>
          <w:szCs w:val="24"/>
          <w:lang w:val="fr-MC" w:eastAsia="ro-RO"/>
        </w:rPr>
        <w:t xml:space="preserve"> cu un agent biologic/ molecula mica cu actiune intracelulara se face atunci când la evaluarea atingerii ţintei terapeutice nu s-a obţinut ţinta terapeutică. Întreruperea tratamentului este de asemenea indicată în cazul apariţiei unei reacţii adverse severe. În situaţiile în care se impune întreruperea temporară a terapiei biologice (deşi pacientul se încadra în ţinta terapeutică - de ex. sarcina,interventie chirurgicala etc), tratamentul poate fi reluat cu acelaşi medicament (cu excepţia Infliximab, conform rezumatul caracteristicilor produsului), după avizul medicului care a solicitat întreruperea temporară a terapiei biologice.</w:t>
      </w:r>
    </w:p>
    <w:p w14:paraId="23AC2FF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Daca se intrerupe voluntar tratamentul biologic pentru o perioada de minim 12 luni, este necesara reluarea terapiei conventionala sistemica si doar in cazul unui pacient nonresponder (conform definitiei anterioare) sau care prezinta reactii adverse importante si este eligibil conform protocolului se poate initia o terapie biologica. Daca intreruperea tratamentului biologic este de durata mai mica si pacientul este responder conform definitiei de mai sus,se poate continua terapia biologica.</w:t>
      </w:r>
    </w:p>
    <w:p w14:paraId="6093A844" w14:textId="77777777" w:rsidR="00A42AE3" w:rsidRPr="0049126A" w:rsidRDefault="00A42AE3"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1BAB322A" w14:textId="77777777" w:rsidR="00A42AE3" w:rsidRPr="0049126A" w:rsidRDefault="00A42AE3"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503544C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en-US" w:eastAsia="ro-RO"/>
        </w:rPr>
      </w:pPr>
      <w:r w:rsidRPr="0049126A">
        <w:rPr>
          <w:rFonts w:ascii="Times New Roman" w:eastAsia="Times New Roman" w:hAnsi="Times New Roman" w:cs="Times New Roman"/>
          <w:sz w:val="24"/>
          <w:szCs w:val="24"/>
          <w:u w:val="single"/>
          <w:lang w:val="en-US" w:eastAsia="ro-RO"/>
        </w:rPr>
        <w:t>Calendarul evaluărilor:</w:t>
      </w:r>
    </w:p>
    <w:p w14:paraId="269C41B7" w14:textId="77777777" w:rsidR="005D3C7A" w:rsidRPr="0049126A" w:rsidRDefault="005D3C7A" w:rsidP="005D3C7A">
      <w:pPr>
        <w:numPr>
          <w:ilvl w:val="1"/>
          <w:numId w:val="6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evaluare pre-tratament</w:t>
      </w:r>
    </w:p>
    <w:p w14:paraId="5391BE87" w14:textId="77777777" w:rsidR="005D3C7A" w:rsidRPr="0049126A" w:rsidRDefault="005D3C7A" w:rsidP="005D3C7A">
      <w:pPr>
        <w:numPr>
          <w:ilvl w:val="1"/>
          <w:numId w:val="6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evaluarea </w:t>
      </w:r>
      <w:r w:rsidRPr="0049126A">
        <w:rPr>
          <w:rFonts w:ascii="Times New Roman" w:eastAsia="Calibri" w:hAnsi="Times New Roman" w:cs="Times New Roman"/>
          <w:sz w:val="24"/>
          <w:szCs w:val="24"/>
          <w:lang w:val="fr-MC" w:eastAsia="ro-RO"/>
        </w:rPr>
        <w:t>siguranţei terapeutice şi a eficacităţii clinice la 3 luni pentru toate preparatele biologice/ molecula mica cu actiune intracelulara</w:t>
      </w:r>
    </w:p>
    <w:p w14:paraId="194731F6" w14:textId="77777777" w:rsidR="005D3C7A" w:rsidRPr="0049126A" w:rsidRDefault="005D3C7A" w:rsidP="005D3C7A">
      <w:pPr>
        <w:numPr>
          <w:ilvl w:val="1"/>
          <w:numId w:val="6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fr-MC" w:eastAsia="ro-RO"/>
        </w:rPr>
      </w:pPr>
      <w:r w:rsidRPr="0049126A">
        <w:rPr>
          <w:rFonts w:ascii="Times New Roman" w:eastAsia="Calibri" w:hAnsi="Times New Roman" w:cs="Times New Roman"/>
          <w:sz w:val="24"/>
          <w:szCs w:val="24"/>
          <w:lang w:val="fr-MC" w:eastAsia="ro-RO"/>
        </w:rPr>
        <w:t>prima evaluare pentru atingerea țintei terapeutice se face la 6 luni de tratament continuu de la inițierea terapiei biologice/moleculă mică cu acțiune intracelulară.</w:t>
      </w:r>
    </w:p>
    <w:p w14:paraId="5B5479F1" w14:textId="77777777" w:rsidR="005D3C7A" w:rsidRPr="0049126A" w:rsidRDefault="005D3C7A" w:rsidP="005D3C7A">
      <w:pPr>
        <w:numPr>
          <w:ilvl w:val="1"/>
          <w:numId w:val="63"/>
        </w:numPr>
        <w:autoSpaceDE w:val="0"/>
        <w:autoSpaceDN w:val="0"/>
        <w:adjustRightInd w:val="0"/>
        <w:spacing w:after="0" w:line="240" w:lineRule="auto"/>
        <w:ind w:left="284" w:hanging="284"/>
        <w:jc w:val="both"/>
        <w:rPr>
          <w:rFonts w:ascii="Times New Roman" w:eastAsia="Times New Roman" w:hAnsi="Times New Roman" w:cs="Times New Roman"/>
          <w:sz w:val="24"/>
          <w:szCs w:val="24"/>
          <w:lang w:val="fr-MC" w:eastAsia="ro-RO"/>
        </w:rPr>
      </w:pPr>
      <w:r w:rsidRPr="0049126A">
        <w:rPr>
          <w:rFonts w:ascii="Times New Roman" w:eastAsia="Calibri" w:hAnsi="Times New Roman" w:cs="Times New Roman"/>
          <w:sz w:val="24"/>
          <w:szCs w:val="24"/>
          <w:lang w:val="fr-MC" w:eastAsia="ro-RO"/>
        </w:rPr>
        <w:t>Monitorizarea menținerii țintei terapeutice și a siguranței terapeutice se realizează la fiecare 6 luni de tratament de la prima evaluare a țintei terapeutice (vezi 3).</w:t>
      </w:r>
      <w:r w:rsidRPr="0049126A">
        <w:rPr>
          <w:rFonts w:ascii="Times New Roman" w:eastAsia="Times New Roman" w:hAnsi="Times New Roman" w:cs="Times New Roman"/>
          <w:sz w:val="24"/>
          <w:szCs w:val="24"/>
          <w:lang w:val="fr-MC" w:eastAsia="ro-RO"/>
        </w:rPr>
        <w:t xml:space="preserve">    </w:t>
      </w:r>
    </w:p>
    <w:p w14:paraId="52D6E8A4" w14:textId="77777777" w:rsidR="005D3C7A" w:rsidRPr="0049126A" w:rsidRDefault="005D3C7A" w:rsidP="005D3C7A">
      <w:pPr>
        <w:autoSpaceDE w:val="0"/>
        <w:autoSpaceDN w:val="0"/>
        <w:adjustRightInd w:val="0"/>
        <w:spacing w:after="0" w:line="240" w:lineRule="auto"/>
        <w:ind w:left="567"/>
        <w:jc w:val="both"/>
        <w:rPr>
          <w:rFonts w:ascii="Times New Roman" w:eastAsia="Times New Roman" w:hAnsi="Times New Roman" w:cs="Times New Roman"/>
          <w:sz w:val="24"/>
          <w:szCs w:val="24"/>
          <w:lang w:val="fr-MC" w:eastAsia="ro-RO"/>
        </w:rPr>
      </w:pPr>
    </w:p>
    <w:p w14:paraId="19A7D078"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1. Evaluarea pre-tratament</w:t>
      </w:r>
    </w:p>
    <w:p w14:paraId="55F54CD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trebuie evaluat înainte de iniţierea tratamentului cu agent biologic/ molecula mica cu actiune intracelulara (evaluare pre-tratament) prin următoarele investigaţii:</w:t>
      </w:r>
    </w:p>
    <w:tbl>
      <w:tblPr>
        <w:tblW w:w="9781" w:type="dxa"/>
        <w:tblInd w:w="-8" w:type="dxa"/>
        <w:tblLayout w:type="fixed"/>
        <w:tblCellMar>
          <w:left w:w="105" w:type="dxa"/>
          <w:right w:w="105" w:type="dxa"/>
        </w:tblCellMar>
        <w:tblLook w:val="0000" w:firstRow="0" w:lastRow="0" w:firstColumn="0" w:lastColumn="0" w:noHBand="0" w:noVBand="0"/>
      </w:tblPr>
      <w:tblGrid>
        <w:gridCol w:w="4395"/>
        <w:gridCol w:w="5386"/>
      </w:tblGrid>
      <w:tr w:rsidR="0049126A" w:rsidRPr="0049126A" w14:paraId="4FED2C43" w14:textId="77777777" w:rsidTr="00300738">
        <w:tc>
          <w:tcPr>
            <w:tcW w:w="4395" w:type="dxa"/>
            <w:tcBorders>
              <w:top w:val="single" w:sz="6" w:space="0" w:color="000000"/>
              <w:left w:val="single" w:sz="6" w:space="0" w:color="000000"/>
              <w:bottom w:val="single" w:sz="6" w:space="0" w:color="000000"/>
              <w:right w:val="single" w:sz="6" w:space="0" w:color="000000"/>
            </w:tcBorders>
          </w:tcPr>
          <w:p w14:paraId="3E924F6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Severitatea bolii</w:t>
            </w:r>
          </w:p>
        </w:tc>
        <w:tc>
          <w:tcPr>
            <w:tcW w:w="5386" w:type="dxa"/>
            <w:tcBorders>
              <w:top w:val="single" w:sz="6" w:space="0" w:color="000000"/>
              <w:left w:val="single" w:sz="6" w:space="0" w:color="000000"/>
              <w:bottom w:val="single" w:sz="6" w:space="0" w:color="000000"/>
              <w:right w:val="single" w:sz="6" w:space="0" w:color="000000"/>
            </w:tcBorders>
          </w:tcPr>
          <w:p w14:paraId="0DFD77E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PASI (sau scoruri de zonă NAPSI, PSSI, ESIF,PGA) şi DLQI</w:t>
            </w:r>
          </w:p>
        </w:tc>
      </w:tr>
      <w:tr w:rsidR="0049126A" w:rsidRPr="0049126A" w14:paraId="6748ED6C" w14:textId="77777777" w:rsidTr="00300738">
        <w:tc>
          <w:tcPr>
            <w:tcW w:w="4395" w:type="dxa"/>
            <w:tcBorders>
              <w:top w:val="single" w:sz="6" w:space="0" w:color="000000"/>
              <w:left w:val="single" w:sz="6" w:space="0" w:color="000000"/>
              <w:bottom w:val="single" w:sz="6" w:space="0" w:color="000000"/>
              <w:right w:val="single" w:sz="6" w:space="0" w:color="000000"/>
            </w:tcBorders>
          </w:tcPr>
          <w:p w14:paraId="58C7D64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Stare generală (simptomatologie şi examen clinic)</w:t>
            </w:r>
          </w:p>
        </w:tc>
        <w:tc>
          <w:tcPr>
            <w:tcW w:w="5386" w:type="dxa"/>
            <w:tcBorders>
              <w:top w:val="single" w:sz="6" w:space="0" w:color="000000"/>
              <w:left w:val="single" w:sz="6" w:space="0" w:color="000000"/>
              <w:bottom w:val="single" w:sz="6" w:space="0" w:color="000000"/>
              <w:right w:val="single" w:sz="6" w:space="0" w:color="000000"/>
            </w:tcBorders>
          </w:tcPr>
          <w:p w14:paraId="0574A77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66B31838" w14:textId="77777777" w:rsidTr="00300738">
        <w:tc>
          <w:tcPr>
            <w:tcW w:w="4395" w:type="dxa"/>
            <w:tcBorders>
              <w:top w:val="single" w:sz="6" w:space="0" w:color="000000"/>
              <w:left w:val="single" w:sz="6" w:space="0" w:color="000000"/>
              <w:bottom w:val="single" w:sz="6" w:space="0" w:color="000000"/>
              <w:right w:val="single" w:sz="6" w:space="0" w:color="000000"/>
            </w:tcBorders>
          </w:tcPr>
          <w:p w14:paraId="73C931B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Infecţie TBC*</w:t>
            </w:r>
          </w:p>
        </w:tc>
        <w:tc>
          <w:tcPr>
            <w:tcW w:w="5386" w:type="dxa"/>
            <w:tcBorders>
              <w:top w:val="single" w:sz="6" w:space="0" w:color="000000"/>
              <w:left w:val="single" w:sz="6" w:space="0" w:color="000000"/>
              <w:bottom w:val="single" w:sz="6" w:space="0" w:color="000000"/>
              <w:right w:val="single" w:sz="6" w:space="0" w:color="000000"/>
            </w:tcBorders>
          </w:tcPr>
          <w:p w14:paraId="0885C98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testul cutanat tuberculinic sau</w:t>
            </w:r>
          </w:p>
          <w:p w14:paraId="0F91C80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IGRA</w:t>
            </w:r>
          </w:p>
        </w:tc>
      </w:tr>
      <w:tr w:rsidR="0049126A" w:rsidRPr="0049126A" w14:paraId="409783C0" w14:textId="77777777" w:rsidTr="00300738">
        <w:tc>
          <w:tcPr>
            <w:tcW w:w="4395" w:type="dxa"/>
            <w:tcBorders>
              <w:top w:val="single" w:sz="6" w:space="0" w:color="000000"/>
              <w:left w:val="single" w:sz="6" w:space="0" w:color="000000"/>
              <w:bottom w:val="nil"/>
              <w:right w:val="single" w:sz="6" w:space="0" w:color="000000"/>
            </w:tcBorders>
          </w:tcPr>
          <w:p w14:paraId="7FB5033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Teste serologice</w:t>
            </w:r>
          </w:p>
        </w:tc>
        <w:tc>
          <w:tcPr>
            <w:tcW w:w="5386" w:type="dxa"/>
            <w:tcBorders>
              <w:top w:val="single" w:sz="6" w:space="0" w:color="000000"/>
              <w:left w:val="single" w:sz="6" w:space="0" w:color="000000"/>
              <w:bottom w:val="single" w:sz="6" w:space="0" w:color="000000"/>
              <w:right w:val="single" w:sz="6" w:space="0" w:color="000000"/>
            </w:tcBorders>
          </w:tcPr>
          <w:p w14:paraId="5E49643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HLG, VSH</w:t>
            </w:r>
          </w:p>
        </w:tc>
      </w:tr>
      <w:tr w:rsidR="0049126A" w:rsidRPr="0049126A" w14:paraId="7521DC3C" w14:textId="77777777" w:rsidTr="00300738">
        <w:tc>
          <w:tcPr>
            <w:tcW w:w="4395" w:type="dxa"/>
            <w:tcBorders>
              <w:top w:val="nil"/>
              <w:left w:val="single" w:sz="6" w:space="0" w:color="000000"/>
              <w:bottom w:val="nil"/>
              <w:right w:val="single" w:sz="6" w:space="0" w:color="000000"/>
            </w:tcBorders>
          </w:tcPr>
          <w:p w14:paraId="0FA645C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386" w:type="dxa"/>
            <w:tcBorders>
              <w:top w:val="single" w:sz="6" w:space="0" w:color="000000"/>
              <w:left w:val="single" w:sz="6" w:space="0" w:color="000000"/>
              <w:bottom w:val="single" w:sz="6" w:space="0" w:color="000000"/>
              <w:right w:val="single" w:sz="6" w:space="0" w:color="000000"/>
            </w:tcBorders>
          </w:tcPr>
          <w:p w14:paraId="78D0964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creatinina, uree, electroliţi (Na</w:t>
            </w:r>
            <w:r w:rsidRPr="0049126A">
              <w:rPr>
                <w:rFonts w:ascii="Times New Roman" w:eastAsia="Times New Roman" w:hAnsi="Times New Roman" w:cs="Times New Roman"/>
                <w:sz w:val="20"/>
                <w:szCs w:val="20"/>
                <w:vertAlign w:val="superscript"/>
                <w:lang w:val="en-US" w:eastAsia="ro-RO"/>
              </w:rPr>
              <w:t>+</w:t>
            </w:r>
            <w:r w:rsidRPr="0049126A">
              <w:rPr>
                <w:rFonts w:ascii="Times New Roman" w:eastAsia="Times New Roman" w:hAnsi="Times New Roman" w:cs="Times New Roman"/>
                <w:sz w:val="20"/>
                <w:szCs w:val="20"/>
                <w:lang w:val="en-US" w:eastAsia="ro-RO"/>
              </w:rPr>
              <w:t>, K</w:t>
            </w:r>
            <w:r w:rsidRPr="0049126A">
              <w:rPr>
                <w:rFonts w:ascii="Times New Roman" w:eastAsia="Times New Roman" w:hAnsi="Times New Roman" w:cs="Times New Roman"/>
                <w:sz w:val="20"/>
                <w:szCs w:val="20"/>
                <w:vertAlign w:val="superscript"/>
                <w:lang w:val="en-US" w:eastAsia="ro-RO"/>
              </w:rPr>
              <w:t>+</w:t>
            </w:r>
            <w:r w:rsidRPr="0049126A">
              <w:rPr>
                <w:rFonts w:ascii="Times New Roman" w:eastAsia="Times New Roman" w:hAnsi="Times New Roman" w:cs="Times New Roman"/>
                <w:sz w:val="20"/>
                <w:szCs w:val="20"/>
                <w:lang w:val="en-US" w:eastAsia="ro-RO"/>
              </w:rPr>
              <w:t>), TGO (ASAT), TGP (ALAT), GGT</w:t>
            </w:r>
          </w:p>
        </w:tc>
      </w:tr>
      <w:tr w:rsidR="0049126A" w:rsidRPr="0049126A" w14:paraId="450F50AD" w14:textId="77777777" w:rsidTr="00300738">
        <w:tc>
          <w:tcPr>
            <w:tcW w:w="4395" w:type="dxa"/>
            <w:tcBorders>
              <w:top w:val="nil"/>
              <w:left w:val="single" w:sz="6" w:space="0" w:color="000000"/>
              <w:bottom w:val="nil"/>
              <w:right w:val="single" w:sz="6" w:space="0" w:color="000000"/>
            </w:tcBorders>
          </w:tcPr>
          <w:p w14:paraId="2F0ADDB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386" w:type="dxa"/>
            <w:tcBorders>
              <w:top w:val="single" w:sz="6" w:space="0" w:color="000000"/>
              <w:left w:val="single" w:sz="6" w:space="0" w:color="000000"/>
              <w:bottom w:val="single" w:sz="6" w:space="0" w:color="000000"/>
              <w:right w:val="single" w:sz="6" w:space="0" w:color="000000"/>
            </w:tcBorders>
          </w:tcPr>
          <w:p w14:paraId="4EE868F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hepatita B (AgHBs)</w:t>
            </w:r>
          </w:p>
        </w:tc>
      </w:tr>
      <w:tr w:rsidR="0049126A" w:rsidRPr="0049126A" w14:paraId="1F6C91B8" w14:textId="77777777" w:rsidTr="00300738">
        <w:tc>
          <w:tcPr>
            <w:tcW w:w="4395" w:type="dxa"/>
            <w:tcBorders>
              <w:top w:val="nil"/>
              <w:left w:val="single" w:sz="6" w:space="0" w:color="000000"/>
              <w:bottom w:val="nil"/>
              <w:right w:val="single" w:sz="6" w:space="0" w:color="000000"/>
            </w:tcBorders>
          </w:tcPr>
          <w:p w14:paraId="7796D63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386" w:type="dxa"/>
            <w:tcBorders>
              <w:top w:val="single" w:sz="6" w:space="0" w:color="000000"/>
              <w:left w:val="single" w:sz="6" w:space="0" w:color="000000"/>
              <w:bottom w:val="single" w:sz="6" w:space="0" w:color="000000"/>
              <w:right w:val="single" w:sz="6" w:space="0" w:color="000000"/>
            </w:tcBorders>
          </w:tcPr>
          <w:p w14:paraId="70A5B06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hepatita C (Ac anti HVC)</w:t>
            </w:r>
          </w:p>
        </w:tc>
      </w:tr>
      <w:tr w:rsidR="0049126A" w:rsidRPr="0049126A" w14:paraId="312ACE65" w14:textId="77777777" w:rsidTr="00300738">
        <w:tc>
          <w:tcPr>
            <w:tcW w:w="4395" w:type="dxa"/>
            <w:tcBorders>
              <w:top w:val="single" w:sz="6" w:space="0" w:color="000000"/>
              <w:left w:val="single" w:sz="6" w:space="0" w:color="000000"/>
              <w:bottom w:val="single" w:sz="6" w:space="0" w:color="000000"/>
              <w:right w:val="single" w:sz="6" w:space="0" w:color="000000"/>
            </w:tcBorders>
          </w:tcPr>
          <w:p w14:paraId="231F0BE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Urina</w:t>
            </w:r>
          </w:p>
        </w:tc>
        <w:tc>
          <w:tcPr>
            <w:tcW w:w="5386" w:type="dxa"/>
            <w:tcBorders>
              <w:top w:val="single" w:sz="6" w:space="0" w:color="000000"/>
              <w:left w:val="single" w:sz="6" w:space="0" w:color="000000"/>
              <w:bottom w:val="single" w:sz="6" w:space="0" w:color="000000"/>
              <w:right w:val="single" w:sz="6" w:space="0" w:color="000000"/>
            </w:tcBorders>
          </w:tcPr>
          <w:p w14:paraId="7918380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analiza urinii</w:t>
            </w:r>
          </w:p>
        </w:tc>
      </w:tr>
      <w:tr w:rsidR="0049126A" w:rsidRPr="0049126A" w14:paraId="00BB9320" w14:textId="77777777" w:rsidTr="00300738">
        <w:tc>
          <w:tcPr>
            <w:tcW w:w="4395" w:type="dxa"/>
            <w:tcBorders>
              <w:top w:val="single" w:sz="6" w:space="0" w:color="000000"/>
              <w:left w:val="single" w:sz="6" w:space="0" w:color="000000"/>
              <w:bottom w:val="single" w:sz="6" w:space="0" w:color="000000"/>
              <w:right w:val="single" w:sz="6" w:space="0" w:color="000000"/>
            </w:tcBorders>
          </w:tcPr>
          <w:p w14:paraId="523CCEC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Radiologie</w:t>
            </w:r>
          </w:p>
        </w:tc>
        <w:tc>
          <w:tcPr>
            <w:tcW w:w="5386" w:type="dxa"/>
            <w:tcBorders>
              <w:top w:val="single" w:sz="6" w:space="0" w:color="000000"/>
              <w:left w:val="single" w:sz="6" w:space="0" w:color="000000"/>
              <w:bottom w:val="single" w:sz="6" w:space="0" w:color="000000"/>
              <w:right w:val="single" w:sz="6" w:space="0" w:color="000000"/>
            </w:tcBorders>
          </w:tcPr>
          <w:p w14:paraId="01D5C38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Radiografie cardio-pulmonară</w:t>
            </w:r>
          </w:p>
        </w:tc>
      </w:tr>
      <w:tr w:rsidR="0049126A" w:rsidRPr="0049126A" w14:paraId="2A2FEA6B" w14:textId="77777777" w:rsidTr="00300738">
        <w:tc>
          <w:tcPr>
            <w:tcW w:w="4395" w:type="dxa"/>
            <w:tcBorders>
              <w:top w:val="single" w:sz="6" w:space="0" w:color="000000"/>
              <w:left w:val="single" w:sz="6" w:space="0" w:color="000000"/>
              <w:bottom w:val="single" w:sz="6" w:space="0" w:color="000000"/>
              <w:right w:val="single" w:sz="6" w:space="0" w:color="000000"/>
            </w:tcBorders>
          </w:tcPr>
          <w:p w14:paraId="3707EE1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Alte date de laborator semnificative</w:t>
            </w:r>
          </w:p>
        </w:tc>
        <w:tc>
          <w:tcPr>
            <w:tcW w:w="5386" w:type="dxa"/>
            <w:tcBorders>
              <w:top w:val="single" w:sz="6" w:space="0" w:color="000000"/>
              <w:left w:val="single" w:sz="6" w:space="0" w:color="000000"/>
              <w:bottom w:val="single" w:sz="6" w:space="0" w:color="000000"/>
              <w:right w:val="single" w:sz="6" w:space="0" w:color="000000"/>
            </w:tcBorders>
          </w:tcPr>
          <w:p w14:paraId="4646EE4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după caz</w:t>
            </w:r>
          </w:p>
        </w:tc>
      </w:tr>
    </w:tbl>
    <w:p w14:paraId="0B40CF6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nu este necesara pentru initierea tratamentului cu molecula mica cu actiune intracelulara</w:t>
      </w:r>
    </w:p>
    <w:p w14:paraId="50629084"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p>
    <w:p w14:paraId="704F04D2"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2. Evaluarea siguranţei terapeutice şi a eficacităţii clinice – la 3 luni</w:t>
      </w:r>
    </w:p>
    <w:p w14:paraId="2278E99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trebuie evaluat pentru siguranţa terapeutică şi eficacitatea clinică la 3 luni de la iniţierea terapiei cu agent biologic/ molecula mica cu actiune intracelulara prin următoarele investigaţii:</w:t>
      </w:r>
    </w:p>
    <w:p w14:paraId="13A5547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tbl>
      <w:tblPr>
        <w:tblW w:w="9781" w:type="dxa"/>
        <w:tblInd w:w="-8" w:type="dxa"/>
        <w:tblLayout w:type="fixed"/>
        <w:tblCellMar>
          <w:left w:w="105" w:type="dxa"/>
          <w:right w:w="105" w:type="dxa"/>
        </w:tblCellMar>
        <w:tblLook w:val="0000" w:firstRow="0" w:lastRow="0" w:firstColumn="0" w:lastColumn="0" w:noHBand="0" w:noVBand="0"/>
      </w:tblPr>
      <w:tblGrid>
        <w:gridCol w:w="4395"/>
        <w:gridCol w:w="5386"/>
      </w:tblGrid>
      <w:tr w:rsidR="0049126A" w:rsidRPr="0049126A" w14:paraId="0873442E" w14:textId="77777777" w:rsidTr="00300738">
        <w:tc>
          <w:tcPr>
            <w:tcW w:w="4395" w:type="dxa"/>
            <w:tcBorders>
              <w:top w:val="single" w:sz="6" w:space="0" w:color="000000"/>
              <w:left w:val="single" w:sz="6" w:space="0" w:color="000000"/>
              <w:bottom w:val="single" w:sz="6" w:space="0" w:color="000000"/>
              <w:right w:val="single" w:sz="6" w:space="0" w:color="000000"/>
            </w:tcBorders>
          </w:tcPr>
          <w:p w14:paraId="48A7201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Severitatea bolii</w:t>
            </w:r>
          </w:p>
        </w:tc>
        <w:tc>
          <w:tcPr>
            <w:tcW w:w="5386" w:type="dxa"/>
            <w:tcBorders>
              <w:top w:val="single" w:sz="6" w:space="0" w:color="000000"/>
              <w:left w:val="single" w:sz="6" w:space="0" w:color="000000"/>
              <w:bottom w:val="single" w:sz="6" w:space="0" w:color="000000"/>
              <w:right w:val="single" w:sz="6" w:space="0" w:color="000000"/>
            </w:tcBorders>
          </w:tcPr>
          <w:p w14:paraId="4E86122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PASI (sau scoruri de zonă) şi DLQI</w:t>
            </w:r>
          </w:p>
        </w:tc>
      </w:tr>
      <w:tr w:rsidR="0049126A" w:rsidRPr="0049126A" w14:paraId="7C731DBD" w14:textId="77777777" w:rsidTr="00300738">
        <w:tc>
          <w:tcPr>
            <w:tcW w:w="4395" w:type="dxa"/>
            <w:tcBorders>
              <w:top w:val="single" w:sz="6" w:space="0" w:color="000000"/>
              <w:left w:val="single" w:sz="6" w:space="0" w:color="000000"/>
              <w:bottom w:val="single" w:sz="6" w:space="0" w:color="000000"/>
              <w:right w:val="single" w:sz="6" w:space="0" w:color="000000"/>
            </w:tcBorders>
          </w:tcPr>
          <w:p w14:paraId="490B3C4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Stare generală (simptomatologie şi examen clinic)</w:t>
            </w:r>
          </w:p>
        </w:tc>
        <w:tc>
          <w:tcPr>
            <w:tcW w:w="5386" w:type="dxa"/>
            <w:tcBorders>
              <w:top w:val="single" w:sz="6" w:space="0" w:color="000000"/>
              <w:left w:val="single" w:sz="6" w:space="0" w:color="000000"/>
              <w:bottom w:val="single" w:sz="6" w:space="0" w:color="000000"/>
              <w:right w:val="single" w:sz="6" w:space="0" w:color="000000"/>
            </w:tcBorders>
          </w:tcPr>
          <w:p w14:paraId="4F153A8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4CB55547" w14:textId="77777777" w:rsidTr="00300738">
        <w:tc>
          <w:tcPr>
            <w:tcW w:w="4395" w:type="dxa"/>
            <w:tcBorders>
              <w:top w:val="single" w:sz="6" w:space="0" w:color="000000"/>
              <w:left w:val="single" w:sz="6" w:space="0" w:color="000000"/>
              <w:bottom w:val="nil"/>
              <w:right w:val="single" w:sz="6" w:space="0" w:color="000000"/>
            </w:tcBorders>
          </w:tcPr>
          <w:p w14:paraId="6748CD8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Teste serologice</w:t>
            </w:r>
          </w:p>
        </w:tc>
        <w:tc>
          <w:tcPr>
            <w:tcW w:w="5386" w:type="dxa"/>
            <w:tcBorders>
              <w:top w:val="single" w:sz="6" w:space="0" w:color="000000"/>
              <w:left w:val="single" w:sz="6" w:space="0" w:color="000000"/>
              <w:bottom w:val="single" w:sz="6" w:space="0" w:color="000000"/>
              <w:right w:val="single" w:sz="6" w:space="0" w:color="000000"/>
            </w:tcBorders>
          </w:tcPr>
          <w:p w14:paraId="6F0277A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HLG, VSH</w:t>
            </w:r>
          </w:p>
        </w:tc>
      </w:tr>
      <w:tr w:rsidR="0049126A" w:rsidRPr="0049126A" w14:paraId="62BCB540" w14:textId="77777777" w:rsidTr="00300738">
        <w:tc>
          <w:tcPr>
            <w:tcW w:w="4395" w:type="dxa"/>
            <w:tcBorders>
              <w:top w:val="nil"/>
              <w:left w:val="single" w:sz="6" w:space="0" w:color="000000"/>
              <w:bottom w:val="single" w:sz="6" w:space="0" w:color="000000"/>
              <w:right w:val="single" w:sz="6" w:space="0" w:color="000000"/>
            </w:tcBorders>
          </w:tcPr>
          <w:p w14:paraId="6395585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386" w:type="dxa"/>
            <w:tcBorders>
              <w:top w:val="single" w:sz="6" w:space="0" w:color="000000"/>
              <w:left w:val="single" w:sz="6" w:space="0" w:color="000000"/>
              <w:bottom w:val="single" w:sz="6" w:space="0" w:color="000000"/>
              <w:right w:val="single" w:sz="6" w:space="0" w:color="000000"/>
            </w:tcBorders>
          </w:tcPr>
          <w:p w14:paraId="736AC96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creatinina, uree, electroliţi (Na</w:t>
            </w:r>
            <w:r w:rsidRPr="0049126A">
              <w:rPr>
                <w:rFonts w:ascii="Times New Roman" w:eastAsia="Times New Roman" w:hAnsi="Times New Roman" w:cs="Times New Roman"/>
                <w:sz w:val="20"/>
                <w:szCs w:val="20"/>
                <w:vertAlign w:val="superscript"/>
                <w:lang w:val="en-US" w:eastAsia="ro-RO"/>
              </w:rPr>
              <w:t>+</w:t>
            </w:r>
            <w:r w:rsidRPr="0049126A">
              <w:rPr>
                <w:rFonts w:ascii="Times New Roman" w:eastAsia="Times New Roman" w:hAnsi="Times New Roman" w:cs="Times New Roman"/>
                <w:sz w:val="20"/>
                <w:szCs w:val="20"/>
                <w:lang w:val="en-US" w:eastAsia="ro-RO"/>
              </w:rPr>
              <w:t>, K</w:t>
            </w:r>
            <w:r w:rsidRPr="0049126A">
              <w:rPr>
                <w:rFonts w:ascii="Times New Roman" w:eastAsia="Times New Roman" w:hAnsi="Times New Roman" w:cs="Times New Roman"/>
                <w:sz w:val="20"/>
                <w:szCs w:val="20"/>
                <w:vertAlign w:val="superscript"/>
                <w:lang w:val="en-US" w:eastAsia="ro-RO"/>
              </w:rPr>
              <w:t>+</w:t>
            </w:r>
            <w:r w:rsidRPr="0049126A">
              <w:rPr>
                <w:rFonts w:ascii="Times New Roman" w:eastAsia="Times New Roman" w:hAnsi="Times New Roman" w:cs="Times New Roman"/>
                <w:sz w:val="20"/>
                <w:szCs w:val="20"/>
                <w:lang w:val="en-US" w:eastAsia="ro-RO"/>
              </w:rPr>
              <w:t>), TGO (ASAT), TGP (ALAT), GGT</w:t>
            </w:r>
          </w:p>
        </w:tc>
      </w:tr>
      <w:tr w:rsidR="0049126A" w:rsidRPr="0049126A" w14:paraId="60F7FEBB" w14:textId="77777777" w:rsidTr="00300738">
        <w:tc>
          <w:tcPr>
            <w:tcW w:w="4395" w:type="dxa"/>
            <w:tcBorders>
              <w:top w:val="single" w:sz="6" w:space="0" w:color="000000"/>
              <w:left w:val="single" w:sz="6" w:space="0" w:color="000000"/>
              <w:bottom w:val="single" w:sz="6" w:space="0" w:color="000000"/>
              <w:right w:val="single" w:sz="6" w:space="0" w:color="000000"/>
            </w:tcBorders>
          </w:tcPr>
          <w:p w14:paraId="7C8253C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Urina</w:t>
            </w:r>
          </w:p>
        </w:tc>
        <w:tc>
          <w:tcPr>
            <w:tcW w:w="5386" w:type="dxa"/>
            <w:tcBorders>
              <w:top w:val="single" w:sz="6" w:space="0" w:color="000000"/>
              <w:left w:val="single" w:sz="6" w:space="0" w:color="000000"/>
              <w:bottom w:val="single" w:sz="6" w:space="0" w:color="000000"/>
              <w:right w:val="single" w:sz="6" w:space="0" w:color="000000"/>
            </w:tcBorders>
          </w:tcPr>
          <w:p w14:paraId="2ED5F3D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analiza urinii</w:t>
            </w:r>
          </w:p>
        </w:tc>
      </w:tr>
      <w:tr w:rsidR="0049126A" w:rsidRPr="0049126A" w14:paraId="6510D432" w14:textId="77777777" w:rsidTr="00300738">
        <w:tc>
          <w:tcPr>
            <w:tcW w:w="4395" w:type="dxa"/>
            <w:tcBorders>
              <w:top w:val="single" w:sz="6" w:space="0" w:color="000000"/>
              <w:left w:val="single" w:sz="6" w:space="0" w:color="000000"/>
              <w:bottom w:val="single" w:sz="6" w:space="0" w:color="000000"/>
              <w:right w:val="single" w:sz="6" w:space="0" w:color="000000"/>
            </w:tcBorders>
          </w:tcPr>
          <w:p w14:paraId="24F4294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Alte date de laborator semnificative</w:t>
            </w:r>
          </w:p>
        </w:tc>
        <w:tc>
          <w:tcPr>
            <w:tcW w:w="5386" w:type="dxa"/>
            <w:tcBorders>
              <w:top w:val="single" w:sz="6" w:space="0" w:color="000000"/>
              <w:left w:val="single" w:sz="6" w:space="0" w:color="000000"/>
              <w:bottom w:val="single" w:sz="6" w:space="0" w:color="000000"/>
              <w:right w:val="single" w:sz="6" w:space="0" w:color="000000"/>
            </w:tcBorders>
          </w:tcPr>
          <w:p w14:paraId="45E1088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după caz</w:t>
            </w:r>
          </w:p>
        </w:tc>
      </w:tr>
    </w:tbl>
    <w:p w14:paraId="51A961F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w:t>
      </w:r>
    </w:p>
    <w:p w14:paraId="6A2159B0"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3. Prima evaluare pentru atingerea ţintei terapeutice - la 6 luni de tratament continuu de la iniţierea terapiei biologice/</w:t>
      </w:r>
      <w:r w:rsidRPr="0049126A">
        <w:rPr>
          <w:rFonts w:ascii="Times New Roman" w:eastAsia="Times New Roman" w:hAnsi="Times New Roman" w:cs="Times New Roman"/>
          <w:b/>
          <w:bCs/>
          <w:sz w:val="24"/>
          <w:szCs w:val="24"/>
          <w:lang w:val="fr-MC" w:eastAsia="ro-RO"/>
        </w:rPr>
        <w:t xml:space="preserve"> molecula mica cu actiune intracelulara</w:t>
      </w:r>
    </w:p>
    <w:tbl>
      <w:tblPr>
        <w:tblW w:w="9781" w:type="dxa"/>
        <w:tblInd w:w="-8" w:type="dxa"/>
        <w:tblLayout w:type="fixed"/>
        <w:tblCellMar>
          <w:left w:w="105" w:type="dxa"/>
          <w:right w:w="105" w:type="dxa"/>
        </w:tblCellMar>
        <w:tblLook w:val="0000" w:firstRow="0" w:lastRow="0" w:firstColumn="0" w:lastColumn="0" w:noHBand="0" w:noVBand="0"/>
      </w:tblPr>
      <w:tblGrid>
        <w:gridCol w:w="4395"/>
        <w:gridCol w:w="5386"/>
      </w:tblGrid>
      <w:tr w:rsidR="0049126A" w:rsidRPr="0049126A" w14:paraId="1A802009" w14:textId="77777777" w:rsidTr="00300738">
        <w:tc>
          <w:tcPr>
            <w:tcW w:w="4395" w:type="dxa"/>
            <w:tcBorders>
              <w:top w:val="single" w:sz="6" w:space="0" w:color="000000"/>
              <w:left w:val="single" w:sz="6" w:space="0" w:color="000000"/>
              <w:bottom w:val="single" w:sz="6" w:space="0" w:color="000000"/>
              <w:right w:val="single" w:sz="6" w:space="0" w:color="000000"/>
            </w:tcBorders>
          </w:tcPr>
          <w:p w14:paraId="1C7A9DE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Severitatea bolii</w:t>
            </w:r>
          </w:p>
        </w:tc>
        <w:tc>
          <w:tcPr>
            <w:tcW w:w="5386" w:type="dxa"/>
            <w:tcBorders>
              <w:top w:val="single" w:sz="6" w:space="0" w:color="000000"/>
              <w:left w:val="single" w:sz="6" w:space="0" w:color="000000"/>
              <w:bottom w:val="single" w:sz="6" w:space="0" w:color="000000"/>
              <w:right w:val="single" w:sz="6" w:space="0" w:color="000000"/>
            </w:tcBorders>
          </w:tcPr>
          <w:p w14:paraId="2708DFD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PASI (atingerea PASI 50) sau scoruri de zonă reduse la jumătate(NAPSI,PSSI,ESIF) sau PGA≤2  şi DLQI (scăderea scorului cu 5 puncte)</w:t>
            </w:r>
          </w:p>
        </w:tc>
      </w:tr>
      <w:tr w:rsidR="0049126A" w:rsidRPr="0049126A" w14:paraId="6E9F1255" w14:textId="77777777" w:rsidTr="00300738">
        <w:tc>
          <w:tcPr>
            <w:tcW w:w="4395" w:type="dxa"/>
            <w:tcBorders>
              <w:top w:val="single" w:sz="6" w:space="0" w:color="000000"/>
              <w:left w:val="single" w:sz="6" w:space="0" w:color="000000"/>
              <w:bottom w:val="nil"/>
              <w:right w:val="single" w:sz="6" w:space="0" w:color="000000"/>
            </w:tcBorders>
          </w:tcPr>
          <w:p w14:paraId="4059C67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Teste serologice</w:t>
            </w:r>
          </w:p>
        </w:tc>
        <w:tc>
          <w:tcPr>
            <w:tcW w:w="5386" w:type="dxa"/>
            <w:tcBorders>
              <w:top w:val="single" w:sz="6" w:space="0" w:color="000000"/>
              <w:left w:val="single" w:sz="6" w:space="0" w:color="000000"/>
              <w:bottom w:val="single" w:sz="6" w:space="0" w:color="000000"/>
              <w:right w:val="single" w:sz="6" w:space="0" w:color="000000"/>
            </w:tcBorders>
          </w:tcPr>
          <w:p w14:paraId="4F1EE0B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HLG, VSH</w:t>
            </w:r>
          </w:p>
        </w:tc>
      </w:tr>
      <w:tr w:rsidR="0049126A" w:rsidRPr="0049126A" w14:paraId="3515AA9C" w14:textId="77777777" w:rsidTr="00300738">
        <w:tc>
          <w:tcPr>
            <w:tcW w:w="4395" w:type="dxa"/>
            <w:tcBorders>
              <w:top w:val="nil"/>
              <w:left w:val="single" w:sz="6" w:space="0" w:color="000000"/>
              <w:bottom w:val="single" w:sz="6" w:space="0" w:color="000000"/>
              <w:right w:val="single" w:sz="6" w:space="0" w:color="000000"/>
            </w:tcBorders>
          </w:tcPr>
          <w:p w14:paraId="678F48E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386" w:type="dxa"/>
            <w:tcBorders>
              <w:top w:val="single" w:sz="6" w:space="0" w:color="000000"/>
              <w:left w:val="single" w:sz="6" w:space="0" w:color="000000"/>
              <w:bottom w:val="single" w:sz="6" w:space="0" w:color="000000"/>
              <w:right w:val="single" w:sz="6" w:space="0" w:color="000000"/>
            </w:tcBorders>
          </w:tcPr>
          <w:p w14:paraId="7EEBBF4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creatinina, uree, electroliţi (Na+, K+), TGO (ASAT), TGP (ALAT), GGT</w:t>
            </w:r>
          </w:p>
        </w:tc>
      </w:tr>
      <w:tr w:rsidR="0049126A" w:rsidRPr="0049126A" w14:paraId="473E205A" w14:textId="77777777" w:rsidTr="00300738">
        <w:tc>
          <w:tcPr>
            <w:tcW w:w="4395" w:type="dxa"/>
            <w:tcBorders>
              <w:top w:val="single" w:sz="6" w:space="0" w:color="000000"/>
              <w:left w:val="single" w:sz="6" w:space="0" w:color="000000"/>
              <w:bottom w:val="single" w:sz="6" w:space="0" w:color="000000"/>
              <w:right w:val="single" w:sz="6" w:space="0" w:color="000000"/>
            </w:tcBorders>
          </w:tcPr>
          <w:p w14:paraId="1B3EF5E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Urina</w:t>
            </w:r>
          </w:p>
        </w:tc>
        <w:tc>
          <w:tcPr>
            <w:tcW w:w="5386" w:type="dxa"/>
            <w:tcBorders>
              <w:top w:val="single" w:sz="6" w:space="0" w:color="000000"/>
              <w:left w:val="single" w:sz="6" w:space="0" w:color="000000"/>
              <w:bottom w:val="single" w:sz="6" w:space="0" w:color="000000"/>
              <w:right w:val="single" w:sz="6" w:space="0" w:color="000000"/>
            </w:tcBorders>
          </w:tcPr>
          <w:p w14:paraId="596D0AA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Analiza urinii</w:t>
            </w:r>
          </w:p>
        </w:tc>
      </w:tr>
      <w:tr w:rsidR="0049126A" w:rsidRPr="0049126A" w14:paraId="58FEEE84" w14:textId="77777777" w:rsidTr="00300738">
        <w:tc>
          <w:tcPr>
            <w:tcW w:w="4395" w:type="dxa"/>
            <w:tcBorders>
              <w:top w:val="single" w:sz="6" w:space="0" w:color="000000"/>
              <w:left w:val="single" w:sz="6" w:space="0" w:color="000000"/>
              <w:bottom w:val="single" w:sz="6" w:space="0" w:color="000000"/>
              <w:right w:val="single" w:sz="6" w:space="0" w:color="000000"/>
            </w:tcBorders>
          </w:tcPr>
          <w:p w14:paraId="356BF05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Alte date de laborator semnificative</w:t>
            </w:r>
          </w:p>
        </w:tc>
        <w:tc>
          <w:tcPr>
            <w:tcW w:w="5386" w:type="dxa"/>
            <w:tcBorders>
              <w:top w:val="single" w:sz="6" w:space="0" w:color="000000"/>
              <w:left w:val="single" w:sz="6" w:space="0" w:color="000000"/>
              <w:bottom w:val="single" w:sz="6" w:space="0" w:color="000000"/>
              <w:right w:val="single" w:sz="6" w:space="0" w:color="000000"/>
            </w:tcBorders>
          </w:tcPr>
          <w:p w14:paraId="08EF222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după caz</w:t>
            </w:r>
          </w:p>
        </w:tc>
      </w:tr>
    </w:tbl>
    <w:p w14:paraId="47111372"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en-US" w:eastAsia="ro-RO"/>
        </w:rPr>
      </w:pPr>
    </w:p>
    <w:p w14:paraId="7523DFEA"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4. Monitorizarea menţinerii ţintei terapeutice şi a siguranţei terapeutice se realizează la fiecare 6 luni de tratament de la prima evaluare a ţintei terapeutice</w:t>
      </w:r>
    </w:p>
    <w:p w14:paraId="7C521C9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tbl>
      <w:tblPr>
        <w:tblW w:w="9781" w:type="dxa"/>
        <w:tblLayout w:type="fixed"/>
        <w:tblCellMar>
          <w:left w:w="105" w:type="dxa"/>
          <w:right w:w="105" w:type="dxa"/>
        </w:tblCellMar>
        <w:tblLook w:val="0000" w:firstRow="0" w:lastRow="0" w:firstColumn="0" w:lastColumn="0" w:noHBand="0" w:noVBand="0"/>
      </w:tblPr>
      <w:tblGrid>
        <w:gridCol w:w="2090"/>
        <w:gridCol w:w="4147"/>
        <w:gridCol w:w="3544"/>
      </w:tblGrid>
      <w:tr w:rsidR="0049126A" w:rsidRPr="0049126A" w14:paraId="2F2C5C27" w14:textId="77777777" w:rsidTr="00300738">
        <w:tc>
          <w:tcPr>
            <w:tcW w:w="2090" w:type="dxa"/>
            <w:tcBorders>
              <w:top w:val="nil"/>
              <w:left w:val="nil"/>
              <w:bottom w:val="nil"/>
              <w:right w:val="nil"/>
            </w:tcBorders>
          </w:tcPr>
          <w:p w14:paraId="75201EE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p>
        </w:tc>
        <w:tc>
          <w:tcPr>
            <w:tcW w:w="4147" w:type="dxa"/>
            <w:tcBorders>
              <w:top w:val="nil"/>
              <w:left w:val="nil"/>
              <w:bottom w:val="nil"/>
              <w:right w:val="nil"/>
            </w:tcBorders>
          </w:tcPr>
          <w:p w14:paraId="6C4D7CF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p>
        </w:tc>
        <w:tc>
          <w:tcPr>
            <w:tcW w:w="3544" w:type="dxa"/>
            <w:tcBorders>
              <w:top w:val="single" w:sz="6" w:space="0" w:color="000000"/>
              <w:left w:val="single" w:sz="6" w:space="0" w:color="000000"/>
              <w:bottom w:val="single" w:sz="6" w:space="0" w:color="000000"/>
              <w:right w:val="single" w:sz="6" w:space="0" w:color="000000"/>
            </w:tcBorders>
          </w:tcPr>
          <w:p w14:paraId="73C0313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Monitorizare</w:t>
            </w:r>
          </w:p>
        </w:tc>
      </w:tr>
      <w:tr w:rsidR="0049126A" w:rsidRPr="0049126A" w14:paraId="30996B4D" w14:textId="77777777" w:rsidTr="00300738">
        <w:tc>
          <w:tcPr>
            <w:tcW w:w="2090" w:type="dxa"/>
            <w:tcBorders>
              <w:top w:val="single" w:sz="6" w:space="0" w:color="000000"/>
              <w:left w:val="single" w:sz="6" w:space="0" w:color="000000"/>
              <w:bottom w:val="nil"/>
              <w:right w:val="single" w:sz="6" w:space="0" w:color="000000"/>
            </w:tcBorders>
          </w:tcPr>
          <w:p w14:paraId="53D809E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Severitatea bolii</w:t>
            </w:r>
          </w:p>
        </w:tc>
        <w:tc>
          <w:tcPr>
            <w:tcW w:w="4147" w:type="dxa"/>
            <w:tcBorders>
              <w:top w:val="single" w:sz="6" w:space="0" w:color="000000"/>
              <w:left w:val="single" w:sz="6" w:space="0" w:color="000000"/>
              <w:bottom w:val="nil"/>
              <w:right w:val="single" w:sz="6" w:space="0" w:color="000000"/>
            </w:tcBorders>
          </w:tcPr>
          <w:p w14:paraId="2201A70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PASI (menţinerea PASI 50) sau scoruri de zonă reduse la jumătate, faţă de valoarea iniţială (NAPSI, PSSI, ESIF,) și PGA≤2</w:t>
            </w:r>
          </w:p>
        </w:tc>
        <w:tc>
          <w:tcPr>
            <w:tcW w:w="3544" w:type="dxa"/>
            <w:tcBorders>
              <w:top w:val="single" w:sz="6" w:space="0" w:color="000000"/>
              <w:left w:val="single" w:sz="6" w:space="0" w:color="000000"/>
              <w:bottom w:val="nil"/>
              <w:right w:val="single" w:sz="6" w:space="0" w:color="000000"/>
            </w:tcBorders>
          </w:tcPr>
          <w:p w14:paraId="3472BBB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fiecare 6 luni</w:t>
            </w:r>
          </w:p>
        </w:tc>
      </w:tr>
      <w:tr w:rsidR="0049126A" w:rsidRPr="0049126A" w14:paraId="2A843A2E" w14:textId="77777777" w:rsidTr="00300738">
        <w:tc>
          <w:tcPr>
            <w:tcW w:w="2090" w:type="dxa"/>
            <w:tcBorders>
              <w:top w:val="nil"/>
              <w:left w:val="single" w:sz="6" w:space="0" w:color="000000"/>
              <w:bottom w:val="single" w:sz="6" w:space="0" w:color="000000"/>
              <w:right w:val="single" w:sz="6" w:space="0" w:color="000000"/>
            </w:tcBorders>
          </w:tcPr>
          <w:p w14:paraId="08B6257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4147" w:type="dxa"/>
            <w:tcBorders>
              <w:top w:val="nil"/>
              <w:left w:val="single" w:sz="6" w:space="0" w:color="000000"/>
              <w:bottom w:val="single" w:sz="6" w:space="0" w:color="000000"/>
              <w:right w:val="single" w:sz="6" w:space="0" w:color="000000"/>
            </w:tcBorders>
          </w:tcPr>
          <w:p w14:paraId="4EC729E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DLQI (menţinerea reducerii scorului cu 5 puncte faţă de valoarea iniţială).</w:t>
            </w:r>
          </w:p>
        </w:tc>
        <w:tc>
          <w:tcPr>
            <w:tcW w:w="3544" w:type="dxa"/>
            <w:tcBorders>
              <w:top w:val="nil"/>
              <w:left w:val="single" w:sz="6" w:space="0" w:color="000000"/>
              <w:bottom w:val="single" w:sz="6" w:space="0" w:color="000000"/>
              <w:right w:val="single" w:sz="6" w:space="0" w:color="000000"/>
            </w:tcBorders>
          </w:tcPr>
          <w:p w14:paraId="49A06D0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r>
      <w:tr w:rsidR="0049126A" w:rsidRPr="0049126A" w14:paraId="17810E9D" w14:textId="77777777" w:rsidTr="00300738">
        <w:tc>
          <w:tcPr>
            <w:tcW w:w="2090" w:type="dxa"/>
            <w:tcBorders>
              <w:top w:val="single" w:sz="6" w:space="0" w:color="000000"/>
              <w:left w:val="single" w:sz="6" w:space="0" w:color="000000"/>
              <w:bottom w:val="single" w:sz="6" w:space="0" w:color="000000"/>
              <w:right w:val="single" w:sz="6" w:space="0" w:color="000000"/>
            </w:tcBorders>
          </w:tcPr>
          <w:p w14:paraId="2DB8C1D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Stare generală (simptomatologie şi examen clinic)</w:t>
            </w:r>
          </w:p>
        </w:tc>
        <w:tc>
          <w:tcPr>
            <w:tcW w:w="4147" w:type="dxa"/>
            <w:tcBorders>
              <w:top w:val="single" w:sz="6" w:space="0" w:color="000000"/>
              <w:left w:val="single" w:sz="6" w:space="0" w:color="000000"/>
              <w:bottom w:val="single" w:sz="6" w:space="0" w:color="000000"/>
              <w:right w:val="single" w:sz="6" w:space="0" w:color="000000"/>
            </w:tcBorders>
          </w:tcPr>
          <w:p w14:paraId="23F21C3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Manifestări clinice (simptome şi/sau semne) sugestive pentru: infecţii, boli cu demielinizare, insuficienţă cardiacă, malignităţi etc.</w:t>
            </w:r>
          </w:p>
        </w:tc>
        <w:tc>
          <w:tcPr>
            <w:tcW w:w="3544" w:type="dxa"/>
            <w:tcBorders>
              <w:top w:val="single" w:sz="6" w:space="0" w:color="000000"/>
              <w:left w:val="single" w:sz="6" w:space="0" w:color="000000"/>
              <w:bottom w:val="single" w:sz="6" w:space="0" w:color="000000"/>
              <w:right w:val="single" w:sz="6" w:space="0" w:color="000000"/>
            </w:tcBorders>
          </w:tcPr>
          <w:p w14:paraId="1A32520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fiecare 6 luni</w:t>
            </w:r>
          </w:p>
        </w:tc>
      </w:tr>
      <w:tr w:rsidR="0049126A" w:rsidRPr="0049126A" w14:paraId="5C095C8B" w14:textId="77777777" w:rsidTr="00300738">
        <w:tc>
          <w:tcPr>
            <w:tcW w:w="2090" w:type="dxa"/>
            <w:tcBorders>
              <w:top w:val="single" w:sz="6" w:space="0" w:color="000000"/>
              <w:left w:val="single" w:sz="6" w:space="0" w:color="000000"/>
              <w:bottom w:val="single" w:sz="6" w:space="0" w:color="000000"/>
              <w:right w:val="single" w:sz="6" w:space="0" w:color="000000"/>
            </w:tcBorders>
          </w:tcPr>
          <w:p w14:paraId="4D1A687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Infecţie TBC</w:t>
            </w:r>
          </w:p>
        </w:tc>
        <w:tc>
          <w:tcPr>
            <w:tcW w:w="4147" w:type="dxa"/>
            <w:tcBorders>
              <w:top w:val="single" w:sz="6" w:space="0" w:color="000000"/>
              <w:left w:val="single" w:sz="6" w:space="0" w:color="000000"/>
              <w:bottom w:val="single" w:sz="6" w:space="0" w:color="000000"/>
              <w:right w:val="single" w:sz="6" w:space="0" w:color="000000"/>
            </w:tcBorders>
          </w:tcPr>
          <w:p w14:paraId="092759E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testul cutanat tuberculinic</w:t>
            </w:r>
          </w:p>
          <w:p w14:paraId="45AFD7B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sau</w:t>
            </w:r>
          </w:p>
          <w:p w14:paraId="05F4670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IGRA*</w:t>
            </w:r>
          </w:p>
        </w:tc>
        <w:tc>
          <w:tcPr>
            <w:tcW w:w="3544" w:type="dxa"/>
            <w:tcBorders>
              <w:top w:val="single" w:sz="6" w:space="0" w:color="000000"/>
              <w:left w:val="single" w:sz="6" w:space="0" w:color="000000"/>
              <w:bottom w:val="single" w:sz="6" w:space="0" w:color="000000"/>
              <w:right w:val="single" w:sz="6" w:space="0" w:color="000000"/>
            </w:tcBorders>
          </w:tcPr>
          <w:p w14:paraId="0C21F4B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fr-MC" w:eastAsia="ro-RO"/>
              </w:rPr>
            </w:pPr>
            <w:r w:rsidRPr="0049126A">
              <w:rPr>
                <w:rFonts w:ascii="Times New Roman" w:eastAsia="Times New Roman" w:hAnsi="Times New Roman" w:cs="Times New Roman"/>
                <w:b/>
                <w:bCs/>
                <w:sz w:val="20"/>
                <w:szCs w:val="20"/>
                <w:lang w:val="fr-MC" w:eastAsia="ro-RO"/>
              </w:rPr>
              <w:t>Dupa primele 12 luni pentru pacienţii care nu au avut chimioprofilaxie în acest interval este obligatorie testarea cutanata sau IGRA. Incepand cu al doilea an si pentru acestia se solicita doar avizul medicului pneumolog</w:t>
            </w:r>
          </w:p>
          <w:p w14:paraId="0DB6545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Pentru ceilalţi pacienţi doar evaluarea anuală a medicului pneumo-ftiziolog</w:t>
            </w:r>
          </w:p>
          <w:p w14:paraId="26CE867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Daca se considera necesar de catre medicul pneumo-ftiziolog sau dermatolog se efectueaza din nou analizele (test cutanat sau IGRA).</w:t>
            </w:r>
          </w:p>
        </w:tc>
      </w:tr>
      <w:tr w:rsidR="0049126A" w:rsidRPr="0049126A" w14:paraId="354B648D" w14:textId="77777777" w:rsidTr="00300738">
        <w:tc>
          <w:tcPr>
            <w:tcW w:w="2090" w:type="dxa"/>
            <w:tcBorders>
              <w:top w:val="single" w:sz="6" w:space="0" w:color="000000"/>
              <w:left w:val="single" w:sz="6" w:space="0" w:color="000000"/>
              <w:bottom w:val="nil"/>
              <w:right w:val="single" w:sz="6" w:space="0" w:color="000000"/>
            </w:tcBorders>
          </w:tcPr>
          <w:p w14:paraId="6E302E1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Teste serologice</w:t>
            </w:r>
          </w:p>
        </w:tc>
        <w:tc>
          <w:tcPr>
            <w:tcW w:w="4147" w:type="dxa"/>
            <w:tcBorders>
              <w:top w:val="single" w:sz="6" w:space="0" w:color="000000"/>
              <w:left w:val="single" w:sz="6" w:space="0" w:color="000000"/>
              <w:bottom w:val="single" w:sz="6" w:space="0" w:color="000000"/>
              <w:right w:val="single" w:sz="6" w:space="0" w:color="000000"/>
            </w:tcBorders>
          </w:tcPr>
          <w:p w14:paraId="496604C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HLG, VSH</w:t>
            </w:r>
          </w:p>
        </w:tc>
        <w:tc>
          <w:tcPr>
            <w:tcW w:w="3544" w:type="dxa"/>
            <w:tcBorders>
              <w:top w:val="single" w:sz="6" w:space="0" w:color="000000"/>
              <w:left w:val="single" w:sz="6" w:space="0" w:color="000000"/>
              <w:bottom w:val="single" w:sz="6" w:space="0" w:color="000000"/>
              <w:right w:val="single" w:sz="6" w:space="0" w:color="000000"/>
            </w:tcBorders>
          </w:tcPr>
          <w:p w14:paraId="69D1EBA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fiecare 6 luni</w:t>
            </w:r>
          </w:p>
        </w:tc>
      </w:tr>
      <w:tr w:rsidR="0049126A" w:rsidRPr="0049126A" w14:paraId="25F9B9F9" w14:textId="77777777" w:rsidTr="00300738">
        <w:tc>
          <w:tcPr>
            <w:tcW w:w="2090" w:type="dxa"/>
            <w:tcBorders>
              <w:top w:val="nil"/>
              <w:left w:val="single" w:sz="6" w:space="0" w:color="000000"/>
              <w:bottom w:val="nil"/>
              <w:right w:val="single" w:sz="6" w:space="0" w:color="000000"/>
            </w:tcBorders>
          </w:tcPr>
          <w:p w14:paraId="285D561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4147" w:type="dxa"/>
            <w:tcBorders>
              <w:top w:val="single" w:sz="6" w:space="0" w:color="000000"/>
              <w:left w:val="single" w:sz="6" w:space="0" w:color="000000"/>
              <w:bottom w:val="single" w:sz="6" w:space="0" w:color="000000"/>
              <w:right w:val="single" w:sz="6" w:space="0" w:color="000000"/>
            </w:tcBorders>
          </w:tcPr>
          <w:p w14:paraId="1FBD1E5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creatinina, uree, electroliţi (Na</w:t>
            </w:r>
            <w:r w:rsidRPr="0049126A">
              <w:rPr>
                <w:rFonts w:ascii="Times New Roman" w:eastAsia="Times New Roman" w:hAnsi="Times New Roman" w:cs="Times New Roman"/>
                <w:sz w:val="20"/>
                <w:szCs w:val="20"/>
                <w:vertAlign w:val="superscript"/>
                <w:lang w:val="en-US" w:eastAsia="ro-RO"/>
              </w:rPr>
              <w:t>+</w:t>
            </w:r>
            <w:r w:rsidRPr="0049126A">
              <w:rPr>
                <w:rFonts w:ascii="Times New Roman" w:eastAsia="Times New Roman" w:hAnsi="Times New Roman" w:cs="Times New Roman"/>
                <w:sz w:val="20"/>
                <w:szCs w:val="20"/>
                <w:lang w:val="en-US" w:eastAsia="ro-RO"/>
              </w:rPr>
              <w:t>, K</w:t>
            </w:r>
            <w:r w:rsidRPr="0049126A">
              <w:rPr>
                <w:rFonts w:ascii="Times New Roman" w:eastAsia="Times New Roman" w:hAnsi="Times New Roman" w:cs="Times New Roman"/>
                <w:sz w:val="20"/>
                <w:szCs w:val="20"/>
                <w:vertAlign w:val="superscript"/>
                <w:lang w:val="en-US" w:eastAsia="ro-RO"/>
              </w:rPr>
              <w:t>+</w:t>
            </w:r>
            <w:r w:rsidRPr="0049126A">
              <w:rPr>
                <w:rFonts w:ascii="Times New Roman" w:eastAsia="Times New Roman" w:hAnsi="Times New Roman" w:cs="Times New Roman"/>
                <w:sz w:val="20"/>
                <w:szCs w:val="20"/>
                <w:lang w:val="en-US" w:eastAsia="ro-RO"/>
              </w:rPr>
              <w:t>), TGO (ASAT), TGP (ALAT), GGT</w:t>
            </w:r>
          </w:p>
        </w:tc>
        <w:tc>
          <w:tcPr>
            <w:tcW w:w="3544" w:type="dxa"/>
            <w:tcBorders>
              <w:top w:val="single" w:sz="6" w:space="0" w:color="000000"/>
              <w:left w:val="single" w:sz="6" w:space="0" w:color="000000"/>
              <w:bottom w:val="single" w:sz="6" w:space="0" w:color="000000"/>
              <w:right w:val="single" w:sz="6" w:space="0" w:color="000000"/>
            </w:tcBorders>
          </w:tcPr>
          <w:p w14:paraId="3541522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fiecare 6 luni</w:t>
            </w:r>
          </w:p>
        </w:tc>
      </w:tr>
      <w:tr w:rsidR="0049126A" w:rsidRPr="0049126A" w14:paraId="1CBF187E" w14:textId="77777777" w:rsidTr="00300738">
        <w:tc>
          <w:tcPr>
            <w:tcW w:w="2090" w:type="dxa"/>
            <w:tcBorders>
              <w:top w:val="nil"/>
              <w:left w:val="single" w:sz="6" w:space="0" w:color="000000"/>
              <w:bottom w:val="nil"/>
              <w:right w:val="single" w:sz="6" w:space="0" w:color="000000"/>
            </w:tcBorders>
          </w:tcPr>
          <w:p w14:paraId="78605F7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4147" w:type="dxa"/>
            <w:tcBorders>
              <w:top w:val="single" w:sz="6" w:space="0" w:color="000000"/>
              <w:left w:val="single" w:sz="6" w:space="0" w:color="000000"/>
              <w:bottom w:val="single" w:sz="6" w:space="0" w:color="000000"/>
              <w:right w:val="single" w:sz="6" w:space="0" w:color="000000"/>
            </w:tcBorders>
          </w:tcPr>
          <w:p w14:paraId="243A780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hepatita B (AgHBs)</w:t>
            </w:r>
          </w:p>
        </w:tc>
        <w:tc>
          <w:tcPr>
            <w:tcW w:w="3544" w:type="dxa"/>
            <w:tcBorders>
              <w:top w:val="single" w:sz="6" w:space="0" w:color="000000"/>
              <w:left w:val="single" w:sz="6" w:space="0" w:color="000000"/>
              <w:bottom w:val="single" w:sz="6" w:space="0" w:color="000000"/>
              <w:right w:val="single" w:sz="6" w:space="0" w:color="000000"/>
            </w:tcBorders>
          </w:tcPr>
          <w:p w14:paraId="721B4F5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anual</w:t>
            </w:r>
          </w:p>
        </w:tc>
      </w:tr>
      <w:tr w:rsidR="0049126A" w:rsidRPr="0049126A" w14:paraId="65F86CE4" w14:textId="77777777" w:rsidTr="00300738">
        <w:tc>
          <w:tcPr>
            <w:tcW w:w="2090" w:type="dxa"/>
            <w:tcBorders>
              <w:top w:val="nil"/>
              <w:left w:val="single" w:sz="6" w:space="0" w:color="000000"/>
              <w:bottom w:val="single" w:sz="6" w:space="0" w:color="000000"/>
              <w:right w:val="single" w:sz="6" w:space="0" w:color="000000"/>
            </w:tcBorders>
          </w:tcPr>
          <w:p w14:paraId="6A1B5EA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4147" w:type="dxa"/>
            <w:tcBorders>
              <w:top w:val="single" w:sz="6" w:space="0" w:color="000000"/>
              <w:left w:val="single" w:sz="6" w:space="0" w:color="000000"/>
              <w:bottom w:val="single" w:sz="6" w:space="0" w:color="000000"/>
              <w:right w:val="single" w:sz="6" w:space="0" w:color="000000"/>
            </w:tcBorders>
          </w:tcPr>
          <w:p w14:paraId="370A43E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hepatita C (Ac anti HVC)</w:t>
            </w:r>
          </w:p>
        </w:tc>
        <w:tc>
          <w:tcPr>
            <w:tcW w:w="3544" w:type="dxa"/>
            <w:tcBorders>
              <w:top w:val="single" w:sz="6" w:space="0" w:color="000000"/>
              <w:left w:val="single" w:sz="6" w:space="0" w:color="000000"/>
              <w:bottom w:val="single" w:sz="6" w:space="0" w:color="000000"/>
              <w:right w:val="single" w:sz="6" w:space="0" w:color="000000"/>
            </w:tcBorders>
          </w:tcPr>
          <w:p w14:paraId="1FDC6AC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anual</w:t>
            </w:r>
          </w:p>
        </w:tc>
      </w:tr>
      <w:tr w:rsidR="0049126A" w:rsidRPr="0049126A" w14:paraId="6138F9D0" w14:textId="77777777" w:rsidTr="00300738">
        <w:tc>
          <w:tcPr>
            <w:tcW w:w="2090" w:type="dxa"/>
            <w:tcBorders>
              <w:top w:val="single" w:sz="6" w:space="0" w:color="000000"/>
              <w:left w:val="single" w:sz="6" w:space="0" w:color="000000"/>
              <w:bottom w:val="single" w:sz="6" w:space="0" w:color="000000"/>
              <w:right w:val="single" w:sz="6" w:space="0" w:color="000000"/>
            </w:tcBorders>
          </w:tcPr>
          <w:p w14:paraId="06764D8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Urina</w:t>
            </w:r>
          </w:p>
        </w:tc>
        <w:tc>
          <w:tcPr>
            <w:tcW w:w="4147" w:type="dxa"/>
            <w:tcBorders>
              <w:top w:val="single" w:sz="6" w:space="0" w:color="000000"/>
              <w:left w:val="single" w:sz="6" w:space="0" w:color="000000"/>
              <w:bottom w:val="single" w:sz="6" w:space="0" w:color="000000"/>
              <w:right w:val="single" w:sz="6" w:space="0" w:color="000000"/>
            </w:tcBorders>
          </w:tcPr>
          <w:p w14:paraId="038A1B8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analiza urinii</w:t>
            </w:r>
          </w:p>
        </w:tc>
        <w:tc>
          <w:tcPr>
            <w:tcW w:w="3544" w:type="dxa"/>
            <w:tcBorders>
              <w:top w:val="single" w:sz="6" w:space="0" w:color="000000"/>
              <w:left w:val="single" w:sz="6" w:space="0" w:color="000000"/>
              <w:bottom w:val="single" w:sz="6" w:space="0" w:color="000000"/>
              <w:right w:val="single" w:sz="6" w:space="0" w:color="000000"/>
            </w:tcBorders>
          </w:tcPr>
          <w:p w14:paraId="644FB75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fiecare 6 luni</w:t>
            </w:r>
          </w:p>
        </w:tc>
      </w:tr>
      <w:tr w:rsidR="0049126A" w:rsidRPr="0049126A" w14:paraId="06A06F36" w14:textId="77777777" w:rsidTr="00300738">
        <w:tc>
          <w:tcPr>
            <w:tcW w:w="2090" w:type="dxa"/>
            <w:tcBorders>
              <w:top w:val="single" w:sz="6" w:space="0" w:color="000000"/>
              <w:left w:val="single" w:sz="6" w:space="0" w:color="000000"/>
              <w:bottom w:val="single" w:sz="6" w:space="0" w:color="000000"/>
              <w:right w:val="single" w:sz="6" w:space="0" w:color="000000"/>
            </w:tcBorders>
          </w:tcPr>
          <w:p w14:paraId="61D49AC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Radiologie</w:t>
            </w:r>
          </w:p>
        </w:tc>
        <w:tc>
          <w:tcPr>
            <w:tcW w:w="4147" w:type="dxa"/>
            <w:tcBorders>
              <w:top w:val="single" w:sz="6" w:space="0" w:color="000000"/>
              <w:left w:val="single" w:sz="6" w:space="0" w:color="000000"/>
              <w:bottom w:val="single" w:sz="6" w:space="0" w:color="000000"/>
              <w:right w:val="single" w:sz="6" w:space="0" w:color="000000"/>
            </w:tcBorders>
          </w:tcPr>
          <w:p w14:paraId="34425B3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radiografie cardio-pulmonară</w:t>
            </w:r>
          </w:p>
        </w:tc>
        <w:tc>
          <w:tcPr>
            <w:tcW w:w="3544" w:type="dxa"/>
            <w:tcBorders>
              <w:top w:val="single" w:sz="6" w:space="0" w:color="000000"/>
              <w:left w:val="single" w:sz="6" w:space="0" w:color="000000"/>
              <w:bottom w:val="single" w:sz="6" w:space="0" w:color="000000"/>
              <w:right w:val="single" w:sz="6" w:space="0" w:color="000000"/>
            </w:tcBorders>
          </w:tcPr>
          <w:p w14:paraId="70B2638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anual</w:t>
            </w:r>
          </w:p>
        </w:tc>
      </w:tr>
      <w:tr w:rsidR="0049126A" w:rsidRPr="0049126A" w14:paraId="4F17CFB6" w14:textId="77777777" w:rsidTr="00300738">
        <w:tc>
          <w:tcPr>
            <w:tcW w:w="2090" w:type="dxa"/>
            <w:tcBorders>
              <w:top w:val="single" w:sz="6" w:space="0" w:color="000000"/>
              <w:left w:val="single" w:sz="6" w:space="0" w:color="000000"/>
              <w:bottom w:val="single" w:sz="6" w:space="0" w:color="000000"/>
              <w:right w:val="single" w:sz="6" w:space="0" w:color="000000"/>
            </w:tcBorders>
          </w:tcPr>
          <w:p w14:paraId="53D71D3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Alte date de laborator semnificative</w:t>
            </w:r>
          </w:p>
        </w:tc>
        <w:tc>
          <w:tcPr>
            <w:tcW w:w="4147" w:type="dxa"/>
            <w:tcBorders>
              <w:top w:val="single" w:sz="6" w:space="0" w:color="000000"/>
              <w:left w:val="single" w:sz="6" w:space="0" w:color="000000"/>
              <w:bottom w:val="single" w:sz="6" w:space="0" w:color="000000"/>
              <w:right w:val="single" w:sz="6" w:space="0" w:color="000000"/>
            </w:tcBorders>
          </w:tcPr>
          <w:p w14:paraId="7E87D1F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după caz</w:t>
            </w:r>
          </w:p>
        </w:tc>
        <w:tc>
          <w:tcPr>
            <w:tcW w:w="3544" w:type="dxa"/>
            <w:tcBorders>
              <w:top w:val="single" w:sz="6" w:space="0" w:color="000000"/>
              <w:left w:val="single" w:sz="6" w:space="0" w:color="000000"/>
              <w:bottom w:val="single" w:sz="6" w:space="0" w:color="000000"/>
              <w:right w:val="single" w:sz="6" w:space="0" w:color="000000"/>
            </w:tcBorders>
          </w:tcPr>
          <w:p w14:paraId="3B8DEF0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după caz</w:t>
            </w:r>
          </w:p>
        </w:tc>
      </w:tr>
    </w:tbl>
    <w:p w14:paraId="5F884FBC" w14:textId="77777777" w:rsidR="005D3C7A" w:rsidRPr="0049126A" w:rsidRDefault="005D3C7A" w:rsidP="005D3C7A">
      <w:pPr>
        <w:pBdr>
          <w:top w:val="nil"/>
          <w:left w:val="nil"/>
          <w:bottom w:val="nil"/>
          <w:right w:val="nil"/>
          <w:between w:val="nil"/>
          <w:bar w:val="nil"/>
        </w:pBd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nu este necesara pentru tratamentul cu molecula mica cu actiune intracelulara</w:t>
      </w:r>
    </w:p>
    <w:p w14:paraId="0B67B83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p>
    <w:p w14:paraId="2513C6F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u w:val="single"/>
          <w:lang w:val="fr-MC" w:eastAsia="ro-RO"/>
        </w:rPr>
      </w:pPr>
      <w:r w:rsidRPr="0049126A">
        <w:rPr>
          <w:rFonts w:ascii="Times New Roman" w:eastAsia="Times New Roman" w:hAnsi="Times New Roman" w:cs="Times New Roman"/>
          <w:b/>
          <w:bCs/>
          <w:sz w:val="24"/>
          <w:szCs w:val="24"/>
          <w:u w:val="single"/>
          <w:lang w:val="fr-MC" w:eastAsia="ro-RO"/>
        </w:rPr>
        <w:t>Recomandări privind evaluarea infecţiei TBC</w:t>
      </w:r>
    </w:p>
    <w:p w14:paraId="02C3C9A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Tuberculoza este o complicaţie potenţial fatală a tratamentului cu agenţi biologici. Riscul de a dezvolta tuberculoză trebuie evaluat obligatoriu la toţi pacienţii înainte de a se iniţia tratamentul cu agenţi biologici. Evaluarea va cuprinde: anamneza, examenul clinic, radiografia pulmonară postero-anterioară şi un test imunodiagnostic: fie testul cutanat tuberculinic (TCT), fie IGRA (interferon-gamma release assay cum este de exemplu: Quantiferon TB GOLD). Orice suspiciune de tuberculoză </w:t>
      </w:r>
      <w:r w:rsidRPr="0049126A">
        <w:rPr>
          <w:rFonts w:ascii="Times New Roman" w:eastAsia="Times New Roman" w:hAnsi="Times New Roman" w:cs="Times New Roman"/>
          <w:sz w:val="24"/>
          <w:szCs w:val="24"/>
          <w:lang w:val="fr-MC" w:eastAsia="ro-RO"/>
        </w:rPr>
        <w:lastRenderedPageBreak/>
        <w:t>activă (clinică sau radiologică), indiferent de localizare (i.e. pulmonară sau extrapulmonară: articulară, digestivă, ganglionară etc), trebuie să fie confirmată sau infirmată prin metode de diagnostic specifice de către medicul cu specialitatea respectivă în funcţie de localizare.</w:t>
      </w:r>
    </w:p>
    <w:p w14:paraId="2C1C6ED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59D570D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Sunt consideraţi cu risc crescut de tuberculoză pacienţii care prezintă cel puţin una din următoarele caracteristici:</w:t>
      </w:r>
    </w:p>
    <w:p w14:paraId="6C570288" w14:textId="77777777" w:rsidR="005D3C7A" w:rsidRPr="0049126A" w:rsidRDefault="005D3C7A" w:rsidP="005D3C7A">
      <w:pPr>
        <w:numPr>
          <w:ilvl w:val="0"/>
          <w:numId w:val="6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test imunodiagnostic pozitiv: TCT </w:t>
      </w:r>
      <w:r w:rsidRPr="0049126A">
        <w:rPr>
          <w:rFonts w:ascii="Times New Roman" w:eastAsia="Times New Roman" w:hAnsi="Times New Roman" w:cs="Times New Roman"/>
          <w:sz w:val="24"/>
          <w:szCs w:val="24"/>
          <w:u w:val="single"/>
          <w:lang w:val="en-US" w:eastAsia="ro-RO"/>
        </w:rPr>
        <w:t>&gt;</w:t>
      </w:r>
      <w:r w:rsidRPr="0049126A">
        <w:rPr>
          <w:rFonts w:ascii="Times New Roman" w:eastAsia="Times New Roman" w:hAnsi="Times New Roman" w:cs="Times New Roman"/>
          <w:sz w:val="24"/>
          <w:szCs w:val="24"/>
          <w:lang w:val="en-US" w:eastAsia="ro-RO"/>
        </w:rPr>
        <w:t xml:space="preserve"> 5 mm (diametru transversal al induraţiei) sau QFTG </w:t>
      </w:r>
      <w:r w:rsidRPr="0049126A">
        <w:rPr>
          <w:rFonts w:ascii="Times New Roman" w:eastAsia="Times New Roman" w:hAnsi="Times New Roman" w:cs="Times New Roman"/>
          <w:sz w:val="24"/>
          <w:szCs w:val="24"/>
          <w:u w:val="single"/>
          <w:lang w:val="en-US" w:eastAsia="ro-RO"/>
        </w:rPr>
        <w:t>&gt;</w:t>
      </w:r>
      <w:r w:rsidRPr="0049126A">
        <w:rPr>
          <w:rFonts w:ascii="Times New Roman" w:eastAsia="Times New Roman" w:hAnsi="Times New Roman" w:cs="Times New Roman"/>
          <w:sz w:val="24"/>
          <w:szCs w:val="24"/>
          <w:lang w:val="en-US" w:eastAsia="ro-RO"/>
        </w:rPr>
        <w:t xml:space="preserve"> 0,35 UI/mL (în condiţiile unui test valid);</w:t>
      </w:r>
    </w:p>
    <w:p w14:paraId="6109031B" w14:textId="77777777" w:rsidR="005D3C7A" w:rsidRPr="0049126A" w:rsidRDefault="005D3C7A" w:rsidP="005D3C7A">
      <w:pPr>
        <w:numPr>
          <w:ilvl w:val="0"/>
          <w:numId w:val="6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leziuni pulmonare sechelare fibroase/calcare pe radiografia pulmonară cu un volum însumat estimat </w:t>
      </w:r>
      <w:r w:rsidRPr="0049126A">
        <w:rPr>
          <w:rFonts w:ascii="Times New Roman" w:eastAsia="Times New Roman" w:hAnsi="Times New Roman" w:cs="Times New Roman"/>
          <w:sz w:val="24"/>
          <w:szCs w:val="24"/>
          <w:u w:val="single"/>
          <w:lang w:val="fr-MC" w:eastAsia="ro-RO"/>
        </w:rPr>
        <w:t>&gt;</w:t>
      </w:r>
      <w:r w:rsidRPr="0049126A">
        <w:rPr>
          <w:rFonts w:ascii="Times New Roman" w:eastAsia="Times New Roman" w:hAnsi="Times New Roman" w:cs="Times New Roman"/>
          <w:sz w:val="24"/>
          <w:szCs w:val="24"/>
          <w:lang w:val="fr-MC" w:eastAsia="ro-RO"/>
        </w:rPr>
        <w:t xml:space="preserve"> 1 cm</w:t>
      </w:r>
      <w:r w:rsidRPr="0049126A">
        <w:rPr>
          <w:rFonts w:ascii="Times New Roman" w:eastAsia="Times New Roman" w:hAnsi="Times New Roman" w:cs="Times New Roman"/>
          <w:sz w:val="24"/>
          <w:szCs w:val="24"/>
          <w:vertAlign w:val="superscript"/>
          <w:lang w:val="fr-MC" w:eastAsia="ro-RO"/>
        </w:rPr>
        <w:t>3</w:t>
      </w:r>
      <w:r w:rsidRPr="0049126A">
        <w:rPr>
          <w:rFonts w:ascii="Times New Roman" w:eastAsia="Times New Roman" w:hAnsi="Times New Roman" w:cs="Times New Roman"/>
          <w:sz w:val="24"/>
          <w:szCs w:val="24"/>
          <w:lang w:val="fr-MC" w:eastAsia="ro-RO"/>
        </w:rPr>
        <w:t>, fără istoric de tratament de tuberculoză;</w:t>
      </w:r>
    </w:p>
    <w:p w14:paraId="31C90BA2" w14:textId="77777777" w:rsidR="005D3C7A" w:rsidRPr="0049126A" w:rsidRDefault="005D3C7A" w:rsidP="005D3C7A">
      <w:pPr>
        <w:numPr>
          <w:ilvl w:val="0"/>
          <w:numId w:val="64"/>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contact recent cu un pacient cu tuberculoză pulmonară BAAR+.</w:t>
      </w:r>
    </w:p>
    <w:p w14:paraId="08D0241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406335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Tratamentul cu agenţi biologici se recomandă a fi iniţiat după minim o lună de tratament al ITBL (infecţia tuberculoasă latentă); în situaţii speciale (urgenţă) el poate fi început şi mai devreme cu acordul medicului pneumolog. Întrucât această strategie preventivă nu elimină complet riscul de tuberculoză, se recomandă supravegherea atentă a pacienţilor sub tratament cu agenţi biologici pe toată durata lui prin:</w:t>
      </w:r>
    </w:p>
    <w:p w14:paraId="6CEC8365" w14:textId="77777777" w:rsidR="005D3C7A" w:rsidRPr="0049126A" w:rsidRDefault="005D3C7A" w:rsidP="005D3C7A">
      <w:pPr>
        <w:numPr>
          <w:ilvl w:val="0"/>
          <w:numId w:val="6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monitorizarea clinică şi educaţia pacientului pentru a raporta orice simptome nou apărute; în caz de suspiciune de tuberculoză indiferent de localizare, se va face rapid un demers diagnostic pentru confirmarea/infirmarea suspiciunii.</w:t>
      </w:r>
    </w:p>
    <w:p w14:paraId="48799E05" w14:textId="77777777" w:rsidR="005D3C7A" w:rsidRPr="0049126A" w:rsidRDefault="005D3C7A" w:rsidP="005D3C7A">
      <w:pPr>
        <w:numPr>
          <w:ilvl w:val="0"/>
          <w:numId w:val="6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repetarea testului imunodiagnostic (de preferinţă acelaşi cu cel iniţial)  dupa 12 luni în cazul în care primul test a fost negativ şi pacientul nu a avut altă indicaţie de tratament al ITBL, apoi doar consult anual cu avizul medicului pneumolog.</w:t>
      </w:r>
    </w:p>
    <w:p w14:paraId="7CB0080B" w14:textId="77777777" w:rsidR="005D3C7A" w:rsidRPr="0049126A" w:rsidRDefault="005D3C7A" w:rsidP="005D3C7A">
      <w:pPr>
        <w:numPr>
          <w:ilvl w:val="0"/>
          <w:numId w:val="65"/>
        </w:numPr>
        <w:autoSpaceDE w:val="0"/>
        <w:autoSpaceDN w:val="0"/>
        <w:adjustRightInd w:val="0"/>
        <w:spacing w:after="0" w:line="240" w:lineRule="auto"/>
        <w:ind w:left="426" w:hanging="426"/>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Pacientul care a urmat un tratament complet şi corect a unei ITBL după evaluarea iniţială cu un test imunodiagnostic pozitiv, nu necesită repetarea testului imunodiagnostic întrucât acesta poate rămâne pozitiv timp îndelungat în absenţa persistenţei ITBL, doar consult anual cu avizul medicului pneumolog.</w:t>
      </w:r>
    </w:p>
    <w:p w14:paraId="29DF5018"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08319339"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Schimbarea agentului biologic</w:t>
      </w:r>
      <w:r w:rsidRPr="0049126A">
        <w:rPr>
          <w:rFonts w:ascii="Times New Roman" w:eastAsia="Times New Roman" w:hAnsi="Times New Roman" w:cs="Times New Roman"/>
          <w:b/>
          <w:bCs/>
          <w:sz w:val="24"/>
          <w:szCs w:val="24"/>
          <w:u w:val="single"/>
          <w:lang w:val="fr-MC" w:eastAsia="ro-RO"/>
        </w:rPr>
        <w:t>/</w:t>
      </w:r>
      <w:r w:rsidRPr="0049126A">
        <w:rPr>
          <w:rFonts w:ascii="Times New Roman" w:eastAsia="Times New Roman" w:hAnsi="Times New Roman" w:cs="Times New Roman"/>
          <w:b/>
          <w:bCs/>
          <w:sz w:val="24"/>
          <w:szCs w:val="24"/>
          <w:lang w:val="fr-MC" w:eastAsia="ro-RO"/>
        </w:rPr>
        <w:t xml:space="preserve"> molecula mica cu actiune intracelulara</w:t>
      </w:r>
    </w:p>
    <w:p w14:paraId="70E9A3A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cazul pacienţilor care la evaluare nu ating sau nu menţin ţinta terapeutică la tratamentul cu un agent biologic sau cu moleculă mică cu acțiune intracelulară sau care au dezvoltat o reacţie adversă care să impună oprirea respectivului agent biologic sau cu moleculă mică cu acțiune intracelulară, medicul curant va recomanda schimbarea terapiei cu alt agent biologic original sau biosimilar pe care pacientul nu l-a utilizat anterior sau cu o molecula mica cu actiune intracelulara. Este permisă schimbarea agentului biologic cu un alt agent biologic (alt DCI) din aceeaşi clasă terapeutică doar o singură dată succesiv. Nu se va folosi un produs biosimilar după produsul său original care nu a fost eficient sau care a produs o reacţie adversă. De asemenea, nu se va folosi agentul biologic original după biosimilarul său ce nu a fost eficient sau care a produs o reacţie adversă.</w:t>
      </w:r>
    </w:p>
    <w:p w14:paraId="4E39505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În cazul schimbării agentului biologic, se recomandă respectarea prevederilor din rezumatul caracteristicilor fiecărui produs. Se poate schimba terapia biologică cu cea cu moleculă mică cu acțiune intracelulară sau invers, cu respectarea condițiilor de schimbare prezentate mai sus.  </w:t>
      </w:r>
    </w:p>
    <w:p w14:paraId="07CBAC1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B96A93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PRESCRIPTORI: tratamentul se iniţiază de medici din specialitatea dermatologie-venerologie şi se continuă de către medicul din specialitatea dermatologie-venerologie sau medicul de familie pe baza scrisorii medicale. Evaluările (PASI sau scoruri de zonă și DLQI) se efectuează numai de către medicul din specialitatea dermato-venerologie. Este obligatoriu completarea dosarului după fiecare evaluare.</w:t>
      </w:r>
    </w:p>
    <w:p w14:paraId="4DE61378"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0E85CBCC"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DE8057C"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09273E9E"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4199DB56"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468044F7"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7019C268"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27440A37"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lastRenderedPageBreak/>
        <w:t>Anexa Nr. 1</w:t>
      </w:r>
    </w:p>
    <w:p w14:paraId="7848B25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7EE0BE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SCORUL DLQI pentru adulţi şi SCORUL CDLQI pentru copii</w:t>
      </w:r>
    </w:p>
    <w:p w14:paraId="224B1FD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711582B"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Scorul DLQI</w:t>
      </w:r>
    </w:p>
    <w:p w14:paraId="2F70340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Scorul DLQI - Dermatological Life Quality Index a fost elaborat de Prof. A. Finlay din Marea Britanie. Scorul DLQI poate fi utilizat pentru orice afecţiune cutanată.</w:t>
      </w:r>
    </w:p>
    <w:p w14:paraId="7E88B22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Pacientul răspunde la cele 10 întrebări referindu-se la experienţa sa din ultima săptămână. </w:t>
      </w:r>
      <w:r w:rsidRPr="0049126A">
        <w:rPr>
          <w:rFonts w:ascii="Times New Roman" w:eastAsia="Times New Roman" w:hAnsi="Times New Roman" w:cs="Times New Roman"/>
          <w:sz w:val="24"/>
          <w:szCs w:val="24"/>
          <w:lang w:val="en-US" w:eastAsia="ro-RO"/>
        </w:rPr>
        <w:t>Textul chestionarului este următorul:</w:t>
      </w:r>
    </w:p>
    <w:p w14:paraId="5D286D0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72EC333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Scorul DLQI pentru adulţi</w:t>
      </w:r>
    </w:p>
    <w:tbl>
      <w:tblPr>
        <w:tblW w:w="9923" w:type="dxa"/>
        <w:tblInd w:w="105" w:type="dxa"/>
        <w:tblLayout w:type="fixed"/>
        <w:tblCellMar>
          <w:left w:w="105" w:type="dxa"/>
          <w:right w:w="105" w:type="dxa"/>
        </w:tblCellMar>
        <w:tblLook w:val="0000" w:firstRow="0" w:lastRow="0" w:firstColumn="0" w:lastColumn="0" w:noHBand="0" w:noVBand="0"/>
      </w:tblPr>
      <w:tblGrid>
        <w:gridCol w:w="5396"/>
        <w:gridCol w:w="4527"/>
      </w:tblGrid>
      <w:tr w:rsidR="0049126A" w:rsidRPr="0049126A" w14:paraId="1186EEE6" w14:textId="77777777" w:rsidTr="00300738">
        <w:tc>
          <w:tcPr>
            <w:tcW w:w="5396" w:type="dxa"/>
            <w:tcBorders>
              <w:top w:val="nil"/>
              <w:left w:val="nil"/>
              <w:bottom w:val="nil"/>
              <w:right w:val="nil"/>
            </w:tcBorders>
          </w:tcPr>
          <w:p w14:paraId="6A756DE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Unitatea sanitară:</w:t>
            </w:r>
          </w:p>
        </w:tc>
        <w:tc>
          <w:tcPr>
            <w:tcW w:w="4527" w:type="dxa"/>
            <w:tcBorders>
              <w:top w:val="nil"/>
              <w:left w:val="nil"/>
              <w:bottom w:val="nil"/>
              <w:right w:val="nil"/>
            </w:tcBorders>
          </w:tcPr>
          <w:p w14:paraId="3605A49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Data:</w:t>
            </w:r>
          </w:p>
        </w:tc>
      </w:tr>
      <w:tr w:rsidR="0049126A" w:rsidRPr="0049126A" w14:paraId="6D83F82F" w14:textId="77777777" w:rsidTr="00300738">
        <w:tc>
          <w:tcPr>
            <w:tcW w:w="5396" w:type="dxa"/>
            <w:tcBorders>
              <w:top w:val="nil"/>
              <w:left w:val="nil"/>
              <w:bottom w:val="nil"/>
              <w:right w:val="nil"/>
            </w:tcBorders>
          </w:tcPr>
          <w:p w14:paraId="0087A51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Nume pacient:</w:t>
            </w:r>
          </w:p>
          <w:p w14:paraId="6ED4BA9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Semnatura pacient: </w:t>
            </w:r>
          </w:p>
        </w:tc>
        <w:tc>
          <w:tcPr>
            <w:tcW w:w="4527" w:type="dxa"/>
            <w:tcBorders>
              <w:top w:val="nil"/>
              <w:left w:val="nil"/>
              <w:bottom w:val="nil"/>
              <w:right w:val="nil"/>
            </w:tcBorders>
          </w:tcPr>
          <w:p w14:paraId="72073A4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Diagnostic:</w:t>
            </w:r>
          </w:p>
          <w:p w14:paraId="1A52975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Nume si parafa medic:</w:t>
            </w:r>
          </w:p>
        </w:tc>
      </w:tr>
      <w:tr w:rsidR="005D3C7A" w:rsidRPr="0049126A" w14:paraId="67BF0B61" w14:textId="77777777" w:rsidTr="00300738">
        <w:tc>
          <w:tcPr>
            <w:tcW w:w="5396" w:type="dxa"/>
            <w:tcBorders>
              <w:top w:val="nil"/>
              <w:left w:val="nil"/>
              <w:bottom w:val="nil"/>
              <w:right w:val="nil"/>
            </w:tcBorders>
          </w:tcPr>
          <w:p w14:paraId="7AD5034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Adresa:</w:t>
            </w:r>
          </w:p>
        </w:tc>
        <w:tc>
          <w:tcPr>
            <w:tcW w:w="4527" w:type="dxa"/>
            <w:tcBorders>
              <w:top w:val="nil"/>
              <w:left w:val="nil"/>
              <w:bottom w:val="nil"/>
              <w:right w:val="nil"/>
            </w:tcBorders>
          </w:tcPr>
          <w:p w14:paraId="58EBC3B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Scor:</w:t>
            </w:r>
          </w:p>
        </w:tc>
      </w:tr>
    </w:tbl>
    <w:p w14:paraId="27247D4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3DE6DBF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Scopul acestui chestionar este de a măsura cât de mult v-a afectat viaţa ÎN ULTIMA SĂPTĂMÂNĂ problema dvs. de piele. Vă rugăm să bifaţi câte o căsuţă pentru fiecare întrebare.</w:t>
      </w:r>
    </w:p>
    <w:p w14:paraId="5C9278E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7A347F97"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1. În ultima săptămână, cât de mult aţi simţit </w:t>
      </w:r>
      <w:r w:rsidRPr="0049126A">
        <w:rPr>
          <w:rFonts w:ascii="Times New Roman" w:eastAsia="Times New Roman" w:hAnsi="Times New Roman" w:cs="Times New Roman"/>
          <w:b/>
          <w:bCs/>
          <w:sz w:val="24"/>
          <w:szCs w:val="24"/>
          <w:lang w:val="fr-MC" w:eastAsia="ro-RO"/>
        </w:rPr>
        <w:t>senzaţii de mâncărime, înţepături, dureri sau rană</w:t>
      </w:r>
      <w:r w:rsidRPr="0049126A">
        <w:rPr>
          <w:rFonts w:ascii="Times New Roman" w:eastAsia="Times New Roman" w:hAnsi="Times New Roman" w:cs="Times New Roman"/>
          <w:sz w:val="24"/>
          <w:szCs w:val="24"/>
          <w:lang w:val="fr-MC" w:eastAsia="ro-RO"/>
        </w:rPr>
        <w:t xml:space="preserve"> la nivelul pielii?</w:t>
      </w:r>
    </w:p>
    <w:p w14:paraId="4B0FCFF9"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w:t>
      </w:r>
    </w:p>
    <w:p w14:paraId="38AA50B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78E7140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2. În ultima săptămână, cât aţi fost de </w:t>
      </w:r>
      <w:r w:rsidRPr="0049126A">
        <w:rPr>
          <w:rFonts w:ascii="Times New Roman" w:eastAsia="Times New Roman" w:hAnsi="Times New Roman" w:cs="Times New Roman"/>
          <w:b/>
          <w:bCs/>
          <w:sz w:val="24"/>
          <w:szCs w:val="24"/>
          <w:lang w:val="fr-MC" w:eastAsia="ro-RO"/>
        </w:rPr>
        <w:t xml:space="preserve">jenat sau conştient </w:t>
      </w:r>
      <w:r w:rsidRPr="0049126A">
        <w:rPr>
          <w:rFonts w:ascii="Times New Roman" w:eastAsia="Times New Roman" w:hAnsi="Times New Roman" w:cs="Times New Roman"/>
          <w:sz w:val="24"/>
          <w:szCs w:val="24"/>
          <w:lang w:val="fr-MC" w:eastAsia="ro-RO"/>
        </w:rPr>
        <w:t>de boală datorită pielii dvs.?</w:t>
      </w:r>
    </w:p>
    <w:p w14:paraId="53F76BEA"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w:t>
      </w:r>
    </w:p>
    <w:p w14:paraId="55F3CC1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4E997A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3. În ultima săptămână, cât de mult a interferat boala dvs. de piele cu mersul la </w:t>
      </w:r>
      <w:r w:rsidRPr="0049126A">
        <w:rPr>
          <w:rFonts w:ascii="Times New Roman" w:eastAsia="Times New Roman" w:hAnsi="Times New Roman" w:cs="Times New Roman"/>
          <w:b/>
          <w:bCs/>
          <w:sz w:val="24"/>
          <w:szCs w:val="24"/>
          <w:lang w:val="fr-MC" w:eastAsia="ro-RO"/>
        </w:rPr>
        <w:t>cumpărături</w:t>
      </w:r>
      <w:r w:rsidRPr="0049126A">
        <w:rPr>
          <w:rFonts w:ascii="Times New Roman" w:eastAsia="Times New Roman" w:hAnsi="Times New Roman" w:cs="Times New Roman"/>
          <w:sz w:val="24"/>
          <w:szCs w:val="24"/>
          <w:lang w:val="fr-MC" w:eastAsia="ro-RO"/>
        </w:rPr>
        <w:t xml:space="preserve"> sau cu </w:t>
      </w:r>
      <w:r w:rsidRPr="0049126A">
        <w:rPr>
          <w:rFonts w:ascii="Times New Roman" w:eastAsia="Times New Roman" w:hAnsi="Times New Roman" w:cs="Times New Roman"/>
          <w:b/>
          <w:bCs/>
          <w:sz w:val="24"/>
          <w:szCs w:val="24"/>
          <w:lang w:val="fr-MC" w:eastAsia="ro-RO"/>
        </w:rPr>
        <w:t>îngrijirea casei şi a grădinii</w:t>
      </w:r>
      <w:r w:rsidRPr="0049126A">
        <w:rPr>
          <w:rFonts w:ascii="Times New Roman" w:eastAsia="Times New Roman" w:hAnsi="Times New Roman" w:cs="Times New Roman"/>
          <w:sz w:val="24"/>
          <w:szCs w:val="24"/>
          <w:lang w:val="fr-MC" w:eastAsia="ro-RO"/>
        </w:rPr>
        <w:t>?</w:t>
      </w:r>
    </w:p>
    <w:p w14:paraId="106AA5FA"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666E1AE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90BA4E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4. În ultima săptămână, cât de mult a influenţat problema dvs de piele </w:t>
      </w:r>
      <w:r w:rsidRPr="0049126A">
        <w:rPr>
          <w:rFonts w:ascii="Times New Roman" w:eastAsia="Times New Roman" w:hAnsi="Times New Roman" w:cs="Times New Roman"/>
          <w:b/>
          <w:bCs/>
          <w:sz w:val="24"/>
          <w:szCs w:val="24"/>
          <w:lang w:val="fr-MC" w:eastAsia="ro-RO"/>
        </w:rPr>
        <w:t>alegerea hainelor</w:t>
      </w:r>
      <w:r w:rsidRPr="0049126A">
        <w:rPr>
          <w:rFonts w:ascii="Times New Roman" w:eastAsia="Times New Roman" w:hAnsi="Times New Roman" w:cs="Times New Roman"/>
          <w:sz w:val="24"/>
          <w:szCs w:val="24"/>
          <w:lang w:val="fr-MC" w:eastAsia="ro-RO"/>
        </w:rPr>
        <w:t xml:space="preserve"> cu care v-aţi îmbrăcat?</w:t>
      </w:r>
    </w:p>
    <w:p w14:paraId="3EC30618"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5ACD931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1B8FF6E7"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5. În ultima săptămână, cât de mult v-a afectat problema dvs. de piele </w:t>
      </w:r>
      <w:r w:rsidRPr="0049126A">
        <w:rPr>
          <w:rFonts w:ascii="Times New Roman" w:eastAsia="Times New Roman" w:hAnsi="Times New Roman" w:cs="Times New Roman"/>
          <w:b/>
          <w:bCs/>
          <w:sz w:val="24"/>
          <w:szCs w:val="24"/>
          <w:lang w:val="fr-MC" w:eastAsia="ro-RO"/>
        </w:rPr>
        <w:t>activităţile sociale</w:t>
      </w:r>
      <w:r w:rsidRPr="0049126A">
        <w:rPr>
          <w:rFonts w:ascii="Times New Roman" w:eastAsia="Times New Roman" w:hAnsi="Times New Roman" w:cs="Times New Roman"/>
          <w:sz w:val="24"/>
          <w:szCs w:val="24"/>
          <w:lang w:val="fr-MC" w:eastAsia="ro-RO"/>
        </w:rPr>
        <w:t xml:space="preserve"> sau cele </w:t>
      </w:r>
      <w:r w:rsidRPr="0049126A">
        <w:rPr>
          <w:rFonts w:ascii="Times New Roman" w:eastAsia="Times New Roman" w:hAnsi="Times New Roman" w:cs="Times New Roman"/>
          <w:b/>
          <w:bCs/>
          <w:sz w:val="24"/>
          <w:szCs w:val="24"/>
          <w:lang w:val="fr-MC" w:eastAsia="ro-RO"/>
        </w:rPr>
        <w:t>de relaxare</w:t>
      </w:r>
      <w:r w:rsidRPr="0049126A">
        <w:rPr>
          <w:rFonts w:ascii="Times New Roman" w:eastAsia="Times New Roman" w:hAnsi="Times New Roman" w:cs="Times New Roman"/>
          <w:sz w:val="24"/>
          <w:szCs w:val="24"/>
          <w:lang w:val="fr-MC" w:eastAsia="ro-RO"/>
        </w:rPr>
        <w:t>?</w:t>
      </w:r>
    </w:p>
    <w:p w14:paraId="7CFFBBD4"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79D5B1E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6167E07"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6. În ultima săptămână, cât de mult v-a împiedicat pielea dvs. să practicaţi un </w:t>
      </w:r>
      <w:r w:rsidRPr="0049126A">
        <w:rPr>
          <w:rFonts w:ascii="Times New Roman" w:eastAsia="Times New Roman" w:hAnsi="Times New Roman" w:cs="Times New Roman"/>
          <w:b/>
          <w:bCs/>
          <w:sz w:val="24"/>
          <w:szCs w:val="24"/>
          <w:lang w:val="fr-MC" w:eastAsia="ro-RO"/>
        </w:rPr>
        <w:t>sport</w:t>
      </w:r>
      <w:r w:rsidRPr="0049126A">
        <w:rPr>
          <w:rFonts w:ascii="Times New Roman" w:eastAsia="Times New Roman" w:hAnsi="Times New Roman" w:cs="Times New Roman"/>
          <w:sz w:val="24"/>
          <w:szCs w:val="24"/>
          <w:lang w:val="fr-MC" w:eastAsia="ro-RO"/>
        </w:rPr>
        <w:t>?</w:t>
      </w:r>
    </w:p>
    <w:p w14:paraId="77ED924E"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7012AA4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71B4E0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7. În ultima săptămână v-a împiedicat pielea dvs. la </w:t>
      </w:r>
      <w:r w:rsidRPr="0049126A">
        <w:rPr>
          <w:rFonts w:ascii="Times New Roman" w:eastAsia="Times New Roman" w:hAnsi="Times New Roman" w:cs="Times New Roman"/>
          <w:b/>
          <w:bCs/>
          <w:sz w:val="24"/>
          <w:szCs w:val="24"/>
          <w:lang w:val="fr-MC" w:eastAsia="ro-RO"/>
        </w:rPr>
        <w:t xml:space="preserve">serviciu </w:t>
      </w:r>
      <w:r w:rsidRPr="0049126A">
        <w:rPr>
          <w:rFonts w:ascii="Times New Roman" w:eastAsia="Times New Roman" w:hAnsi="Times New Roman" w:cs="Times New Roman"/>
          <w:sz w:val="24"/>
          <w:szCs w:val="24"/>
          <w:lang w:val="fr-MC" w:eastAsia="ro-RO"/>
        </w:rPr>
        <w:t xml:space="preserve">sau </w:t>
      </w:r>
      <w:r w:rsidRPr="0049126A">
        <w:rPr>
          <w:rFonts w:ascii="Times New Roman" w:eastAsia="Times New Roman" w:hAnsi="Times New Roman" w:cs="Times New Roman"/>
          <w:b/>
          <w:bCs/>
          <w:sz w:val="24"/>
          <w:szCs w:val="24"/>
          <w:lang w:val="fr-MC" w:eastAsia="ro-RO"/>
        </w:rPr>
        <w:t>studiu</w:t>
      </w:r>
      <w:r w:rsidRPr="0049126A">
        <w:rPr>
          <w:rFonts w:ascii="Times New Roman" w:eastAsia="Times New Roman" w:hAnsi="Times New Roman" w:cs="Times New Roman"/>
          <w:sz w:val="24"/>
          <w:szCs w:val="24"/>
          <w:lang w:val="fr-MC" w:eastAsia="ro-RO"/>
        </w:rPr>
        <w:t>?</w:t>
      </w:r>
    </w:p>
    <w:p w14:paraId="0D8CE2C5"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Da/Nu-Nerelevant</w:t>
      </w:r>
    </w:p>
    <w:p w14:paraId="70E467F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5749A9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Dacă "</w:t>
      </w:r>
      <w:r w:rsidRPr="0049126A">
        <w:rPr>
          <w:rFonts w:ascii="Times New Roman" w:eastAsia="Times New Roman" w:hAnsi="Times New Roman" w:cs="Times New Roman"/>
          <w:b/>
          <w:bCs/>
          <w:sz w:val="24"/>
          <w:szCs w:val="24"/>
          <w:lang w:val="fr-MC" w:eastAsia="ro-RO"/>
        </w:rPr>
        <w:t>nu</w:t>
      </w:r>
      <w:r w:rsidRPr="0049126A">
        <w:rPr>
          <w:rFonts w:ascii="Times New Roman" w:eastAsia="Times New Roman" w:hAnsi="Times New Roman" w:cs="Times New Roman"/>
          <w:sz w:val="24"/>
          <w:szCs w:val="24"/>
          <w:lang w:val="fr-MC" w:eastAsia="ro-RO"/>
        </w:rPr>
        <w:t>" în ultima săptămână cât de mult a fost pielea dvs. o problemă pentru serviciu sau studii?</w:t>
      </w:r>
    </w:p>
    <w:p w14:paraId="655B4714"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Mult/Puţin/Deloc</w:t>
      </w:r>
    </w:p>
    <w:p w14:paraId="79C2BB41"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p>
    <w:p w14:paraId="3E96A98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8. În ultima săptămână, cât de mult v-a creat pielea dvs. dificultăţi cu </w:t>
      </w:r>
      <w:r w:rsidRPr="0049126A">
        <w:rPr>
          <w:rFonts w:ascii="Times New Roman" w:eastAsia="Times New Roman" w:hAnsi="Times New Roman" w:cs="Times New Roman"/>
          <w:b/>
          <w:bCs/>
          <w:sz w:val="24"/>
          <w:szCs w:val="24"/>
          <w:lang w:val="fr-MC" w:eastAsia="ro-RO"/>
        </w:rPr>
        <w:t xml:space="preserve">partenerul sau oricare din prietenii apropiaţi </w:t>
      </w:r>
      <w:r w:rsidRPr="0049126A">
        <w:rPr>
          <w:rFonts w:ascii="Times New Roman" w:eastAsia="Times New Roman" w:hAnsi="Times New Roman" w:cs="Times New Roman"/>
          <w:sz w:val="24"/>
          <w:szCs w:val="24"/>
          <w:lang w:val="fr-MC" w:eastAsia="ro-RO"/>
        </w:rPr>
        <w:t xml:space="preserve">sau </w:t>
      </w:r>
      <w:r w:rsidRPr="0049126A">
        <w:rPr>
          <w:rFonts w:ascii="Times New Roman" w:eastAsia="Times New Roman" w:hAnsi="Times New Roman" w:cs="Times New Roman"/>
          <w:b/>
          <w:bCs/>
          <w:sz w:val="24"/>
          <w:szCs w:val="24"/>
          <w:lang w:val="fr-MC" w:eastAsia="ro-RO"/>
        </w:rPr>
        <w:t>rude</w:t>
      </w:r>
      <w:r w:rsidRPr="0049126A">
        <w:rPr>
          <w:rFonts w:ascii="Times New Roman" w:eastAsia="Times New Roman" w:hAnsi="Times New Roman" w:cs="Times New Roman"/>
          <w:sz w:val="24"/>
          <w:szCs w:val="24"/>
          <w:lang w:val="fr-MC" w:eastAsia="ro-RO"/>
        </w:rPr>
        <w:t>?</w:t>
      </w:r>
    </w:p>
    <w:p w14:paraId="34F2255D"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489036A7"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p>
    <w:p w14:paraId="5F8D84A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9. În ultima săptămână, cât de mult v-a creat pielea dvs. </w:t>
      </w:r>
      <w:r w:rsidRPr="0049126A">
        <w:rPr>
          <w:rFonts w:ascii="Times New Roman" w:eastAsia="Times New Roman" w:hAnsi="Times New Roman" w:cs="Times New Roman"/>
          <w:b/>
          <w:bCs/>
          <w:sz w:val="24"/>
          <w:szCs w:val="24"/>
          <w:lang w:val="fr-MC" w:eastAsia="ro-RO"/>
        </w:rPr>
        <w:t>dificultăţi sexuale</w:t>
      </w:r>
      <w:r w:rsidRPr="0049126A">
        <w:rPr>
          <w:rFonts w:ascii="Times New Roman" w:eastAsia="Times New Roman" w:hAnsi="Times New Roman" w:cs="Times New Roman"/>
          <w:sz w:val="24"/>
          <w:szCs w:val="24"/>
          <w:lang w:val="fr-MC" w:eastAsia="ro-RO"/>
        </w:rPr>
        <w:t>?</w:t>
      </w:r>
    </w:p>
    <w:p w14:paraId="5326C84B"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11DEC5F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A5DF4C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lastRenderedPageBreak/>
        <w:t xml:space="preserve">10. În ultima săptămână, cât de mult a fost o problemă </w:t>
      </w:r>
      <w:r w:rsidRPr="0049126A">
        <w:rPr>
          <w:rFonts w:ascii="Times New Roman" w:eastAsia="Times New Roman" w:hAnsi="Times New Roman" w:cs="Times New Roman"/>
          <w:b/>
          <w:bCs/>
          <w:sz w:val="24"/>
          <w:szCs w:val="24"/>
          <w:lang w:val="fr-MC" w:eastAsia="ro-RO"/>
        </w:rPr>
        <w:t>tratamentul pentru afecţiunea dvs.</w:t>
      </w:r>
      <w:r w:rsidRPr="0049126A">
        <w:rPr>
          <w:rFonts w:ascii="Times New Roman" w:eastAsia="Times New Roman" w:hAnsi="Times New Roman" w:cs="Times New Roman"/>
          <w:sz w:val="24"/>
          <w:szCs w:val="24"/>
          <w:lang w:val="fr-MC" w:eastAsia="ro-RO"/>
        </w:rPr>
        <w:t>, de ex. pentru că v-a murdărit casa sau a durat mult timp?</w:t>
      </w:r>
    </w:p>
    <w:p w14:paraId="7183E116"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mult/Mult/Puţin/Deloc-Nerelevant</w:t>
      </w:r>
    </w:p>
    <w:p w14:paraId="6B5EF9A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59D8F9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Vă rugăm să verificaţi dacă aţi răspuns la toate întrebările. </w:t>
      </w:r>
      <w:r w:rsidRPr="0049126A">
        <w:rPr>
          <w:rFonts w:ascii="Times New Roman" w:eastAsia="Times New Roman" w:hAnsi="Times New Roman" w:cs="Times New Roman"/>
          <w:sz w:val="24"/>
          <w:szCs w:val="24"/>
          <w:lang w:val="en-US" w:eastAsia="ro-RO"/>
        </w:rPr>
        <w:t>Vă mulţumesc.</w:t>
      </w:r>
    </w:p>
    <w:p w14:paraId="789B0FD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©AY Finlay. GK Khan, aprilie 1992.</w:t>
      </w:r>
    </w:p>
    <w:p w14:paraId="6FBB7F7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p w14:paraId="0716332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vor atribui scoruri de la 0 la 3 răspunsurilor:</w:t>
      </w:r>
    </w:p>
    <w:p w14:paraId="79B626AD" w14:textId="77777777" w:rsidR="005D3C7A" w:rsidRPr="0049126A" w:rsidRDefault="005D3C7A" w:rsidP="005D3C7A">
      <w:pPr>
        <w:numPr>
          <w:ilvl w:val="0"/>
          <w:numId w:val="6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0 pentru "deloc", "nerelevant" sau lipsa răspunsului</w:t>
      </w:r>
    </w:p>
    <w:p w14:paraId="5BF6B92D" w14:textId="77777777" w:rsidR="005D3C7A" w:rsidRPr="0049126A" w:rsidRDefault="005D3C7A" w:rsidP="005D3C7A">
      <w:pPr>
        <w:numPr>
          <w:ilvl w:val="0"/>
          <w:numId w:val="6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1 pentru "puţin"</w:t>
      </w:r>
    </w:p>
    <w:p w14:paraId="232AD6C8" w14:textId="77777777" w:rsidR="005D3C7A" w:rsidRPr="0049126A" w:rsidRDefault="005D3C7A" w:rsidP="005D3C7A">
      <w:pPr>
        <w:numPr>
          <w:ilvl w:val="0"/>
          <w:numId w:val="66"/>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2 pentru "mult"</w:t>
      </w:r>
    </w:p>
    <w:p w14:paraId="3D7E6B8E" w14:textId="77777777" w:rsidR="005D3C7A" w:rsidRPr="0049126A" w:rsidRDefault="005D3C7A" w:rsidP="005D3C7A">
      <w:pPr>
        <w:numPr>
          <w:ilvl w:val="0"/>
          <w:numId w:val="66"/>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3 pentru "foarte mult" şi pentru răspunsul "Da" la întrebarea 7.</w:t>
      </w:r>
    </w:p>
    <w:p w14:paraId="35F1099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7B08D77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va obţine un scor de la 0 la 30. Cu cât scorul va fi mai mare cu atât calitatea vieţii pacientului este mai afectată de boală.</w:t>
      </w:r>
    </w:p>
    <w:p w14:paraId="1D3FD21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46C9E8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Interpretarea scorului:</w:t>
      </w:r>
    </w:p>
    <w:p w14:paraId="460B0593" w14:textId="77777777" w:rsidR="005D3C7A" w:rsidRPr="0049126A" w:rsidRDefault="005D3C7A" w:rsidP="005D3C7A">
      <w:pPr>
        <w:tabs>
          <w:tab w:val="left" w:pos="0"/>
        </w:tabs>
        <w:autoSpaceDE w:val="0"/>
        <w:autoSpaceDN w:val="0"/>
        <w:adjustRightInd w:val="0"/>
        <w:spacing w:after="0" w:line="240" w:lineRule="auto"/>
        <w:ind w:left="-142" w:firstLine="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0 -   1 = fără efect asupra calităţii vieţii pacientului</w:t>
      </w:r>
    </w:p>
    <w:p w14:paraId="2FE1B264" w14:textId="77777777" w:rsidR="005D3C7A" w:rsidRPr="0049126A" w:rsidRDefault="005D3C7A" w:rsidP="005D3C7A">
      <w:pPr>
        <w:tabs>
          <w:tab w:val="left" w:pos="0"/>
        </w:tabs>
        <w:autoSpaceDE w:val="0"/>
        <w:autoSpaceDN w:val="0"/>
        <w:adjustRightInd w:val="0"/>
        <w:spacing w:after="0" w:line="240" w:lineRule="auto"/>
        <w:ind w:left="-142" w:firstLine="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2 -   5 = efect scăzut asupra calităţii vieţii pacientului</w:t>
      </w:r>
    </w:p>
    <w:p w14:paraId="008585F1" w14:textId="77777777" w:rsidR="005D3C7A" w:rsidRPr="0049126A" w:rsidRDefault="005D3C7A" w:rsidP="005D3C7A">
      <w:pPr>
        <w:tabs>
          <w:tab w:val="left" w:pos="0"/>
        </w:tabs>
        <w:autoSpaceDE w:val="0"/>
        <w:autoSpaceDN w:val="0"/>
        <w:adjustRightInd w:val="0"/>
        <w:spacing w:after="0" w:line="240" w:lineRule="auto"/>
        <w:ind w:left="-142" w:firstLine="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6 - 10 = efect moderat asupra calităţii vieţii pacientului</w:t>
      </w:r>
    </w:p>
    <w:p w14:paraId="1D701956" w14:textId="77777777" w:rsidR="005D3C7A" w:rsidRPr="0049126A" w:rsidRDefault="005D3C7A" w:rsidP="005D3C7A">
      <w:pPr>
        <w:tabs>
          <w:tab w:val="left" w:pos="0"/>
        </w:tabs>
        <w:autoSpaceDE w:val="0"/>
        <w:autoSpaceDN w:val="0"/>
        <w:adjustRightInd w:val="0"/>
        <w:spacing w:after="0" w:line="240" w:lineRule="auto"/>
        <w:ind w:left="-142" w:firstLine="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11 - 20 = efect important asupra calităţii vieţii pacientului</w:t>
      </w:r>
    </w:p>
    <w:p w14:paraId="7088C737" w14:textId="77777777" w:rsidR="005D3C7A" w:rsidRPr="0049126A" w:rsidRDefault="005D3C7A" w:rsidP="005D3C7A">
      <w:pPr>
        <w:tabs>
          <w:tab w:val="left" w:pos="0"/>
        </w:tabs>
        <w:autoSpaceDE w:val="0"/>
        <w:autoSpaceDN w:val="0"/>
        <w:adjustRightInd w:val="0"/>
        <w:spacing w:after="0" w:line="240" w:lineRule="auto"/>
        <w:ind w:left="-142" w:firstLine="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21 - 30 = efect foarte important asupra calităţii vieţii pacientului.</w:t>
      </w:r>
    </w:p>
    <w:p w14:paraId="4A4F7F8E"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6DD427A"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514C1EA2"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 xml:space="preserve">Scorul DLQI pentru copii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cDLQI</w:t>
      </w:r>
      <w:r w:rsidRPr="0049126A">
        <w:rPr>
          <w:rFonts w:ascii="Times New Roman" w:eastAsia="Times New Roman" w:hAnsi="Times New Roman" w:cs="Times New Roman"/>
          <w:sz w:val="24"/>
          <w:szCs w:val="24"/>
          <w:lang w:val="fr-MC" w:eastAsia="ro-RO"/>
        </w:rPr>
        <w:t>)</w:t>
      </w:r>
    </w:p>
    <w:p w14:paraId="703FFE4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tbl>
      <w:tblPr>
        <w:tblW w:w="9534" w:type="dxa"/>
        <w:tblInd w:w="105" w:type="dxa"/>
        <w:tblLayout w:type="fixed"/>
        <w:tblCellMar>
          <w:left w:w="105" w:type="dxa"/>
          <w:right w:w="105" w:type="dxa"/>
        </w:tblCellMar>
        <w:tblLook w:val="0000" w:firstRow="0" w:lastRow="0" w:firstColumn="0" w:lastColumn="0" w:noHBand="0" w:noVBand="0"/>
      </w:tblPr>
      <w:tblGrid>
        <w:gridCol w:w="5396"/>
        <w:gridCol w:w="4138"/>
      </w:tblGrid>
      <w:tr w:rsidR="0049126A" w:rsidRPr="0049126A" w14:paraId="6B2D4E16" w14:textId="77777777" w:rsidTr="00300738">
        <w:tc>
          <w:tcPr>
            <w:tcW w:w="5396" w:type="dxa"/>
            <w:tcBorders>
              <w:top w:val="nil"/>
              <w:left w:val="nil"/>
              <w:bottom w:val="nil"/>
              <w:right w:val="nil"/>
            </w:tcBorders>
          </w:tcPr>
          <w:p w14:paraId="620B94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Unitatea sanitară:</w:t>
            </w:r>
          </w:p>
        </w:tc>
        <w:tc>
          <w:tcPr>
            <w:tcW w:w="4138" w:type="dxa"/>
            <w:tcBorders>
              <w:top w:val="nil"/>
              <w:left w:val="nil"/>
              <w:bottom w:val="nil"/>
              <w:right w:val="nil"/>
            </w:tcBorders>
          </w:tcPr>
          <w:p w14:paraId="714B273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tc>
      </w:tr>
      <w:tr w:rsidR="0049126A" w:rsidRPr="0049126A" w14:paraId="3E35D09F" w14:textId="77777777" w:rsidTr="00300738">
        <w:tc>
          <w:tcPr>
            <w:tcW w:w="5396" w:type="dxa"/>
            <w:tcBorders>
              <w:top w:val="nil"/>
              <w:left w:val="nil"/>
              <w:bottom w:val="nil"/>
              <w:right w:val="nil"/>
            </w:tcBorders>
          </w:tcPr>
          <w:p w14:paraId="441996C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Data:</w:t>
            </w:r>
          </w:p>
        </w:tc>
        <w:tc>
          <w:tcPr>
            <w:tcW w:w="4138" w:type="dxa"/>
            <w:tcBorders>
              <w:top w:val="nil"/>
              <w:left w:val="nil"/>
              <w:bottom w:val="nil"/>
              <w:right w:val="nil"/>
            </w:tcBorders>
          </w:tcPr>
          <w:p w14:paraId="24BB3D9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Scor:</w:t>
            </w:r>
          </w:p>
        </w:tc>
      </w:tr>
      <w:tr w:rsidR="0049126A" w:rsidRPr="0049126A" w14:paraId="5DDDFD59" w14:textId="77777777" w:rsidTr="00300738">
        <w:tc>
          <w:tcPr>
            <w:tcW w:w="5396" w:type="dxa"/>
            <w:tcBorders>
              <w:top w:val="nil"/>
              <w:left w:val="nil"/>
              <w:bottom w:val="nil"/>
              <w:right w:val="nil"/>
            </w:tcBorders>
          </w:tcPr>
          <w:p w14:paraId="319141A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Nume:</w:t>
            </w:r>
          </w:p>
          <w:p w14:paraId="2C9047A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Nume parinti:</w:t>
            </w:r>
          </w:p>
        </w:tc>
        <w:tc>
          <w:tcPr>
            <w:tcW w:w="4138" w:type="dxa"/>
            <w:tcBorders>
              <w:top w:val="nil"/>
              <w:left w:val="nil"/>
              <w:bottom w:val="nil"/>
              <w:right w:val="nil"/>
            </w:tcBorders>
          </w:tcPr>
          <w:p w14:paraId="3618F2E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Vârsta:</w:t>
            </w:r>
          </w:p>
          <w:p w14:paraId="762AAA8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Nume si parafa medic</w:t>
            </w:r>
          </w:p>
        </w:tc>
      </w:tr>
      <w:tr w:rsidR="005D3C7A" w:rsidRPr="0049126A" w14:paraId="7771A4C6" w14:textId="77777777" w:rsidTr="00300738">
        <w:tc>
          <w:tcPr>
            <w:tcW w:w="5396" w:type="dxa"/>
            <w:tcBorders>
              <w:top w:val="nil"/>
              <w:left w:val="nil"/>
              <w:bottom w:val="nil"/>
              <w:right w:val="nil"/>
            </w:tcBorders>
          </w:tcPr>
          <w:p w14:paraId="284D319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Adresa:</w:t>
            </w:r>
          </w:p>
        </w:tc>
        <w:tc>
          <w:tcPr>
            <w:tcW w:w="4138" w:type="dxa"/>
            <w:tcBorders>
              <w:top w:val="nil"/>
              <w:left w:val="nil"/>
              <w:bottom w:val="nil"/>
              <w:right w:val="nil"/>
            </w:tcBorders>
          </w:tcPr>
          <w:p w14:paraId="3474947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Diagnostic:</w:t>
            </w:r>
          </w:p>
        </w:tc>
      </w:tr>
    </w:tbl>
    <w:p w14:paraId="5DCB3B8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58B8D21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Scopul acestui chestionar este de a măsura cât de mult v-a afectat viaţa ÎN ULTIMA SĂPTĂMÂNĂ problema dvs. de piele. Vă rugăm să bifaţi câte o căsuţă pentru fiecare întrebare.</w:t>
      </w:r>
    </w:p>
    <w:p w14:paraId="455F85F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7CA3C3AC"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1. În ultima săptămână, cât de mult ai avut la nivelul pielii senzaţia de </w:t>
      </w:r>
      <w:r w:rsidRPr="0049126A">
        <w:rPr>
          <w:rFonts w:ascii="Times New Roman" w:eastAsia="Times New Roman" w:hAnsi="Times New Roman" w:cs="Times New Roman"/>
          <w:b/>
          <w:bCs/>
          <w:sz w:val="24"/>
          <w:szCs w:val="24"/>
          <w:lang w:val="fr-MC" w:eastAsia="ro-RO"/>
        </w:rPr>
        <w:t>mâncărime, rană, durere</w:t>
      </w:r>
      <w:r w:rsidRPr="0049126A">
        <w:rPr>
          <w:rFonts w:ascii="Times New Roman" w:eastAsia="Times New Roman" w:hAnsi="Times New Roman" w:cs="Times New Roman"/>
          <w:sz w:val="24"/>
          <w:szCs w:val="24"/>
          <w:lang w:val="fr-MC" w:eastAsia="ro-RO"/>
        </w:rPr>
        <w:t xml:space="preserve"> sau ai simţit </w:t>
      </w:r>
      <w:r w:rsidRPr="0049126A">
        <w:rPr>
          <w:rFonts w:ascii="Times New Roman" w:eastAsia="Times New Roman" w:hAnsi="Times New Roman" w:cs="Times New Roman"/>
          <w:b/>
          <w:bCs/>
          <w:sz w:val="24"/>
          <w:szCs w:val="24"/>
          <w:lang w:val="fr-MC" w:eastAsia="ro-RO"/>
        </w:rPr>
        <w:t>nevoia de a te scărpina</w:t>
      </w:r>
      <w:r w:rsidRPr="0049126A">
        <w:rPr>
          <w:rFonts w:ascii="Times New Roman" w:eastAsia="Times New Roman" w:hAnsi="Times New Roman" w:cs="Times New Roman"/>
          <w:sz w:val="24"/>
          <w:szCs w:val="24"/>
          <w:lang w:val="fr-MC" w:eastAsia="ro-RO"/>
        </w:rPr>
        <w:t>?</w:t>
      </w:r>
    </w:p>
    <w:p w14:paraId="3196A75B"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7B9F09E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F4CA7F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2. În ultima săptămână, cât ai fost de </w:t>
      </w:r>
      <w:r w:rsidRPr="0049126A">
        <w:rPr>
          <w:rFonts w:ascii="Times New Roman" w:eastAsia="Times New Roman" w:hAnsi="Times New Roman" w:cs="Times New Roman"/>
          <w:b/>
          <w:bCs/>
          <w:sz w:val="24"/>
          <w:szCs w:val="24"/>
          <w:lang w:val="fr-MC" w:eastAsia="ro-RO"/>
        </w:rPr>
        <w:t>jenat sau conştient de boală, indispus sau trist</w:t>
      </w:r>
      <w:r w:rsidRPr="0049126A">
        <w:rPr>
          <w:rFonts w:ascii="Times New Roman" w:eastAsia="Times New Roman" w:hAnsi="Times New Roman" w:cs="Times New Roman"/>
          <w:sz w:val="24"/>
          <w:szCs w:val="24"/>
          <w:lang w:val="fr-MC" w:eastAsia="ro-RO"/>
        </w:rPr>
        <w:t xml:space="preserve"> datorită pielii tale?</w:t>
      </w:r>
    </w:p>
    <w:p w14:paraId="5AD43A58"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1ACF21B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74DBBA8"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3. În ultima săptămână, cât de mult ţi-a influenţat pielea </w:t>
      </w:r>
      <w:r w:rsidRPr="0049126A">
        <w:rPr>
          <w:rFonts w:ascii="Times New Roman" w:eastAsia="Times New Roman" w:hAnsi="Times New Roman" w:cs="Times New Roman"/>
          <w:b/>
          <w:bCs/>
          <w:sz w:val="24"/>
          <w:szCs w:val="24"/>
          <w:lang w:val="fr-MC" w:eastAsia="ro-RO"/>
        </w:rPr>
        <w:t>relaţiile cu prietenii</w:t>
      </w:r>
      <w:r w:rsidRPr="0049126A">
        <w:rPr>
          <w:rFonts w:ascii="Times New Roman" w:eastAsia="Times New Roman" w:hAnsi="Times New Roman" w:cs="Times New Roman"/>
          <w:sz w:val="24"/>
          <w:szCs w:val="24"/>
          <w:lang w:val="fr-MC" w:eastAsia="ro-RO"/>
        </w:rPr>
        <w:t>?</w:t>
      </w:r>
    </w:p>
    <w:p w14:paraId="1C24E2C4"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4E1C3EA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C9CC1D9"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4. În ultima săptămână, cât de mult te-ai schimbat sau ai purtat </w:t>
      </w:r>
      <w:r w:rsidRPr="0049126A">
        <w:rPr>
          <w:rFonts w:ascii="Times New Roman" w:eastAsia="Times New Roman" w:hAnsi="Times New Roman" w:cs="Times New Roman"/>
          <w:b/>
          <w:bCs/>
          <w:sz w:val="24"/>
          <w:szCs w:val="24"/>
          <w:lang w:val="fr-MC" w:eastAsia="ro-RO"/>
        </w:rPr>
        <w:t>haine sau încălţăminte diferită sau specială</w:t>
      </w:r>
      <w:r w:rsidRPr="0049126A">
        <w:rPr>
          <w:rFonts w:ascii="Times New Roman" w:eastAsia="Times New Roman" w:hAnsi="Times New Roman" w:cs="Times New Roman"/>
          <w:sz w:val="24"/>
          <w:szCs w:val="24"/>
          <w:lang w:val="fr-MC" w:eastAsia="ro-RO"/>
        </w:rPr>
        <w:t xml:space="preserve"> din cauza pielii?</w:t>
      </w:r>
    </w:p>
    <w:p w14:paraId="14C55D41"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72973BA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ED8B350"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5. În ultima săptămână, cât de mult a influenţat pielea ta </w:t>
      </w:r>
      <w:r w:rsidRPr="0049126A">
        <w:rPr>
          <w:rFonts w:ascii="Times New Roman" w:eastAsia="Times New Roman" w:hAnsi="Times New Roman" w:cs="Times New Roman"/>
          <w:b/>
          <w:bCs/>
          <w:sz w:val="24"/>
          <w:szCs w:val="24"/>
          <w:lang w:val="fr-MC" w:eastAsia="ro-RO"/>
        </w:rPr>
        <w:t>ieşitul afară, jocurile sau activităţile preferate</w:t>
      </w:r>
      <w:r w:rsidRPr="0049126A">
        <w:rPr>
          <w:rFonts w:ascii="Times New Roman" w:eastAsia="Times New Roman" w:hAnsi="Times New Roman" w:cs="Times New Roman"/>
          <w:sz w:val="24"/>
          <w:szCs w:val="24"/>
          <w:lang w:val="fr-MC" w:eastAsia="ro-RO"/>
        </w:rPr>
        <w:t>?</w:t>
      </w:r>
    </w:p>
    <w:p w14:paraId="4A63D3B6"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72BDCA2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7602111D"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lastRenderedPageBreak/>
        <w:t xml:space="preserve">6. În ultima săptămână, cât de mult ai evitat </w:t>
      </w:r>
      <w:r w:rsidRPr="0049126A">
        <w:rPr>
          <w:rFonts w:ascii="Times New Roman" w:eastAsia="Times New Roman" w:hAnsi="Times New Roman" w:cs="Times New Roman"/>
          <w:b/>
          <w:bCs/>
          <w:sz w:val="24"/>
          <w:szCs w:val="24"/>
          <w:lang w:val="fr-MC" w:eastAsia="ro-RO"/>
        </w:rPr>
        <w:t>înotul sau alte sporturi</w:t>
      </w:r>
      <w:r w:rsidRPr="0049126A">
        <w:rPr>
          <w:rFonts w:ascii="Times New Roman" w:eastAsia="Times New Roman" w:hAnsi="Times New Roman" w:cs="Times New Roman"/>
          <w:sz w:val="24"/>
          <w:szCs w:val="24"/>
          <w:lang w:val="fr-MC" w:eastAsia="ro-RO"/>
        </w:rPr>
        <w:t xml:space="preserve"> din cauza problemei tale de piele?</w:t>
      </w:r>
    </w:p>
    <w:p w14:paraId="48576D9C"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5D14DF0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4BDC659"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7. Ultima săptămână a fost de </w:t>
      </w:r>
      <w:r w:rsidRPr="0049126A">
        <w:rPr>
          <w:rFonts w:ascii="Times New Roman" w:eastAsia="Times New Roman" w:hAnsi="Times New Roman" w:cs="Times New Roman"/>
          <w:b/>
          <w:bCs/>
          <w:sz w:val="24"/>
          <w:szCs w:val="24"/>
          <w:lang w:val="fr-MC" w:eastAsia="ro-RO"/>
        </w:rPr>
        <w:t>şcoală</w:t>
      </w:r>
      <w:r w:rsidRPr="0049126A">
        <w:rPr>
          <w:rFonts w:ascii="Times New Roman" w:eastAsia="Times New Roman" w:hAnsi="Times New Roman" w:cs="Times New Roman"/>
          <w:sz w:val="24"/>
          <w:szCs w:val="24"/>
          <w:lang w:val="fr-MC" w:eastAsia="ro-RO"/>
        </w:rPr>
        <w:t xml:space="preserve">? Dacă da: Cât de mult ţi-a influenţat pielea </w:t>
      </w:r>
      <w:r w:rsidRPr="0049126A">
        <w:rPr>
          <w:rFonts w:ascii="Times New Roman" w:eastAsia="Times New Roman" w:hAnsi="Times New Roman" w:cs="Times New Roman"/>
          <w:b/>
          <w:bCs/>
          <w:sz w:val="24"/>
          <w:szCs w:val="24"/>
          <w:lang w:val="fr-MC" w:eastAsia="ro-RO"/>
        </w:rPr>
        <w:t>lucrul la şcoală</w:t>
      </w:r>
      <w:r w:rsidRPr="0049126A">
        <w:rPr>
          <w:rFonts w:ascii="Times New Roman" w:eastAsia="Times New Roman" w:hAnsi="Times New Roman" w:cs="Times New Roman"/>
          <w:sz w:val="24"/>
          <w:szCs w:val="24"/>
          <w:lang w:val="fr-MC" w:eastAsia="ro-RO"/>
        </w:rPr>
        <w:t>?</w:t>
      </w:r>
    </w:p>
    <w:p w14:paraId="7F6F08E3"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Oprirea şcolii/Foarte mult/Destul de mult/Doar puţin/Deloc</w:t>
      </w:r>
    </w:p>
    <w:p w14:paraId="61B4F46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 xml:space="preserve">Ultima săptămână a fost </w:t>
      </w:r>
      <w:r w:rsidRPr="0049126A">
        <w:rPr>
          <w:rFonts w:ascii="Times New Roman" w:eastAsia="Times New Roman" w:hAnsi="Times New Roman" w:cs="Times New Roman"/>
          <w:b/>
          <w:bCs/>
          <w:sz w:val="24"/>
          <w:szCs w:val="24"/>
          <w:lang w:val="en-US" w:eastAsia="ro-RO"/>
        </w:rPr>
        <w:t>vacanţă</w:t>
      </w: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sz w:val="24"/>
          <w:szCs w:val="24"/>
          <w:lang w:val="fr-MC" w:eastAsia="ro-RO"/>
        </w:rPr>
        <w:t xml:space="preserve">Dacă da: Cât de mult a influenţat problema ta de piele </w:t>
      </w:r>
      <w:r w:rsidRPr="0049126A">
        <w:rPr>
          <w:rFonts w:ascii="Times New Roman" w:eastAsia="Times New Roman" w:hAnsi="Times New Roman" w:cs="Times New Roman"/>
          <w:b/>
          <w:bCs/>
          <w:sz w:val="24"/>
          <w:szCs w:val="24"/>
          <w:lang w:val="fr-MC" w:eastAsia="ro-RO"/>
        </w:rPr>
        <w:t>plăcerea vacanţei</w:t>
      </w:r>
      <w:r w:rsidRPr="0049126A">
        <w:rPr>
          <w:rFonts w:ascii="Times New Roman" w:eastAsia="Times New Roman" w:hAnsi="Times New Roman" w:cs="Times New Roman"/>
          <w:sz w:val="24"/>
          <w:szCs w:val="24"/>
          <w:lang w:val="fr-MC" w:eastAsia="ro-RO"/>
        </w:rPr>
        <w:t>?</w:t>
      </w:r>
    </w:p>
    <w:p w14:paraId="7610409F"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688BF89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5CCD8BC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8. În ultima săptămână, cât de mult ai avut probleme cu alţii din cauza pielii tale pentru că </w:t>
      </w:r>
      <w:r w:rsidRPr="0049126A">
        <w:rPr>
          <w:rFonts w:ascii="Times New Roman" w:eastAsia="Times New Roman" w:hAnsi="Times New Roman" w:cs="Times New Roman"/>
          <w:b/>
          <w:bCs/>
          <w:sz w:val="24"/>
          <w:szCs w:val="24"/>
          <w:lang w:val="fr-MC" w:eastAsia="ro-RO"/>
        </w:rPr>
        <w:t>ţi-au pus porecle, te-au tachinat, te-au persecutat, ţi-au pus întrebări sau te-au evitat</w:t>
      </w:r>
      <w:r w:rsidRPr="0049126A">
        <w:rPr>
          <w:rFonts w:ascii="Times New Roman" w:eastAsia="Times New Roman" w:hAnsi="Times New Roman" w:cs="Times New Roman"/>
          <w:sz w:val="24"/>
          <w:szCs w:val="24"/>
          <w:lang w:val="fr-MC" w:eastAsia="ro-RO"/>
        </w:rPr>
        <w:t>?</w:t>
      </w:r>
    </w:p>
    <w:p w14:paraId="54775A75"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01D6113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C5E8B13"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9. În ultima săptămână, cât de mult ţi-a influenţat problema ta de piele </w:t>
      </w:r>
      <w:r w:rsidRPr="0049126A">
        <w:rPr>
          <w:rFonts w:ascii="Times New Roman" w:eastAsia="Times New Roman" w:hAnsi="Times New Roman" w:cs="Times New Roman"/>
          <w:b/>
          <w:bCs/>
          <w:sz w:val="24"/>
          <w:szCs w:val="24"/>
          <w:lang w:val="fr-MC" w:eastAsia="ro-RO"/>
        </w:rPr>
        <w:t>somnul</w:t>
      </w:r>
      <w:r w:rsidRPr="0049126A">
        <w:rPr>
          <w:rFonts w:ascii="Times New Roman" w:eastAsia="Times New Roman" w:hAnsi="Times New Roman" w:cs="Times New Roman"/>
          <w:sz w:val="24"/>
          <w:szCs w:val="24"/>
          <w:lang w:val="fr-MC" w:eastAsia="ro-RO"/>
        </w:rPr>
        <w:t>?</w:t>
      </w:r>
    </w:p>
    <w:p w14:paraId="220A1E90"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79434FC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659195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10. În ultima săptămână, cât de mult te-a deranjat </w:t>
      </w:r>
      <w:r w:rsidRPr="0049126A">
        <w:rPr>
          <w:rFonts w:ascii="Times New Roman" w:eastAsia="Times New Roman" w:hAnsi="Times New Roman" w:cs="Times New Roman"/>
          <w:b/>
          <w:bCs/>
          <w:sz w:val="24"/>
          <w:szCs w:val="24"/>
          <w:lang w:val="fr-MC" w:eastAsia="ro-RO"/>
        </w:rPr>
        <w:t>tratamentul</w:t>
      </w:r>
      <w:r w:rsidRPr="0049126A">
        <w:rPr>
          <w:rFonts w:ascii="Times New Roman" w:eastAsia="Times New Roman" w:hAnsi="Times New Roman" w:cs="Times New Roman"/>
          <w:sz w:val="24"/>
          <w:szCs w:val="24"/>
          <w:lang w:val="fr-MC" w:eastAsia="ro-RO"/>
        </w:rPr>
        <w:t xml:space="preserve"> pentru piele?</w:t>
      </w:r>
    </w:p>
    <w:p w14:paraId="432EFBB2"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Foarte mult/Destul de mult/Doar puţin/Deloc</w:t>
      </w:r>
    </w:p>
    <w:p w14:paraId="7C7ABF9D" w14:textId="77777777" w:rsidR="005D3C7A" w:rsidRPr="0049126A" w:rsidRDefault="005D3C7A" w:rsidP="005D3C7A">
      <w:pPr>
        <w:autoSpaceDE w:val="0"/>
        <w:autoSpaceDN w:val="0"/>
        <w:adjustRightInd w:val="0"/>
        <w:spacing w:after="0" w:line="240" w:lineRule="auto"/>
        <w:ind w:firstLine="720"/>
        <w:jc w:val="both"/>
        <w:rPr>
          <w:rFonts w:ascii="Times New Roman" w:eastAsia="Times New Roman" w:hAnsi="Times New Roman" w:cs="Times New Roman"/>
          <w:sz w:val="24"/>
          <w:szCs w:val="24"/>
          <w:lang w:val="fr-MC" w:eastAsia="ro-RO"/>
        </w:rPr>
      </w:pPr>
    </w:p>
    <w:p w14:paraId="0C15F61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Vă rugăm să verificaţi dacă aţi răspuns la toate întrebările. Vă mulţumesc.</w:t>
      </w:r>
    </w:p>
    <w:p w14:paraId="418E237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©M.S. Lewis-Jones, A.Y. Finlay, mai 1993, Nu poate fi copiat fără permisiunea autorilor.</w:t>
      </w:r>
    </w:p>
    <w:p w14:paraId="04F3BA5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54160B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828520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vor atribui scoruri de la 0 la 3 răspunsurilor:</w:t>
      </w:r>
    </w:p>
    <w:p w14:paraId="0DDEBE11" w14:textId="77777777" w:rsidR="005D3C7A" w:rsidRPr="0049126A" w:rsidRDefault="005D3C7A" w:rsidP="005D3C7A">
      <w:pPr>
        <w:numPr>
          <w:ilvl w:val="0"/>
          <w:numId w:val="67"/>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0 pentru "deloc", "nerelevant" sau lipsa răspunsului</w:t>
      </w:r>
    </w:p>
    <w:p w14:paraId="352E5384" w14:textId="77777777" w:rsidR="005D3C7A" w:rsidRPr="0049126A" w:rsidRDefault="005D3C7A" w:rsidP="005D3C7A">
      <w:pPr>
        <w:numPr>
          <w:ilvl w:val="0"/>
          <w:numId w:val="67"/>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1 pentru "puţin"</w:t>
      </w:r>
    </w:p>
    <w:p w14:paraId="4D46B16A" w14:textId="77777777" w:rsidR="005D3C7A" w:rsidRPr="0049126A" w:rsidRDefault="005D3C7A" w:rsidP="005D3C7A">
      <w:pPr>
        <w:numPr>
          <w:ilvl w:val="0"/>
          <w:numId w:val="67"/>
        </w:num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2 pentru "mult"</w:t>
      </w:r>
    </w:p>
    <w:p w14:paraId="2C110DC5" w14:textId="77777777" w:rsidR="005D3C7A" w:rsidRPr="0049126A" w:rsidRDefault="005D3C7A" w:rsidP="005D3C7A">
      <w:pPr>
        <w:numPr>
          <w:ilvl w:val="0"/>
          <w:numId w:val="67"/>
        </w:num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3 pentru "foarte mult" şi pentru răspunsul "Da" la întrebarea 7.</w:t>
      </w:r>
    </w:p>
    <w:p w14:paraId="254A056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3BD004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24C16E4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va obţine un scor de la 0 la 30. Cu cât scorul va fi mai mare cu atât calitatea vieţii pacientului este mai afectată de boală.</w:t>
      </w:r>
    </w:p>
    <w:p w14:paraId="2BB1622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F0E63E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Interpretarea scorului:</w:t>
      </w:r>
    </w:p>
    <w:p w14:paraId="761A8B0C" w14:textId="77777777" w:rsidR="005D3C7A" w:rsidRPr="0049126A" w:rsidRDefault="005D3C7A" w:rsidP="005D3C7A">
      <w:pPr>
        <w:autoSpaceDE w:val="0"/>
        <w:autoSpaceDN w:val="0"/>
        <w:adjustRightInd w:val="0"/>
        <w:spacing w:after="0" w:line="240" w:lineRule="auto"/>
        <w:ind w:left="426"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0 -   1 = fără efect asupra calităţii vieţii pacientului</w:t>
      </w:r>
    </w:p>
    <w:p w14:paraId="7355432B" w14:textId="77777777" w:rsidR="005D3C7A" w:rsidRPr="0049126A" w:rsidRDefault="005D3C7A" w:rsidP="005D3C7A">
      <w:pPr>
        <w:autoSpaceDE w:val="0"/>
        <w:autoSpaceDN w:val="0"/>
        <w:adjustRightInd w:val="0"/>
        <w:spacing w:after="0" w:line="240" w:lineRule="auto"/>
        <w:ind w:left="426"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2 -   5 = efect scăzut asupra calităţii vieţii pacientului</w:t>
      </w:r>
    </w:p>
    <w:p w14:paraId="28FEB38C" w14:textId="77777777" w:rsidR="005D3C7A" w:rsidRPr="0049126A" w:rsidRDefault="005D3C7A" w:rsidP="005D3C7A">
      <w:pPr>
        <w:autoSpaceDE w:val="0"/>
        <w:autoSpaceDN w:val="0"/>
        <w:adjustRightInd w:val="0"/>
        <w:spacing w:after="0" w:line="240" w:lineRule="auto"/>
        <w:ind w:left="426"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6 - 10 = efect moderat asupra calităţii vieţii pacientului</w:t>
      </w:r>
    </w:p>
    <w:p w14:paraId="4E3ABD21" w14:textId="77777777" w:rsidR="005D3C7A" w:rsidRPr="0049126A" w:rsidRDefault="005D3C7A" w:rsidP="005D3C7A">
      <w:pPr>
        <w:autoSpaceDE w:val="0"/>
        <w:autoSpaceDN w:val="0"/>
        <w:adjustRightInd w:val="0"/>
        <w:spacing w:after="0" w:line="240" w:lineRule="auto"/>
        <w:ind w:left="426"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11 - 20 = efect important asupra calităţii vieţii pacientului</w:t>
      </w:r>
    </w:p>
    <w:p w14:paraId="3E766877" w14:textId="77777777" w:rsidR="005D3C7A" w:rsidRPr="0049126A" w:rsidRDefault="005D3C7A" w:rsidP="005D3C7A">
      <w:pPr>
        <w:autoSpaceDE w:val="0"/>
        <w:autoSpaceDN w:val="0"/>
        <w:adjustRightInd w:val="0"/>
        <w:spacing w:after="0" w:line="240" w:lineRule="auto"/>
        <w:ind w:left="426" w:hanging="284"/>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21 - 30 = efect foarte important asupra calităţii vieţii pacientului.</w:t>
      </w:r>
    </w:p>
    <w:p w14:paraId="5F927006"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0FE08B5F"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44F7249"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6E02BE4"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4100ADB5"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5214D776"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049ABA7D"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EF1011C"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EC475C0"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1E613C8"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429188A4"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433E321"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59D43E1"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0AA53CD"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715D8CA7"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lastRenderedPageBreak/>
        <w:t>Anexa Nr. 2</w:t>
      </w:r>
    </w:p>
    <w:p w14:paraId="2CE9D0D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0FC960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Fişa de evaluare şi monitorizare a pacientului adult cu psoriazis vulgar cronic sever în plăci aflat în tratament cu agent biologic/</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molecula mica cu actiune intracelulara</w:t>
      </w:r>
    </w:p>
    <w:p w14:paraId="1513610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p>
    <w:p w14:paraId="237F34DF" w14:textId="77777777" w:rsidR="005D3C7A" w:rsidRPr="0049126A" w:rsidRDefault="005D3C7A" w:rsidP="005D3C7A">
      <w:pPr>
        <w:autoSpaceDE w:val="0"/>
        <w:autoSpaceDN w:val="0"/>
        <w:adjustRightInd w:val="0"/>
        <w:spacing w:after="0" w:line="240" w:lineRule="auto"/>
        <w:ind w:hanging="284"/>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DATE GENERALE</w:t>
      </w:r>
    </w:p>
    <w:p w14:paraId="621C203B" w14:textId="77777777" w:rsidR="005D3C7A" w:rsidRPr="0049126A" w:rsidRDefault="005D3C7A" w:rsidP="005D3C7A">
      <w:pPr>
        <w:autoSpaceDE w:val="0"/>
        <w:autoSpaceDN w:val="0"/>
        <w:adjustRightInd w:val="0"/>
        <w:spacing w:after="0" w:line="240" w:lineRule="auto"/>
        <w:ind w:hanging="284"/>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Pacient:</w:t>
      </w:r>
    </w:p>
    <w:p w14:paraId="6C0D73BD"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Nume .....................................................................</w:t>
      </w:r>
    </w:p>
    <w:p w14:paraId="5B1E009C"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Prenume .................................................................</w:t>
      </w:r>
    </w:p>
    <w:p w14:paraId="290A50B1"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Data naşterii (zi/lună/an): _ _/_ _/_ _ _ _</w:t>
      </w:r>
    </w:p>
    <w:p w14:paraId="0BC65EFC"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CNP: ∟∟∟∟∟∟∟∟∟∟∟∟∟</w:t>
      </w:r>
    </w:p>
    <w:p w14:paraId="5436A45D"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Adresă corespondenţă/telefon: ...............................................................................</w:t>
      </w:r>
    </w:p>
    <w:p w14:paraId="4F4C742D"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4311CDDF"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Pacientul a semnat declaraţia de consimţământ DA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    NU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1D13B097"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Anexaţi un exemplar DA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    NU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176A5CC3"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Nume medic de familie + adresă corespondenţă: ....................................................</w:t>
      </w:r>
    </w:p>
    <w:p w14:paraId="66755863"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w:t>
      </w:r>
    </w:p>
    <w:p w14:paraId="3ECCCCF8" w14:textId="77777777" w:rsidR="005D3C7A" w:rsidRPr="0049126A" w:rsidRDefault="005D3C7A" w:rsidP="005D3C7A">
      <w:pPr>
        <w:autoSpaceDE w:val="0"/>
        <w:autoSpaceDN w:val="0"/>
        <w:adjustRightInd w:val="0"/>
        <w:spacing w:after="0" w:line="240" w:lineRule="auto"/>
        <w:ind w:hanging="284"/>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 xml:space="preserve">    Medic curant dermatolog:</w:t>
      </w:r>
    </w:p>
    <w:p w14:paraId="51E01B5D"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Nume ............................................................ Prenume ........................................</w:t>
      </w:r>
    </w:p>
    <w:p w14:paraId="1D868D63"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sz w:val="24"/>
          <w:szCs w:val="24"/>
          <w:lang w:val="fr-MC" w:eastAsia="ro-RO"/>
        </w:rPr>
        <w:t>Unitatea sanitară ....................................................................................................</w:t>
      </w:r>
    </w:p>
    <w:p w14:paraId="4DEAD732"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Adresa de corespondenţă ......................................................................................</w:t>
      </w:r>
    </w:p>
    <w:p w14:paraId="454E76E6"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Telefon: ...................................... Fax .................................... E-mail ....................</w:t>
      </w:r>
    </w:p>
    <w:p w14:paraId="6E34384F" w14:textId="77777777" w:rsidR="005D3C7A" w:rsidRPr="0049126A" w:rsidRDefault="005D3C7A" w:rsidP="005D3C7A">
      <w:pPr>
        <w:autoSpaceDE w:val="0"/>
        <w:autoSpaceDN w:val="0"/>
        <w:adjustRightInd w:val="0"/>
        <w:spacing w:after="0" w:line="240" w:lineRule="auto"/>
        <w:ind w:hanging="284"/>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Parafa:                                                 Semnătura:</w:t>
      </w:r>
    </w:p>
    <w:p w14:paraId="646117F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7BE18D3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I. CO-MORBIDITĂŢI:</w:t>
      </w:r>
    </w:p>
    <w:p w14:paraId="16F4389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Pacientul a prezentat următoarele afecţiuni (bifaţi varianta corespunzătoare la </w:t>
      </w:r>
      <w:r w:rsidRPr="0049126A">
        <w:rPr>
          <w:rFonts w:ascii="Times New Roman" w:eastAsia="Times New Roman" w:hAnsi="Times New Roman" w:cs="Times New Roman"/>
          <w:b/>
          <w:bCs/>
          <w:sz w:val="24"/>
          <w:szCs w:val="24"/>
          <w:lang w:val="fr-MC" w:eastAsia="ro-RO"/>
        </w:rPr>
        <w:t>fiecare rubrică</w:t>
      </w:r>
      <w:r w:rsidRPr="0049126A">
        <w:rPr>
          <w:rFonts w:ascii="Times New Roman" w:eastAsia="Times New Roman" w:hAnsi="Times New Roman" w:cs="Times New Roman"/>
          <w:sz w:val="24"/>
          <w:szCs w:val="24"/>
          <w:lang w:val="fr-MC" w:eastAsia="ro-RO"/>
        </w:rPr>
        <w:t xml:space="preserve">, iar dacă răspunsul este </w:t>
      </w:r>
      <w:r w:rsidRPr="0049126A">
        <w:rPr>
          <w:rFonts w:ascii="Times New Roman" w:eastAsia="Times New Roman" w:hAnsi="Times New Roman" w:cs="Times New Roman"/>
          <w:b/>
          <w:bCs/>
          <w:sz w:val="24"/>
          <w:szCs w:val="24"/>
          <w:lang w:val="fr-MC" w:eastAsia="ro-RO"/>
        </w:rPr>
        <w:t>DA</w:t>
      </w:r>
      <w:r w:rsidRPr="0049126A">
        <w:rPr>
          <w:rFonts w:ascii="Times New Roman" w:eastAsia="Times New Roman" w:hAnsi="Times New Roman" w:cs="Times New Roman"/>
          <w:sz w:val="24"/>
          <w:szCs w:val="24"/>
          <w:lang w:val="fr-MC" w:eastAsia="ro-RO"/>
        </w:rPr>
        <w:t>, furnizaţi detalii).</w:t>
      </w:r>
    </w:p>
    <w:p w14:paraId="322B29F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tbl>
      <w:tblPr>
        <w:tblW w:w="9781" w:type="dxa"/>
        <w:tblInd w:w="-8" w:type="dxa"/>
        <w:tblLayout w:type="fixed"/>
        <w:tblCellMar>
          <w:left w:w="105" w:type="dxa"/>
          <w:right w:w="105" w:type="dxa"/>
        </w:tblCellMar>
        <w:tblLook w:val="0000" w:firstRow="0" w:lastRow="0" w:firstColumn="0" w:lastColumn="0" w:noHBand="0" w:noVBand="0"/>
      </w:tblPr>
      <w:tblGrid>
        <w:gridCol w:w="4678"/>
        <w:gridCol w:w="1276"/>
        <w:gridCol w:w="1559"/>
        <w:gridCol w:w="2268"/>
      </w:tblGrid>
      <w:tr w:rsidR="0049126A" w:rsidRPr="0049126A" w14:paraId="02102A7E"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3CF56B9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fr-MC" w:eastAsia="ro-RO"/>
              </w:rPr>
            </w:pPr>
          </w:p>
        </w:tc>
        <w:tc>
          <w:tcPr>
            <w:tcW w:w="1276" w:type="dxa"/>
            <w:tcBorders>
              <w:top w:val="single" w:sz="6" w:space="0" w:color="000000"/>
              <w:left w:val="single" w:sz="6" w:space="0" w:color="000000"/>
              <w:bottom w:val="single" w:sz="6" w:space="0" w:color="000000"/>
              <w:right w:val="single" w:sz="6" w:space="0" w:color="000000"/>
            </w:tcBorders>
          </w:tcPr>
          <w:p w14:paraId="2E2CE2D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DA/NU</w:t>
            </w:r>
          </w:p>
        </w:tc>
        <w:tc>
          <w:tcPr>
            <w:tcW w:w="1559" w:type="dxa"/>
            <w:tcBorders>
              <w:top w:val="single" w:sz="6" w:space="0" w:color="000000"/>
              <w:left w:val="single" w:sz="6" w:space="0" w:color="000000"/>
              <w:bottom w:val="single" w:sz="6" w:space="0" w:color="000000"/>
              <w:right w:val="single" w:sz="6" w:space="0" w:color="000000"/>
            </w:tcBorders>
          </w:tcPr>
          <w:p w14:paraId="0B07E07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Data diagnostic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lună/an</w:t>
            </w:r>
            <w:r w:rsidRPr="0049126A">
              <w:rPr>
                <w:rFonts w:ascii="Times New Roman" w:eastAsia="Times New Roman" w:hAnsi="Times New Roman" w:cs="Times New Roman"/>
                <w:sz w:val="20"/>
                <w:szCs w:val="20"/>
                <w:lang w:val="en-US" w:eastAsia="ro-RO"/>
              </w:rPr>
              <w:t>)</w:t>
            </w:r>
          </w:p>
        </w:tc>
        <w:tc>
          <w:tcPr>
            <w:tcW w:w="2268" w:type="dxa"/>
            <w:tcBorders>
              <w:top w:val="single" w:sz="6" w:space="0" w:color="000000"/>
              <w:left w:val="single" w:sz="6" w:space="0" w:color="000000"/>
              <w:bottom w:val="single" w:sz="6" w:space="0" w:color="000000"/>
              <w:right w:val="single" w:sz="6" w:space="0" w:color="000000"/>
            </w:tcBorders>
          </w:tcPr>
          <w:p w14:paraId="483A5D0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Tratament actual</w:t>
            </w:r>
          </w:p>
        </w:tc>
      </w:tr>
      <w:tr w:rsidR="0049126A" w:rsidRPr="0049126A" w14:paraId="4809AE86"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413ADFC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Infecţii acute</w:t>
            </w:r>
          </w:p>
        </w:tc>
        <w:tc>
          <w:tcPr>
            <w:tcW w:w="1276" w:type="dxa"/>
            <w:tcBorders>
              <w:top w:val="single" w:sz="6" w:space="0" w:color="000000"/>
              <w:left w:val="single" w:sz="6" w:space="0" w:color="000000"/>
              <w:bottom w:val="single" w:sz="6" w:space="0" w:color="000000"/>
              <w:right w:val="single" w:sz="6" w:space="0" w:color="000000"/>
            </w:tcBorders>
          </w:tcPr>
          <w:p w14:paraId="0AA8352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720D0CA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79AB9F4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21BF6F1"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367914C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Infecţii recidivante/persistente</w:t>
            </w:r>
          </w:p>
        </w:tc>
        <w:tc>
          <w:tcPr>
            <w:tcW w:w="1276" w:type="dxa"/>
            <w:tcBorders>
              <w:top w:val="single" w:sz="6" w:space="0" w:color="000000"/>
              <w:left w:val="single" w:sz="6" w:space="0" w:color="000000"/>
              <w:bottom w:val="single" w:sz="6" w:space="0" w:color="000000"/>
              <w:right w:val="single" w:sz="6" w:space="0" w:color="000000"/>
            </w:tcBorders>
          </w:tcPr>
          <w:p w14:paraId="5E1F2F2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6D608D4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2C180F9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C30557C"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75DD4D8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TBC - dacă nu face tratament actual, data ultimului tratament şi data ultimei evaluări ftiziologice</w:t>
            </w:r>
          </w:p>
        </w:tc>
        <w:tc>
          <w:tcPr>
            <w:tcW w:w="1276" w:type="dxa"/>
            <w:tcBorders>
              <w:top w:val="single" w:sz="6" w:space="0" w:color="000000"/>
              <w:left w:val="single" w:sz="6" w:space="0" w:color="000000"/>
              <w:bottom w:val="single" w:sz="6" w:space="0" w:color="000000"/>
              <w:right w:val="single" w:sz="6" w:space="0" w:color="000000"/>
            </w:tcBorders>
          </w:tcPr>
          <w:p w14:paraId="45F3DC9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3761FDF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4558012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6193583"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454C519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HTA</w:t>
            </w:r>
          </w:p>
        </w:tc>
        <w:tc>
          <w:tcPr>
            <w:tcW w:w="1276" w:type="dxa"/>
            <w:tcBorders>
              <w:top w:val="single" w:sz="6" w:space="0" w:color="000000"/>
              <w:left w:val="single" w:sz="6" w:space="0" w:color="000000"/>
              <w:bottom w:val="single" w:sz="6" w:space="0" w:color="000000"/>
              <w:right w:val="single" w:sz="6" w:space="0" w:color="000000"/>
            </w:tcBorders>
          </w:tcPr>
          <w:p w14:paraId="1BE3A62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076A609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170857B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2B8649E"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0026A10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Boala ischemică coronariană/IM</w:t>
            </w:r>
          </w:p>
        </w:tc>
        <w:tc>
          <w:tcPr>
            <w:tcW w:w="1276" w:type="dxa"/>
            <w:tcBorders>
              <w:top w:val="single" w:sz="6" w:space="0" w:color="000000"/>
              <w:left w:val="single" w:sz="6" w:space="0" w:color="000000"/>
              <w:bottom w:val="single" w:sz="6" w:space="0" w:color="000000"/>
              <w:right w:val="single" w:sz="6" w:space="0" w:color="000000"/>
            </w:tcBorders>
          </w:tcPr>
          <w:p w14:paraId="64FB88F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20C2514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9B43D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5756E0B"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26F8F21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ICC</w:t>
            </w:r>
          </w:p>
        </w:tc>
        <w:tc>
          <w:tcPr>
            <w:tcW w:w="1276" w:type="dxa"/>
            <w:tcBorders>
              <w:top w:val="single" w:sz="6" w:space="0" w:color="000000"/>
              <w:left w:val="single" w:sz="6" w:space="0" w:color="000000"/>
              <w:bottom w:val="single" w:sz="6" w:space="0" w:color="000000"/>
              <w:right w:val="single" w:sz="6" w:space="0" w:color="000000"/>
            </w:tcBorders>
          </w:tcPr>
          <w:p w14:paraId="376C3D6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4E7BE16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0183B9A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5ED8F61"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750B6EF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Tromboflebită profundă</w:t>
            </w:r>
          </w:p>
        </w:tc>
        <w:tc>
          <w:tcPr>
            <w:tcW w:w="1276" w:type="dxa"/>
            <w:tcBorders>
              <w:top w:val="single" w:sz="6" w:space="0" w:color="000000"/>
              <w:left w:val="single" w:sz="6" w:space="0" w:color="000000"/>
              <w:bottom w:val="single" w:sz="6" w:space="0" w:color="000000"/>
              <w:right w:val="single" w:sz="6" w:space="0" w:color="000000"/>
            </w:tcBorders>
          </w:tcPr>
          <w:p w14:paraId="52ABFB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2AE6CE3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73830F4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7984DF1"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05A2307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AVC</w:t>
            </w:r>
          </w:p>
        </w:tc>
        <w:tc>
          <w:tcPr>
            <w:tcW w:w="1276" w:type="dxa"/>
            <w:tcBorders>
              <w:top w:val="single" w:sz="6" w:space="0" w:color="000000"/>
              <w:left w:val="single" w:sz="6" w:space="0" w:color="000000"/>
              <w:bottom w:val="single" w:sz="6" w:space="0" w:color="000000"/>
              <w:right w:val="single" w:sz="6" w:space="0" w:color="000000"/>
            </w:tcBorders>
          </w:tcPr>
          <w:p w14:paraId="3A2A0FD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7AAF417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306F443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723CBAC"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68F2E23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Epilepsie</w:t>
            </w:r>
          </w:p>
        </w:tc>
        <w:tc>
          <w:tcPr>
            <w:tcW w:w="1276" w:type="dxa"/>
            <w:tcBorders>
              <w:top w:val="single" w:sz="6" w:space="0" w:color="000000"/>
              <w:left w:val="single" w:sz="6" w:space="0" w:color="000000"/>
              <w:bottom w:val="single" w:sz="6" w:space="0" w:color="000000"/>
              <w:right w:val="single" w:sz="6" w:space="0" w:color="000000"/>
            </w:tcBorders>
          </w:tcPr>
          <w:p w14:paraId="48DDB67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7CACF20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11CED73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DE5628E"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43496C2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Boli demielinizante</w:t>
            </w:r>
          </w:p>
        </w:tc>
        <w:tc>
          <w:tcPr>
            <w:tcW w:w="1276" w:type="dxa"/>
            <w:tcBorders>
              <w:top w:val="single" w:sz="6" w:space="0" w:color="000000"/>
              <w:left w:val="single" w:sz="6" w:space="0" w:color="000000"/>
              <w:bottom w:val="single" w:sz="6" w:space="0" w:color="000000"/>
              <w:right w:val="single" w:sz="6" w:space="0" w:color="000000"/>
            </w:tcBorders>
          </w:tcPr>
          <w:p w14:paraId="72C64EB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3CC6675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227782E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F2DBD80"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4402D9D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Astm bronşic</w:t>
            </w:r>
          </w:p>
        </w:tc>
        <w:tc>
          <w:tcPr>
            <w:tcW w:w="1276" w:type="dxa"/>
            <w:tcBorders>
              <w:top w:val="single" w:sz="6" w:space="0" w:color="000000"/>
              <w:left w:val="single" w:sz="6" w:space="0" w:color="000000"/>
              <w:bottom w:val="single" w:sz="6" w:space="0" w:color="000000"/>
              <w:right w:val="single" w:sz="6" w:space="0" w:color="000000"/>
            </w:tcBorders>
          </w:tcPr>
          <w:p w14:paraId="3C6C21C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1B581E1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1E863F0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5C799BB"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38CBA0E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BPOC</w:t>
            </w:r>
          </w:p>
        </w:tc>
        <w:tc>
          <w:tcPr>
            <w:tcW w:w="1276" w:type="dxa"/>
            <w:tcBorders>
              <w:top w:val="single" w:sz="6" w:space="0" w:color="000000"/>
              <w:left w:val="single" w:sz="6" w:space="0" w:color="000000"/>
              <w:bottom w:val="single" w:sz="6" w:space="0" w:color="000000"/>
              <w:right w:val="single" w:sz="6" w:space="0" w:color="000000"/>
            </w:tcBorders>
          </w:tcPr>
          <w:p w14:paraId="76E9A49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7C5C6F2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01200E0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4005A47"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15617DB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Ulcer gastro-duodenal</w:t>
            </w:r>
          </w:p>
        </w:tc>
        <w:tc>
          <w:tcPr>
            <w:tcW w:w="1276" w:type="dxa"/>
            <w:tcBorders>
              <w:top w:val="single" w:sz="6" w:space="0" w:color="000000"/>
              <w:left w:val="single" w:sz="6" w:space="0" w:color="000000"/>
              <w:bottom w:val="single" w:sz="6" w:space="0" w:color="000000"/>
              <w:right w:val="single" w:sz="6" w:space="0" w:color="000000"/>
            </w:tcBorders>
          </w:tcPr>
          <w:p w14:paraId="581FBDA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54BC6F8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C0FC4D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403B6E3"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7C9449A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Boli hepatice</w:t>
            </w:r>
          </w:p>
        </w:tc>
        <w:tc>
          <w:tcPr>
            <w:tcW w:w="1276" w:type="dxa"/>
            <w:tcBorders>
              <w:top w:val="single" w:sz="6" w:space="0" w:color="000000"/>
              <w:left w:val="single" w:sz="6" w:space="0" w:color="000000"/>
              <w:bottom w:val="single" w:sz="6" w:space="0" w:color="000000"/>
              <w:right w:val="single" w:sz="6" w:space="0" w:color="000000"/>
            </w:tcBorders>
          </w:tcPr>
          <w:p w14:paraId="5FD99EA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3AA8153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D424FF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C359CAB"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2D8C06B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Boli renale</w:t>
            </w:r>
          </w:p>
        </w:tc>
        <w:tc>
          <w:tcPr>
            <w:tcW w:w="1276" w:type="dxa"/>
            <w:tcBorders>
              <w:top w:val="single" w:sz="6" w:space="0" w:color="000000"/>
              <w:left w:val="single" w:sz="6" w:space="0" w:color="000000"/>
              <w:bottom w:val="single" w:sz="6" w:space="0" w:color="000000"/>
              <w:right w:val="single" w:sz="6" w:space="0" w:color="000000"/>
            </w:tcBorders>
          </w:tcPr>
          <w:p w14:paraId="6FEA9C0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1670BA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7DBFA54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B4A3F3C" w14:textId="77777777" w:rsidTr="00300738">
        <w:tc>
          <w:tcPr>
            <w:tcW w:w="4678" w:type="dxa"/>
            <w:tcBorders>
              <w:top w:val="single" w:sz="6" w:space="0" w:color="000000"/>
              <w:left w:val="single" w:sz="6" w:space="0" w:color="000000"/>
              <w:bottom w:val="nil"/>
              <w:right w:val="single" w:sz="6" w:space="0" w:color="000000"/>
            </w:tcBorders>
          </w:tcPr>
          <w:p w14:paraId="6FC8255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Diabet zaharat - tratament cu:</w:t>
            </w:r>
          </w:p>
        </w:tc>
        <w:tc>
          <w:tcPr>
            <w:tcW w:w="1276" w:type="dxa"/>
            <w:tcBorders>
              <w:top w:val="single" w:sz="6" w:space="0" w:color="000000"/>
              <w:left w:val="single" w:sz="6" w:space="0" w:color="000000"/>
              <w:bottom w:val="nil"/>
              <w:right w:val="single" w:sz="6" w:space="0" w:color="000000"/>
            </w:tcBorders>
          </w:tcPr>
          <w:p w14:paraId="6C4E211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nil"/>
              <w:right w:val="single" w:sz="6" w:space="0" w:color="000000"/>
            </w:tcBorders>
          </w:tcPr>
          <w:p w14:paraId="0C57AA0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nil"/>
              <w:right w:val="single" w:sz="6" w:space="0" w:color="000000"/>
            </w:tcBorders>
          </w:tcPr>
          <w:p w14:paraId="1A23679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BCAA3FD" w14:textId="77777777" w:rsidTr="00300738">
        <w:tc>
          <w:tcPr>
            <w:tcW w:w="4678" w:type="dxa"/>
            <w:tcBorders>
              <w:top w:val="nil"/>
              <w:left w:val="single" w:sz="6" w:space="0" w:color="000000"/>
              <w:bottom w:val="single" w:sz="6" w:space="0" w:color="000000"/>
              <w:right w:val="single" w:sz="6" w:space="0" w:color="000000"/>
            </w:tcBorders>
          </w:tcPr>
          <w:p w14:paraId="4A68B4C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dietă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 oral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 insulină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w:t>
            </w:r>
          </w:p>
        </w:tc>
        <w:tc>
          <w:tcPr>
            <w:tcW w:w="1276" w:type="dxa"/>
            <w:tcBorders>
              <w:top w:val="nil"/>
              <w:left w:val="single" w:sz="6" w:space="0" w:color="000000"/>
              <w:bottom w:val="single" w:sz="6" w:space="0" w:color="000000"/>
              <w:right w:val="single" w:sz="6" w:space="0" w:color="000000"/>
            </w:tcBorders>
          </w:tcPr>
          <w:p w14:paraId="2DEC9AF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nil"/>
              <w:left w:val="single" w:sz="6" w:space="0" w:color="000000"/>
              <w:bottom w:val="single" w:sz="6" w:space="0" w:color="000000"/>
              <w:right w:val="single" w:sz="6" w:space="0" w:color="000000"/>
            </w:tcBorders>
          </w:tcPr>
          <w:p w14:paraId="69022A6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nil"/>
              <w:left w:val="single" w:sz="6" w:space="0" w:color="000000"/>
              <w:bottom w:val="single" w:sz="6" w:space="0" w:color="000000"/>
              <w:right w:val="single" w:sz="6" w:space="0" w:color="000000"/>
            </w:tcBorders>
          </w:tcPr>
          <w:p w14:paraId="1320C8F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F5AF130"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58020F3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Ulcere trofice</w:t>
            </w:r>
          </w:p>
        </w:tc>
        <w:tc>
          <w:tcPr>
            <w:tcW w:w="1276" w:type="dxa"/>
            <w:tcBorders>
              <w:top w:val="single" w:sz="6" w:space="0" w:color="000000"/>
              <w:left w:val="single" w:sz="6" w:space="0" w:color="000000"/>
              <w:bottom w:val="single" w:sz="6" w:space="0" w:color="000000"/>
              <w:right w:val="single" w:sz="6" w:space="0" w:color="000000"/>
            </w:tcBorders>
          </w:tcPr>
          <w:p w14:paraId="620E261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53D919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4ABEA8B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79CD237"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2EE372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Afecţiuni sanguine - descrieţi</w:t>
            </w:r>
          </w:p>
        </w:tc>
        <w:tc>
          <w:tcPr>
            <w:tcW w:w="1276" w:type="dxa"/>
            <w:tcBorders>
              <w:top w:val="single" w:sz="6" w:space="0" w:color="000000"/>
              <w:left w:val="single" w:sz="6" w:space="0" w:color="000000"/>
              <w:bottom w:val="single" w:sz="6" w:space="0" w:color="000000"/>
              <w:right w:val="single" w:sz="6" w:space="0" w:color="000000"/>
            </w:tcBorders>
          </w:tcPr>
          <w:p w14:paraId="66A16F2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5A32672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AAC85F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CCD15EA" w14:textId="77777777" w:rsidTr="00300738">
        <w:tc>
          <w:tcPr>
            <w:tcW w:w="4678" w:type="dxa"/>
            <w:tcBorders>
              <w:top w:val="single" w:sz="6" w:space="0" w:color="000000"/>
              <w:left w:val="single" w:sz="6" w:space="0" w:color="000000"/>
              <w:bottom w:val="nil"/>
              <w:right w:val="single" w:sz="6" w:space="0" w:color="000000"/>
            </w:tcBorders>
          </w:tcPr>
          <w:p w14:paraId="46394E4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Reacţii (boli) alergice</w:t>
            </w:r>
          </w:p>
        </w:tc>
        <w:tc>
          <w:tcPr>
            <w:tcW w:w="1276" w:type="dxa"/>
            <w:tcBorders>
              <w:top w:val="single" w:sz="6" w:space="0" w:color="000000"/>
              <w:left w:val="single" w:sz="6" w:space="0" w:color="000000"/>
              <w:bottom w:val="nil"/>
              <w:right w:val="single" w:sz="6" w:space="0" w:color="000000"/>
            </w:tcBorders>
          </w:tcPr>
          <w:p w14:paraId="1F7C48B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nil"/>
              <w:right w:val="single" w:sz="6" w:space="0" w:color="000000"/>
            </w:tcBorders>
          </w:tcPr>
          <w:p w14:paraId="7DFE6F4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nil"/>
              <w:right w:val="single" w:sz="6" w:space="0" w:color="000000"/>
            </w:tcBorders>
          </w:tcPr>
          <w:p w14:paraId="25006FC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A7F0B57" w14:textId="77777777" w:rsidTr="00300738">
        <w:tc>
          <w:tcPr>
            <w:tcW w:w="4678" w:type="dxa"/>
            <w:tcBorders>
              <w:top w:val="nil"/>
              <w:left w:val="single" w:sz="6" w:space="0" w:color="000000"/>
              <w:bottom w:val="single" w:sz="6" w:space="0" w:color="000000"/>
              <w:right w:val="single" w:sz="6" w:space="0" w:color="000000"/>
            </w:tcBorders>
          </w:tcPr>
          <w:p w14:paraId="02CE65B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locale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 - generale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w:t>
            </w:r>
          </w:p>
        </w:tc>
        <w:tc>
          <w:tcPr>
            <w:tcW w:w="1276" w:type="dxa"/>
            <w:tcBorders>
              <w:top w:val="nil"/>
              <w:left w:val="single" w:sz="6" w:space="0" w:color="000000"/>
              <w:bottom w:val="single" w:sz="6" w:space="0" w:color="000000"/>
              <w:right w:val="single" w:sz="6" w:space="0" w:color="000000"/>
            </w:tcBorders>
          </w:tcPr>
          <w:p w14:paraId="4320B75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nil"/>
              <w:left w:val="single" w:sz="6" w:space="0" w:color="000000"/>
              <w:bottom w:val="single" w:sz="6" w:space="0" w:color="000000"/>
              <w:right w:val="single" w:sz="6" w:space="0" w:color="000000"/>
            </w:tcBorders>
          </w:tcPr>
          <w:p w14:paraId="592604E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nil"/>
              <w:left w:val="single" w:sz="6" w:space="0" w:color="000000"/>
              <w:bottom w:val="single" w:sz="6" w:space="0" w:color="000000"/>
              <w:right w:val="single" w:sz="6" w:space="0" w:color="000000"/>
            </w:tcBorders>
          </w:tcPr>
          <w:p w14:paraId="22971EA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3F15711"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16E2BDF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Reacţii postperfuzionale</w:t>
            </w:r>
          </w:p>
        </w:tc>
        <w:tc>
          <w:tcPr>
            <w:tcW w:w="1276" w:type="dxa"/>
            <w:tcBorders>
              <w:top w:val="single" w:sz="6" w:space="0" w:color="000000"/>
              <w:left w:val="single" w:sz="6" w:space="0" w:color="000000"/>
              <w:bottom w:val="single" w:sz="6" w:space="0" w:color="000000"/>
              <w:right w:val="single" w:sz="6" w:space="0" w:color="000000"/>
            </w:tcBorders>
          </w:tcPr>
          <w:p w14:paraId="139E201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344111A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3F4E251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C9E9AD1"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4CA6091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Afecţiuni cutanate</w:t>
            </w:r>
          </w:p>
        </w:tc>
        <w:tc>
          <w:tcPr>
            <w:tcW w:w="1276" w:type="dxa"/>
            <w:tcBorders>
              <w:top w:val="single" w:sz="6" w:space="0" w:color="000000"/>
              <w:left w:val="single" w:sz="6" w:space="0" w:color="000000"/>
              <w:bottom w:val="single" w:sz="6" w:space="0" w:color="000000"/>
              <w:right w:val="single" w:sz="6" w:space="0" w:color="000000"/>
            </w:tcBorders>
          </w:tcPr>
          <w:p w14:paraId="18B83A2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6E9BF93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70B4369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1DB221F"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7BA60FA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Neoplasme - descrieţi localizarea</w:t>
            </w:r>
          </w:p>
        </w:tc>
        <w:tc>
          <w:tcPr>
            <w:tcW w:w="1276" w:type="dxa"/>
            <w:tcBorders>
              <w:top w:val="single" w:sz="6" w:space="0" w:color="000000"/>
              <w:left w:val="single" w:sz="6" w:space="0" w:color="000000"/>
              <w:bottom w:val="single" w:sz="6" w:space="0" w:color="000000"/>
              <w:right w:val="single" w:sz="6" w:space="0" w:color="000000"/>
            </w:tcBorders>
          </w:tcPr>
          <w:p w14:paraId="2CB4523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1CC1DC7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433CA0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F086DED"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2EB8F1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Spitalizări</w:t>
            </w:r>
          </w:p>
        </w:tc>
        <w:tc>
          <w:tcPr>
            <w:tcW w:w="1276" w:type="dxa"/>
            <w:tcBorders>
              <w:top w:val="single" w:sz="6" w:space="0" w:color="000000"/>
              <w:left w:val="single" w:sz="6" w:space="0" w:color="000000"/>
              <w:bottom w:val="single" w:sz="6" w:space="0" w:color="000000"/>
              <w:right w:val="single" w:sz="6" w:space="0" w:color="000000"/>
            </w:tcBorders>
          </w:tcPr>
          <w:p w14:paraId="0813C21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7909A2C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01B59B0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067A1D1"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716DDA8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Intervenţii chirurgicale</w:t>
            </w:r>
          </w:p>
        </w:tc>
        <w:tc>
          <w:tcPr>
            <w:tcW w:w="1276" w:type="dxa"/>
            <w:tcBorders>
              <w:top w:val="single" w:sz="6" w:space="0" w:color="000000"/>
              <w:left w:val="single" w:sz="6" w:space="0" w:color="000000"/>
              <w:bottom w:val="single" w:sz="6" w:space="0" w:color="000000"/>
              <w:right w:val="single" w:sz="6" w:space="0" w:color="000000"/>
            </w:tcBorders>
          </w:tcPr>
          <w:p w14:paraId="1E65CEE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42BE533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1A8A8D9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2DD9D76" w14:textId="77777777" w:rsidTr="00300738">
        <w:tc>
          <w:tcPr>
            <w:tcW w:w="4678" w:type="dxa"/>
            <w:tcBorders>
              <w:top w:val="single" w:sz="6" w:space="0" w:color="000000"/>
              <w:left w:val="single" w:sz="6" w:space="0" w:color="000000"/>
              <w:bottom w:val="single" w:sz="6" w:space="0" w:color="000000"/>
              <w:right w:val="single" w:sz="6" w:space="0" w:color="000000"/>
            </w:tcBorders>
          </w:tcPr>
          <w:p w14:paraId="32B7AA5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Alte boli semnificative</w:t>
            </w:r>
          </w:p>
        </w:tc>
        <w:tc>
          <w:tcPr>
            <w:tcW w:w="1276" w:type="dxa"/>
            <w:tcBorders>
              <w:top w:val="single" w:sz="6" w:space="0" w:color="000000"/>
              <w:left w:val="single" w:sz="6" w:space="0" w:color="000000"/>
              <w:bottom w:val="single" w:sz="6" w:space="0" w:color="000000"/>
              <w:right w:val="single" w:sz="6" w:space="0" w:color="000000"/>
            </w:tcBorders>
          </w:tcPr>
          <w:p w14:paraId="4B0E962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09A3727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68" w:type="dxa"/>
            <w:tcBorders>
              <w:top w:val="single" w:sz="6" w:space="0" w:color="000000"/>
              <w:left w:val="single" w:sz="6" w:space="0" w:color="000000"/>
              <w:bottom w:val="single" w:sz="6" w:space="0" w:color="000000"/>
              <w:right w:val="single" w:sz="6" w:space="0" w:color="000000"/>
            </w:tcBorders>
          </w:tcPr>
          <w:p w14:paraId="5E6B3BA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bl>
    <w:p w14:paraId="1AEE9F7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p>
    <w:p w14:paraId="4F6986A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 xml:space="preserve">II. DIAGNOSTIC ŞI ISTORIC PSORIAZIS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se va completa doar la vizita de evaluare pre-tratament</w:t>
      </w:r>
      <w:r w:rsidRPr="0049126A">
        <w:rPr>
          <w:rFonts w:ascii="Times New Roman" w:eastAsia="Times New Roman" w:hAnsi="Times New Roman" w:cs="Times New Roman"/>
          <w:sz w:val="24"/>
          <w:szCs w:val="24"/>
          <w:lang w:val="fr-MC" w:eastAsia="ro-RO"/>
        </w:rPr>
        <w:t>)</w:t>
      </w:r>
    </w:p>
    <w:p w14:paraId="1E5EB0D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1B42172"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Diagnostic cert de psoriazis:     anul _ _ _ _ luna _ _</w:t>
      </w:r>
    </w:p>
    <w:p w14:paraId="6673E25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Data debutului:                        anul _ _ _ _ luna _ _</w:t>
      </w:r>
    </w:p>
    <w:p w14:paraId="06BFDC5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9756F5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La iniţierea tratamentului se va anexa şi </w:t>
      </w:r>
      <w:r w:rsidRPr="0049126A">
        <w:rPr>
          <w:rFonts w:ascii="Times New Roman" w:eastAsia="Times New Roman" w:hAnsi="Times New Roman" w:cs="Times New Roman"/>
          <w:b/>
          <w:bCs/>
          <w:sz w:val="24"/>
          <w:szCs w:val="24"/>
          <w:lang w:val="fr-MC" w:eastAsia="ro-RO"/>
        </w:rPr>
        <w:t>buletinul de analiză histopatologic</w:t>
      </w:r>
      <w:r w:rsidRPr="0049126A">
        <w:rPr>
          <w:rFonts w:ascii="Times New Roman" w:eastAsia="Times New Roman" w:hAnsi="Times New Roman" w:cs="Times New Roman"/>
          <w:sz w:val="24"/>
          <w:szCs w:val="24"/>
          <w:lang w:val="fr-MC" w:eastAsia="ro-RO"/>
        </w:rPr>
        <w:t>, în original sau copie, cu parafa si semnatura medicului anatomopatolog si autentificată prin semnătura şi parafa medicului curant dermatolog.</w:t>
      </w:r>
    </w:p>
    <w:p w14:paraId="793D461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EB74A0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18A0E99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III. TERAPII CLASICE SISTEMICE URMATE ANTERIOR - se completează numai la vizita de evaluare pre-tratament, nu este necesară completarea pentru dosarul de continuare a terapiei</w:t>
      </w:r>
    </w:p>
    <w:p w14:paraId="702EB61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cazul modificării dozelor se trece data de începere şi de oprire pentru fiecare doză)</w:t>
      </w:r>
    </w:p>
    <w:tbl>
      <w:tblPr>
        <w:tblW w:w="9781" w:type="dxa"/>
        <w:tblInd w:w="-8" w:type="dxa"/>
        <w:tblLayout w:type="fixed"/>
        <w:tblCellMar>
          <w:left w:w="105" w:type="dxa"/>
          <w:right w:w="105" w:type="dxa"/>
        </w:tblCellMar>
        <w:tblLook w:val="0000" w:firstRow="0" w:lastRow="0" w:firstColumn="0" w:lastColumn="0" w:noHBand="0" w:noVBand="0"/>
      </w:tblPr>
      <w:tblGrid>
        <w:gridCol w:w="1876"/>
        <w:gridCol w:w="917"/>
        <w:gridCol w:w="1441"/>
        <w:gridCol w:w="1261"/>
        <w:gridCol w:w="4286"/>
      </w:tblGrid>
      <w:tr w:rsidR="0049126A" w:rsidRPr="0049126A" w14:paraId="5FDE0DFE" w14:textId="77777777" w:rsidTr="00300738">
        <w:tc>
          <w:tcPr>
            <w:tcW w:w="1876" w:type="dxa"/>
            <w:tcBorders>
              <w:top w:val="single" w:sz="6" w:space="0" w:color="000000"/>
              <w:left w:val="single" w:sz="6" w:space="0" w:color="000000"/>
              <w:bottom w:val="single" w:sz="6" w:space="0" w:color="000000"/>
              <w:right w:val="single" w:sz="6" w:space="0" w:color="000000"/>
            </w:tcBorders>
          </w:tcPr>
          <w:p w14:paraId="4B0BDDC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Medicament</w:t>
            </w:r>
          </w:p>
        </w:tc>
        <w:tc>
          <w:tcPr>
            <w:tcW w:w="917" w:type="dxa"/>
            <w:tcBorders>
              <w:top w:val="single" w:sz="6" w:space="0" w:color="000000"/>
              <w:left w:val="single" w:sz="6" w:space="0" w:color="000000"/>
              <w:bottom w:val="single" w:sz="6" w:space="0" w:color="000000"/>
              <w:right w:val="single" w:sz="6" w:space="0" w:color="000000"/>
            </w:tcBorders>
          </w:tcPr>
          <w:p w14:paraId="21480445"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Doză</w:t>
            </w:r>
          </w:p>
        </w:tc>
        <w:tc>
          <w:tcPr>
            <w:tcW w:w="1441" w:type="dxa"/>
            <w:tcBorders>
              <w:top w:val="single" w:sz="6" w:space="0" w:color="000000"/>
              <w:left w:val="single" w:sz="6" w:space="0" w:color="000000"/>
              <w:bottom w:val="single" w:sz="6" w:space="0" w:color="000000"/>
              <w:right w:val="single" w:sz="6" w:space="0" w:color="000000"/>
            </w:tcBorders>
          </w:tcPr>
          <w:p w14:paraId="62D890E6"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 începerii</w:t>
            </w:r>
          </w:p>
        </w:tc>
        <w:tc>
          <w:tcPr>
            <w:tcW w:w="1261" w:type="dxa"/>
            <w:tcBorders>
              <w:top w:val="single" w:sz="6" w:space="0" w:color="000000"/>
              <w:left w:val="single" w:sz="6" w:space="0" w:color="000000"/>
              <w:bottom w:val="single" w:sz="6" w:space="0" w:color="000000"/>
              <w:right w:val="single" w:sz="6" w:space="0" w:color="000000"/>
            </w:tcBorders>
          </w:tcPr>
          <w:p w14:paraId="293BAC7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 opririi</w:t>
            </w:r>
          </w:p>
        </w:tc>
        <w:tc>
          <w:tcPr>
            <w:tcW w:w="4286" w:type="dxa"/>
            <w:tcBorders>
              <w:top w:val="single" w:sz="6" w:space="0" w:color="000000"/>
              <w:left w:val="single" w:sz="6" w:space="0" w:color="000000"/>
              <w:bottom w:val="single" w:sz="6" w:space="0" w:color="000000"/>
              <w:right w:val="single" w:sz="6" w:space="0" w:color="000000"/>
            </w:tcBorders>
          </w:tcPr>
          <w:p w14:paraId="7154DE3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Observaţii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motivul întreruperii, reacţii adverse*</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 ineficienţă etc.</w:t>
            </w:r>
            <w:r w:rsidRPr="0049126A">
              <w:rPr>
                <w:rFonts w:ascii="Times New Roman" w:eastAsia="Times New Roman" w:hAnsi="Times New Roman" w:cs="Times New Roman"/>
                <w:sz w:val="20"/>
                <w:szCs w:val="20"/>
                <w:lang w:val="en-US" w:eastAsia="ro-RO"/>
              </w:rPr>
              <w:t>)</w:t>
            </w:r>
          </w:p>
        </w:tc>
      </w:tr>
      <w:tr w:rsidR="0049126A" w:rsidRPr="0049126A" w14:paraId="5039E3B1" w14:textId="77777777" w:rsidTr="00300738">
        <w:tc>
          <w:tcPr>
            <w:tcW w:w="1876" w:type="dxa"/>
            <w:tcBorders>
              <w:top w:val="single" w:sz="6" w:space="0" w:color="000000"/>
              <w:left w:val="single" w:sz="6" w:space="0" w:color="000000"/>
              <w:bottom w:val="single" w:sz="6" w:space="0" w:color="000000"/>
              <w:right w:val="single" w:sz="6" w:space="0" w:color="000000"/>
            </w:tcBorders>
          </w:tcPr>
          <w:p w14:paraId="64CBA8A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917" w:type="dxa"/>
            <w:tcBorders>
              <w:top w:val="single" w:sz="6" w:space="0" w:color="000000"/>
              <w:left w:val="single" w:sz="6" w:space="0" w:color="000000"/>
              <w:bottom w:val="single" w:sz="6" w:space="0" w:color="000000"/>
              <w:right w:val="single" w:sz="6" w:space="0" w:color="000000"/>
            </w:tcBorders>
          </w:tcPr>
          <w:p w14:paraId="741217A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41" w:type="dxa"/>
            <w:tcBorders>
              <w:top w:val="single" w:sz="6" w:space="0" w:color="000000"/>
              <w:left w:val="single" w:sz="6" w:space="0" w:color="000000"/>
              <w:bottom w:val="single" w:sz="6" w:space="0" w:color="000000"/>
              <w:right w:val="single" w:sz="6" w:space="0" w:color="000000"/>
            </w:tcBorders>
          </w:tcPr>
          <w:p w14:paraId="7521A38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261" w:type="dxa"/>
            <w:tcBorders>
              <w:top w:val="single" w:sz="6" w:space="0" w:color="000000"/>
              <w:left w:val="single" w:sz="6" w:space="0" w:color="000000"/>
              <w:bottom w:val="single" w:sz="6" w:space="0" w:color="000000"/>
              <w:right w:val="single" w:sz="6" w:space="0" w:color="000000"/>
            </w:tcBorders>
          </w:tcPr>
          <w:p w14:paraId="268C424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4286" w:type="dxa"/>
            <w:tcBorders>
              <w:top w:val="single" w:sz="6" w:space="0" w:color="000000"/>
              <w:left w:val="single" w:sz="6" w:space="0" w:color="000000"/>
              <w:bottom w:val="single" w:sz="6" w:space="0" w:color="000000"/>
              <w:right w:val="single" w:sz="6" w:space="0" w:color="000000"/>
            </w:tcBorders>
          </w:tcPr>
          <w:p w14:paraId="6DD6459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841D78E" w14:textId="77777777" w:rsidTr="00300738">
        <w:tc>
          <w:tcPr>
            <w:tcW w:w="1876" w:type="dxa"/>
            <w:tcBorders>
              <w:top w:val="single" w:sz="6" w:space="0" w:color="000000"/>
              <w:left w:val="single" w:sz="6" w:space="0" w:color="000000"/>
              <w:bottom w:val="single" w:sz="6" w:space="0" w:color="000000"/>
              <w:right w:val="single" w:sz="6" w:space="0" w:color="000000"/>
            </w:tcBorders>
          </w:tcPr>
          <w:p w14:paraId="57E0CBC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917" w:type="dxa"/>
            <w:tcBorders>
              <w:top w:val="single" w:sz="6" w:space="0" w:color="000000"/>
              <w:left w:val="single" w:sz="6" w:space="0" w:color="000000"/>
              <w:bottom w:val="single" w:sz="6" w:space="0" w:color="000000"/>
              <w:right w:val="single" w:sz="6" w:space="0" w:color="000000"/>
            </w:tcBorders>
          </w:tcPr>
          <w:p w14:paraId="65F5656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41" w:type="dxa"/>
            <w:tcBorders>
              <w:top w:val="single" w:sz="6" w:space="0" w:color="000000"/>
              <w:left w:val="single" w:sz="6" w:space="0" w:color="000000"/>
              <w:bottom w:val="single" w:sz="6" w:space="0" w:color="000000"/>
              <w:right w:val="single" w:sz="6" w:space="0" w:color="000000"/>
            </w:tcBorders>
          </w:tcPr>
          <w:p w14:paraId="12402CC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261" w:type="dxa"/>
            <w:tcBorders>
              <w:top w:val="single" w:sz="6" w:space="0" w:color="000000"/>
              <w:left w:val="single" w:sz="6" w:space="0" w:color="000000"/>
              <w:bottom w:val="single" w:sz="6" w:space="0" w:color="000000"/>
              <w:right w:val="single" w:sz="6" w:space="0" w:color="000000"/>
            </w:tcBorders>
          </w:tcPr>
          <w:p w14:paraId="4301F07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4286" w:type="dxa"/>
            <w:tcBorders>
              <w:top w:val="single" w:sz="6" w:space="0" w:color="000000"/>
              <w:left w:val="single" w:sz="6" w:space="0" w:color="000000"/>
              <w:bottom w:val="single" w:sz="6" w:space="0" w:color="000000"/>
              <w:right w:val="single" w:sz="6" w:space="0" w:color="000000"/>
            </w:tcBorders>
          </w:tcPr>
          <w:p w14:paraId="3C738F0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0F90F55" w14:textId="77777777" w:rsidTr="00300738">
        <w:tc>
          <w:tcPr>
            <w:tcW w:w="1876" w:type="dxa"/>
            <w:tcBorders>
              <w:top w:val="single" w:sz="6" w:space="0" w:color="000000"/>
              <w:left w:val="single" w:sz="6" w:space="0" w:color="000000"/>
              <w:bottom w:val="single" w:sz="6" w:space="0" w:color="000000"/>
              <w:right w:val="single" w:sz="6" w:space="0" w:color="000000"/>
            </w:tcBorders>
          </w:tcPr>
          <w:p w14:paraId="50F7334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917" w:type="dxa"/>
            <w:tcBorders>
              <w:top w:val="single" w:sz="6" w:space="0" w:color="000000"/>
              <w:left w:val="single" w:sz="6" w:space="0" w:color="000000"/>
              <w:bottom w:val="single" w:sz="6" w:space="0" w:color="000000"/>
              <w:right w:val="single" w:sz="6" w:space="0" w:color="000000"/>
            </w:tcBorders>
          </w:tcPr>
          <w:p w14:paraId="3677430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41" w:type="dxa"/>
            <w:tcBorders>
              <w:top w:val="single" w:sz="6" w:space="0" w:color="000000"/>
              <w:left w:val="single" w:sz="6" w:space="0" w:color="000000"/>
              <w:bottom w:val="single" w:sz="6" w:space="0" w:color="000000"/>
              <w:right w:val="single" w:sz="6" w:space="0" w:color="000000"/>
            </w:tcBorders>
          </w:tcPr>
          <w:p w14:paraId="185400C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261" w:type="dxa"/>
            <w:tcBorders>
              <w:top w:val="single" w:sz="6" w:space="0" w:color="000000"/>
              <w:left w:val="single" w:sz="6" w:space="0" w:color="000000"/>
              <w:bottom w:val="single" w:sz="6" w:space="0" w:color="000000"/>
              <w:right w:val="single" w:sz="6" w:space="0" w:color="000000"/>
            </w:tcBorders>
          </w:tcPr>
          <w:p w14:paraId="69AF58F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4286" w:type="dxa"/>
            <w:tcBorders>
              <w:top w:val="single" w:sz="6" w:space="0" w:color="000000"/>
              <w:left w:val="single" w:sz="6" w:space="0" w:color="000000"/>
              <w:bottom w:val="single" w:sz="6" w:space="0" w:color="000000"/>
              <w:right w:val="single" w:sz="6" w:space="0" w:color="000000"/>
            </w:tcBorders>
          </w:tcPr>
          <w:p w14:paraId="06F5DBA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FE55CBB" w14:textId="77777777" w:rsidTr="00300738">
        <w:tc>
          <w:tcPr>
            <w:tcW w:w="9781" w:type="dxa"/>
            <w:gridSpan w:val="5"/>
            <w:tcBorders>
              <w:top w:val="single" w:sz="6" w:space="0" w:color="000000"/>
              <w:left w:val="nil"/>
              <w:bottom w:val="nil"/>
              <w:right w:val="nil"/>
            </w:tcBorders>
          </w:tcPr>
          <w:p w14:paraId="0DCDEC0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xml:space="preserve">*) termenul de "reacţii adverse" se referă la </w:t>
            </w:r>
            <w:r w:rsidRPr="0049126A">
              <w:rPr>
                <w:rFonts w:ascii="Times New Roman" w:eastAsia="Times New Roman" w:hAnsi="Times New Roman" w:cs="Times New Roman"/>
                <w:b/>
                <w:bCs/>
                <w:sz w:val="20"/>
                <w:szCs w:val="20"/>
                <w:lang w:val="fr-MC" w:eastAsia="ro-RO"/>
              </w:rPr>
              <w:t>reacţii adverse majore</w:t>
            </w:r>
            <w:r w:rsidRPr="0049126A">
              <w:rPr>
                <w:rFonts w:ascii="Times New Roman" w:eastAsia="Times New Roman" w:hAnsi="Times New Roman" w:cs="Times New Roman"/>
                <w:sz w:val="20"/>
                <w:szCs w:val="20"/>
                <w:lang w:val="fr-MC" w:eastAsia="ro-RO"/>
              </w:rPr>
              <w:t>, de principiu manifestările digestive de tip dispeptic nu se încadrează în această categorie şi nu justifică întreruperea/modificarea terapiei.</w:t>
            </w:r>
          </w:p>
        </w:tc>
      </w:tr>
    </w:tbl>
    <w:p w14:paraId="0D2339A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B671BE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 de intoleranţă MAJORĂ/CONFIRMATĂ (anexaţi documente medicale) la terapiile sistemice standard, furnizaţi detalii privitor la altă terapie actuală.</w:t>
      </w:r>
    </w:p>
    <w:p w14:paraId="5DA61FC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491E956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IV. TERAPII CLASICE SISTEMICE ACTUALE:</w:t>
      </w:r>
    </w:p>
    <w:tbl>
      <w:tblPr>
        <w:tblW w:w="9781" w:type="dxa"/>
        <w:tblInd w:w="-8" w:type="dxa"/>
        <w:tblLayout w:type="fixed"/>
        <w:tblCellMar>
          <w:left w:w="105" w:type="dxa"/>
          <w:right w:w="105" w:type="dxa"/>
        </w:tblCellMar>
        <w:tblLook w:val="0000" w:firstRow="0" w:lastRow="0" w:firstColumn="0" w:lastColumn="0" w:noHBand="0" w:noVBand="0"/>
      </w:tblPr>
      <w:tblGrid>
        <w:gridCol w:w="2776"/>
        <w:gridCol w:w="947"/>
        <w:gridCol w:w="1245"/>
        <w:gridCol w:w="4813"/>
      </w:tblGrid>
      <w:tr w:rsidR="0049126A" w:rsidRPr="0049126A" w14:paraId="43314106"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35563E0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Medicament</w:t>
            </w:r>
          </w:p>
        </w:tc>
        <w:tc>
          <w:tcPr>
            <w:tcW w:w="947" w:type="dxa"/>
            <w:tcBorders>
              <w:top w:val="single" w:sz="6" w:space="0" w:color="000000"/>
              <w:left w:val="single" w:sz="6" w:space="0" w:color="000000"/>
              <w:bottom w:val="single" w:sz="6" w:space="0" w:color="000000"/>
              <w:right w:val="single" w:sz="6" w:space="0" w:color="000000"/>
            </w:tcBorders>
          </w:tcPr>
          <w:p w14:paraId="489743F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Doza actuală</w:t>
            </w:r>
          </w:p>
        </w:tc>
        <w:tc>
          <w:tcPr>
            <w:tcW w:w="1245" w:type="dxa"/>
            <w:tcBorders>
              <w:top w:val="single" w:sz="6" w:space="0" w:color="000000"/>
              <w:left w:val="single" w:sz="6" w:space="0" w:color="000000"/>
              <w:bottom w:val="single" w:sz="6" w:space="0" w:color="000000"/>
              <w:right w:val="single" w:sz="6" w:space="0" w:color="000000"/>
            </w:tcBorders>
          </w:tcPr>
          <w:p w14:paraId="6E16A93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Din data de:</w:t>
            </w:r>
          </w:p>
        </w:tc>
        <w:tc>
          <w:tcPr>
            <w:tcW w:w="4813" w:type="dxa"/>
            <w:tcBorders>
              <w:top w:val="single" w:sz="6" w:space="0" w:color="000000"/>
              <w:left w:val="single" w:sz="6" w:space="0" w:color="000000"/>
              <w:bottom w:val="single" w:sz="6" w:space="0" w:color="000000"/>
              <w:right w:val="single" w:sz="6" w:space="0" w:color="000000"/>
            </w:tcBorders>
          </w:tcPr>
          <w:p w14:paraId="7666074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Puteţi confirma că pacientul foloseşte continuu această doză - DA/NU</w:t>
            </w:r>
          </w:p>
        </w:tc>
      </w:tr>
      <w:tr w:rsidR="0049126A" w:rsidRPr="0049126A" w14:paraId="6F998397"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5398591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w:t>
            </w:r>
          </w:p>
        </w:tc>
        <w:tc>
          <w:tcPr>
            <w:tcW w:w="947" w:type="dxa"/>
            <w:tcBorders>
              <w:top w:val="single" w:sz="6" w:space="0" w:color="000000"/>
              <w:left w:val="single" w:sz="6" w:space="0" w:color="000000"/>
              <w:bottom w:val="single" w:sz="6" w:space="0" w:color="000000"/>
              <w:right w:val="single" w:sz="6" w:space="0" w:color="000000"/>
            </w:tcBorders>
          </w:tcPr>
          <w:p w14:paraId="169FE13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245" w:type="dxa"/>
            <w:tcBorders>
              <w:top w:val="single" w:sz="6" w:space="0" w:color="000000"/>
              <w:left w:val="single" w:sz="6" w:space="0" w:color="000000"/>
              <w:bottom w:val="single" w:sz="6" w:space="0" w:color="000000"/>
              <w:right w:val="single" w:sz="6" w:space="0" w:color="000000"/>
            </w:tcBorders>
          </w:tcPr>
          <w:p w14:paraId="0E8FC47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4813" w:type="dxa"/>
            <w:tcBorders>
              <w:top w:val="single" w:sz="6" w:space="0" w:color="000000"/>
              <w:left w:val="single" w:sz="6" w:space="0" w:color="000000"/>
              <w:bottom w:val="single" w:sz="6" w:space="0" w:color="000000"/>
              <w:right w:val="single" w:sz="6" w:space="0" w:color="000000"/>
            </w:tcBorders>
          </w:tcPr>
          <w:p w14:paraId="3C71AA2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r>
      <w:tr w:rsidR="0049126A" w:rsidRPr="0049126A" w14:paraId="02F21991"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6F5A277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2.</w:t>
            </w:r>
          </w:p>
        </w:tc>
        <w:tc>
          <w:tcPr>
            <w:tcW w:w="947" w:type="dxa"/>
            <w:tcBorders>
              <w:top w:val="single" w:sz="6" w:space="0" w:color="000000"/>
              <w:left w:val="single" w:sz="6" w:space="0" w:color="000000"/>
              <w:bottom w:val="single" w:sz="6" w:space="0" w:color="000000"/>
              <w:right w:val="single" w:sz="6" w:space="0" w:color="000000"/>
            </w:tcBorders>
          </w:tcPr>
          <w:p w14:paraId="70AA25D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245" w:type="dxa"/>
            <w:tcBorders>
              <w:top w:val="single" w:sz="6" w:space="0" w:color="000000"/>
              <w:left w:val="single" w:sz="6" w:space="0" w:color="000000"/>
              <w:bottom w:val="single" w:sz="6" w:space="0" w:color="000000"/>
              <w:right w:val="single" w:sz="6" w:space="0" w:color="000000"/>
            </w:tcBorders>
          </w:tcPr>
          <w:p w14:paraId="4A7AF9A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4813" w:type="dxa"/>
            <w:tcBorders>
              <w:top w:val="single" w:sz="6" w:space="0" w:color="000000"/>
              <w:left w:val="single" w:sz="6" w:space="0" w:color="000000"/>
              <w:bottom w:val="single" w:sz="6" w:space="0" w:color="000000"/>
              <w:right w:val="single" w:sz="6" w:space="0" w:color="000000"/>
            </w:tcBorders>
          </w:tcPr>
          <w:p w14:paraId="6AC782C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r>
    </w:tbl>
    <w:p w14:paraId="1CCB858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6CF3CB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V. ALTE TRATAMENTE ACTUALE PENTRU PSORIAZIS:</w:t>
      </w:r>
    </w:p>
    <w:tbl>
      <w:tblPr>
        <w:tblW w:w="9781" w:type="dxa"/>
        <w:tblInd w:w="-8" w:type="dxa"/>
        <w:tblLayout w:type="fixed"/>
        <w:tblCellMar>
          <w:left w:w="105" w:type="dxa"/>
          <w:right w:w="105" w:type="dxa"/>
        </w:tblCellMar>
        <w:tblLook w:val="0000" w:firstRow="0" w:lastRow="0" w:firstColumn="0" w:lastColumn="0" w:noHBand="0" w:noVBand="0"/>
      </w:tblPr>
      <w:tblGrid>
        <w:gridCol w:w="2776"/>
        <w:gridCol w:w="1801"/>
        <w:gridCol w:w="2342"/>
        <w:gridCol w:w="2862"/>
      </w:tblGrid>
      <w:tr w:rsidR="0049126A" w:rsidRPr="0049126A" w14:paraId="62FFD247"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1758A500"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Medicament</w:t>
            </w:r>
          </w:p>
        </w:tc>
        <w:tc>
          <w:tcPr>
            <w:tcW w:w="1801" w:type="dxa"/>
            <w:tcBorders>
              <w:top w:val="single" w:sz="6" w:space="0" w:color="000000"/>
              <w:left w:val="single" w:sz="6" w:space="0" w:color="000000"/>
              <w:bottom w:val="single" w:sz="6" w:space="0" w:color="000000"/>
              <w:right w:val="single" w:sz="6" w:space="0" w:color="000000"/>
            </w:tcBorders>
          </w:tcPr>
          <w:p w14:paraId="3EBEC226"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Doză</w:t>
            </w:r>
          </w:p>
        </w:tc>
        <w:tc>
          <w:tcPr>
            <w:tcW w:w="2342" w:type="dxa"/>
            <w:tcBorders>
              <w:top w:val="single" w:sz="6" w:space="0" w:color="000000"/>
              <w:left w:val="single" w:sz="6" w:space="0" w:color="000000"/>
              <w:bottom w:val="single" w:sz="6" w:space="0" w:color="000000"/>
              <w:right w:val="single" w:sz="6" w:space="0" w:color="000000"/>
            </w:tcBorders>
          </w:tcPr>
          <w:p w14:paraId="372AFAC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 începerii</w:t>
            </w:r>
          </w:p>
        </w:tc>
        <w:tc>
          <w:tcPr>
            <w:tcW w:w="2862" w:type="dxa"/>
            <w:tcBorders>
              <w:top w:val="single" w:sz="6" w:space="0" w:color="000000"/>
              <w:left w:val="single" w:sz="6" w:space="0" w:color="000000"/>
              <w:bottom w:val="single" w:sz="6" w:space="0" w:color="000000"/>
              <w:right w:val="single" w:sz="6" w:space="0" w:color="000000"/>
            </w:tcBorders>
          </w:tcPr>
          <w:p w14:paraId="06E38F5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Observaţii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motivul introducerii</w:t>
            </w:r>
            <w:r w:rsidRPr="0049126A">
              <w:rPr>
                <w:rFonts w:ascii="Times New Roman" w:eastAsia="Times New Roman" w:hAnsi="Times New Roman" w:cs="Times New Roman"/>
                <w:sz w:val="20"/>
                <w:szCs w:val="20"/>
                <w:lang w:val="en-US" w:eastAsia="ro-RO"/>
              </w:rPr>
              <w:t>)</w:t>
            </w:r>
          </w:p>
        </w:tc>
      </w:tr>
      <w:tr w:rsidR="0049126A" w:rsidRPr="0049126A" w14:paraId="62D49D17"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0B32D26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801" w:type="dxa"/>
            <w:tcBorders>
              <w:top w:val="single" w:sz="6" w:space="0" w:color="000000"/>
              <w:left w:val="single" w:sz="6" w:space="0" w:color="000000"/>
              <w:bottom w:val="single" w:sz="6" w:space="0" w:color="000000"/>
              <w:right w:val="single" w:sz="6" w:space="0" w:color="000000"/>
            </w:tcBorders>
          </w:tcPr>
          <w:p w14:paraId="37BF50E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342" w:type="dxa"/>
            <w:tcBorders>
              <w:top w:val="single" w:sz="6" w:space="0" w:color="000000"/>
              <w:left w:val="single" w:sz="6" w:space="0" w:color="000000"/>
              <w:bottom w:val="single" w:sz="6" w:space="0" w:color="000000"/>
              <w:right w:val="single" w:sz="6" w:space="0" w:color="000000"/>
            </w:tcBorders>
          </w:tcPr>
          <w:p w14:paraId="418F755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862" w:type="dxa"/>
            <w:tcBorders>
              <w:top w:val="single" w:sz="6" w:space="0" w:color="000000"/>
              <w:left w:val="single" w:sz="6" w:space="0" w:color="000000"/>
              <w:bottom w:val="single" w:sz="6" w:space="0" w:color="000000"/>
              <w:right w:val="single" w:sz="6" w:space="0" w:color="000000"/>
            </w:tcBorders>
          </w:tcPr>
          <w:p w14:paraId="3794CEF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r w:rsidR="0049126A" w:rsidRPr="0049126A" w14:paraId="578B034F"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119B608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801" w:type="dxa"/>
            <w:tcBorders>
              <w:top w:val="single" w:sz="6" w:space="0" w:color="000000"/>
              <w:left w:val="single" w:sz="6" w:space="0" w:color="000000"/>
              <w:bottom w:val="single" w:sz="6" w:space="0" w:color="000000"/>
              <w:right w:val="single" w:sz="6" w:space="0" w:color="000000"/>
            </w:tcBorders>
          </w:tcPr>
          <w:p w14:paraId="10D23D50"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342" w:type="dxa"/>
            <w:tcBorders>
              <w:top w:val="single" w:sz="6" w:space="0" w:color="000000"/>
              <w:left w:val="single" w:sz="6" w:space="0" w:color="000000"/>
              <w:bottom w:val="single" w:sz="6" w:space="0" w:color="000000"/>
              <w:right w:val="single" w:sz="6" w:space="0" w:color="000000"/>
            </w:tcBorders>
          </w:tcPr>
          <w:p w14:paraId="6C86D09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862" w:type="dxa"/>
            <w:tcBorders>
              <w:top w:val="single" w:sz="6" w:space="0" w:color="000000"/>
              <w:left w:val="single" w:sz="6" w:space="0" w:color="000000"/>
              <w:bottom w:val="single" w:sz="6" w:space="0" w:color="000000"/>
              <w:right w:val="single" w:sz="6" w:space="0" w:color="000000"/>
            </w:tcBorders>
          </w:tcPr>
          <w:p w14:paraId="0AFE443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r w:rsidR="0049126A" w:rsidRPr="0049126A" w14:paraId="213E7CC9"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0B0AE30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801" w:type="dxa"/>
            <w:tcBorders>
              <w:top w:val="single" w:sz="6" w:space="0" w:color="000000"/>
              <w:left w:val="single" w:sz="6" w:space="0" w:color="000000"/>
              <w:bottom w:val="single" w:sz="6" w:space="0" w:color="000000"/>
              <w:right w:val="single" w:sz="6" w:space="0" w:color="000000"/>
            </w:tcBorders>
          </w:tcPr>
          <w:p w14:paraId="3BB4BB5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342" w:type="dxa"/>
            <w:tcBorders>
              <w:top w:val="single" w:sz="6" w:space="0" w:color="000000"/>
              <w:left w:val="single" w:sz="6" w:space="0" w:color="000000"/>
              <w:bottom w:val="single" w:sz="6" w:space="0" w:color="000000"/>
              <w:right w:val="single" w:sz="6" w:space="0" w:color="000000"/>
            </w:tcBorders>
          </w:tcPr>
          <w:p w14:paraId="1F83E81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862" w:type="dxa"/>
            <w:tcBorders>
              <w:top w:val="single" w:sz="6" w:space="0" w:color="000000"/>
              <w:left w:val="single" w:sz="6" w:space="0" w:color="000000"/>
              <w:bottom w:val="single" w:sz="6" w:space="0" w:color="000000"/>
              <w:right w:val="single" w:sz="6" w:space="0" w:color="000000"/>
            </w:tcBorders>
          </w:tcPr>
          <w:p w14:paraId="226BEBB6"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bl>
    <w:p w14:paraId="7545F26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en-US" w:eastAsia="ro-RO"/>
        </w:rPr>
      </w:pPr>
    </w:p>
    <w:p w14:paraId="17721D6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VI. EVALUARE CLINICĂ:</w:t>
      </w:r>
    </w:p>
    <w:p w14:paraId="0FDF0882"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Data: _ _/_ _/_ _ _ _</w:t>
      </w:r>
    </w:p>
    <w:p w14:paraId="7A56220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Greutate (kg): _ _ _         Talie (cm): _ _ _</w:t>
      </w:r>
    </w:p>
    <w:tbl>
      <w:tblPr>
        <w:tblW w:w="9781" w:type="dxa"/>
        <w:tblInd w:w="-8" w:type="dxa"/>
        <w:tblLayout w:type="fixed"/>
        <w:tblCellMar>
          <w:left w:w="105" w:type="dxa"/>
          <w:right w:w="105" w:type="dxa"/>
        </w:tblCellMar>
        <w:tblLook w:val="0000" w:firstRow="0" w:lastRow="0" w:firstColumn="0" w:lastColumn="0" w:noHBand="0" w:noVBand="0"/>
      </w:tblPr>
      <w:tblGrid>
        <w:gridCol w:w="5104"/>
        <w:gridCol w:w="2342"/>
        <w:gridCol w:w="1456"/>
        <w:gridCol w:w="879"/>
      </w:tblGrid>
      <w:tr w:rsidR="0049126A" w:rsidRPr="0049126A" w14:paraId="31B0F0B9" w14:textId="77777777" w:rsidTr="00300738">
        <w:tc>
          <w:tcPr>
            <w:tcW w:w="5104" w:type="dxa"/>
            <w:tcBorders>
              <w:top w:val="single" w:sz="6" w:space="0" w:color="000000"/>
              <w:left w:val="single" w:sz="6" w:space="0" w:color="000000"/>
              <w:bottom w:val="single" w:sz="6" w:space="0" w:color="000000"/>
              <w:right w:val="single" w:sz="6" w:space="0" w:color="000000"/>
            </w:tcBorders>
          </w:tcPr>
          <w:p w14:paraId="5563D58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2342" w:type="dxa"/>
            <w:tcBorders>
              <w:top w:val="single" w:sz="6" w:space="0" w:color="000000"/>
              <w:left w:val="single" w:sz="6" w:space="0" w:color="000000"/>
              <w:bottom w:val="single" w:sz="6" w:space="0" w:color="000000"/>
              <w:right w:val="single" w:sz="6" w:space="0" w:color="000000"/>
            </w:tcBorders>
          </w:tcPr>
          <w:p w14:paraId="7203B9C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iniţierea terapiei</w:t>
            </w:r>
          </w:p>
        </w:tc>
        <w:tc>
          <w:tcPr>
            <w:tcW w:w="1456" w:type="dxa"/>
            <w:tcBorders>
              <w:top w:val="single" w:sz="6" w:space="0" w:color="000000"/>
              <w:left w:val="single" w:sz="6" w:space="0" w:color="000000"/>
              <w:bottom w:val="single" w:sz="6" w:space="0" w:color="000000"/>
              <w:right w:val="single" w:sz="6" w:space="0" w:color="000000"/>
            </w:tcBorders>
          </w:tcPr>
          <w:p w14:paraId="13FA7B9B"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Precedent</w:t>
            </w:r>
          </w:p>
        </w:tc>
        <w:tc>
          <w:tcPr>
            <w:tcW w:w="879" w:type="dxa"/>
            <w:tcBorders>
              <w:top w:val="single" w:sz="6" w:space="0" w:color="000000"/>
              <w:left w:val="single" w:sz="6" w:space="0" w:color="000000"/>
              <w:bottom w:val="single" w:sz="6" w:space="0" w:color="000000"/>
              <w:right w:val="single" w:sz="6" w:space="0" w:color="000000"/>
            </w:tcBorders>
          </w:tcPr>
          <w:p w14:paraId="0B64B64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Actual</w:t>
            </w:r>
          </w:p>
        </w:tc>
      </w:tr>
      <w:tr w:rsidR="0049126A" w:rsidRPr="0049126A" w14:paraId="2005DC64" w14:textId="77777777" w:rsidTr="00300738">
        <w:tc>
          <w:tcPr>
            <w:tcW w:w="5104" w:type="dxa"/>
            <w:tcBorders>
              <w:top w:val="single" w:sz="6" w:space="0" w:color="000000"/>
              <w:left w:val="single" w:sz="6" w:space="0" w:color="000000"/>
              <w:bottom w:val="single" w:sz="6" w:space="0" w:color="000000"/>
              <w:right w:val="single" w:sz="6" w:space="0" w:color="000000"/>
            </w:tcBorders>
          </w:tcPr>
          <w:p w14:paraId="6C0FAE8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Scor PASI</w:t>
            </w:r>
          </w:p>
        </w:tc>
        <w:tc>
          <w:tcPr>
            <w:tcW w:w="2342" w:type="dxa"/>
            <w:tcBorders>
              <w:top w:val="single" w:sz="6" w:space="0" w:color="000000"/>
              <w:left w:val="single" w:sz="6" w:space="0" w:color="000000"/>
              <w:bottom w:val="single" w:sz="6" w:space="0" w:color="000000"/>
              <w:right w:val="single" w:sz="6" w:space="0" w:color="000000"/>
            </w:tcBorders>
          </w:tcPr>
          <w:p w14:paraId="30A6D87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0BCB374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0E13934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2E2D746" w14:textId="77777777" w:rsidTr="00300738">
        <w:tc>
          <w:tcPr>
            <w:tcW w:w="5104" w:type="dxa"/>
            <w:tcBorders>
              <w:top w:val="single" w:sz="6" w:space="0" w:color="000000"/>
              <w:left w:val="single" w:sz="6" w:space="0" w:color="000000"/>
              <w:bottom w:val="single" w:sz="6" w:space="0" w:color="000000"/>
              <w:right w:val="single" w:sz="6" w:space="0" w:color="000000"/>
            </w:tcBorders>
          </w:tcPr>
          <w:p w14:paraId="1BE4BAC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b/>
                <w:bCs/>
                <w:sz w:val="20"/>
                <w:szCs w:val="20"/>
                <w:lang w:val="fr-MC" w:eastAsia="ro-RO"/>
              </w:rPr>
              <w:t>Scor DLQI</w:t>
            </w:r>
            <w:r w:rsidRPr="0049126A">
              <w:rPr>
                <w:rFonts w:ascii="Times New Roman" w:eastAsia="Times New Roman" w:hAnsi="Times New Roman" w:cs="Times New Roman"/>
                <w:sz w:val="20"/>
                <w:szCs w:val="20"/>
                <w:lang w:val="fr-MC" w:eastAsia="ro-RO"/>
              </w:rPr>
              <w:t xml:space="preserve"> (se vor anexa formularele semnate de pacient SI SEMNATE SI PARAFATE DE MEDICUL DERMATOLOG CURANT)</w:t>
            </w:r>
          </w:p>
        </w:tc>
        <w:tc>
          <w:tcPr>
            <w:tcW w:w="2342" w:type="dxa"/>
            <w:tcBorders>
              <w:top w:val="single" w:sz="6" w:space="0" w:color="000000"/>
              <w:left w:val="single" w:sz="6" w:space="0" w:color="000000"/>
              <w:bottom w:val="single" w:sz="6" w:space="0" w:color="000000"/>
              <w:right w:val="single" w:sz="6" w:space="0" w:color="000000"/>
            </w:tcBorders>
          </w:tcPr>
          <w:p w14:paraId="30DD2A1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456" w:type="dxa"/>
            <w:tcBorders>
              <w:top w:val="single" w:sz="6" w:space="0" w:color="000000"/>
              <w:left w:val="single" w:sz="6" w:space="0" w:color="000000"/>
              <w:bottom w:val="single" w:sz="6" w:space="0" w:color="000000"/>
              <w:right w:val="single" w:sz="6" w:space="0" w:color="000000"/>
            </w:tcBorders>
          </w:tcPr>
          <w:p w14:paraId="2FA4CC7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879" w:type="dxa"/>
            <w:tcBorders>
              <w:top w:val="single" w:sz="6" w:space="0" w:color="000000"/>
              <w:left w:val="single" w:sz="6" w:space="0" w:color="000000"/>
              <w:bottom w:val="single" w:sz="6" w:space="0" w:color="000000"/>
              <w:right w:val="single" w:sz="6" w:space="0" w:color="000000"/>
            </w:tcBorders>
          </w:tcPr>
          <w:p w14:paraId="60449A5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r w:rsidR="0049126A" w:rsidRPr="0049126A" w14:paraId="4D33989B" w14:textId="77777777" w:rsidTr="00300738">
        <w:tc>
          <w:tcPr>
            <w:tcW w:w="5104" w:type="dxa"/>
            <w:tcBorders>
              <w:top w:val="single" w:sz="6" w:space="0" w:color="000000"/>
              <w:left w:val="single" w:sz="6" w:space="0" w:color="000000"/>
              <w:bottom w:val="single" w:sz="6" w:space="0" w:color="000000"/>
              <w:right w:val="single" w:sz="6" w:space="0" w:color="000000"/>
            </w:tcBorders>
          </w:tcPr>
          <w:p w14:paraId="13696B1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Regiuni topografice speciale afectate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DA/NU</w:t>
            </w:r>
            <w:r w:rsidRPr="0049126A">
              <w:rPr>
                <w:rFonts w:ascii="Times New Roman" w:eastAsia="Times New Roman" w:hAnsi="Times New Roman" w:cs="Times New Roman"/>
                <w:sz w:val="20"/>
                <w:szCs w:val="20"/>
                <w:lang w:val="en-US" w:eastAsia="ro-RO"/>
              </w:rPr>
              <w:t xml:space="preserve">) </w:t>
            </w:r>
          </w:p>
        </w:tc>
        <w:tc>
          <w:tcPr>
            <w:tcW w:w="2342" w:type="dxa"/>
            <w:tcBorders>
              <w:top w:val="single" w:sz="6" w:space="0" w:color="000000"/>
              <w:left w:val="single" w:sz="6" w:space="0" w:color="000000"/>
              <w:bottom w:val="single" w:sz="6" w:space="0" w:color="000000"/>
              <w:right w:val="single" w:sz="6" w:space="0" w:color="000000"/>
            </w:tcBorders>
          </w:tcPr>
          <w:p w14:paraId="4E3D9F2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2D0F808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46C34B7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BBE6ABA" w14:textId="77777777" w:rsidTr="00300738">
        <w:tc>
          <w:tcPr>
            <w:tcW w:w="5104" w:type="dxa"/>
            <w:tcBorders>
              <w:top w:val="single" w:sz="6" w:space="0" w:color="000000"/>
              <w:left w:val="single" w:sz="6" w:space="0" w:color="000000"/>
              <w:bottom w:val="single" w:sz="6" w:space="0" w:color="000000"/>
              <w:right w:val="single" w:sz="6" w:space="0" w:color="000000"/>
            </w:tcBorders>
          </w:tcPr>
          <w:p w14:paraId="4F7253D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Zona unghială - NAPSI</w:t>
            </w:r>
          </w:p>
        </w:tc>
        <w:tc>
          <w:tcPr>
            <w:tcW w:w="2342" w:type="dxa"/>
            <w:tcBorders>
              <w:top w:val="single" w:sz="6" w:space="0" w:color="000000"/>
              <w:left w:val="single" w:sz="6" w:space="0" w:color="000000"/>
              <w:bottom w:val="single" w:sz="6" w:space="0" w:color="000000"/>
              <w:right w:val="single" w:sz="6" w:space="0" w:color="000000"/>
            </w:tcBorders>
          </w:tcPr>
          <w:p w14:paraId="7008322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0578FF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0DECAD3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BB55834" w14:textId="77777777" w:rsidTr="00300738">
        <w:tc>
          <w:tcPr>
            <w:tcW w:w="5104" w:type="dxa"/>
            <w:tcBorders>
              <w:top w:val="single" w:sz="6" w:space="0" w:color="000000"/>
              <w:left w:val="single" w:sz="6" w:space="0" w:color="000000"/>
              <w:bottom w:val="single" w:sz="6" w:space="0" w:color="000000"/>
              <w:right w:val="single" w:sz="6" w:space="0" w:color="000000"/>
            </w:tcBorders>
          </w:tcPr>
          <w:p w14:paraId="6311478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 xml:space="preserve"> Zona scalpului - PSSI</w:t>
            </w:r>
          </w:p>
        </w:tc>
        <w:tc>
          <w:tcPr>
            <w:tcW w:w="2342" w:type="dxa"/>
            <w:tcBorders>
              <w:top w:val="single" w:sz="6" w:space="0" w:color="000000"/>
              <w:left w:val="single" w:sz="6" w:space="0" w:color="000000"/>
              <w:bottom w:val="single" w:sz="6" w:space="0" w:color="000000"/>
              <w:right w:val="single" w:sz="6" w:space="0" w:color="000000"/>
            </w:tcBorders>
          </w:tcPr>
          <w:p w14:paraId="28F2A7D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001EB99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35C32D8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FCA9ACE" w14:textId="77777777" w:rsidTr="00300738">
        <w:tc>
          <w:tcPr>
            <w:tcW w:w="5104" w:type="dxa"/>
            <w:tcBorders>
              <w:top w:val="single" w:sz="6" w:space="0" w:color="000000"/>
              <w:left w:val="single" w:sz="6" w:space="0" w:color="000000"/>
              <w:bottom w:val="single" w:sz="6" w:space="0" w:color="000000"/>
              <w:right w:val="single" w:sz="6" w:space="0" w:color="000000"/>
            </w:tcBorders>
          </w:tcPr>
          <w:p w14:paraId="1705767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 xml:space="preserve"> Zona palmoplantară - ESIF                                                                               </w:t>
            </w:r>
          </w:p>
        </w:tc>
        <w:tc>
          <w:tcPr>
            <w:tcW w:w="2342" w:type="dxa"/>
            <w:tcBorders>
              <w:top w:val="single" w:sz="6" w:space="0" w:color="000000"/>
              <w:left w:val="single" w:sz="6" w:space="0" w:color="000000"/>
              <w:bottom w:val="single" w:sz="6" w:space="0" w:color="000000"/>
              <w:right w:val="single" w:sz="6" w:space="0" w:color="000000"/>
            </w:tcBorders>
          </w:tcPr>
          <w:p w14:paraId="479DA5B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05EA4C9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08884BA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BC30D54" w14:textId="77777777" w:rsidTr="00300738">
        <w:tc>
          <w:tcPr>
            <w:tcW w:w="5104" w:type="dxa"/>
            <w:tcBorders>
              <w:top w:val="single" w:sz="6" w:space="0" w:color="000000"/>
              <w:left w:val="single" w:sz="6" w:space="0" w:color="000000"/>
              <w:bottom w:val="single" w:sz="6" w:space="0" w:color="000000"/>
              <w:right w:val="single" w:sz="6" w:space="0" w:color="000000"/>
            </w:tcBorders>
          </w:tcPr>
          <w:p w14:paraId="4AA1D4E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 xml:space="preserve">Zona genitală - PGA </w:t>
            </w:r>
          </w:p>
        </w:tc>
        <w:tc>
          <w:tcPr>
            <w:tcW w:w="2342" w:type="dxa"/>
            <w:tcBorders>
              <w:top w:val="single" w:sz="6" w:space="0" w:color="000000"/>
              <w:left w:val="single" w:sz="6" w:space="0" w:color="000000"/>
              <w:bottom w:val="single" w:sz="6" w:space="0" w:color="000000"/>
              <w:right w:val="single" w:sz="6" w:space="0" w:color="000000"/>
            </w:tcBorders>
          </w:tcPr>
          <w:p w14:paraId="3D72B7A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74FC71E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13AAD53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99607FC" w14:textId="77777777" w:rsidTr="00300738">
        <w:tc>
          <w:tcPr>
            <w:tcW w:w="5104" w:type="dxa"/>
            <w:tcBorders>
              <w:top w:val="single" w:sz="6" w:space="0" w:color="000000"/>
              <w:left w:val="single" w:sz="6" w:space="0" w:color="000000"/>
              <w:bottom w:val="single" w:sz="6" w:space="0" w:color="000000"/>
              <w:right w:val="single" w:sz="6" w:space="0" w:color="000000"/>
            </w:tcBorders>
          </w:tcPr>
          <w:p w14:paraId="24E321A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 xml:space="preserve">Psoriasis inversat- PGA </w:t>
            </w:r>
          </w:p>
        </w:tc>
        <w:tc>
          <w:tcPr>
            <w:tcW w:w="2342" w:type="dxa"/>
            <w:tcBorders>
              <w:top w:val="single" w:sz="6" w:space="0" w:color="000000"/>
              <w:left w:val="single" w:sz="6" w:space="0" w:color="000000"/>
              <w:bottom w:val="single" w:sz="6" w:space="0" w:color="000000"/>
              <w:right w:val="single" w:sz="6" w:space="0" w:color="000000"/>
            </w:tcBorders>
          </w:tcPr>
          <w:p w14:paraId="388E470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56" w:type="dxa"/>
            <w:tcBorders>
              <w:top w:val="single" w:sz="6" w:space="0" w:color="000000"/>
              <w:left w:val="single" w:sz="6" w:space="0" w:color="000000"/>
              <w:bottom w:val="single" w:sz="6" w:space="0" w:color="000000"/>
              <w:right w:val="single" w:sz="6" w:space="0" w:color="000000"/>
            </w:tcBorders>
          </w:tcPr>
          <w:p w14:paraId="4548999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879" w:type="dxa"/>
            <w:tcBorders>
              <w:top w:val="single" w:sz="6" w:space="0" w:color="000000"/>
              <w:left w:val="single" w:sz="6" w:space="0" w:color="000000"/>
              <w:bottom w:val="single" w:sz="6" w:space="0" w:color="000000"/>
              <w:right w:val="single" w:sz="6" w:space="0" w:color="000000"/>
            </w:tcBorders>
          </w:tcPr>
          <w:p w14:paraId="0D38DD7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bl>
    <w:p w14:paraId="6BBD26E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VII. EVALUARE PARACLINICĂ:</w:t>
      </w:r>
    </w:p>
    <w:p w14:paraId="5289B23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vor anexa buletinele de analiză cu valabilitate de maxim 45 de zile în original sau copie autentificată prin semnătura şi parafa medicului curant dermatolog.</w:t>
      </w:r>
    </w:p>
    <w:p w14:paraId="078713F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lastRenderedPageBreak/>
        <w:t>Se vor insera rezultatele de laborator corespunzătoare etapei de evaluare conform Protocolului.</w:t>
      </w:r>
    </w:p>
    <w:p w14:paraId="6414D93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tbl>
      <w:tblPr>
        <w:tblW w:w="9781" w:type="dxa"/>
        <w:tblInd w:w="-8" w:type="dxa"/>
        <w:tblLayout w:type="fixed"/>
        <w:tblCellMar>
          <w:left w:w="105" w:type="dxa"/>
          <w:right w:w="105" w:type="dxa"/>
        </w:tblCellMar>
        <w:tblLook w:val="0000" w:firstRow="0" w:lastRow="0" w:firstColumn="0" w:lastColumn="0" w:noHBand="0" w:noVBand="0"/>
      </w:tblPr>
      <w:tblGrid>
        <w:gridCol w:w="2776"/>
        <w:gridCol w:w="2186"/>
        <w:gridCol w:w="2409"/>
        <w:gridCol w:w="2410"/>
      </w:tblGrid>
      <w:tr w:rsidR="0049126A" w:rsidRPr="0049126A" w14:paraId="606A1EE8"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0EDE1CE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Analiza</w:t>
            </w:r>
          </w:p>
        </w:tc>
        <w:tc>
          <w:tcPr>
            <w:tcW w:w="2186" w:type="dxa"/>
            <w:tcBorders>
              <w:top w:val="single" w:sz="6" w:space="0" w:color="000000"/>
              <w:left w:val="single" w:sz="6" w:space="0" w:color="000000"/>
              <w:bottom w:val="single" w:sz="6" w:space="0" w:color="000000"/>
              <w:right w:val="single" w:sz="6" w:space="0" w:color="000000"/>
            </w:tcBorders>
          </w:tcPr>
          <w:p w14:paraId="7A0872E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w:t>
            </w:r>
          </w:p>
        </w:tc>
        <w:tc>
          <w:tcPr>
            <w:tcW w:w="2409" w:type="dxa"/>
            <w:tcBorders>
              <w:top w:val="single" w:sz="6" w:space="0" w:color="000000"/>
              <w:left w:val="single" w:sz="6" w:space="0" w:color="000000"/>
              <w:bottom w:val="single" w:sz="6" w:space="0" w:color="000000"/>
              <w:right w:val="single" w:sz="6" w:space="0" w:color="000000"/>
            </w:tcBorders>
          </w:tcPr>
          <w:p w14:paraId="312E1590"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Rezultat</w:t>
            </w:r>
          </w:p>
        </w:tc>
        <w:tc>
          <w:tcPr>
            <w:tcW w:w="2410" w:type="dxa"/>
            <w:tcBorders>
              <w:top w:val="single" w:sz="6" w:space="0" w:color="000000"/>
              <w:left w:val="single" w:sz="6" w:space="0" w:color="000000"/>
              <w:bottom w:val="single" w:sz="6" w:space="0" w:color="000000"/>
              <w:right w:val="single" w:sz="6" w:space="0" w:color="000000"/>
            </w:tcBorders>
          </w:tcPr>
          <w:p w14:paraId="4FFE0DF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Valori normale</w:t>
            </w:r>
          </w:p>
        </w:tc>
      </w:tr>
      <w:tr w:rsidR="0049126A" w:rsidRPr="0049126A" w14:paraId="29EC1075"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62309F3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VSH (la o oră)</w:t>
            </w:r>
          </w:p>
        </w:tc>
        <w:tc>
          <w:tcPr>
            <w:tcW w:w="2186" w:type="dxa"/>
            <w:tcBorders>
              <w:top w:val="single" w:sz="6" w:space="0" w:color="000000"/>
              <w:left w:val="single" w:sz="6" w:space="0" w:color="000000"/>
              <w:bottom w:val="single" w:sz="6" w:space="0" w:color="000000"/>
              <w:right w:val="single" w:sz="6" w:space="0" w:color="000000"/>
            </w:tcBorders>
          </w:tcPr>
          <w:p w14:paraId="7E59FC1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D29E8A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2BCE71A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9BA2411"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60400FB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Hemogramă:</w:t>
            </w:r>
          </w:p>
        </w:tc>
        <w:tc>
          <w:tcPr>
            <w:tcW w:w="2186" w:type="dxa"/>
            <w:tcBorders>
              <w:top w:val="single" w:sz="6" w:space="0" w:color="000000"/>
              <w:left w:val="single" w:sz="6" w:space="0" w:color="000000"/>
              <w:bottom w:val="single" w:sz="6" w:space="0" w:color="000000"/>
              <w:right w:val="single" w:sz="6" w:space="0" w:color="000000"/>
            </w:tcBorders>
          </w:tcPr>
          <w:p w14:paraId="14A8276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11FBF27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099239A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8782602"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050671B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Hb</w:t>
            </w:r>
          </w:p>
        </w:tc>
        <w:tc>
          <w:tcPr>
            <w:tcW w:w="2186" w:type="dxa"/>
            <w:tcBorders>
              <w:top w:val="single" w:sz="6" w:space="0" w:color="000000"/>
              <w:left w:val="single" w:sz="6" w:space="0" w:color="000000"/>
              <w:bottom w:val="single" w:sz="6" w:space="0" w:color="000000"/>
              <w:right w:val="single" w:sz="6" w:space="0" w:color="000000"/>
            </w:tcBorders>
          </w:tcPr>
          <w:p w14:paraId="6344AB7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C73642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51D5F72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3989FDD"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5456D81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Hematocrit</w:t>
            </w:r>
          </w:p>
        </w:tc>
        <w:tc>
          <w:tcPr>
            <w:tcW w:w="2186" w:type="dxa"/>
            <w:tcBorders>
              <w:top w:val="single" w:sz="6" w:space="0" w:color="000000"/>
              <w:left w:val="single" w:sz="6" w:space="0" w:color="000000"/>
              <w:bottom w:val="single" w:sz="6" w:space="0" w:color="000000"/>
              <w:right w:val="single" w:sz="6" w:space="0" w:color="000000"/>
            </w:tcBorders>
          </w:tcPr>
          <w:p w14:paraId="22ACE17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D53714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652D3D6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B8152D1"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61398AC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hematii</w:t>
            </w:r>
          </w:p>
        </w:tc>
        <w:tc>
          <w:tcPr>
            <w:tcW w:w="2186" w:type="dxa"/>
            <w:tcBorders>
              <w:top w:val="single" w:sz="6" w:space="0" w:color="000000"/>
              <w:left w:val="single" w:sz="6" w:space="0" w:color="000000"/>
              <w:bottom w:val="single" w:sz="6" w:space="0" w:color="000000"/>
              <w:right w:val="single" w:sz="6" w:space="0" w:color="000000"/>
            </w:tcBorders>
          </w:tcPr>
          <w:p w14:paraId="778E7FB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0C64D8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4298D07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B4BD4DE"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2B531EF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leucocite</w:t>
            </w:r>
          </w:p>
        </w:tc>
        <w:tc>
          <w:tcPr>
            <w:tcW w:w="2186" w:type="dxa"/>
            <w:tcBorders>
              <w:top w:val="single" w:sz="6" w:space="0" w:color="000000"/>
              <w:left w:val="single" w:sz="6" w:space="0" w:color="000000"/>
              <w:bottom w:val="single" w:sz="6" w:space="0" w:color="000000"/>
              <w:right w:val="single" w:sz="6" w:space="0" w:color="000000"/>
            </w:tcBorders>
          </w:tcPr>
          <w:p w14:paraId="2ED82AD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5EF978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4393E1D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08EE8A7"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4732015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neutrofile</w:t>
            </w:r>
          </w:p>
        </w:tc>
        <w:tc>
          <w:tcPr>
            <w:tcW w:w="2186" w:type="dxa"/>
            <w:tcBorders>
              <w:top w:val="single" w:sz="6" w:space="0" w:color="000000"/>
              <w:left w:val="single" w:sz="6" w:space="0" w:color="000000"/>
              <w:bottom w:val="single" w:sz="6" w:space="0" w:color="000000"/>
              <w:right w:val="single" w:sz="6" w:space="0" w:color="000000"/>
            </w:tcBorders>
          </w:tcPr>
          <w:p w14:paraId="646B603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0658165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7C5E166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15430F4"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45802A2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bazofile</w:t>
            </w:r>
          </w:p>
        </w:tc>
        <w:tc>
          <w:tcPr>
            <w:tcW w:w="2186" w:type="dxa"/>
            <w:tcBorders>
              <w:top w:val="single" w:sz="6" w:space="0" w:color="000000"/>
              <w:left w:val="single" w:sz="6" w:space="0" w:color="000000"/>
              <w:bottom w:val="single" w:sz="6" w:space="0" w:color="000000"/>
              <w:right w:val="single" w:sz="6" w:space="0" w:color="000000"/>
            </w:tcBorders>
          </w:tcPr>
          <w:p w14:paraId="60DE120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42676E8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15087A9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AEFECE4"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15E6AD4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eozinofile</w:t>
            </w:r>
          </w:p>
        </w:tc>
        <w:tc>
          <w:tcPr>
            <w:tcW w:w="2186" w:type="dxa"/>
            <w:tcBorders>
              <w:top w:val="single" w:sz="6" w:space="0" w:color="000000"/>
              <w:left w:val="single" w:sz="6" w:space="0" w:color="000000"/>
              <w:bottom w:val="single" w:sz="6" w:space="0" w:color="000000"/>
              <w:right w:val="single" w:sz="6" w:space="0" w:color="000000"/>
            </w:tcBorders>
          </w:tcPr>
          <w:p w14:paraId="4D93205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204C85E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32B8E9D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852D82A"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615FD67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monocite</w:t>
            </w:r>
          </w:p>
        </w:tc>
        <w:tc>
          <w:tcPr>
            <w:tcW w:w="2186" w:type="dxa"/>
            <w:tcBorders>
              <w:top w:val="single" w:sz="6" w:space="0" w:color="000000"/>
              <w:left w:val="single" w:sz="6" w:space="0" w:color="000000"/>
              <w:bottom w:val="single" w:sz="6" w:space="0" w:color="000000"/>
              <w:right w:val="single" w:sz="6" w:space="0" w:color="000000"/>
            </w:tcBorders>
          </w:tcPr>
          <w:p w14:paraId="34B3AC4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6BE6300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78CE95B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1784463"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0D3B83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limfocite</w:t>
            </w:r>
          </w:p>
        </w:tc>
        <w:tc>
          <w:tcPr>
            <w:tcW w:w="2186" w:type="dxa"/>
            <w:tcBorders>
              <w:top w:val="single" w:sz="6" w:space="0" w:color="000000"/>
              <w:left w:val="single" w:sz="6" w:space="0" w:color="000000"/>
              <w:bottom w:val="single" w:sz="6" w:space="0" w:color="000000"/>
              <w:right w:val="single" w:sz="6" w:space="0" w:color="000000"/>
            </w:tcBorders>
          </w:tcPr>
          <w:p w14:paraId="3F3B057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64D8B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77EBF08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BC3A06F"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6DE46AD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trombocite</w:t>
            </w:r>
          </w:p>
        </w:tc>
        <w:tc>
          <w:tcPr>
            <w:tcW w:w="2186" w:type="dxa"/>
            <w:tcBorders>
              <w:top w:val="single" w:sz="6" w:space="0" w:color="000000"/>
              <w:left w:val="single" w:sz="6" w:space="0" w:color="000000"/>
              <w:bottom w:val="single" w:sz="6" w:space="0" w:color="000000"/>
              <w:right w:val="single" w:sz="6" w:space="0" w:color="000000"/>
            </w:tcBorders>
          </w:tcPr>
          <w:p w14:paraId="6EE3DB5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662E15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0A6B91C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A09351C"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7AEE9D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Altele modificate</w:t>
            </w:r>
          </w:p>
        </w:tc>
        <w:tc>
          <w:tcPr>
            <w:tcW w:w="2186" w:type="dxa"/>
            <w:tcBorders>
              <w:top w:val="single" w:sz="6" w:space="0" w:color="000000"/>
              <w:left w:val="single" w:sz="6" w:space="0" w:color="000000"/>
              <w:bottom w:val="single" w:sz="6" w:space="0" w:color="000000"/>
              <w:right w:val="single" w:sz="6" w:space="0" w:color="000000"/>
            </w:tcBorders>
          </w:tcPr>
          <w:p w14:paraId="2F29061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3DB457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1E03FCE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3D18189"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6E471FD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Creatinină</w:t>
            </w:r>
          </w:p>
        </w:tc>
        <w:tc>
          <w:tcPr>
            <w:tcW w:w="2186" w:type="dxa"/>
            <w:tcBorders>
              <w:top w:val="single" w:sz="6" w:space="0" w:color="000000"/>
              <w:left w:val="single" w:sz="6" w:space="0" w:color="000000"/>
              <w:bottom w:val="single" w:sz="6" w:space="0" w:color="000000"/>
              <w:right w:val="single" w:sz="6" w:space="0" w:color="000000"/>
            </w:tcBorders>
          </w:tcPr>
          <w:p w14:paraId="399CEBB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40CCF3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0A770A4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D5EC164"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67632C6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Uree</w:t>
            </w:r>
          </w:p>
        </w:tc>
        <w:tc>
          <w:tcPr>
            <w:tcW w:w="2186" w:type="dxa"/>
            <w:tcBorders>
              <w:top w:val="single" w:sz="6" w:space="0" w:color="000000"/>
              <w:left w:val="single" w:sz="6" w:space="0" w:color="000000"/>
              <w:bottom w:val="single" w:sz="6" w:space="0" w:color="000000"/>
              <w:right w:val="single" w:sz="6" w:space="0" w:color="000000"/>
            </w:tcBorders>
          </w:tcPr>
          <w:p w14:paraId="62AB37C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D875DE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2D2B336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21DBF99"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672DF92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TGO (ASAT)</w:t>
            </w:r>
          </w:p>
        </w:tc>
        <w:tc>
          <w:tcPr>
            <w:tcW w:w="2186" w:type="dxa"/>
            <w:tcBorders>
              <w:top w:val="single" w:sz="6" w:space="0" w:color="000000"/>
              <w:left w:val="single" w:sz="6" w:space="0" w:color="000000"/>
              <w:bottom w:val="single" w:sz="6" w:space="0" w:color="000000"/>
              <w:right w:val="single" w:sz="6" w:space="0" w:color="000000"/>
            </w:tcBorders>
          </w:tcPr>
          <w:p w14:paraId="69BC800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7F882FC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269D0D8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1C2114D"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7A4C479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TGP (ALAT)</w:t>
            </w:r>
          </w:p>
        </w:tc>
        <w:tc>
          <w:tcPr>
            <w:tcW w:w="2186" w:type="dxa"/>
            <w:tcBorders>
              <w:top w:val="single" w:sz="6" w:space="0" w:color="000000"/>
              <w:left w:val="single" w:sz="6" w:space="0" w:color="000000"/>
              <w:bottom w:val="single" w:sz="6" w:space="0" w:color="000000"/>
              <w:right w:val="single" w:sz="6" w:space="0" w:color="000000"/>
            </w:tcBorders>
          </w:tcPr>
          <w:p w14:paraId="5B62709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6A867F3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44CB2E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6308D45"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4D1E85C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GGT</w:t>
            </w:r>
          </w:p>
        </w:tc>
        <w:tc>
          <w:tcPr>
            <w:tcW w:w="2186" w:type="dxa"/>
            <w:tcBorders>
              <w:top w:val="single" w:sz="6" w:space="0" w:color="000000"/>
              <w:left w:val="single" w:sz="6" w:space="0" w:color="000000"/>
              <w:bottom w:val="single" w:sz="6" w:space="0" w:color="000000"/>
              <w:right w:val="single" w:sz="6" w:space="0" w:color="000000"/>
            </w:tcBorders>
          </w:tcPr>
          <w:p w14:paraId="26FFC03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C7F024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6F8681D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9C0205B"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5FA85A5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Sodiu</w:t>
            </w:r>
          </w:p>
        </w:tc>
        <w:tc>
          <w:tcPr>
            <w:tcW w:w="2186" w:type="dxa"/>
            <w:tcBorders>
              <w:top w:val="single" w:sz="6" w:space="0" w:color="000000"/>
              <w:left w:val="single" w:sz="6" w:space="0" w:color="000000"/>
              <w:bottom w:val="single" w:sz="6" w:space="0" w:color="000000"/>
              <w:right w:val="single" w:sz="6" w:space="0" w:color="000000"/>
            </w:tcBorders>
          </w:tcPr>
          <w:p w14:paraId="589DD5D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A21F2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436B62F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29DA812"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2AA6043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Potasiu</w:t>
            </w:r>
          </w:p>
        </w:tc>
        <w:tc>
          <w:tcPr>
            <w:tcW w:w="2186" w:type="dxa"/>
            <w:tcBorders>
              <w:top w:val="single" w:sz="6" w:space="0" w:color="000000"/>
              <w:left w:val="single" w:sz="6" w:space="0" w:color="000000"/>
              <w:bottom w:val="single" w:sz="6" w:space="0" w:color="000000"/>
              <w:right w:val="single" w:sz="6" w:space="0" w:color="000000"/>
            </w:tcBorders>
          </w:tcPr>
          <w:p w14:paraId="3DFDBF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4AB2F56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4E7E696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D4E1884"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5545A1B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AgHBs</w:t>
            </w:r>
          </w:p>
        </w:tc>
        <w:tc>
          <w:tcPr>
            <w:tcW w:w="2186" w:type="dxa"/>
            <w:tcBorders>
              <w:top w:val="single" w:sz="6" w:space="0" w:color="000000"/>
              <w:left w:val="single" w:sz="6" w:space="0" w:color="000000"/>
              <w:bottom w:val="single" w:sz="6" w:space="0" w:color="000000"/>
              <w:right w:val="single" w:sz="6" w:space="0" w:color="000000"/>
            </w:tcBorders>
          </w:tcPr>
          <w:p w14:paraId="6B59C7E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6E564A9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7F77ADA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C0F46F7"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280F5DF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Ac anti HVC</w:t>
            </w:r>
          </w:p>
        </w:tc>
        <w:tc>
          <w:tcPr>
            <w:tcW w:w="2186" w:type="dxa"/>
            <w:tcBorders>
              <w:top w:val="single" w:sz="6" w:space="0" w:color="000000"/>
              <w:left w:val="single" w:sz="6" w:space="0" w:color="000000"/>
              <w:bottom w:val="single" w:sz="6" w:space="0" w:color="000000"/>
              <w:right w:val="single" w:sz="6" w:space="0" w:color="000000"/>
            </w:tcBorders>
          </w:tcPr>
          <w:p w14:paraId="70958B2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409162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5BA31FF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5102F94"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1122369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Sumar de urină</w:t>
            </w:r>
          </w:p>
        </w:tc>
        <w:tc>
          <w:tcPr>
            <w:tcW w:w="2186" w:type="dxa"/>
            <w:tcBorders>
              <w:top w:val="single" w:sz="6" w:space="0" w:color="000000"/>
              <w:left w:val="single" w:sz="6" w:space="0" w:color="000000"/>
              <w:bottom w:val="single" w:sz="6" w:space="0" w:color="000000"/>
              <w:right w:val="single" w:sz="6" w:space="0" w:color="000000"/>
            </w:tcBorders>
          </w:tcPr>
          <w:p w14:paraId="689515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3A76DB1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7CC10CA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5BB1D39"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28FDF57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Radiografie pulmonară</w:t>
            </w:r>
          </w:p>
        </w:tc>
        <w:tc>
          <w:tcPr>
            <w:tcW w:w="2186" w:type="dxa"/>
            <w:tcBorders>
              <w:top w:val="single" w:sz="6" w:space="0" w:color="000000"/>
              <w:left w:val="single" w:sz="6" w:space="0" w:color="000000"/>
              <w:bottom w:val="single" w:sz="6" w:space="0" w:color="000000"/>
              <w:right w:val="single" w:sz="6" w:space="0" w:color="000000"/>
            </w:tcBorders>
          </w:tcPr>
          <w:p w14:paraId="31BDBE2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09" w:type="dxa"/>
            <w:tcBorders>
              <w:top w:val="single" w:sz="6" w:space="0" w:color="000000"/>
              <w:left w:val="single" w:sz="6" w:space="0" w:color="000000"/>
              <w:bottom w:val="single" w:sz="6" w:space="0" w:color="000000"/>
              <w:right w:val="single" w:sz="6" w:space="0" w:color="000000"/>
            </w:tcBorders>
          </w:tcPr>
          <w:p w14:paraId="5733B5C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410" w:type="dxa"/>
            <w:tcBorders>
              <w:top w:val="single" w:sz="6" w:space="0" w:color="000000"/>
              <w:left w:val="single" w:sz="6" w:space="0" w:color="000000"/>
              <w:bottom w:val="single" w:sz="6" w:space="0" w:color="000000"/>
              <w:right w:val="single" w:sz="6" w:space="0" w:color="000000"/>
            </w:tcBorders>
          </w:tcPr>
          <w:p w14:paraId="75D2740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FC6F17C"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165CC8F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Testul cutanat tuberculinic sau</w:t>
            </w:r>
          </w:p>
          <w:p w14:paraId="009724A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IGRA*</w:t>
            </w:r>
          </w:p>
        </w:tc>
        <w:tc>
          <w:tcPr>
            <w:tcW w:w="2186" w:type="dxa"/>
            <w:tcBorders>
              <w:top w:val="single" w:sz="6" w:space="0" w:color="000000"/>
              <w:left w:val="single" w:sz="6" w:space="0" w:color="000000"/>
              <w:bottom w:val="single" w:sz="6" w:space="0" w:color="000000"/>
              <w:right w:val="single" w:sz="6" w:space="0" w:color="000000"/>
            </w:tcBorders>
          </w:tcPr>
          <w:p w14:paraId="4165912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2409" w:type="dxa"/>
            <w:tcBorders>
              <w:top w:val="single" w:sz="6" w:space="0" w:color="000000"/>
              <w:left w:val="single" w:sz="6" w:space="0" w:color="000000"/>
              <w:bottom w:val="single" w:sz="6" w:space="0" w:color="000000"/>
              <w:right w:val="single" w:sz="6" w:space="0" w:color="000000"/>
            </w:tcBorders>
          </w:tcPr>
          <w:p w14:paraId="707E5C6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2410" w:type="dxa"/>
            <w:tcBorders>
              <w:top w:val="single" w:sz="6" w:space="0" w:color="000000"/>
              <w:left w:val="single" w:sz="6" w:space="0" w:color="000000"/>
              <w:bottom w:val="single" w:sz="6" w:space="0" w:color="000000"/>
              <w:right w:val="single" w:sz="6" w:space="0" w:color="000000"/>
            </w:tcBorders>
          </w:tcPr>
          <w:p w14:paraId="3AAB116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r w:rsidR="0049126A" w:rsidRPr="0049126A" w14:paraId="32E1C9F8" w14:textId="77777777" w:rsidTr="00300738">
        <w:tc>
          <w:tcPr>
            <w:tcW w:w="2776" w:type="dxa"/>
            <w:tcBorders>
              <w:top w:val="single" w:sz="6" w:space="0" w:color="000000"/>
              <w:left w:val="single" w:sz="6" w:space="0" w:color="000000"/>
              <w:bottom w:val="single" w:sz="6" w:space="0" w:color="000000"/>
              <w:right w:val="single" w:sz="6" w:space="0" w:color="000000"/>
            </w:tcBorders>
          </w:tcPr>
          <w:p w14:paraId="1E2AF8D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Alte date de laborator semnificative</w:t>
            </w:r>
          </w:p>
        </w:tc>
        <w:tc>
          <w:tcPr>
            <w:tcW w:w="2186" w:type="dxa"/>
            <w:tcBorders>
              <w:top w:val="single" w:sz="6" w:space="0" w:color="000000"/>
              <w:left w:val="single" w:sz="6" w:space="0" w:color="000000"/>
              <w:bottom w:val="single" w:sz="6" w:space="0" w:color="000000"/>
              <w:right w:val="single" w:sz="6" w:space="0" w:color="000000"/>
            </w:tcBorders>
          </w:tcPr>
          <w:p w14:paraId="71982A7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2409" w:type="dxa"/>
            <w:tcBorders>
              <w:top w:val="single" w:sz="6" w:space="0" w:color="000000"/>
              <w:left w:val="single" w:sz="6" w:space="0" w:color="000000"/>
              <w:bottom w:val="single" w:sz="6" w:space="0" w:color="000000"/>
              <w:right w:val="single" w:sz="6" w:space="0" w:color="000000"/>
            </w:tcBorders>
          </w:tcPr>
          <w:p w14:paraId="75A0F39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2410" w:type="dxa"/>
            <w:tcBorders>
              <w:top w:val="single" w:sz="6" w:space="0" w:color="000000"/>
              <w:left w:val="single" w:sz="6" w:space="0" w:color="000000"/>
              <w:bottom w:val="single" w:sz="6" w:space="0" w:color="000000"/>
              <w:right w:val="single" w:sz="6" w:space="0" w:color="000000"/>
            </w:tcBorders>
          </w:tcPr>
          <w:p w14:paraId="3AADA6B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bl>
    <w:p w14:paraId="1B0E02D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 nu este necesara pentru initierea tratamentului cu molecula mica cu actiune intracelulara</w:t>
      </w:r>
    </w:p>
    <w:p w14:paraId="0390B4F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617B826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VIII. TRATAMENTUL BIOLOGIC/</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MOLECULA MICA CU ACTIUNE INTRACELULARA PROPUS:</w:t>
      </w:r>
      <w:r w:rsidRPr="0049126A">
        <w:rPr>
          <w:rFonts w:ascii="Times New Roman" w:eastAsia="Times New Roman" w:hAnsi="Times New Roman" w:cs="Times New Roman"/>
          <w:sz w:val="24"/>
          <w:szCs w:val="24"/>
          <w:lang w:val="fr-MC" w:eastAsia="ro-RO"/>
        </w:rPr>
        <w:t xml:space="preserve">   </w:t>
      </w:r>
    </w:p>
    <w:p w14:paraId="5A45BFD8"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 xml:space="preserve">INIŢIERE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40DD9DEE"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10092D9"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fr-MC" w:eastAsia="ro-RO"/>
        </w:rPr>
        <w:t>Agent biologic/</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 xml:space="preserve">molecula mica cu actiune intracelulara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denumire comercială</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DCI</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w:t>
      </w:r>
    </w:p>
    <w:tbl>
      <w:tblPr>
        <w:tblW w:w="9781" w:type="dxa"/>
        <w:tblInd w:w="-8" w:type="dxa"/>
        <w:tblLayout w:type="fixed"/>
        <w:tblCellMar>
          <w:left w:w="105" w:type="dxa"/>
          <w:right w:w="105" w:type="dxa"/>
        </w:tblCellMar>
        <w:tblLook w:val="0000" w:firstRow="0" w:lastRow="0" w:firstColumn="0" w:lastColumn="0" w:noHBand="0" w:noVBand="0"/>
      </w:tblPr>
      <w:tblGrid>
        <w:gridCol w:w="632"/>
        <w:gridCol w:w="4330"/>
        <w:gridCol w:w="1842"/>
        <w:gridCol w:w="1673"/>
        <w:gridCol w:w="1304"/>
      </w:tblGrid>
      <w:tr w:rsidR="0049126A" w:rsidRPr="0049126A" w14:paraId="20AFF032" w14:textId="77777777" w:rsidTr="00300738">
        <w:tc>
          <w:tcPr>
            <w:tcW w:w="632" w:type="dxa"/>
            <w:tcBorders>
              <w:top w:val="single" w:sz="6" w:space="0" w:color="000000"/>
              <w:left w:val="single" w:sz="6" w:space="0" w:color="000000"/>
              <w:bottom w:val="single" w:sz="6" w:space="0" w:color="000000"/>
              <w:right w:val="single" w:sz="6" w:space="0" w:color="000000"/>
            </w:tcBorders>
          </w:tcPr>
          <w:p w14:paraId="5E0E4B1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4330" w:type="dxa"/>
            <w:tcBorders>
              <w:top w:val="single" w:sz="6" w:space="0" w:color="000000"/>
              <w:left w:val="single" w:sz="6" w:space="0" w:color="000000"/>
              <w:bottom w:val="single" w:sz="6" w:space="0" w:color="000000"/>
              <w:right w:val="single" w:sz="6" w:space="0" w:color="000000"/>
            </w:tcBorders>
          </w:tcPr>
          <w:p w14:paraId="6562F33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interval</w:t>
            </w:r>
          </w:p>
        </w:tc>
        <w:tc>
          <w:tcPr>
            <w:tcW w:w="1842" w:type="dxa"/>
            <w:tcBorders>
              <w:top w:val="single" w:sz="6" w:space="0" w:color="000000"/>
              <w:left w:val="single" w:sz="6" w:space="0" w:color="000000"/>
              <w:bottom w:val="single" w:sz="6" w:space="0" w:color="000000"/>
              <w:right w:val="single" w:sz="6" w:space="0" w:color="000000"/>
            </w:tcBorders>
          </w:tcPr>
          <w:p w14:paraId="201A551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data administrării</w:t>
            </w:r>
          </w:p>
        </w:tc>
        <w:tc>
          <w:tcPr>
            <w:tcW w:w="1673" w:type="dxa"/>
            <w:tcBorders>
              <w:top w:val="single" w:sz="6" w:space="0" w:color="000000"/>
              <w:left w:val="single" w:sz="6" w:space="0" w:color="000000"/>
              <w:bottom w:val="single" w:sz="6" w:space="0" w:color="000000"/>
              <w:right w:val="single" w:sz="6" w:space="0" w:color="000000"/>
            </w:tcBorders>
          </w:tcPr>
          <w:p w14:paraId="2D3FE6D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doza</w:t>
            </w:r>
          </w:p>
        </w:tc>
        <w:tc>
          <w:tcPr>
            <w:tcW w:w="1304" w:type="dxa"/>
            <w:tcBorders>
              <w:top w:val="single" w:sz="6" w:space="0" w:color="000000"/>
              <w:left w:val="single" w:sz="6" w:space="0" w:color="000000"/>
              <w:bottom w:val="single" w:sz="6" w:space="0" w:color="000000"/>
              <w:right w:val="single" w:sz="6" w:space="0" w:color="000000"/>
            </w:tcBorders>
          </w:tcPr>
          <w:p w14:paraId="0788A85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mod administrare</w:t>
            </w:r>
          </w:p>
        </w:tc>
      </w:tr>
      <w:tr w:rsidR="0049126A" w:rsidRPr="0049126A" w14:paraId="4882BFE4" w14:textId="77777777" w:rsidTr="00300738">
        <w:tc>
          <w:tcPr>
            <w:tcW w:w="632" w:type="dxa"/>
            <w:tcBorders>
              <w:top w:val="single" w:sz="6" w:space="0" w:color="000000"/>
              <w:left w:val="single" w:sz="6" w:space="0" w:color="000000"/>
              <w:bottom w:val="single" w:sz="6" w:space="0" w:color="000000"/>
              <w:right w:val="single" w:sz="6" w:space="0" w:color="000000"/>
            </w:tcBorders>
          </w:tcPr>
          <w:p w14:paraId="189E840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w:t>
            </w:r>
          </w:p>
        </w:tc>
        <w:tc>
          <w:tcPr>
            <w:tcW w:w="4330" w:type="dxa"/>
            <w:tcBorders>
              <w:top w:val="single" w:sz="6" w:space="0" w:color="000000"/>
              <w:left w:val="single" w:sz="6" w:space="0" w:color="000000"/>
              <w:bottom w:val="single" w:sz="6" w:space="0" w:color="000000"/>
              <w:right w:val="single" w:sz="6" w:space="0" w:color="000000"/>
            </w:tcBorders>
          </w:tcPr>
          <w:p w14:paraId="143C06E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Vizită iniţială</w:t>
            </w:r>
          </w:p>
        </w:tc>
        <w:tc>
          <w:tcPr>
            <w:tcW w:w="1842" w:type="dxa"/>
            <w:tcBorders>
              <w:top w:val="single" w:sz="6" w:space="0" w:color="000000"/>
              <w:left w:val="single" w:sz="6" w:space="0" w:color="000000"/>
              <w:bottom w:val="single" w:sz="6" w:space="0" w:color="000000"/>
              <w:right w:val="single" w:sz="6" w:space="0" w:color="000000"/>
            </w:tcBorders>
          </w:tcPr>
          <w:p w14:paraId="5DE1267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w:t>
            </w:r>
          </w:p>
        </w:tc>
        <w:tc>
          <w:tcPr>
            <w:tcW w:w="1673" w:type="dxa"/>
            <w:tcBorders>
              <w:top w:val="single" w:sz="6" w:space="0" w:color="000000"/>
              <w:left w:val="single" w:sz="6" w:space="0" w:color="000000"/>
              <w:bottom w:val="single" w:sz="6" w:space="0" w:color="000000"/>
              <w:right w:val="single" w:sz="6" w:space="0" w:color="000000"/>
            </w:tcBorders>
          </w:tcPr>
          <w:p w14:paraId="218D10E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304" w:type="dxa"/>
            <w:tcBorders>
              <w:top w:val="single" w:sz="6" w:space="0" w:color="000000"/>
              <w:left w:val="single" w:sz="6" w:space="0" w:color="000000"/>
              <w:bottom w:val="single" w:sz="6" w:space="0" w:color="000000"/>
              <w:right w:val="single" w:sz="6" w:space="0" w:color="000000"/>
            </w:tcBorders>
          </w:tcPr>
          <w:p w14:paraId="3BCD27F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6CF68AF" w14:textId="77777777" w:rsidTr="00300738">
        <w:tc>
          <w:tcPr>
            <w:tcW w:w="632" w:type="dxa"/>
            <w:tcBorders>
              <w:top w:val="single" w:sz="6" w:space="0" w:color="000000"/>
              <w:left w:val="single" w:sz="6" w:space="0" w:color="000000"/>
              <w:bottom w:val="single" w:sz="6" w:space="0" w:color="000000"/>
              <w:right w:val="single" w:sz="6" w:space="0" w:color="000000"/>
            </w:tcBorders>
          </w:tcPr>
          <w:p w14:paraId="5B08582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2</w:t>
            </w:r>
          </w:p>
        </w:tc>
        <w:tc>
          <w:tcPr>
            <w:tcW w:w="4330" w:type="dxa"/>
            <w:tcBorders>
              <w:top w:val="single" w:sz="6" w:space="0" w:color="000000"/>
              <w:left w:val="single" w:sz="6" w:space="0" w:color="000000"/>
              <w:bottom w:val="single" w:sz="6" w:space="0" w:color="000000"/>
              <w:right w:val="single" w:sz="6" w:space="0" w:color="000000"/>
            </w:tcBorders>
          </w:tcPr>
          <w:p w14:paraId="6A2AD79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Vizita de evaluare a eficacităţii clinice la 3 luni</w:t>
            </w:r>
          </w:p>
        </w:tc>
        <w:tc>
          <w:tcPr>
            <w:tcW w:w="1842" w:type="dxa"/>
            <w:tcBorders>
              <w:top w:val="single" w:sz="6" w:space="0" w:color="000000"/>
              <w:left w:val="single" w:sz="6" w:space="0" w:color="000000"/>
              <w:bottom w:val="single" w:sz="6" w:space="0" w:color="000000"/>
              <w:right w:val="single" w:sz="6" w:space="0" w:color="000000"/>
            </w:tcBorders>
          </w:tcPr>
          <w:p w14:paraId="089C91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673" w:type="dxa"/>
            <w:tcBorders>
              <w:top w:val="single" w:sz="6" w:space="0" w:color="000000"/>
              <w:left w:val="single" w:sz="6" w:space="0" w:color="000000"/>
              <w:bottom w:val="single" w:sz="6" w:space="0" w:color="000000"/>
              <w:right w:val="single" w:sz="6" w:space="0" w:color="000000"/>
            </w:tcBorders>
          </w:tcPr>
          <w:p w14:paraId="7990FFF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304" w:type="dxa"/>
            <w:tcBorders>
              <w:top w:val="single" w:sz="6" w:space="0" w:color="000000"/>
              <w:left w:val="single" w:sz="6" w:space="0" w:color="000000"/>
              <w:bottom w:val="single" w:sz="6" w:space="0" w:color="000000"/>
              <w:right w:val="single" w:sz="6" w:space="0" w:color="000000"/>
            </w:tcBorders>
          </w:tcPr>
          <w:p w14:paraId="4AB898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bl>
    <w:p w14:paraId="7DEFB7F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7071A05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52216EE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67A804B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CONTINUAREA TERAPIEI CU AGENT BIOLOGIC/</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 xml:space="preserve">MOLECULA MICA CU ACTIUNE INTRACELULARA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CONTROL EFECTUAT DE LA PRIMA EVALUARE A EFICACITĂŢII CLINICE - LA INTERVAL DE 6 LUNI)</w:t>
      </w:r>
    </w:p>
    <w:p w14:paraId="33C97277"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Agent biologic/</w:t>
      </w: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 xml:space="preserve">molecula mica cu actiune intracelulara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denumire comercială</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DCI</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w:t>
      </w:r>
    </w:p>
    <w:p w14:paraId="5239097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DOZĂ de continuare ..............................</w:t>
      </w:r>
    </w:p>
    <w:p w14:paraId="712DB41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Interval de administrare ...........................</w:t>
      </w:r>
    </w:p>
    <w:p w14:paraId="01637CC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Mod de administrare ...............................</w:t>
      </w:r>
    </w:p>
    <w:p w14:paraId="60B59ED9"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53DEFF93" w14:textId="77777777" w:rsidR="0049126A" w:rsidRPr="0049126A" w:rsidRDefault="0049126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p>
    <w:p w14:paraId="2CFF8392" w14:textId="77777777" w:rsidR="0049126A" w:rsidRPr="0049126A" w:rsidRDefault="0049126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p>
    <w:p w14:paraId="6167315C" w14:textId="77777777" w:rsidR="0049126A" w:rsidRPr="0049126A" w:rsidRDefault="0049126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p>
    <w:p w14:paraId="329BE784"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b/>
          <w:bCs/>
          <w:sz w:val="24"/>
          <w:szCs w:val="24"/>
          <w:lang w:val="en-US" w:eastAsia="ro-RO"/>
        </w:rPr>
        <w:lastRenderedPageBreak/>
        <w:t xml:space="preserve">SCHIMBAREA AGENTULUI BIOLOGIC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p>
    <w:p w14:paraId="220D7B7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en-US" w:eastAsia="ro-RO"/>
        </w:rPr>
        <w:t>Agent biologic/</w:t>
      </w: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 xml:space="preserve">molecula mica cu actiune intracelulara ineficient/care a produs o reacţie adversă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denumire comercială</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DCI</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w:t>
      </w:r>
    </w:p>
    <w:p w14:paraId="7A47174A"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fr-MC" w:eastAsia="ro-RO"/>
        </w:rPr>
        <w:t xml:space="preserve">Agent biologic nou introdus/ molecula mica cu actiune intracelulara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denumire comercială</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DCI</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w:t>
      </w:r>
    </w:p>
    <w:p w14:paraId="6CCD56E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p>
    <w:p w14:paraId="1C8CD55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p>
    <w:p w14:paraId="61E0F4D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p>
    <w:tbl>
      <w:tblPr>
        <w:tblW w:w="9781" w:type="dxa"/>
        <w:tblInd w:w="-8" w:type="dxa"/>
        <w:tblLayout w:type="fixed"/>
        <w:tblCellMar>
          <w:left w:w="105" w:type="dxa"/>
          <w:right w:w="105" w:type="dxa"/>
        </w:tblCellMar>
        <w:tblLook w:val="0000" w:firstRow="0" w:lastRow="0" w:firstColumn="0" w:lastColumn="0" w:noHBand="0" w:noVBand="0"/>
      </w:tblPr>
      <w:tblGrid>
        <w:gridCol w:w="616"/>
        <w:gridCol w:w="3495"/>
        <w:gridCol w:w="1559"/>
        <w:gridCol w:w="1701"/>
        <w:gridCol w:w="709"/>
        <w:gridCol w:w="1701"/>
      </w:tblGrid>
      <w:tr w:rsidR="0049126A" w:rsidRPr="0049126A" w14:paraId="7D829C6B" w14:textId="77777777" w:rsidTr="00300738">
        <w:tc>
          <w:tcPr>
            <w:tcW w:w="616" w:type="dxa"/>
            <w:tcBorders>
              <w:top w:val="single" w:sz="6" w:space="0" w:color="000000"/>
              <w:left w:val="single" w:sz="6" w:space="0" w:color="000000"/>
              <w:bottom w:val="single" w:sz="6" w:space="0" w:color="000000"/>
              <w:right w:val="single" w:sz="6" w:space="0" w:color="000000"/>
            </w:tcBorders>
          </w:tcPr>
          <w:p w14:paraId="0E1EE46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3495" w:type="dxa"/>
            <w:tcBorders>
              <w:top w:val="single" w:sz="6" w:space="0" w:color="000000"/>
              <w:left w:val="single" w:sz="6" w:space="0" w:color="000000"/>
              <w:bottom w:val="single" w:sz="6" w:space="0" w:color="000000"/>
              <w:right w:val="single" w:sz="6" w:space="0" w:color="000000"/>
            </w:tcBorders>
          </w:tcPr>
          <w:p w14:paraId="522E2C7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559" w:type="dxa"/>
            <w:tcBorders>
              <w:top w:val="single" w:sz="6" w:space="0" w:color="000000"/>
              <w:left w:val="single" w:sz="6" w:space="0" w:color="000000"/>
              <w:bottom w:val="single" w:sz="6" w:space="0" w:color="000000"/>
              <w:right w:val="single" w:sz="6" w:space="0" w:color="000000"/>
            </w:tcBorders>
          </w:tcPr>
          <w:p w14:paraId="506DEA7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interval</w:t>
            </w:r>
          </w:p>
        </w:tc>
        <w:tc>
          <w:tcPr>
            <w:tcW w:w="1701" w:type="dxa"/>
            <w:tcBorders>
              <w:top w:val="single" w:sz="6" w:space="0" w:color="000000"/>
              <w:left w:val="single" w:sz="6" w:space="0" w:color="000000"/>
              <w:bottom w:val="single" w:sz="6" w:space="0" w:color="000000"/>
              <w:right w:val="single" w:sz="6" w:space="0" w:color="000000"/>
            </w:tcBorders>
          </w:tcPr>
          <w:p w14:paraId="23C99BE6"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data administrării</w:t>
            </w:r>
          </w:p>
        </w:tc>
        <w:tc>
          <w:tcPr>
            <w:tcW w:w="709" w:type="dxa"/>
            <w:tcBorders>
              <w:top w:val="single" w:sz="6" w:space="0" w:color="000000"/>
              <w:left w:val="single" w:sz="6" w:space="0" w:color="000000"/>
              <w:bottom w:val="single" w:sz="6" w:space="0" w:color="000000"/>
              <w:right w:val="single" w:sz="6" w:space="0" w:color="000000"/>
            </w:tcBorders>
          </w:tcPr>
          <w:p w14:paraId="086E7BE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doza</w:t>
            </w:r>
          </w:p>
        </w:tc>
        <w:tc>
          <w:tcPr>
            <w:tcW w:w="1701" w:type="dxa"/>
            <w:tcBorders>
              <w:top w:val="single" w:sz="6" w:space="0" w:color="000000"/>
              <w:left w:val="single" w:sz="6" w:space="0" w:color="000000"/>
              <w:bottom w:val="single" w:sz="6" w:space="0" w:color="000000"/>
              <w:right w:val="single" w:sz="6" w:space="0" w:color="000000"/>
            </w:tcBorders>
          </w:tcPr>
          <w:p w14:paraId="1194335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mod administrare</w:t>
            </w:r>
          </w:p>
        </w:tc>
      </w:tr>
      <w:tr w:rsidR="0049126A" w:rsidRPr="0049126A" w14:paraId="39BFA51E" w14:textId="77777777" w:rsidTr="00300738">
        <w:tc>
          <w:tcPr>
            <w:tcW w:w="616" w:type="dxa"/>
            <w:tcBorders>
              <w:top w:val="single" w:sz="6" w:space="0" w:color="000000"/>
              <w:left w:val="single" w:sz="6" w:space="0" w:color="000000"/>
              <w:bottom w:val="single" w:sz="6" w:space="0" w:color="000000"/>
              <w:right w:val="single" w:sz="6" w:space="0" w:color="000000"/>
            </w:tcBorders>
          </w:tcPr>
          <w:p w14:paraId="16B7B2D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w:t>
            </w:r>
          </w:p>
        </w:tc>
        <w:tc>
          <w:tcPr>
            <w:tcW w:w="3495" w:type="dxa"/>
            <w:tcBorders>
              <w:top w:val="single" w:sz="6" w:space="0" w:color="000000"/>
              <w:left w:val="single" w:sz="6" w:space="0" w:color="000000"/>
              <w:bottom w:val="single" w:sz="6" w:space="0" w:color="000000"/>
              <w:right w:val="single" w:sz="6" w:space="0" w:color="000000"/>
            </w:tcBorders>
          </w:tcPr>
          <w:p w14:paraId="20542F8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Vizită iniţială</w:t>
            </w:r>
          </w:p>
        </w:tc>
        <w:tc>
          <w:tcPr>
            <w:tcW w:w="1559" w:type="dxa"/>
            <w:tcBorders>
              <w:top w:val="single" w:sz="6" w:space="0" w:color="000000"/>
              <w:left w:val="single" w:sz="6" w:space="0" w:color="000000"/>
              <w:bottom w:val="single" w:sz="6" w:space="0" w:color="000000"/>
              <w:right w:val="single" w:sz="6" w:space="0" w:color="000000"/>
            </w:tcBorders>
          </w:tcPr>
          <w:p w14:paraId="58B036F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w:t>
            </w:r>
          </w:p>
        </w:tc>
        <w:tc>
          <w:tcPr>
            <w:tcW w:w="1701" w:type="dxa"/>
            <w:tcBorders>
              <w:top w:val="single" w:sz="6" w:space="0" w:color="000000"/>
              <w:left w:val="single" w:sz="6" w:space="0" w:color="000000"/>
              <w:bottom w:val="single" w:sz="6" w:space="0" w:color="000000"/>
              <w:right w:val="single" w:sz="6" w:space="0" w:color="000000"/>
            </w:tcBorders>
          </w:tcPr>
          <w:p w14:paraId="7B38A0C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709" w:type="dxa"/>
            <w:tcBorders>
              <w:top w:val="single" w:sz="6" w:space="0" w:color="000000"/>
              <w:left w:val="single" w:sz="6" w:space="0" w:color="000000"/>
              <w:bottom w:val="single" w:sz="6" w:space="0" w:color="000000"/>
              <w:right w:val="single" w:sz="6" w:space="0" w:color="000000"/>
            </w:tcBorders>
          </w:tcPr>
          <w:p w14:paraId="467CDB5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3EF78B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6897196" w14:textId="77777777" w:rsidTr="00300738">
        <w:tc>
          <w:tcPr>
            <w:tcW w:w="616" w:type="dxa"/>
            <w:tcBorders>
              <w:top w:val="single" w:sz="6" w:space="0" w:color="000000"/>
              <w:left w:val="single" w:sz="6" w:space="0" w:color="000000"/>
              <w:bottom w:val="single" w:sz="6" w:space="0" w:color="000000"/>
              <w:right w:val="single" w:sz="6" w:space="0" w:color="000000"/>
            </w:tcBorders>
          </w:tcPr>
          <w:p w14:paraId="082E3536"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2</w:t>
            </w:r>
          </w:p>
        </w:tc>
        <w:tc>
          <w:tcPr>
            <w:tcW w:w="3495" w:type="dxa"/>
            <w:tcBorders>
              <w:top w:val="single" w:sz="6" w:space="0" w:color="000000"/>
              <w:left w:val="single" w:sz="6" w:space="0" w:color="000000"/>
              <w:bottom w:val="single" w:sz="6" w:space="0" w:color="000000"/>
              <w:right w:val="single" w:sz="6" w:space="0" w:color="000000"/>
            </w:tcBorders>
          </w:tcPr>
          <w:p w14:paraId="6FBC0CC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Vizita de evaluare a eficacităţii clinice la 3 luni</w:t>
            </w:r>
          </w:p>
        </w:tc>
        <w:tc>
          <w:tcPr>
            <w:tcW w:w="1559" w:type="dxa"/>
            <w:tcBorders>
              <w:top w:val="single" w:sz="6" w:space="0" w:color="000000"/>
              <w:left w:val="single" w:sz="6" w:space="0" w:color="000000"/>
              <w:bottom w:val="single" w:sz="6" w:space="0" w:color="000000"/>
              <w:right w:val="single" w:sz="6" w:space="0" w:color="000000"/>
            </w:tcBorders>
          </w:tcPr>
          <w:p w14:paraId="1C42A53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701" w:type="dxa"/>
            <w:tcBorders>
              <w:top w:val="single" w:sz="6" w:space="0" w:color="000000"/>
              <w:left w:val="single" w:sz="6" w:space="0" w:color="000000"/>
              <w:bottom w:val="single" w:sz="6" w:space="0" w:color="000000"/>
              <w:right w:val="single" w:sz="6" w:space="0" w:color="000000"/>
            </w:tcBorders>
          </w:tcPr>
          <w:p w14:paraId="43C97C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709" w:type="dxa"/>
            <w:tcBorders>
              <w:top w:val="single" w:sz="6" w:space="0" w:color="000000"/>
              <w:left w:val="single" w:sz="6" w:space="0" w:color="000000"/>
              <w:bottom w:val="single" w:sz="6" w:space="0" w:color="000000"/>
              <w:right w:val="single" w:sz="6" w:space="0" w:color="000000"/>
            </w:tcBorders>
          </w:tcPr>
          <w:p w14:paraId="23C5E9C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701" w:type="dxa"/>
            <w:tcBorders>
              <w:top w:val="single" w:sz="6" w:space="0" w:color="000000"/>
              <w:left w:val="single" w:sz="6" w:space="0" w:color="000000"/>
              <w:bottom w:val="single" w:sz="6" w:space="0" w:color="000000"/>
              <w:right w:val="single" w:sz="6" w:space="0" w:color="000000"/>
            </w:tcBorders>
          </w:tcPr>
          <w:p w14:paraId="7AA5D28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bl>
    <w:p w14:paraId="21D74F5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5C0BEA9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cazul în care se solicită schimbarea terapiei biologice/ molecula mica cu actiune intracelulara vă rugăm să precizaţi motivul (ineficienţă, reacţii adverse):</w:t>
      </w:r>
    </w:p>
    <w:p w14:paraId="503373D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60F0599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7FAA0F8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3A22C32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IX. REACŢII ADVERSE</w:t>
      </w:r>
      <w:r w:rsidRPr="0049126A">
        <w:rPr>
          <w:rFonts w:ascii="Times New Roman" w:eastAsia="Times New Roman" w:hAnsi="Times New Roman" w:cs="Times New Roman"/>
          <w:sz w:val="24"/>
          <w:szCs w:val="24"/>
          <w:lang w:val="fr-MC" w:eastAsia="ro-RO"/>
        </w:rPr>
        <w:t xml:space="preserve"> (RA) legate de terapia PSORIAZIS (descrieţi toate RA apărute de la completarea ultimei fişe de evaluare; prin RA se înţelege orice eveniment medical semnificativ, indiferent de relaţia de cauzalitate faţă de boală sau tratamentul administrat, vor fi precizate cel puţin: diagnosticul, descrierea pe scurt a RA, data apariţiei/rezolvării, tratamentul aplicat):</w:t>
      </w:r>
    </w:p>
    <w:p w14:paraId="62A574A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0078069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17A1173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A03417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X. COMPLIANŢA LA TRATAMENT:</w:t>
      </w:r>
    </w:p>
    <w:p w14:paraId="09F42E7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Bună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             Necorespunzătoare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77A76973"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6C855DA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XI. CONCLUZII, OBSERVAŢII, RECOMANDĂRI:</w:t>
      </w:r>
    </w:p>
    <w:p w14:paraId="536664B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1A32E8B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2E15C63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1460EAE5"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NOTĂ:</w:t>
      </w:r>
    </w:p>
    <w:p w14:paraId="6520034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sz w:val="24"/>
          <w:szCs w:val="24"/>
          <w:lang w:val="fr-MC" w:eastAsia="ro-RO"/>
        </w:rPr>
        <w:t xml:space="preserve">Fişa se completează citeţ, la toate rubricile, alegând varianta corespunzătoare şi precizând detalii acolo unde sunt solicitate. </w:t>
      </w:r>
      <w:r w:rsidRPr="0049126A">
        <w:rPr>
          <w:rFonts w:ascii="Times New Roman" w:eastAsia="Times New Roman" w:hAnsi="Times New Roman" w:cs="Times New Roman"/>
          <w:b/>
          <w:bCs/>
          <w:sz w:val="24"/>
          <w:szCs w:val="24"/>
          <w:lang w:val="fr-MC" w:eastAsia="ro-RO"/>
        </w:rPr>
        <w:t>Datele se introduc obligatoriu în Registrul Naţional de Psoriazis. Este obligatorie introducerea in Registrul National de Psoriazis si a pacientilor care au terapie conventionala sistemica din momentul initierii acesteia sau din momentul preluarii pacientului de catre medicul dermatolog curant (cu mentionarea la rubrica de observatii din Registru a documentelor justificative-nr. de inregistrare consulatie, reteta etc) pentru a avea dovada eligibilitatii acestuia.</w:t>
      </w:r>
    </w:p>
    <w:p w14:paraId="182B459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Completarea fişei se face la iniţierea terapiei, la 3 luni, la prima evaluare a atingerii ţintei terapeutice, la sase luni de la initierea terapiei biologice/ molecula mica cu actiune intracelulara şi apoi la fiecare 6 luni (sau mai des în caz de necesitate).</w:t>
      </w:r>
    </w:p>
    <w:p w14:paraId="4F1A6B0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După întreruperea definitivă a terapiei este obligatorie efectuarea unor evaluări de control, la fiecare 6 luni, pentru toţi pacienţii care au fost supuşi tratamentului cu agenţi biologici timp de 2 ani. Este obligatorie păstrarea dosarului medical complet al pacientului (bilete externare, fişe ambulator, rezultate analize medicale etc) la medicul curant pentru eventuale solicitări ale forurilor abilitate.</w:t>
      </w:r>
    </w:p>
    <w:p w14:paraId="4389DBD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1AC2B1B3"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3A27F28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298FD7FF"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0E5E18E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4AEDD911"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21AD2CC8"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771082C8"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p>
    <w:p w14:paraId="2FAAE67F"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lastRenderedPageBreak/>
        <w:t>Declaraţie de consimţământ pacient adult</w:t>
      </w:r>
    </w:p>
    <w:p w14:paraId="4A595B9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611BBEAB"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4"/>
          <w:szCs w:val="24"/>
          <w:lang w:val="fr-MC" w:eastAsia="ro-RO"/>
        </w:rPr>
      </w:pPr>
    </w:p>
    <w:p w14:paraId="006E87E8" w14:textId="77777777" w:rsidR="005D3C7A" w:rsidRPr="0049126A" w:rsidRDefault="005D3C7A" w:rsidP="005D3C7A">
      <w:pPr>
        <w:autoSpaceDE w:val="0"/>
        <w:autoSpaceDN w:val="0"/>
        <w:adjustRightInd w:val="0"/>
        <w:spacing w:after="0" w:line="240" w:lineRule="auto"/>
        <w:jc w:val="center"/>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DECLARAŢIE DE CONSIMŢĂMÂNT INFORMAT</w:t>
      </w:r>
    </w:p>
    <w:p w14:paraId="2B60845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0C17B6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9A92C6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3A1929C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Subsemnatul/Subsemnata ................................................................. menţionez că mi-a fost explicat pe înţelesul meu diagnosticul, planul de tratament şi mi s-au comunicat informaţii cu privire la gravitatea bolilor, precum şi posibilele reacţii adverse sau implicaţii pe termen lung asupra stării de sănătate ale terapiilor administrate, inclusiv intr-o eventuala sarcina şi </w:t>
      </w:r>
      <w:r w:rsidRPr="0049126A">
        <w:rPr>
          <w:rFonts w:ascii="Times New Roman" w:eastAsia="Times New Roman" w:hAnsi="Times New Roman" w:cs="Times New Roman"/>
          <w:b/>
          <w:bCs/>
          <w:sz w:val="24"/>
          <w:szCs w:val="24"/>
          <w:lang w:val="fr-MC" w:eastAsia="ro-RO"/>
        </w:rPr>
        <w:t>îmi asum şi însuşesc tratamentele propuse şi voi respecta indicaţiile date</w:t>
      </w:r>
      <w:r w:rsidRPr="0049126A">
        <w:rPr>
          <w:rFonts w:ascii="Times New Roman" w:eastAsia="Times New Roman" w:hAnsi="Times New Roman" w:cs="Times New Roman"/>
          <w:sz w:val="24"/>
          <w:szCs w:val="24"/>
          <w:lang w:val="fr-MC" w:eastAsia="ro-RO"/>
        </w:rPr>
        <w:t>.</w:t>
      </w:r>
    </w:p>
    <w:p w14:paraId="7265460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Am luat la cunoştinţă că, pe parcursul acestui proces, va fi asigurată confidenţialitatea deplină asupra datelor mele personale şi medicale inclusive a celor trecute în registrul de boală, eventuala prelucrare a acestora făcându-se în mod anonim. Colectarea datelor solicitate va contribui atât la îmbunătăţirea îngrijirii mele medicale, cât şi la ameliorarea serviciilor de sănătate asigurate tuturor pacienţilor.</w:t>
      </w:r>
    </w:p>
    <w:p w14:paraId="323D0EB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 (pentru paciente) Declar pe proprie răspundere că la momentul iniţierii terapiei nu sunt însărcinată şi nu alăptez şi mă oblig ca în cazul în care rămân însărcinată să anunţ medicul curant dermato-venerolog.</w:t>
      </w:r>
    </w:p>
    <w:p w14:paraId="6B6AE3C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Am înţeles informaţiile prezentate şi declar în deplină cunoştinţă de cauză că mi le însuşesc în totalitate, aşa cum mi-au fost explicate de domnul/doamna dr. ....................................................................................</w:t>
      </w:r>
    </w:p>
    <w:p w14:paraId="7EB19DA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EF96DB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1F3479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D0F6A8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Pacient: (completaţi cu MAJUSCULE)                 Medic: (completati cu majuscule)</w:t>
      </w:r>
    </w:p>
    <w:p w14:paraId="437615E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NUME ...................................                                NUME...................................</w:t>
      </w:r>
    </w:p>
    <w:p w14:paraId="24342C5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PRENUME </w:t>
      </w:r>
      <w:r w:rsidRPr="0049126A">
        <w:rPr>
          <w:rFonts w:ascii="Times New Roman" w:eastAsia="Times New Roman" w:hAnsi="Times New Roman" w:cs="Times New Roman"/>
          <w:b/>
          <w:bCs/>
          <w:sz w:val="24"/>
          <w:szCs w:val="24"/>
          <w:lang w:val="fr-MC" w:eastAsia="ro-RO"/>
        </w:rPr>
        <w:t xml:space="preserve">............................  </w:t>
      </w:r>
      <w:r w:rsidRPr="0049126A">
        <w:rPr>
          <w:rFonts w:ascii="Times New Roman" w:eastAsia="Times New Roman" w:hAnsi="Times New Roman" w:cs="Times New Roman"/>
          <w:sz w:val="24"/>
          <w:szCs w:val="24"/>
          <w:lang w:val="fr-MC" w:eastAsia="ro-RO"/>
        </w:rPr>
        <w:t xml:space="preserve">                              PRENUME.............................</w:t>
      </w:r>
    </w:p>
    <w:p w14:paraId="0096007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159D910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Semnătura pacient:                                                  Semnătura şi parafa medic:</w:t>
      </w:r>
    </w:p>
    <w:p w14:paraId="58D2912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117DDC0"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Data: _ _/_ _/_ _ _ _</w:t>
      </w:r>
    </w:p>
    <w:p w14:paraId="2BA2D6A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112B97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6660CA90"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2A47DE17"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221FE1CA"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C25B629"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0DCA0A14"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AF16A2C"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A82E9B5"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4B4CA8C8"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56F3ED4D"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6E38B59"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4265B025"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52235AF9"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165F300"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2F281A19"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07DF56B"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B3CD685"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7FEA58E"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F21E82B"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72D47A35"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7F30D72"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2579871"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lastRenderedPageBreak/>
        <w:t>Anexa Nr. 3</w:t>
      </w:r>
    </w:p>
    <w:p w14:paraId="5580129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D555DFB"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 xml:space="preserve">Fişa de evaluare şi monitorizare a pacientului pediatric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4 - 18 ani</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cu psoriazis vulgar cronic sever în plăci aflat în tratament cu agent biologic</w:t>
      </w:r>
    </w:p>
    <w:p w14:paraId="3F03321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8A54FE7"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PACIENT</w:t>
      </w:r>
    </w:p>
    <w:p w14:paraId="78F74FEB"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p>
    <w:tbl>
      <w:tblPr>
        <w:tblW w:w="9534" w:type="dxa"/>
        <w:tblInd w:w="105" w:type="dxa"/>
        <w:tblLayout w:type="fixed"/>
        <w:tblCellMar>
          <w:left w:w="105" w:type="dxa"/>
          <w:right w:w="105" w:type="dxa"/>
        </w:tblCellMar>
        <w:tblLook w:val="0000" w:firstRow="0" w:lastRow="0" w:firstColumn="0" w:lastColumn="0" w:noHBand="0" w:noVBand="0"/>
      </w:tblPr>
      <w:tblGrid>
        <w:gridCol w:w="5396"/>
        <w:gridCol w:w="4138"/>
      </w:tblGrid>
      <w:tr w:rsidR="0049126A" w:rsidRPr="0049126A" w14:paraId="74734FB8" w14:textId="77777777" w:rsidTr="00300738">
        <w:tc>
          <w:tcPr>
            <w:tcW w:w="5396" w:type="dxa"/>
            <w:tcBorders>
              <w:top w:val="nil"/>
              <w:left w:val="nil"/>
              <w:bottom w:val="nil"/>
              <w:right w:val="nil"/>
            </w:tcBorders>
          </w:tcPr>
          <w:p w14:paraId="42C1E61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Nume ...................................</w:t>
            </w:r>
          </w:p>
        </w:tc>
        <w:tc>
          <w:tcPr>
            <w:tcW w:w="4138" w:type="dxa"/>
            <w:tcBorders>
              <w:top w:val="nil"/>
              <w:left w:val="nil"/>
              <w:bottom w:val="nil"/>
              <w:right w:val="nil"/>
            </w:tcBorders>
          </w:tcPr>
          <w:p w14:paraId="23A462E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Prenume .......................................</w:t>
            </w:r>
          </w:p>
        </w:tc>
      </w:tr>
      <w:tr w:rsidR="005D3C7A" w:rsidRPr="0049126A" w14:paraId="64BC1BF2" w14:textId="77777777" w:rsidTr="00300738">
        <w:tc>
          <w:tcPr>
            <w:tcW w:w="5396" w:type="dxa"/>
            <w:tcBorders>
              <w:top w:val="nil"/>
              <w:left w:val="nil"/>
              <w:bottom w:val="nil"/>
              <w:right w:val="nil"/>
            </w:tcBorders>
          </w:tcPr>
          <w:p w14:paraId="06C6463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Data naşterii: |</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p>
        </w:tc>
        <w:tc>
          <w:tcPr>
            <w:tcW w:w="4138" w:type="dxa"/>
            <w:tcBorders>
              <w:top w:val="nil"/>
              <w:left w:val="nil"/>
              <w:bottom w:val="nil"/>
              <w:right w:val="nil"/>
            </w:tcBorders>
          </w:tcPr>
          <w:p w14:paraId="7F7FCBD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CNP: |</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p>
        </w:tc>
      </w:tr>
    </w:tbl>
    <w:p w14:paraId="1F89042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6670516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Adresa .................................................................................................................</w:t>
      </w:r>
    </w:p>
    <w:p w14:paraId="7DF0FB4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    </w:t>
      </w:r>
    </w:p>
    <w:p w14:paraId="20E562A3"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Telefon ...........................</w:t>
      </w:r>
    </w:p>
    <w:p w14:paraId="1B05BA6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45CC6A7D"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sz w:val="24"/>
          <w:szCs w:val="24"/>
          <w:lang w:val="en-US" w:eastAsia="ro-RO"/>
        </w:rPr>
        <w:t xml:space="preserve">    </w:t>
      </w:r>
      <w:r w:rsidRPr="0049126A">
        <w:rPr>
          <w:rFonts w:ascii="Times New Roman" w:eastAsia="Times New Roman" w:hAnsi="Times New Roman" w:cs="Times New Roman"/>
          <w:b/>
          <w:bCs/>
          <w:sz w:val="24"/>
          <w:szCs w:val="24"/>
          <w:lang w:val="en-US" w:eastAsia="ro-RO"/>
        </w:rPr>
        <w:t>Medic curant dermatolog:</w:t>
      </w:r>
    </w:p>
    <w:p w14:paraId="4E1E274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en-US" w:eastAsia="ro-RO"/>
        </w:rPr>
        <w:t xml:space="preserve">    Nume ................................................................... </w:t>
      </w:r>
      <w:r w:rsidRPr="0049126A">
        <w:rPr>
          <w:rFonts w:ascii="Times New Roman" w:eastAsia="Times New Roman" w:hAnsi="Times New Roman" w:cs="Times New Roman"/>
          <w:sz w:val="24"/>
          <w:szCs w:val="24"/>
          <w:lang w:val="fr-MC" w:eastAsia="ro-RO"/>
        </w:rPr>
        <w:t>Prenume ...........................................</w:t>
      </w:r>
    </w:p>
    <w:p w14:paraId="75D5E83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Unitatea sanitară .............................................................................................................</w:t>
      </w:r>
    </w:p>
    <w:p w14:paraId="2A3B92B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Adresa de corespondenţă ...............................................................................................</w:t>
      </w:r>
    </w:p>
    <w:p w14:paraId="4A78BB5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Telefon: .............................. Fax .......................... E-mail .............................</w:t>
      </w:r>
    </w:p>
    <w:p w14:paraId="14B6F2C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Parafa:                                         Semnătura:</w:t>
      </w:r>
    </w:p>
    <w:p w14:paraId="498CD32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3A8C3EC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I. CO-MORBIDITĂŢI:</w:t>
      </w:r>
    </w:p>
    <w:p w14:paraId="31503A9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Pacientul a prezentat următoarele afecţiuni (bifaţi varianta corespunzătoare la </w:t>
      </w:r>
      <w:r w:rsidRPr="0049126A">
        <w:rPr>
          <w:rFonts w:ascii="Times New Roman" w:eastAsia="Times New Roman" w:hAnsi="Times New Roman" w:cs="Times New Roman"/>
          <w:b/>
          <w:bCs/>
          <w:sz w:val="24"/>
          <w:szCs w:val="24"/>
          <w:lang w:val="en-US" w:eastAsia="ro-RO"/>
        </w:rPr>
        <w:t>fiecare rubrică</w:t>
      </w:r>
      <w:r w:rsidRPr="0049126A">
        <w:rPr>
          <w:rFonts w:ascii="Times New Roman" w:eastAsia="Times New Roman" w:hAnsi="Times New Roman" w:cs="Times New Roman"/>
          <w:sz w:val="24"/>
          <w:szCs w:val="24"/>
          <w:lang w:val="en-US" w:eastAsia="ro-RO"/>
        </w:rPr>
        <w:t xml:space="preserve">, iar dacă răspunsul este </w:t>
      </w:r>
      <w:r w:rsidRPr="0049126A">
        <w:rPr>
          <w:rFonts w:ascii="Times New Roman" w:eastAsia="Times New Roman" w:hAnsi="Times New Roman" w:cs="Times New Roman"/>
          <w:b/>
          <w:bCs/>
          <w:sz w:val="24"/>
          <w:szCs w:val="24"/>
          <w:lang w:val="en-US" w:eastAsia="ro-RO"/>
        </w:rPr>
        <w:t>DA</w:t>
      </w:r>
      <w:r w:rsidRPr="0049126A">
        <w:rPr>
          <w:rFonts w:ascii="Times New Roman" w:eastAsia="Times New Roman" w:hAnsi="Times New Roman" w:cs="Times New Roman"/>
          <w:sz w:val="24"/>
          <w:szCs w:val="24"/>
          <w:lang w:val="en-US" w:eastAsia="ro-RO"/>
        </w:rPr>
        <w:t>, furnizaţi detalii)</w:t>
      </w:r>
    </w:p>
    <w:p w14:paraId="6DE3BF5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tbl>
      <w:tblPr>
        <w:tblW w:w="9781" w:type="dxa"/>
        <w:tblInd w:w="-8" w:type="dxa"/>
        <w:tblLayout w:type="fixed"/>
        <w:tblCellMar>
          <w:left w:w="105" w:type="dxa"/>
          <w:right w:w="105" w:type="dxa"/>
        </w:tblCellMar>
        <w:tblLook w:val="0000" w:firstRow="0" w:lastRow="0" w:firstColumn="0" w:lastColumn="0" w:noHBand="0" w:noVBand="0"/>
      </w:tblPr>
      <w:tblGrid>
        <w:gridCol w:w="4383"/>
        <w:gridCol w:w="1125"/>
        <w:gridCol w:w="2289"/>
        <w:gridCol w:w="1984"/>
      </w:tblGrid>
      <w:tr w:rsidR="0049126A" w:rsidRPr="0049126A" w14:paraId="18A2DF72"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552F5CD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125" w:type="dxa"/>
            <w:tcBorders>
              <w:top w:val="single" w:sz="6" w:space="0" w:color="000000"/>
              <w:left w:val="single" w:sz="6" w:space="0" w:color="000000"/>
              <w:bottom w:val="single" w:sz="6" w:space="0" w:color="000000"/>
              <w:right w:val="single" w:sz="6" w:space="0" w:color="000000"/>
            </w:tcBorders>
          </w:tcPr>
          <w:p w14:paraId="1508A86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DA/NU</w:t>
            </w:r>
          </w:p>
        </w:tc>
        <w:tc>
          <w:tcPr>
            <w:tcW w:w="2289" w:type="dxa"/>
            <w:tcBorders>
              <w:top w:val="single" w:sz="6" w:space="0" w:color="000000"/>
              <w:left w:val="single" w:sz="6" w:space="0" w:color="000000"/>
              <w:bottom w:val="single" w:sz="6" w:space="0" w:color="000000"/>
              <w:right w:val="single" w:sz="6" w:space="0" w:color="000000"/>
            </w:tcBorders>
          </w:tcPr>
          <w:p w14:paraId="08312F2B"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Data diagnostic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lună/an</w:t>
            </w:r>
            <w:r w:rsidRPr="0049126A">
              <w:rPr>
                <w:rFonts w:ascii="Times New Roman" w:eastAsia="Times New Roman" w:hAnsi="Times New Roman" w:cs="Times New Roman"/>
                <w:sz w:val="20"/>
                <w:szCs w:val="20"/>
                <w:lang w:val="en-US" w:eastAsia="ro-RO"/>
              </w:rPr>
              <w:t>)</w:t>
            </w:r>
          </w:p>
        </w:tc>
        <w:tc>
          <w:tcPr>
            <w:tcW w:w="1984" w:type="dxa"/>
            <w:tcBorders>
              <w:top w:val="single" w:sz="6" w:space="0" w:color="000000"/>
              <w:left w:val="single" w:sz="6" w:space="0" w:color="000000"/>
              <w:bottom w:val="single" w:sz="6" w:space="0" w:color="000000"/>
              <w:right w:val="single" w:sz="6" w:space="0" w:color="000000"/>
            </w:tcBorders>
          </w:tcPr>
          <w:p w14:paraId="61EB3D7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Tratament actual</w:t>
            </w:r>
          </w:p>
        </w:tc>
      </w:tr>
      <w:tr w:rsidR="0049126A" w:rsidRPr="0049126A" w14:paraId="0832DDF6"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3B62D5A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Infecţii acute</w:t>
            </w:r>
          </w:p>
        </w:tc>
        <w:tc>
          <w:tcPr>
            <w:tcW w:w="1125" w:type="dxa"/>
            <w:tcBorders>
              <w:top w:val="single" w:sz="6" w:space="0" w:color="000000"/>
              <w:left w:val="single" w:sz="6" w:space="0" w:color="000000"/>
              <w:bottom w:val="single" w:sz="6" w:space="0" w:color="000000"/>
              <w:right w:val="single" w:sz="6" w:space="0" w:color="000000"/>
            </w:tcBorders>
          </w:tcPr>
          <w:p w14:paraId="59AA6AB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79CBBCA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1812116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EA19EA0"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2279E0A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Infecţii recidivante/persistente</w:t>
            </w:r>
          </w:p>
        </w:tc>
        <w:tc>
          <w:tcPr>
            <w:tcW w:w="1125" w:type="dxa"/>
            <w:tcBorders>
              <w:top w:val="single" w:sz="6" w:space="0" w:color="000000"/>
              <w:left w:val="single" w:sz="6" w:space="0" w:color="000000"/>
              <w:bottom w:val="single" w:sz="6" w:space="0" w:color="000000"/>
              <w:right w:val="single" w:sz="6" w:space="0" w:color="000000"/>
            </w:tcBorders>
          </w:tcPr>
          <w:p w14:paraId="38AC995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5084B38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DE7BF4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25FA28E"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694F0A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TBC - dacă nu face tratament actual, data ultimului tratament şi data ultimei evaluări ftiziologice</w:t>
            </w:r>
          </w:p>
        </w:tc>
        <w:tc>
          <w:tcPr>
            <w:tcW w:w="1125" w:type="dxa"/>
            <w:tcBorders>
              <w:top w:val="single" w:sz="6" w:space="0" w:color="000000"/>
              <w:left w:val="single" w:sz="6" w:space="0" w:color="000000"/>
              <w:bottom w:val="single" w:sz="6" w:space="0" w:color="000000"/>
              <w:right w:val="single" w:sz="6" w:space="0" w:color="000000"/>
            </w:tcBorders>
          </w:tcPr>
          <w:p w14:paraId="18511C6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7ABB2C2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7998B4D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6769241"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59EC0FC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HTA</w:t>
            </w:r>
          </w:p>
        </w:tc>
        <w:tc>
          <w:tcPr>
            <w:tcW w:w="1125" w:type="dxa"/>
            <w:tcBorders>
              <w:top w:val="single" w:sz="6" w:space="0" w:color="000000"/>
              <w:left w:val="single" w:sz="6" w:space="0" w:color="000000"/>
              <w:bottom w:val="single" w:sz="6" w:space="0" w:color="000000"/>
              <w:right w:val="single" w:sz="6" w:space="0" w:color="000000"/>
            </w:tcBorders>
          </w:tcPr>
          <w:p w14:paraId="5027332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0AE2D09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3A68ED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682CBF0"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6DD5B2D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Boala ischemică coronariană/IM</w:t>
            </w:r>
          </w:p>
        </w:tc>
        <w:tc>
          <w:tcPr>
            <w:tcW w:w="1125" w:type="dxa"/>
            <w:tcBorders>
              <w:top w:val="single" w:sz="6" w:space="0" w:color="000000"/>
              <w:left w:val="single" w:sz="6" w:space="0" w:color="000000"/>
              <w:bottom w:val="single" w:sz="6" w:space="0" w:color="000000"/>
              <w:right w:val="single" w:sz="6" w:space="0" w:color="000000"/>
            </w:tcBorders>
          </w:tcPr>
          <w:p w14:paraId="3A3A92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741EEBB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614671A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8643846"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42D69FD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ICC</w:t>
            </w:r>
          </w:p>
        </w:tc>
        <w:tc>
          <w:tcPr>
            <w:tcW w:w="1125" w:type="dxa"/>
            <w:tcBorders>
              <w:top w:val="single" w:sz="6" w:space="0" w:color="000000"/>
              <w:left w:val="single" w:sz="6" w:space="0" w:color="000000"/>
              <w:bottom w:val="single" w:sz="6" w:space="0" w:color="000000"/>
              <w:right w:val="single" w:sz="6" w:space="0" w:color="000000"/>
            </w:tcBorders>
          </w:tcPr>
          <w:p w14:paraId="3EBEB2E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34E3144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68E9E8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91D5869"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27CF94B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Tromboflebită profundă</w:t>
            </w:r>
          </w:p>
        </w:tc>
        <w:tc>
          <w:tcPr>
            <w:tcW w:w="1125" w:type="dxa"/>
            <w:tcBorders>
              <w:top w:val="single" w:sz="6" w:space="0" w:color="000000"/>
              <w:left w:val="single" w:sz="6" w:space="0" w:color="000000"/>
              <w:bottom w:val="single" w:sz="6" w:space="0" w:color="000000"/>
              <w:right w:val="single" w:sz="6" w:space="0" w:color="000000"/>
            </w:tcBorders>
          </w:tcPr>
          <w:p w14:paraId="618A298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0C67ADC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081A82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2C36D25"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45D55F0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AVC</w:t>
            </w:r>
          </w:p>
        </w:tc>
        <w:tc>
          <w:tcPr>
            <w:tcW w:w="1125" w:type="dxa"/>
            <w:tcBorders>
              <w:top w:val="single" w:sz="6" w:space="0" w:color="000000"/>
              <w:left w:val="single" w:sz="6" w:space="0" w:color="000000"/>
              <w:bottom w:val="single" w:sz="6" w:space="0" w:color="000000"/>
              <w:right w:val="single" w:sz="6" w:space="0" w:color="000000"/>
            </w:tcBorders>
          </w:tcPr>
          <w:p w14:paraId="25AA8A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1A9BF67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6C4B608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46C1B11"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3E3EE43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Epilepsie</w:t>
            </w:r>
          </w:p>
        </w:tc>
        <w:tc>
          <w:tcPr>
            <w:tcW w:w="1125" w:type="dxa"/>
            <w:tcBorders>
              <w:top w:val="single" w:sz="6" w:space="0" w:color="000000"/>
              <w:left w:val="single" w:sz="6" w:space="0" w:color="000000"/>
              <w:bottom w:val="single" w:sz="6" w:space="0" w:color="000000"/>
              <w:right w:val="single" w:sz="6" w:space="0" w:color="000000"/>
            </w:tcBorders>
          </w:tcPr>
          <w:p w14:paraId="0DC58ED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6F0569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3DAB6C7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B0852AF"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72574A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Boli demielinizante</w:t>
            </w:r>
          </w:p>
        </w:tc>
        <w:tc>
          <w:tcPr>
            <w:tcW w:w="1125" w:type="dxa"/>
            <w:tcBorders>
              <w:top w:val="single" w:sz="6" w:space="0" w:color="000000"/>
              <w:left w:val="single" w:sz="6" w:space="0" w:color="000000"/>
              <w:bottom w:val="single" w:sz="6" w:space="0" w:color="000000"/>
              <w:right w:val="single" w:sz="6" w:space="0" w:color="000000"/>
            </w:tcBorders>
          </w:tcPr>
          <w:p w14:paraId="19C727A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0849EFE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1784C1B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81E1AB0"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6958EF2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Astm bronşic</w:t>
            </w:r>
          </w:p>
        </w:tc>
        <w:tc>
          <w:tcPr>
            <w:tcW w:w="1125" w:type="dxa"/>
            <w:tcBorders>
              <w:top w:val="single" w:sz="6" w:space="0" w:color="000000"/>
              <w:left w:val="single" w:sz="6" w:space="0" w:color="000000"/>
              <w:bottom w:val="single" w:sz="6" w:space="0" w:color="000000"/>
              <w:right w:val="single" w:sz="6" w:space="0" w:color="000000"/>
            </w:tcBorders>
          </w:tcPr>
          <w:p w14:paraId="13DC3E8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0357AF3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55E89EB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183AE1B"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15F2B8F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BPOC</w:t>
            </w:r>
          </w:p>
        </w:tc>
        <w:tc>
          <w:tcPr>
            <w:tcW w:w="1125" w:type="dxa"/>
            <w:tcBorders>
              <w:top w:val="single" w:sz="6" w:space="0" w:color="000000"/>
              <w:left w:val="single" w:sz="6" w:space="0" w:color="000000"/>
              <w:bottom w:val="single" w:sz="6" w:space="0" w:color="000000"/>
              <w:right w:val="single" w:sz="6" w:space="0" w:color="000000"/>
            </w:tcBorders>
          </w:tcPr>
          <w:p w14:paraId="1BAEAC3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171123E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79A322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6CD3A48"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73BB1FC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Ulcer gastro-duodenal</w:t>
            </w:r>
          </w:p>
        </w:tc>
        <w:tc>
          <w:tcPr>
            <w:tcW w:w="1125" w:type="dxa"/>
            <w:tcBorders>
              <w:top w:val="single" w:sz="6" w:space="0" w:color="000000"/>
              <w:left w:val="single" w:sz="6" w:space="0" w:color="000000"/>
              <w:bottom w:val="single" w:sz="6" w:space="0" w:color="000000"/>
              <w:right w:val="single" w:sz="6" w:space="0" w:color="000000"/>
            </w:tcBorders>
          </w:tcPr>
          <w:p w14:paraId="6CBE99D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6721904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DA890F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5E4BFF5"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5A418FA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Boli hepatice</w:t>
            </w:r>
          </w:p>
        </w:tc>
        <w:tc>
          <w:tcPr>
            <w:tcW w:w="1125" w:type="dxa"/>
            <w:tcBorders>
              <w:top w:val="single" w:sz="6" w:space="0" w:color="000000"/>
              <w:left w:val="single" w:sz="6" w:space="0" w:color="000000"/>
              <w:bottom w:val="single" w:sz="6" w:space="0" w:color="000000"/>
              <w:right w:val="single" w:sz="6" w:space="0" w:color="000000"/>
            </w:tcBorders>
          </w:tcPr>
          <w:p w14:paraId="20300B8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6E36ED1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4C3199C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4DFA6C8"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53A4E5F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Boli renale</w:t>
            </w:r>
          </w:p>
        </w:tc>
        <w:tc>
          <w:tcPr>
            <w:tcW w:w="1125" w:type="dxa"/>
            <w:tcBorders>
              <w:top w:val="single" w:sz="6" w:space="0" w:color="000000"/>
              <w:left w:val="single" w:sz="6" w:space="0" w:color="000000"/>
              <w:bottom w:val="single" w:sz="6" w:space="0" w:color="000000"/>
              <w:right w:val="single" w:sz="6" w:space="0" w:color="000000"/>
            </w:tcBorders>
          </w:tcPr>
          <w:p w14:paraId="7817AF1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3FA3F3B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FC8C94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0E2E133" w14:textId="77777777" w:rsidTr="00300738">
        <w:tc>
          <w:tcPr>
            <w:tcW w:w="4383" w:type="dxa"/>
            <w:tcBorders>
              <w:top w:val="single" w:sz="6" w:space="0" w:color="000000"/>
              <w:left w:val="single" w:sz="6" w:space="0" w:color="000000"/>
              <w:bottom w:val="nil"/>
              <w:right w:val="single" w:sz="6" w:space="0" w:color="000000"/>
            </w:tcBorders>
          </w:tcPr>
          <w:p w14:paraId="330DFA4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Diabet zaharat - tratament cu:</w:t>
            </w:r>
          </w:p>
        </w:tc>
        <w:tc>
          <w:tcPr>
            <w:tcW w:w="1125" w:type="dxa"/>
            <w:tcBorders>
              <w:top w:val="single" w:sz="6" w:space="0" w:color="000000"/>
              <w:left w:val="single" w:sz="6" w:space="0" w:color="000000"/>
              <w:bottom w:val="nil"/>
              <w:right w:val="single" w:sz="6" w:space="0" w:color="000000"/>
            </w:tcBorders>
          </w:tcPr>
          <w:p w14:paraId="3A477BC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nil"/>
              <w:right w:val="single" w:sz="6" w:space="0" w:color="000000"/>
            </w:tcBorders>
          </w:tcPr>
          <w:p w14:paraId="6363DF5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nil"/>
              <w:right w:val="single" w:sz="6" w:space="0" w:color="000000"/>
            </w:tcBorders>
          </w:tcPr>
          <w:p w14:paraId="097C4EA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A5BBE8F" w14:textId="77777777" w:rsidTr="00300738">
        <w:tc>
          <w:tcPr>
            <w:tcW w:w="4383" w:type="dxa"/>
            <w:tcBorders>
              <w:top w:val="nil"/>
              <w:left w:val="single" w:sz="6" w:space="0" w:color="000000"/>
              <w:bottom w:val="single" w:sz="6" w:space="0" w:color="000000"/>
              <w:right w:val="single" w:sz="6" w:space="0" w:color="000000"/>
            </w:tcBorders>
          </w:tcPr>
          <w:p w14:paraId="1AE6044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dietă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 oral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 insulină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w:t>
            </w:r>
          </w:p>
        </w:tc>
        <w:tc>
          <w:tcPr>
            <w:tcW w:w="1125" w:type="dxa"/>
            <w:tcBorders>
              <w:top w:val="nil"/>
              <w:left w:val="single" w:sz="6" w:space="0" w:color="000000"/>
              <w:bottom w:val="single" w:sz="6" w:space="0" w:color="000000"/>
              <w:right w:val="single" w:sz="6" w:space="0" w:color="000000"/>
            </w:tcBorders>
          </w:tcPr>
          <w:p w14:paraId="053F95E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nil"/>
              <w:left w:val="single" w:sz="6" w:space="0" w:color="000000"/>
              <w:bottom w:val="single" w:sz="6" w:space="0" w:color="000000"/>
              <w:right w:val="single" w:sz="6" w:space="0" w:color="000000"/>
            </w:tcBorders>
          </w:tcPr>
          <w:p w14:paraId="7365958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nil"/>
              <w:left w:val="single" w:sz="6" w:space="0" w:color="000000"/>
              <w:bottom w:val="single" w:sz="6" w:space="0" w:color="000000"/>
              <w:right w:val="single" w:sz="6" w:space="0" w:color="000000"/>
            </w:tcBorders>
          </w:tcPr>
          <w:p w14:paraId="1B26CB8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E090E18"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6CAA41B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Ulcere trofice</w:t>
            </w:r>
          </w:p>
        </w:tc>
        <w:tc>
          <w:tcPr>
            <w:tcW w:w="1125" w:type="dxa"/>
            <w:tcBorders>
              <w:top w:val="single" w:sz="6" w:space="0" w:color="000000"/>
              <w:left w:val="single" w:sz="6" w:space="0" w:color="000000"/>
              <w:bottom w:val="single" w:sz="6" w:space="0" w:color="000000"/>
              <w:right w:val="single" w:sz="6" w:space="0" w:color="000000"/>
            </w:tcBorders>
          </w:tcPr>
          <w:p w14:paraId="5AA844E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04672A2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4C8FF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27854B1"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2C6E8D4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Afecţiuni sanguine - descrieţi</w:t>
            </w:r>
          </w:p>
        </w:tc>
        <w:tc>
          <w:tcPr>
            <w:tcW w:w="1125" w:type="dxa"/>
            <w:tcBorders>
              <w:top w:val="single" w:sz="6" w:space="0" w:color="000000"/>
              <w:left w:val="single" w:sz="6" w:space="0" w:color="000000"/>
              <w:bottom w:val="single" w:sz="6" w:space="0" w:color="000000"/>
              <w:right w:val="single" w:sz="6" w:space="0" w:color="000000"/>
            </w:tcBorders>
          </w:tcPr>
          <w:p w14:paraId="282EBF7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2474674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20AA5B2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4A85373" w14:textId="77777777" w:rsidTr="00300738">
        <w:tc>
          <w:tcPr>
            <w:tcW w:w="4383" w:type="dxa"/>
            <w:tcBorders>
              <w:top w:val="single" w:sz="6" w:space="0" w:color="000000"/>
              <w:left w:val="single" w:sz="6" w:space="0" w:color="000000"/>
              <w:bottom w:val="nil"/>
              <w:right w:val="single" w:sz="6" w:space="0" w:color="000000"/>
            </w:tcBorders>
          </w:tcPr>
          <w:p w14:paraId="1D55DC8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Reacţii (boli) alergice</w:t>
            </w:r>
          </w:p>
        </w:tc>
        <w:tc>
          <w:tcPr>
            <w:tcW w:w="1125" w:type="dxa"/>
            <w:tcBorders>
              <w:top w:val="single" w:sz="6" w:space="0" w:color="000000"/>
              <w:left w:val="single" w:sz="6" w:space="0" w:color="000000"/>
              <w:bottom w:val="nil"/>
              <w:right w:val="single" w:sz="6" w:space="0" w:color="000000"/>
            </w:tcBorders>
          </w:tcPr>
          <w:p w14:paraId="01F8D7F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nil"/>
              <w:right w:val="single" w:sz="6" w:space="0" w:color="000000"/>
            </w:tcBorders>
          </w:tcPr>
          <w:p w14:paraId="4281104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nil"/>
              <w:right w:val="single" w:sz="6" w:space="0" w:color="000000"/>
            </w:tcBorders>
          </w:tcPr>
          <w:p w14:paraId="6C5ADB9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7B19821" w14:textId="77777777" w:rsidTr="00300738">
        <w:tc>
          <w:tcPr>
            <w:tcW w:w="4383" w:type="dxa"/>
            <w:tcBorders>
              <w:top w:val="nil"/>
              <w:left w:val="single" w:sz="6" w:space="0" w:color="000000"/>
              <w:bottom w:val="single" w:sz="6" w:space="0" w:color="000000"/>
              <w:right w:val="single" w:sz="6" w:space="0" w:color="000000"/>
            </w:tcBorders>
          </w:tcPr>
          <w:p w14:paraId="78966A2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locale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 - generale |</w:t>
            </w:r>
            <w:r w:rsidRPr="0049126A">
              <w:rPr>
                <w:rFonts w:ascii="Times New Roman" w:eastAsia="Times New Roman" w:hAnsi="Times New Roman" w:cs="Times New Roman"/>
                <w:sz w:val="20"/>
                <w:szCs w:val="20"/>
                <w:u w:val="single"/>
                <w:lang w:val="en-US" w:eastAsia="ro-RO"/>
              </w:rPr>
              <w:t>¯</w:t>
            </w:r>
            <w:r w:rsidRPr="0049126A">
              <w:rPr>
                <w:rFonts w:ascii="Times New Roman" w:eastAsia="Times New Roman" w:hAnsi="Times New Roman" w:cs="Times New Roman"/>
                <w:sz w:val="20"/>
                <w:szCs w:val="20"/>
                <w:lang w:val="en-US" w:eastAsia="ro-RO"/>
              </w:rPr>
              <w:t>|</w:t>
            </w:r>
          </w:p>
        </w:tc>
        <w:tc>
          <w:tcPr>
            <w:tcW w:w="1125" w:type="dxa"/>
            <w:tcBorders>
              <w:top w:val="nil"/>
              <w:left w:val="single" w:sz="6" w:space="0" w:color="000000"/>
              <w:bottom w:val="single" w:sz="6" w:space="0" w:color="000000"/>
              <w:right w:val="single" w:sz="6" w:space="0" w:color="000000"/>
            </w:tcBorders>
          </w:tcPr>
          <w:p w14:paraId="3D73FC8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nil"/>
              <w:left w:val="single" w:sz="6" w:space="0" w:color="000000"/>
              <w:bottom w:val="single" w:sz="6" w:space="0" w:color="000000"/>
              <w:right w:val="single" w:sz="6" w:space="0" w:color="000000"/>
            </w:tcBorders>
          </w:tcPr>
          <w:p w14:paraId="25AB286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nil"/>
              <w:left w:val="single" w:sz="6" w:space="0" w:color="000000"/>
              <w:bottom w:val="single" w:sz="6" w:space="0" w:color="000000"/>
              <w:right w:val="single" w:sz="6" w:space="0" w:color="000000"/>
            </w:tcBorders>
          </w:tcPr>
          <w:p w14:paraId="32399FB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033F199"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232629F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Reacţii postperfuzionale</w:t>
            </w:r>
          </w:p>
        </w:tc>
        <w:tc>
          <w:tcPr>
            <w:tcW w:w="1125" w:type="dxa"/>
            <w:tcBorders>
              <w:top w:val="single" w:sz="6" w:space="0" w:color="000000"/>
              <w:left w:val="single" w:sz="6" w:space="0" w:color="000000"/>
              <w:bottom w:val="single" w:sz="6" w:space="0" w:color="000000"/>
              <w:right w:val="single" w:sz="6" w:space="0" w:color="000000"/>
            </w:tcBorders>
          </w:tcPr>
          <w:p w14:paraId="0A24CBD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40AD9CA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5F6065F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315A12C"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33C837A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Afecţiuni cutanate</w:t>
            </w:r>
          </w:p>
        </w:tc>
        <w:tc>
          <w:tcPr>
            <w:tcW w:w="1125" w:type="dxa"/>
            <w:tcBorders>
              <w:top w:val="single" w:sz="6" w:space="0" w:color="000000"/>
              <w:left w:val="single" w:sz="6" w:space="0" w:color="000000"/>
              <w:bottom w:val="single" w:sz="6" w:space="0" w:color="000000"/>
              <w:right w:val="single" w:sz="6" w:space="0" w:color="000000"/>
            </w:tcBorders>
          </w:tcPr>
          <w:p w14:paraId="230BB69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1367BBA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D96F3D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3999743"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1FD510E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Neoplasme - descrieţi localizarea</w:t>
            </w:r>
          </w:p>
        </w:tc>
        <w:tc>
          <w:tcPr>
            <w:tcW w:w="1125" w:type="dxa"/>
            <w:tcBorders>
              <w:top w:val="single" w:sz="6" w:space="0" w:color="000000"/>
              <w:left w:val="single" w:sz="6" w:space="0" w:color="000000"/>
              <w:bottom w:val="single" w:sz="6" w:space="0" w:color="000000"/>
              <w:right w:val="single" w:sz="6" w:space="0" w:color="000000"/>
            </w:tcBorders>
          </w:tcPr>
          <w:p w14:paraId="4BF6CBA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55EECB8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45031DC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F97719C"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564C9B8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Spitalizări</w:t>
            </w:r>
          </w:p>
        </w:tc>
        <w:tc>
          <w:tcPr>
            <w:tcW w:w="1125" w:type="dxa"/>
            <w:tcBorders>
              <w:top w:val="single" w:sz="6" w:space="0" w:color="000000"/>
              <w:left w:val="single" w:sz="6" w:space="0" w:color="000000"/>
              <w:bottom w:val="single" w:sz="6" w:space="0" w:color="000000"/>
              <w:right w:val="single" w:sz="6" w:space="0" w:color="000000"/>
            </w:tcBorders>
          </w:tcPr>
          <w:p w14:paraId="53F6D6F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3FA0BA0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140DC6F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47D6C40"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1FEE532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Intervenţii chirurgicale</w:t>
            </w:r>
          </w:p>
        </w:tc>
        <w:tc>
          <w:tcPr>
            <w:tcW w:w="1125" w:type="dxa"/>
            <w:tcBorders>
              <w:top w:val="single" w:sz="6" w:space="0" w:color="000000"/>
              <w:left w:val="single" w:sz="6" w:space="0" w:color="000000"/>
              <w:bottom w:val="single" w:sz="6" w:space="0" w:color="000000"/>
              <w:right w:val="single" w:sz="6" w:space="0" w:color="000000"/>
            </w:tcBorders>
          </w:tcPr>
          <w:p w14:paraId="14F7CA5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011B468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0E6D5C5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00DC408" w14:textId="77777777" w:rsidTr="00300738">
        <w:tc>
          <w:tcPr>
            <w:tcW w:w="4383" w:type="dxa"/>
            <w:tcBorders>
              <w:top w:val="single" w:sz="6" w:space="0" w:color="000000"/>
              <w:left w:val="single" w:sz="6" w:space="0" w:color="000000"/>
              <w:bottom w:val="single" w:sz="6" w:space="0" w:color="000000"/>
              <w:right w:val="single" w:sz="6" w:space="0" w:color="000000"/>
            </w:tcBorders>
          </w:tcPr>
          <w:p w14:paraId="2AAE9A0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Alte boli semnificative</w:t>
            </w:r>
          </w:p>
        </w:tc>
        <w:tc>
          <w:tcPr>
            <w:tcW w:w="1125" w:type="dxa"/>
            <w:tcBorders>
              <w:top w:val="single" w:sz="6" w:space="0" w:color="000000"/>
              <w:left w:val="single" w:sz="6" w:space="0" w:color="000000"/>
              <w:bottom w:val="single" w:sz="6" w:space="0" w:color="000000"/>
              <w:right w:val="single" w:sz="6" w:space="0" w:color="000000"/>
            </w:tcBorders>
          </w:tcPr>
          <w:p w14:paraId="07578DF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289" w:type="dxa"/>
            <w:tcBorders>
              <w:top w:val="single" w:sz="6" w:space="0" w:color="000000"/>
              <w:left w:val="single" w:sz="6" w:space="0" w:color="000000"/>
              <w:bottom w:val="single" w:sz="6" w:space="0" w:color="000000"/>
              <w:right w:val="single" w:sz="6" w:space="0" w:color="000000"/>
            </w:tcBorders>
          </w:tcPr>
          <w:p w14:paraId="44ED29C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4" w:type="dxa"/>
            <w:tcBorders>
              <w:top w:val="single" w:sz="6" w:space="0" w:color="000000"/>
              <w:left w:val="single" w:sz="6" w:space="0" w:color="000000"/>
              <w:bottom w:val="single" w:sz="6" w:space="0" w:color="000000"/>
              <w:right w:val="single" w:sz="6" w:space="0" w:color="000000"/>
            </w:tcBorders>
          </w:tcPr>
          <w:p w14:paraId="5967D97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bl>
    <w:p w14:paraId="2B2623A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p>
    <w:p w14:paraId="7133633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p>
    <w:p w14:paraId="5B72F5E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lastRenderedPageBreak/>
        <w:t xml:space="preserve">II. DIAGNOSTIC ŞI ISTORIC PSORIAZIS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se va completa doar la vizita de evaluare pre-tratament</w:t>
      </w:r>
      <w:r w:rsidRPr="0049126A">
        <w:rPr>
          <w:rFonts w:ascii="Times New Roman" w:eastAsia="Times New Roman" w:hAnsi="Times New Roman" w:cs="Times New Roman"/>
          <w:sz w:val="24"/>
          <w:szCs w:val="24"/>
          <w:lang w:val="fr-MC" w:eastAsia="ro-RO"/>
        </w:rPr>
        <w:t>)</w:t>
      </w:r>
    </w:p>
    <w:p w14:paraId="64505131"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Diagnostic cert de psoriazis:     anul _ _ _ _ luna _ _</w:t>
      </w:r>
    </w:p>
    <w:p w14:paraId="7847C06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Data debutului:                         anul _ _ _ _ luna _ _</w:t>
      </w:r>
    </w:p>
    <w:p w14:paraId="73AE30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C97BC6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La iniţierea tratamentului se va anexa şi </w:t>
      </w:r>
      <w:r w:rsidRPr="0049126A">
        <w:rPr>
          <w:rFonts w:ascii="Times New Roman" w:eastAsia="Times New Roman" w:hAnsi="Times New Roman" w:cs="Times New Roman"/>
          <w:b/>
          <w:bCs/>
          <w:sz w:val="24"/>
          <w:szCs w:val="24"/>
          <w:lang w:val="fr-MC" w:eastAsia="ro-RO"/>
        </w:rPr>
        <w:t>buletinul de analiză histopatologic</w:t>
      </w:r>
      <w:r w:rsidRPr="0049126A">
        <w:rPr>
          <w:rFonts w:ascii="Times New Roman" w:eastAsia="Times New Roman" w:hAnsi="Times New Roman" w:cs="Times New Roman"/>
          <w:sz w:val="24"/>
          <w:szCs w:val="24"/>
          <w:lang w:val="fr-MC" w:eastAsia="ro-RO"/>
        </w:rPr>
        <w:t>, în original sau copie autentificată prin semnătura şi parafa medicului curant dermatolog.</w:t>
      </w:r>
    </w:p>
    <w:p w14:paraId="6423A03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45C583D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III. TERAPII CLASICE SISTEMICE URMATE ANTERIOR - se completează numai la vizita de evaluare pre-tratament, nu este necesară completarea pentru dosarul de continuare a terapiei</w:t>
      </w:r>
    </w:p>
    <w:p w14:paraId="455FBB9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cazul modificării dozelor se trece data de începere şi de oprire pentru fiecare doză)</w:t>
      </w:r>
    </w:p>
    <w:tbl>
      <w:tblPr>
        <w:tblW w:w="9639" w:type="dxa"/>
        <w:tblInd w:w="-8" w:type="dxa"/>
        <w:tblLayout w:type="fixed"/>
        <w:tblCellMar>
          <w:left w:w="105" w:type="dxa"/>
          <w:right w:w="105" w:type="dxa"/>
        </w:tblCellMar>
        <w:tblLook w:val="0000" w:firstRow="0" w:lastRow="0" w:firstColumn="0" w:lastColumn="0" w:noHBand="0" w:noVBand="0"/>
      </w:tblPr>
      <w:tblGrid>
        <w:gridCol w:w="1673"/>
        <w:gridCol w:w="992"/>
        <w:gridCol w:w="1701"/>
        <w:gridCol w:w="1843"/>
        <w:gridCol w:w="3430"/>
      </w:tblGrid>
      <w:tr w:rsidR="0049126A" w:rsidRPr="0049126A" w14:paraId="6E9E783A" w14:textId="77777777" w:rsidTr="00300738">
        <w:tc>
          <w:tcPr>
            <w:tcW w:w="1673" w:type="dxa"/>
            <w:tcBorders>
              <w:top w:val="single" w:sz="6" w:space="0" w:color="000000"/>
              <w:left w:val="single" w:sz="6" w:space="0" w:color="000000"/>
              <w:bottom w:val="single" w:sz="6" w:space="0" w:color="000000"/>
              <w:right w:val="single" w:sz="6" w:space="0" w:color="000000"/>
            </w:tcBorders>
          </w:tcPr>
          <w:p w14:paraId="04ACDD6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Medicament</w:t>
            </w:r>
          </w:p>
        </w:tc>
        <w:tc>
          <w:tcPr>
            <w:tcW w:w="992" w:type="dxa"/>
            <w:tcBorders>
              <w:top w:val="single" w:sz="6" w:space="0" w:color="000000"/>
              <w:left w:val="single" w:sz="6" w:space="0" w:color="000000"/>
              <w:bottom w:val="single" w:sz="6" w:space="0" w:color="000000"/>
              <w:right w:val="single" w:sz="6" w:space="0" w:color="000000"/>
            </w:tcBorders>
          </w:tcPr>
          <w:p w14:paraId="76B5DBA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Doza</w:t>
            </w:r>
          </w:p>
        </w:tc>
        <w:tc>
          <w:tcPr>
            <w:tcW w:w="1701" w:type="dxa"/>
            <w:tcBorders>
              <w:top w:val="single" w:sz="6" w:space="0" w:color="000000"/>
              <w:left w:val="single" w:sz="6" w:space="0" w:color="000000"/>
              <w:bottom w:val="single" w:sz="6" w:space="0" w:color="000000"/>
              <w:right w:val="single" w:sz="6" w:space="0" w:color="000000"/>
            </w:tcBorders>
          </w:tcPr>
          <w:p w14:paraId="39B89AD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 începerii</w:t>
            </w:r>
          </w:p>
        </w:tc>
        <w:tc>
          <w:tcPr>
            <w:tcW w:w="1843" w:type="dxa"/>
            <w:tcBorders>
              <w:top w:val="single" w:sz="6" w:space="0" w:color="000000"/>
              <w:left w:val="single" w:sz="6" w:space="0" w:color="000000"/>
              <w:bottom w:val="single" w:sz="6" w:space="0" w:color="000000"/>
              <w:right w:val="single" w:sz="6" w:space="0" w:color="000000"/>
            </w:tcBorders>
          </w:tcPr>
          <w:p w14:paraId="7A18153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 întreruperii</w:t>
            </w:r>
          </w:p>
        </w:tc>
        <w:tc>
          <w:tcPr>
            <w:tcW w:w="3430" w:type="dxa"/>
            <w:tcBorders>
              <w:top w:val="single" w:sz="6" w:space="0" w:color="000000"/>
              <w:left w:val="single" w:sz="6" w:space="0" w:color="000000"/>
              <w:bottom w:val="single" w:sz="6" w:space="0" w:color="000000"/>
              <w:right w:val="single" w:sz="6" w:space="0" w:color="000000"/>
            </w:tcBorders>
          </w:tcPr>
          <w:p w14:paraId="08F3089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Observaţii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motivul întreruperii, reacţii adverse, ineficienţă sau a fost bine tolerat</w:t>
            </w:r>
            <w:r w:rsidRPr="0049126A">
              <w:rPr>
                <w:rFonts w:ascii="Times New Roman" w:eastAsia="Times New Roman" w:hAnsi="Times New Roman" w:cs="Times New Roman"/>
                <w:sz w:val="20"/>
                <w:szCs w:val="20"/>
                <w:lang w:val="en-US" w:eastAsia="ro-RO"/>
              </w:rPr>
              <w:t>)</w:t>
            </w:r>
          </w:p>
        </w:tc>
      </w:tr>
      <w:tr w:rsidR="0049126A" w:rsidRPr="0049126A" w14:paraId="595A3679" w14:textId="77777777" w:rsidTr="00300738">
        <w:tc>
          <w:tcPr>
            <w:tcW w:w="1673" w:type="dxa"/>
            <w:tcBorders>
              <w:top w:val="single" w:sz="6" w:space="0" w:color="000000"/>
              <w:left w:val="single" w:sz="6" w:space="0" w:color="000000"/>
              <w:bottom w:val="single" w:sz="6" w:space="0" w:color="000000"/>
              <w:right w:val="single" w:sz="6" w:space="0" w:color="000000"/>
            </w:tcBorders>
          </w:tcPr>
          <w:p w14:paraId="50773950"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992" w:type="dxa"/>
            <w:tcBorders>
              <w:top w:val="single" w:sz="6" w:space="0" w:color="000000"/>
              <w:left w:val="single" w:sz="6" w:space="0" w:color="000000"/>
              <w:bottom w:val="single" w:sz="6" w:space="0" w:color="000000"/>
              <w:right w:val="single" w:sz="6" w:space="0" w:color="000000"/>
            </w:tcBorders>
          </w:tcPr>
          <w:p w14:paraId="08DE8FC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5D3F67D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6480728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3430" w:type="dxa"/>
            <w:tcBorders>
              <w:top w:val="single" w:sz="6" w:space="0" w:color="000000"/>
              <w:left w:val="single" w:sz="6" w:space="0" w:color="000000"/>
              <w:bottom w:val="single" w:sz="6" w:space="0" w:color="000000"/>
              <w:right w:val="single" w:sz="6" w:space="0" w:color="000000"/>
            </w:tcBorders>
          </w:tcPr>
          <w:p w14:paraId="2EB7B9A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r w:rsidR="0049126A" w:rsidRPr="0049126A" w14:paraId="6A99561A" w14:textId="77777777" w:rsidTr="00300738">
        <w:tc>
          <w:tcPr>
            <w:tcW w:w="1673" w:type="dxa"/>
            <w:tcBorders>
              <w:top w:val="single" w:sz="6" w:space="0" w:color="000000"/>
              <w:left w:val="single" w:sz="6" w:space="0" w:color="000000"/>
              <w:bottom w:val="single" w:sz="6" w:space="0" w:color="000000"/>
              <w:right w:val="single" w:sz="6" w:space="0" w:color="000000"/>
            </w:tcBorders>
          </w:tcPr>
          <w:p w14:paraId="74E8B4F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992" w:type="dxa"/>
            <w:tcBorders>
              <w:top w:val="single" w:sz="6" w:space="0" w:color="000000"/>
              <w:left w:val="single" w:sz="6" w:space="0" w:color="000000"/>
              <w:bottom w:val="single" w:sz="6" w:space="0" w:color="000000"/>
              <w:right w:val="single" w:sz="6" w:space="0" w:color="000000"/>
            </w:tcBorders>
          </w:tcPr>
          <w:p w14:paraId="1E7469D7"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730D106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573C360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3430" w:type="dxa"/>
            <w:tcBorders>
              <w:top w:val="single" w:sz="6" w:space="0" w:color="000000"/>
              <w:left w:val="single" w:sz="6" w:space="0" w:color="000000"/>
              <w:bottom w:val="single" w:sz="6" w:space="0" w:color="000000"/>
              <w:right w:val="single" w:sz="6" w:space="0" w:color="000000"/>
            </w:tcBorders>
          </w:tcPr>
          <w:p w14:paraId="3BF2BF15"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r w:rsidR="0049126A" w:rsidRPr="0049126A" w14:paraId="2C39C4C7" w14:textId="77777777" w:rsidTr="00300738">
        <w:tc>
          <w:tcPr>
            <w:tcW w:w="1673" w:type="dxa"/>
            <w:tcBorders>
              <w:top w:val="single" w:sz="6" w:space="0" w:color="000000"/>
              <w:left w:val="single" w:sz="6" w:space="0" w:color="000000"/>
              <w:bottom w:val="single" w:sz="6" w:space="0" w:color="000000"/>
              <w:right w:val="single" w:sz="6" w:space="0" w:color="000000"/>
            </w:tcBorders>
          </w:tcPr>
          <w:p w14:paraId="17891C9B"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992" w:type="dxa"/>
            <w:tcBorders>
              <w:top w:val="single" w:sz="6" w:space="0" w:color="000000"/>
              <w:left w:val="single" w:sz="6" w:space="0" w:color="000000"/>
              <w:bottom w:val="single" w:sz="6" w:space="0" w:color="000000"/>
              <w:right w:val="single" w:sz="6" w:space="0" w:color="000000"/>
            </w:tcBorders>
          </w:tcPr>
          <w:p w14:paraId="021B352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68D2367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843" w:type="dxa"/>
            <w:tcBorders>
              <w:top w:val="single" w:sz="6" w:space="0" w:color="000000"/>
              <w:left w:val="single" w:sz="6" w:space="0" w:color="000000"/>
              <w:bottom w:val="single" w:sz="6" w:space="0" w:color="000000"/>
              <w:right w:val="single" w:sz="6" w:space="0" w:color="000000"/>
            </w:tcBorders>
          </w:tcPr>
          <w:p w14:paraId="63812AC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3430" w:type="dxa"/>
            <w:tcBorders>
              <w:top w:val="single" w:sz="6" w:space="0" w:color="000000"/>
              <w:left w:val="single" w:sz="6" w:space="0" w:color="000000"/>
              <w:bottom w:val="single" w:sz="6" w:space="0" w:color="000000"/>
              <w:right w:val="single" w:sz="6" w:space="0" w:color="000000"/>
            </w:tcBorders>
          </w:tcPr>
          <w:p w14:paraId="6D53358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bl>
    <w:p w14:paraId="3F3ED17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67F5E35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În caz de intoleranţă MAJORĂ/CONFIRMATĂ (anexaţi documente medicale) la MTX, furnizaţi detalii privitor la altă terapie de fond actuală.</w:t>
      </w:r>
    </w:p>
    <w:p w14:paraId="5F208EF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F1AC48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IV. TERAPII CLASICE SISTEMICE ACTUALE</w:t>
      </w:r>
    </w:p>
    <w:tbl>
      <w:tblPr>
        <w:tblW w:w="9781" w:type="dxa"/>
        <w:tblInd w:w="-8" w:type="dxa"/>
        <w:tblLayout w:type="fixed"/>
        <w:tblCellMar>
          <w:left w:w="105" w:type="dxa"/>
          <w:right w:w="105" w:type="dxa"/>
        </w:tblCellMar>
        <w:tblLook w:val="0000" w:firstRow="0" w:lastRow="0" w:firstColumn="0" w:lastColumn="0" w:noHBand="0" w:noVBand="0"/>
      </w:tblPr>
      <w:tblGrid>
        <w:gridCol w:w="2777"/>
        <w:gridCol w:w="1621"/>
        <w:gridCol w:w="1981"/>
        <w:gridCol w:w="3402"/>
      </w:tblGrid>
      <w:tr w:rsidR="0049126A" w:rsidRPr="0049126A" w14:paraId="27B0C9A3" w14:textId="77777777" w:rsidTr="00300738">
        <w:tc>
          <w:tcPr>
            <w:tcW w:w="2777" w:type="dxa"/>
            <w:tcBorders>
              <w:top w:val="single" w:sz="6" w:space="0" w:color="000000"/>
              <w:left w:val="single" w:sz="6" w:space="0" w:color="000000"/>
              <w:bottom w:val="single" w:sz="6" w:space="0" w:color="000000"/>
              <w:right w:val="single" w:sz="6" w:space="0" w:color="000000"/>
            </w:tcBorders>
          </w:tcPr>
          <w:p w14:paraId="40F21422"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1621" w:type="dxa"/>
            <w:tcBorders>
              <w:top w:val="single" w:sz="6" w:space="0" w:color="000000"/>
              <w:left w:val="single" w:sz="6" w:space="0" w:color="000000"/>
              <w:bottom w:val="single" w:sz="6" w:space="0" w:color="000000"/>
              <w:right w:val="single" w:sz="6" w:space="0" w:color="000000"/>
            </w:tcBorders>
          </w:tcPr>
          <w:p w14:paraId="21FB32E5"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Doza actuală</w:t>
            </w:r>
          </w:p>
        </w:tc>
        <w:tc>
          <w:tcPr>
            <w:tcW w:w="1981" w:type="dxa"/>
            <w:tcBorders>
              <w:top w:val="single" w:sz="6" w:space="0" w:color="000000"/>
              <w:left w:val="single" w:sz="6" w:space="0" w:color="000000"/>
              <w:bottom w:val="single" w:sz="6" w:space="0" w:color="000000"/>
              <w:right w:val="single" w:sz="6" w:space="0" w:color="000000"/>
            </w:tcBorders>
          </w:tcPr>
          <w:p w14:paraId="3CDC4D2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Din data de</w:t>
            </w:r>
          </w:p>
        </w:tc>
        <w:tc>
          <w:tcPr>
            <w:tcW w:w="3402" w:type="dxa"/>
            <w:tcBorders>
              <w:top w:val="single" w:sz="6" w:space="0" w:color="000000"/>
              <w:left w:val="single" w:sz="6" w:space="0" w:color="000000"/>
              <w:bottom w:val="single" w:sz="6" w:space="0" w:color="000000"/>
              <w:right w:val="single" w:sz="6" w:space="0" w:color="000000"/>
            </w:tcBorders>
          </w:tcPr>
          <w:p w14:paraId="6A89132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Puteţi confirma că pacientul foloseşte continuu această doză? DA/NU</w:t>
            </w:r>
          </w:p>
        </w:tc>
      </w:tr>
      <w:tr w:rsidR="0049126A" w:rsidRPr="0049126A" w14:paraId="58D2B223" w14:textId="77777777" w:rsidTr="00300738">
        <w:tc>
          <w:tcPr>
            <w:tcW w:w="2777" w:type="dxa"/>
            <w:tcBorders>
              <w:top w:val="single" w:sz="6" w:space="0" w:color="000000"/>
              <w:left w:val="single" w:sz="6" w:space="0" w:color="000000"/>
              <w:bottom w:val="single" w:sz="6" w:space="0" w:color="000000"/>
              <w:right w:val="single" w:sz="6" w:space="0" w:color="000000"/>
            </w:tcBorders>
          </w:tcPr>
          <w:p w14:paraId="44343F7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w:t>
            </w:r>
          </w:p>
        </w:tc>
        <w:tc>
          <w:tcPr>
            <w:tcW w:w="1621" w:type="dxa"/>
            <w:tcBorders>
              <w:top w:val="single" w:sz="6" w:space="0" w:color="000000"/>
              <w:left w:val="single" w:sz="6" w:space="0" w:color="000000"/>
              <w:bottom w:val="single" w:sz="6" w:space="0" w:color="000000"/>
              <w:right w:val="single" w:sz="6" w:space="0" w:color="000000"/>
            </w:tcBorders>
          </w:tcPr>
          <w:p w14:paraId="23739C7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981" w:type="dxa"/>
            <w:tcBorders>
              <w:top w:val="single" w:sz="6" w:space="0" w:color="000000"/>
              <w:left w:val="single" w:sz="6" w:space="0" w:color="000000"/>
              <w:bottom w:val="single" w:sz="6" w:space="0" w:color="000000"/>
              <w:right w:val="single" w:sz="6" w:space="0" w:color="000000"/>
            </w:tcBorders>
          </w:tcPr>
          <w:p w14:paraId="25471C3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3402" w:type="dxa"/>
            <w:tcBorders>
              <w:top w:val="single" w:sz="6" w:space="0" w:color="000000"/>
              <w:left w:val="single" w:sz="6" w:space="0" w:color="000000"/>
              <w:bottom w:val="single" w:sz="6" w:space="0" w:color="000000"/>
              <w:right w:val="single" w:sz="6" w:space="0" w:color="000000"/>
            </w:tcBorders>
          </w:tcPr>
          <w:p w14:paraId="341305C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r>
      <w:tr w:rsidR="0049126A" w:rsidRPr="0049126A" w14:paraId="6DAB97A4" w14:textId="77777777" w:rsidTr="00300738">
        <w:tc>
          <w:tcPr>
            <w:tcW w:w="2777" w:type="dxa"/>
            <w:tcBorders>
              <w:top w:val="single" w:sz="6" w:space="0" w:color="000000"/>
              <w:left w:val="single" w:sz="6" w:space="0" w:color="000000"/>
              <w:bottom w:val="single" w:sz="6" w:space="0" w:color="000000"/>
              <w:right w:val="single" w:sz="6" w:space="0" w:color="000000"/>
            </w:tcBorders>
          </w:tcPr>
          <w:p w14:paraId="2608BDA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2.</w:t>
            </w:r>
          </w:p>
        </w:tc>
        <w:tc>
          <w:tcPr>
            <w:tcW w:w="1621" w:type="dxa"/>
            <w:tcBorders>
              <w:top w:val="single" w:sz="6" w:space="0" w:color="000000"/>
              <w:left w:val="single" w:sz="6" w:space="0" w:color="000000"/>
              <w:bottom w:val="single" w:sz="6" w:space="0" w:color="000000"/>
              <w:right w:val="single" w:sz="6" w:space="0" w:color="000000"/>
            </w:tcBorders>
          </w:tcPr>
          <w:p w14:paraId="3861BBA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981" w:type="dxa"/>
            <w:tcBorders>
              <w:top w:val="single" w:sz="6" w:space="0" w:color="000000"/>
              <w:left w:val="single" w:sz="6" w:space="0" w:color="000000"/>
              <w:bottom w:val="single" w:sz="6" w:space="0" w:color="000000"/>
              <w:right w:val="single" w:sz="6" w:space="0" w:color="000000"/>
            </w:tcBorders>
          </w:tcPr>
          <w:p w14:paraId="1869417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3402" w:type="dxa"/>
            <w:tcBorders>
              <w:top w:val="single" w:sz="6" w:space="0" w:color="000000"/>
              <w:left w:val="single" w:sz="6" w:space="0" w:color="000000"/>
              <w:bottom w:val="single" w:sz="6" w:space="0" w:color="000000"/>
              <w:right w:val="single" w:sz="6" w:space="0" w:color="000000"/>
            </w:tcBorders>
          </w:tcPr>
          <w:p w14:paraId="19019B32"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r>
    </w:tbl>
    <w:p w14:paraId="6AE55D8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7C429E2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V. ALTE TRATAMENTE ACTUALE PENTRU PSORIAZIS</w:t>
      </w:r>
    </w:p>
    <w:tbl>
      <w:tblPr>
        <w:tblW w:w="9781" w:type="dxa"/>
        <w:tblInd w:w="-8" w:type="dxa"/>
        <w:tblLayout w:type="fixed"/>
        <w:tblCellMar>
          <w:left w:w="105" w:type="dxa"/>
          <w:right w:w="105" w:type="dxa"/>
        </w:tblCellMar>
        <w:tblLook w:val="0000" w:firstRow="0" w:lastRow="0" w:firstColumn="0" w:lastColumn="0" w:noHBand="0" w:noVBand="0"/>
      </w:tblPr>
      <w:tblGrid>
        <w:gridCol w:w="2237"/>
        <w:gridCol w:w="2161"/>
        <w:gridCol w:w="2882"/>
        <w:gridCol w:w="2501"/>
      </w:tblGrid>
      <w:tr w:rsidR="0049126A" w:rsidRPr="0049126A" w14:paraId="31D420BB" w14:textId="77777777" w:rsidTr="00300738">
        <w:tc>
          <w:tcPr>
            <w:tcW w:w="2237" w:type="dxa"/>
            <w:tcBorders>
              <w:top w:val="single" w:sz="6" w:space="0" w:color="000000"/>
              <w:left w:val="single" w:sz="6" w:space="0" w:color="000000"/>
              <w:bottom w:val="single" w:sz="6" w:space="0" w:color="000000"/>
              <w:right w:val="single" w:sz="6" w:space="0" w:color="000000"/>
            </w:tcBorders>
          </w:tcPr>
          <w:p w14:paraId="22B9ED00"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Medicament</w:t>
            </w:r>
          </w:p>
        </w:tc>
        <w:tc>
          <w:tcPr>
            <w:tcW w:w="2161" w:type="dxa"/>
            <w:tcBorders>
              <w:top w:val="single" w:sz="6" w:space="0" w:color="000000"/>
              <w:left w:val="single" w:sz="6" w:space="0" w:color="000000"/>
              <w:bottom w:val="single" w:sz="6" w:space="0" w:color="000000"/>
              <w:right w:val="single" w:sz="6" w:space="0" w:color="000000"/>
            </w:tcBorders>
          </w:tcPr>
          <w:p w14:paraId="51C5E0B5"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Doza</w:t>
            </w:r>
          </w:p>
        </w:tc>
        <w:tc>
          <w:tcPr>
            <w:tcW w:w="2882" w:type="dxa"/>
            <w:tcBorders>
              <w:top w:val="single" w:sz="6" w:space="0" w:color="000000"/>
              <w:left w:val="single" w:sz="6" w:space="0" w:color="000000"/>
              <w:bottom w:val="single" w:sz="6" w:space="0" w:color="000000"/>
              <w:right w:val="single" w:sz="6" w:space="0" w:color="000000"/>
            </w:tcBorders>
          </w:tcPr>
          <w:p w14:paraId="2F4A531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 începerii</w:t>
            </w:r>
          </w:p>
        </w:tc>
        <w:tc>
          <w:tcPr>
            <w:tcW w:w="2501" w:type="dxa"/>
            <w:tcBorders>
              <w:top w:val="single" w:sz="6" w:space="0" w:color="000000"/>
              <w:left w:val="single" w:sz="6" w:space="0" w:color="000000"/>
              <w:bottom w:val="single" w:sz="6" w:space="0" w:color="000000"/>
              <w:right w:val="single" w:sz="6" w:space="0" w:color="000000"/>
            </w:tcBorders>
          </w:tcPr>
          <w:p w14:paraId="5161D92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 xml:space="preserve">Observaţii </w:t>
            </w:r>
            <w:r w:rsidRPr="0049126A">
              <w:rPr>
                <w:rFonts w:ascii="Times New Roman" w:eastAsia="Times New Roman" w:hAnsi="Times New Roman" w:cs="Times New Roman"/>
                <w:sz w:val="20"/>
                <w:szCs w:val="20"/>
                <w:lang w:val="en-US" w:eastAsia="ro-RO"/>
              </w:rPr>
              <w:t>(</w:t>
            </w:r>
            <w:r w:rsidRPr="0049126A">
              <w:rPr>
                <w:rFonts w:ascii="Times New Roman" w:eastAsia="Times New Roman" w:hAnsi="Times New Roman" w:cs="Times New Roman"/>
                <w:b/>
                <w:bCs/>
                <w:sz w:val="20"/>
                <w:szCs w:val="20"/>
                <w:lang w:val="en-US" w:eastAsia="ro-RO"/>
              </w:rPr>
              <w:t>motivul introducerii</w:t>
            </w:r>
            <w:r w:rsidRPr="0049126A">
              <w:rPr>
                <w:rFonts w:ascii="Times New Roman" w:eastAsia="Times New Roman" w:hAnsi="Times New Roman" w:cs="Times New Roman"/>
                <w:sz w:val="20"/>
                <w:szCs w:val="20"/>
                <w:lang w:val="en-US" w:eastAsia="ro-RO"/>
              </w:rPr>
              <w:t>)</w:t>
            </w:r>
          </w:p>
        </w:tc>
      </w:tr>
      <w:tr w:rsidR="0049126A" w:rsidRPr="0049126A" w14:paraId="4E5BAA90" w14:textId="77777777" w:rsidTr="00300738">
        <w:tc>
          <w:tcPr>
            <w:tcW w:w="2237" w:type="dxa"/>
            <w:tcBorders>
              <w:top w:val="single" w:sz="6" w:space="0" w:color="000000"/>
              <w:left w:val="single" w:sz="6" w:space="0" w:color="000000"/>
              <w:bottom w:val="single" w:sz="6" w:space="0" w:color="000000"/>
              <w:right w:val="single" w:sz="6" w:space="0" w:color="000000"/>
            </w:tcBorders>
          </w:tcPr>
          <w:p w14:paraId="31F879E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161" w:type="dxa"/>
            <w:tcBorders>
              <w:top w:val="single" w:sz="6" w:space="0" w:color="000000"/>
              <w:left w:val="single" w:sz="6" w:space="0" w:color="000000"/>
              <w:bottom w:val="single" w:sz="6" w:space="0" w:color="000000"/>
              <w:right w:val="single" w:sz="6" w:space="0" w:color="000000"/>
            </w:tcBorders>
          </w:tcPr>
          <w:p w14:paraId="246A6AB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882" w:type="dxa"/>
            <w:tcBorders>
              <w:top w:val="single" w:sz="6" w:space="0" w:color="000000"/>
              <w:left w:val="single" w:sz="6" w:space="0" w:color="000000"/>
              <w:bottom w:val="single" w:sz="6" w:space="0" w:color="000000"/>
              <w:right w:val="single" w:sz="6" w:space="0" w:color="000000"/>
            </w:tcBorders>
          </w:tcPr>
          <w:p w14:paraId="218BC9DD"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501" w:type="dxa"/>
            <w:tcBorders>
              <w:top w:val="single" w:sz="6" w:space="0" w:color="000000"/>
              <w:left w:val="single" w:sz="6" w:space="0" w:color="000000"/>
              <w:bottom w:val="single" w:sz="6" w:space="0" w:color="000000"/>
              <w:right w:val="single" w:sz="6" w:space="0" w:color="000000"/>
            </w:tcBorders>
          </w:tcPr>
          <w:p w14:paraId="0ACBFAA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r w:rsidR="0049126A" w:rsidRPr="0049126A" w14:paraId="1B5BFB47" w14:textId="77777777" w:rsidTr="00300738">
        <w:tc>
          <w:tcPr>
            <w:tcW w:w="2237" w:type="dxa"/>
            <w:tcBorders>
              <w:top w:val="single" w:sz="6" w:space="0" w:color="000000"/>
              <w:left w:val="single" w:sz="6" w:space="0" w:color="000000"/>
              <w:bottom w:val="single" w:sz="6" w:space="0" w:color="000000"/>
              <w:right w:val="single" w:sz="6" w:space="0" w:color="000000"/>
            </w:tcBorders>
          </w:tcPr>
          <w:p w14:paraId="2DAB449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161" w:type="dxa"/>
            <w:tcBorders>
              <w:top w:val="single" w:sz="6" w:space="0" w:color="000000"/>
              <w:left w:val="single" w:sz="6" w:space="0" w:color="000000"/>
              <w:bottom w:val="single" w:sz="6" w:space="0" w:color="000000"/>
              <w:right w:val="single" w:sz="6" w:space="0" w:color="000000"/>
            </w:tcBorders>
          </w:tcPr>
          <w:p w14:paraId="1E73D68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882" w:type="dxa"/>
            <w:tcBorders>
              <w:top w:val="single" w:sz="6" w:space="0" w:color="000000"/>
              <w:left w:val="single" w:sz="6" w:space="0" w:color="000000"/>
              <w:bottom w:val="single" w:sz="6" w:space="0" w:color="000000"/>
              <w:right w:val="single" w:sz="6" w:space="0" w:color="000000"/>
            </w:tcBorders>
          </w:tcPr>
          <w:p w14:paraId="5CFA12A5"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501" w:type="dxa"/>
            <w:tcBorders>
              <w:top w:val="single" w:sz="6" w:space="0" w:color="000000"/>
              <w:left w:val="single" w:sz="6" w:space="0" w:color="000000"/>
              <w:bottom w:val="single" w:sz="6" w:space="0" w:color="000000"/>
              <w:right w:val="single" w:sz="6" w:space="0" w:color="000000"/>
            </w:tcBorders>
          </w:tcPr>
          <w:p w14:paraId="00AA2BB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r w:rsidR="0049126A" w:rsidRPr="0049126A" w14:paraId="74E02497" w14:textId="77777777" w:rsidTr="00300738">
        <w:tc>
          <w:tcPr>
            <w:tcW w:w="2237" w:type="dxa"/>
            <w:tcBorders>
              <w:top w:val="single" w:sz="6" w:space="0" w:color="000000"/>
              <w:left w:val="single" w:sz="6" w:space="0" w:color="000000"/>
              <w:bottom w:val="single" w:sz="6" w:space="0" w:color="000000"/>
              <w:right w:val="single" w:sz="6" w:space="0" w:color="000000"/>
            </w:tcBorders>
          </w:tcPr>
          <w:p w14:paraId="32C38692"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161" w:type="dxa"/>
            <w:tcBorders>
              <w:top w:val="single" w:sz="6" w:space="0" w:color="000000"/>
              <w:left w:val="single" w:sz="6" w:space="0" w:color="000000"/>
              <w:bottom w:val="single" w:sz="6" w:space="0" w:color="000000"/>
              <w:right w:val="single" w:sz="6" w:space="0" w:color="000000"/>
            </w:tcBorders>
          </w:tcPr>
          <w:p w14:paraId="120E61B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882" w:type="dxa"/>
            <w:tcBorders>
              <w:top w:val="single" w:sz="6" w:space="0" w:color="000000"/>
              <w:left w:val="single" w:sz="6" w:space="0" w:color="000000"/>
              <w:bottom w:val="single" w:sz="6" w:space="0" w:color="000000"/>
              <w:right w:val="single" w:sz="6" w:space="0" w:color="000000"/>
            </w:tcBorders>
          </w:tcPr>
          <w:p w14:paraId="4CC7CDC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c>
          <w:tcPr>
            <w:tcW w:w="2501" w:type="dxa"/>
            <w:tcBorders>
              <w:top w:val="single" w:sz="6" w:space="0" w:color="000000"/>
              <w:left w:val="single" w:sz="6" w:space="0" w:color="000000"/>
              <w:bottom w:val="single" w:sz="6" w:space="0" w:color="000000"/>
              <w:right w:val="single" w:sz="6" w:space="0" w:color="000000"/>
            </w:tcBorders>
          </w:tcPr>
          <w:p w14:paraId="282D81F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p>
        </w:tc>
      </w:tr>
    </w:tbl>
    <w:p w14:paraId="55E8ADB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5A5D1ED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VI. EVALUARE CLINICĂ</w:t>
      </w:r>
    </w:p>
    <w:p w14:paraId="41761F3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Data: _ _/_ _/_ _ _ _</w:t>
      </w:r>
    </w:p>
    <w:p w14:paraId="6B9932E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Greutate (kg): _ _ _         Talie (cm): _ _ _</w:t>
      </w:r>
    </w:p>
    <w:tbl>
      <w:tblPr>
        <w:tblW w:w="9781" w:type="dxa"/>
        <w:tblInd w:w="-8" w:type="dxa"/>
        <w:tblLayout w:type="fixed"/>
        <w:tblCellMar>
          <w:left w:w="105" w:type="dxa"/>
          <w:right w:w="105" w:type="dxa"/>
        </w:tblCellMar>
        <w:tblLook w:val="0000" w:firstRow="0" w:lastRow="0" w:firstColumn="0" w:lastColumn="0" w:noHBand="0" w:noVBand="0"/>
      </w:tblPr>
      <w:tblGrid>
        <w:gridCol w:w="4536"/>
        <w:gridCol w:w="2127"/>
        <w:gridCol w:w="1701"/>
        <w:gridCol w:w="1417"/>
      </w:tblGrid>
      <w:tr w:rsidR="0049126A" w:rsidRPr="0049126A" w14:paraId="7DC1E9C2" w14:textId="77777777" w:rsidTr="00300738">
        <w:tc>
          <w:tcPr>
            <w:tcW w:w="4536" w:type="dxa"/>
            <w:tcBorders>
              <w:top w:val="single" w:sz="6" w:space="0" w:color="000000"/>
              <w:left w:val="single" w:sz="6" w:space="0" w:color="000000"/>
              <w:bottom w:val="single" w:sz="6" w:space="0" w:color="000000"/>
              <w:right w:val="single" w:sz="6" w:space="0" w:color="000000"/>
            </w:tcBorders>
          </w:tcPr>
          <w:p w14:paraId="6F4306F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2127" w:type="dxa"/>
            <w:tcBorders>
              <w:top w:val="single" w:sz="6" w:space="0" w:color="000000"/>
              <w:left w:val="single" w:sz="6" w:space="0" w:color="000000"/>
              <w:bottom w:val="single" w:sz="6" w:space="0" w:color="000000"/>
              <w:right w:val="single" w:sz="6" w:space="0" w:color="000000"/>
            </w:tcBorders>
          </w:tcPr>
          <w:p w14:paraId="796FD29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La iniţierea terapiei</w:t>
            </w:r>
          </w:p>
        </w:tc>
        <w:tc>
          <w:tcPr>
            <w:tcW w:w="1701" w:type="dxa"/>
            <w:tcBorders>
              <w:top w:val="single" w:sz="6" w:space="0" w:color="000000"/>
              <w:left w:val="single" w:sz="6" w:space="0" w:color="000000"/>
              <w:bottom w:val="single" w:sz="6" w:space="0" w:color="000000"/>
              <w:right w:val="single" w:sz="6" w:space="0" w:color="000000"/>
            </w:tcBorders>
          </w:tcPr>
          <w:p w14:paraId="51EE5A4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Precedent</w:t>
            </w:r>
          </w:p>
        </w:tc>
        <w:tc>
          <w:tcPr>
            <w:tcW w:w="1417" w:type="dxa"/>
            <w:tcBorders>
              <w:top w:val="single" w:sz="6" w:space="0" w:color="000000"/>
              <w:left w:val="single" w:sz="6" w:space="0" w:color="000000"/>
              <w:bottom w:val="single" w:sz="6" w:space="0" w:color="000000"/>
              <w:right w:val="single" w:sz="6" w:space="0" w:color="000000"/>
            </w:tcBorders>
          </w:tcPr>
          <w:p w14:paraId="400AEA0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Actual</w:t>
            </w:r>
          </w:p>
        </w:tc>
      </w:tr>
      <w:tr w:rsidR="0049126A" w:rsidRPr="0049126A" w14:paraId="3FA71F8F" w14:textId="77777777" w:rsidTr="00300738">
        <w:tc>
          <w:tcPr>
            <w:tcW w:w="4536" w:type="dxa"/>
            <w:tcBorders>
              <w:top w:val="single" w:sz="6" w:space="0" w:color="000000"/>
              <w:left w:val="single" w:sz="6" w:space="0" w:color="000000"/>
              <w:bottom w:val="single" w:sz="6" w:space="0" w:color="000000"/>
              <w:right w:val="single" w:sz="6" w:space="0" w:color="000000"/>
            </w:tcBorders>
          </w:tcPr>
          <w:p w14:paraId="1331AD0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Scor PASI</w:t>
            </w:r>
          </w:p>
        </w:tc>
        <w:tc>
          <w:tcPr>
            <w:tcW w:w="2127" w:type="dxa"/>
            <w:tcBorders>
              <w:top w:val="single" w:sz="6" w:space="0" w:color="000000"/>
              <w:left w:val="single" w:sz="6" w:space="0" w:color="000000"/>
              <w:bottom w:val="single" w:sz="6" w:space="0" w:color="000000"/>
              <w:right w:val="single" w:sz="6" w:space="0" w:color="000000"/>
            </w:tcBorders>
          </w:tcPr>
          <w:p w14:paraId="73C8325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623F5DE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3401AF1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BDFCEEE" w14:textId="77777777" w:rsidTr="00300738">
        <w:tc>
          <w:tcPr>
            <w:tcW w:w="4536" w:type="dxa"/>
            <w:tcBorders>
              <w:top w:val="single" w:sz="6" w:space="0" w:color="000000"/>
              <w:left w:val="single" w:sz="6" w:space="0" w:color="000000"/>
              <w:bottom w:val="single" w:sz="6" w:space="0" w:color="000000"/>
              <w:right w:val="single" w:sz="6" w:space="0" w:color="000000"/>
            </w:tcBorders>
          </w:tcPr>
          <w:p w14:paraId="097283C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b/>
                <w:bCs/>
                <w:sz w:val="20"/>
                <w:szCs w:val="20"/>
                <w:lang w:val="en-US" w:eastAsia="ro-RO"/>
              </w:rPr>
              <w:t>Scor cDLQI</w:t>
            </w:r>
            <w:r w:rsidRPr="0049126A">
              <w:rPr>
                <w:rFonts w:ascii="Times New Roman" w:eastAsia="Times New Roman" w:hAnsi="Times New Roman" w:cs="Times New Roman"/>
                <w:sz w:val="20"/>
                <w:szCs w:val="20"/>
                <w:lang w:val="en-US" w:eastAsia="ro-RO"/>
              </w:rPr>
              <w:t xml:space="preserve"> (se vor anexa formularele semnate de părinţi sau aparţinătorilor legali)</w:t>
            </w:r>
          </w:p>
        </w:tc>
        <w:tc>
          <w:tcPr>
            <w:tcW w:w="2127" w:type="dxa"/>
            <w:tcBorders>
              <w:top w:val="single" w:sz="6" w:space="0" w:color="000000"/>
              <w:left w:val="single" w:sz="6" w:space="0" w:color="000000"/>
              <w:bottom w:val="single" w:sz="6" w:space="0" w:color="000000"/>
              <w:right w:val="single" w:sz="6" w:space="0" w:color="000000"/>
            </w:tcBorders>
          </w:tcPr>
          <w:p w14:paraId="093505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5215C5C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28504E7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AECF49F" w14:textId="77777777" w:rsidTr="00300738">
        <w:tc>
          <w:tcPr>
            <w:tcW w:w="4536" w:type="dxa"/>
            <w:tcBorders>
              <w:top w:val="single" w:sz="6" w:space="0" w:color="000000"/>
              <w:left w:val="single" w:sz="6" w:space="0" w:color="000000"/>
              <w:bottom w:val="single" w:sz="6" w:space="0" w:color="000000"/>
              <w:right w:val="single" w:sz="6" w:space="0" w:color="000000"/>
            </w:tcBorders>
          </w:tcPr>
          <w:p w14:paraId="441238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Regiuni topografice speciale afectate (DA/NU)</w:t>
            </w:r>
          </w:p>
        </w:tc>
        <w:tc>
          <w:tcPr>
            <w:tcW w:w="2127" w:type="dxa"/>
            <w:tcBorders>
              <w:top w:val="single" w:sz="6" w:space="0" w:color="000000"/>
              <w:left w:val="single" w:sz="6" w:space="0" w:color="000000"/>
              <w:bottom w:val="single" w:sz="6" w:space="0" w:color="000000"/>
              <w:right w:val="single" w:sz="6" w:space="0" w:color="000000"/>
            </w:tcBorders>
          </w:tcPr>
          <w:p w14:paraId="0A1A27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2868673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484C1C7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3F71BC3" w14:textId="77777777" w:rsidTr="00300738">
        <w:tc>
          <w:tcPr>
            <w:tcW w:w="4536" w:type="dxa"/>
            <w:tcBorders>
              <w:top w:val="single" w:sz="6" w:space="0" w:color="000000"/>
              <w:left w:val="single" w:sz="6" w:space="0" w:color="000000"/>
              <w:bottom w:val="single" w:sz="6" w:space="0" w:color="000000"/>
              <w:right w:val="single" w:sz="6" w:space="0" w:color="000000"/>
            </w:tcBorders>
          </w:tcPr>
          <w:p w14:paraId="5F71471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Zona unghială - NAPSI</w:t>
            </w:r>
          </w:p>
        </w:tc>
        <w:tc>
          <w:tcPr>
            <w:tcW w:w="2127" w:type="dxa"/>
            <w:tcBorders>
              <w:top w:val="single" w:sz="6" w:space="0" w:color="000000"/>
              <w:left w:val="single" w:sz="6" w:space="0" w:color="000000"/>
              <w:bottom w:val="single" w:sz="6" w:space="0" w:color="000000"/>
              <w:right w:val="single" w:sz="6" w:space="0" w:color="000000"/>
            </w:tcBorders>
          </w:tcPr>
          <w:p w14:paraId="17C1E4B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0470681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6756473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A696AB7" w14:textId="77777777" w:rsidTr="00300738">
        <w:tc>
          <w:tcPr>
            <w:tcW w:w="4536" w:type="dxa"/>
            <w:tcBorders>
              <w:top w:val="single" w:sz="6" w:space="0" w:color="000000"/>
              <w:left w:val="single" w:sz="6" w:space="0" w:color="000000"/>
              <w:bottom w:val="single" w:sz="6" w:space="0" w:color="000000"/>
              <w:right w:val="single" w:sz="6" w:space="0" w:color="000000"/>
            </w:tcBorders>
          </w:tcPr>
          <w:p w14:paraId="69F101A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Zona scalpului - PSSI</w:t>
            </w:r>
          </w:p>
        </w:tc>
        <w:tc>
          <w:tcPr>
            <w:tcW w:w="2127" w:type="dxa"/>
            <w:tcBorders>
              <w:top w:val="single" w:sz="6" w:space="0" w:color="000000"/>
              <w:left w:val="single" w:sz="6" w:space="0" w:color="000000"/>
              <w:bottom w:val="single" w:sz="6" w:space="0" w:color="000000"/>
              <w:right w:val="single" w:sz="6" w:space="0" w:color="000000"/>
            </w:tcBorders>
          </w:tcPr>
          <w:p w14:paraId="5DDA0A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10DD938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1F722E5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55FC12E" w14:textId="77777777" w:rsidTr="00300738">
        <w:tc>
          <w:tcPr>
            <w:tcW w:w="4536" w:type="dxa"/>
            <w:tcBorders>
              <w:top w:val="single" w:sz="6" w:space="0" w:color="000000"/>
              <w:left w:val="single" w:sz="6" w:space="0" w:color="000000"/>
              <w:bottom w:val="single" w:sz="6" w:space="0" w:color="000000"/>
              <w:right w:val="single" w:sz="6" w:space="0" w:color="000000"/>
            </w:tcBorders>
          </w:tcPr>
          <w:p w14:paraId="392FF2E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Zona palmo-plantară - ESIF</w:t>
            </w:r>
          </w:p>
        </w:tc>
        <w:tc>
          <w:tcPr>
            <w:tcW w:w="2127" w:type="dxa"/>
            <w:tcBorders>
              <w:top w:val="single" w:sz="6" w:space="0" w:color="000000"/>
              <w:left w:val="single" w:sz="6" w:space="0" w:color="000000"/>
              <w:bottom w:val="single" w:sz="6" w:space="0" w:color="000000"/>
              <w:right w:val="single" w:sz="6" w:space="0" w:color="000000"/>
            </w:tcBorders>
          </w:tcPr>
          <w:p w14:paraId="7F857A1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3EA9310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7BCA926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FDF9798" w14:textId="77777777" w:rsidTr="00300738">
        <w:tc>
          <w:tcPr>
            <w:tcW w:w="4536" w:type="dxa"/>
            <w:tcBorders>
              <w:top w:val="single" w:sz="6" w:space="0" w:color="000000"/>
              <w:left w:val="single" w:sz="6" w:space="0" w:color="000000"/>
              <w:bottom w:val="single" w:sz="6" w:space="0" w:color="000000"/>
              <w:right w:val="single" w:sz="6" w:space="0" w:color="000000"/>
            </w:tcBorders>
          </w:tcPr>
          <w:p w14:paraId="6582BF1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Zona genitală - PGA</w:t>
            </w:r>
          </w:p>
        </w:tc>
        <w:tc>
          <w:tcPr>
            <w:tcW w:w="2127" w:type="dxa"/>
            <w:tcBorders>
              <w:top w:val="single" w:sz="6" w:space="0" w:color="000000"/>
              <w:left w:val="single" w:sz="6" w:space="0" w:color="000000"/>
              <w:bottom w:val="single" w:sz="6" w:space="0" w:color="000000"/>
              <w:right w:val="single" w:sz="6" w:space="0" w:color="000000"/>
            </w:tcBorders>
          </w:tcPr>
          <w:p w14:paraId="63E9330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0457D92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3931A04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33125C3" w14:textId="77777777" w:rsidTr="00300738">
        <w:tc>
          <w:tcPr>
            <w:tcW w:w="4536" w:type="dxa"/>
            <w:tcBorders>
              <w:top w:val="single" w:sz="6" w:space="0" w:color="000000"/>
              <w:left w:val="single" w:sz="6" w:space="0" w:color="000000"/>
              <w:bottom w:val="single" w:sz="6" w:space="0" w:color="000000"/>
              <w:right w:val="single" w:sz="6" w:space="0" w:color="000000"/>
            </w:tcBorders>
          </w:tcPr>
          <w:p w14:paraId="7FC7721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 xml:space="preserve">Psoriasis inversat- PGA </w:t>
            </w:r>
          </w:p>
        </w:tc>
        <w:tc>
          <w:tcPr>
            <w:tcW w:w="2127" w:type="dxa"/>
            <w:tcBorders>
              <w:top w:val="single" w:sz="6" w:space="0" w:color="000000"/>
              <w:left w:val="single" w:sz="6" w:space="0" w:color="000000"/>
              <w:bottom w:val="single" w:sz="6" w:space="0" w:color="000000"/>
              <w:right w:val="single" w:sz="6" w:space="0" w:color="000000"/>
            </w:tcBorders>
          </w:tcPr>
          <w:p w14:paraId="2170CE5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701" w:type="dxa"/>
            <w:tcBorders>
              <w:top w:val="single" w:sz="6" w:space="0" w:color="000000"/>
              <w:left w:val="single" w:sz="6" w:space="0" w:color="000000"/>
              <w:bottom w:val="single" w:sz="6" w:space="0" w:color="000000"/>
              <w:right w:val="single" w:sz="6" w:space="0" w:color="000000"/>
            </w:tcBorders>
          </w:tcPr>
          <w:p w14:paraId="7FA8044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17" w:type="dxa"/>
            <w:tcBorders>
              <w:top w:val="single" w:sz="6" w:space="0" w:color="000000"/>
              <w:left w:val="single" w:sz="6" w:space="0" w:color="000000"/>
              <w:bottom w:val="single" w:sz="6" w:space="0" w:color="000000"/>
              <w:right w:val="single" w:sz="6" w:space="0" w:color="000000"/>
            </w:tcBorders>
          </w:tcPr>
          <w:p w14:paraId="6BB894C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bl>
    <w:p w14:paraId="2F82609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en-US" w:eastAsia="ro-RO"/>
        </w:rPr>
      </w:pPr>
    </w:p>
    <w:p w14:paraId="37C1386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VII. EVALUARE PARACLINICĂ:</w:t>
      </w:r>
    </w:p>
    <w:p w14:paraId="0A9DD1A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vor anexa buletinele de analiză cu valabilitate de maxim 45 de zile, în original sau copie autentificată prin semnătura şi parafa medicului curant dermatolog</w:t>
      </w:r>
    </w:p>
    <w:p w14:paraId="63811F1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Se vor insera rezultatele de laborator corespunzătoare etapei de evaluare conform Protocolului.</w:t>
      </w:r>
    </w:p>
    <w:tbl>
      <w:tblPr>
        <w:tblW w:w="9781" w:type="dxa"/>
        <w:tblInd w:w="-8" w:type="dxa"/>
        <w:tblLayout w:type="fixed"/>
        <w:tblCellMar>
          <w:left w:w="105" w:type="dxa"/>
          <w:right w:w="105" w:type="dxa"/>
        </w:tblCellMar>
        <w:tblLook w:val="0000" w:firstRow="0" w:lastRow="0" w:firstColumn="0" w:lastColumn="0" w:noHBand="0" w:noVBand="0"/>
      </w:tblPr>
      <w:tblGrid>
        <w:gridCol w:w="3402"/>
        <w:gridCol w:w="1701"/>
        <w:gridCol w:w="1985"/>
        <w:gridCol w:w="2693"/>
      </w:tblGrid>
      <w:tr w:rsidR="0049126A" w:rsidRPr="0049126A" w14:paraId="1A711F41"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6B93190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Analiza</w:t>
            </w:r>
          </w:p>
        </w:tc>
        <w:tc>
          <w:tcPr>
            <w:tcW w:w="1701" w:type="dxa"/>
            <w:tcBorders>
              <w:top w:val="single" w:sz="6" w:space="0" w:color="000000"/>
              <w:left w:val="single" w:sz="6" w:space="0" w:color="000000"/>
              <w:bottom w:val="single" w:sz="6" w:space="0" w:color="000000"/>
              <w:right w:val="single" w:sz="6" w:space="0" w:color="000000"/>
            </w:tcBorders>
          </w:tcPr>
          <w:p w14:paraId="053554E1"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Data</w:t>
            </w:r>
          </w:p>
        </w:tc>
        <w:tc>
          <w:tcPr>
            <w:tcW w:w="1985" w:type="dxa"/>
            <w:tcBorders>
              <w:top w:val="single" w:sz="6" w:space="0" w:color="000000"/>
              <w:left w:val="single" w:sz="6" w:space="0" w:color="000000"/>
              <w:bottom w:val="single" w:sz="6" w:space="0" w:color="000000"/>
              <w:right w:val="single" w:sz="6" w:space="0" w:color="000000"/>
            </w:tcBorders>
          </w:tcPr>
          <w:p w14:paraId="6A05FC19"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Rezultat</w:t>
            </w:r>
          </w:p>
        </w:tc>
        <w:tc>
          <w:tcPr>
            <w:tcW w:w="2693" w:type="dxa"/>
            <w:tcBorders>
              <w:top w:val="single" w:sz="6" w:space="0" w:color="000000"/>
              <w:left w:val="single" w:sz="6" w:space="0" w:color="000000"/>
              <w:bottom w:val="single" w:sz="6" w:space="0" w:color="000000"/>
              <w:right w:val="single" w:sz="6" w:space="0" w:color="000000"/>
            </w:tcBorders>
          </w:tcPr>
          <w:p w14:paraId="02A54C6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0"/>
                <w:szCs w:val="20"/>
                <w:lang w:val="en-US" w:eastAsia="ro-RO"/>
              </w:rPr>
            </w:pPr>
            <w:r w:rsidRPr="0049126A">
              <w:rPr>
                <w:rFonts w:ascii="Times New Roman" w:eastAsia="Times New Roman" w:hAnsi="Times New Roman" w:cs="Times New Roman"/>
                <w:b/>
                <w:bCs/>
                <w:sz w:val="20"/>
                <w:szCs w:val="20"/>
                <w:lang w:val="en-US" w:eastAsia="ro-RO"/>
              </w:rPr>
              <w:t>Valori normale</w:t>
            </w:r>
          </w:p>
        </w:tc>
      </w:tr>
      <w:tr w:rsidR="0049126A" w:rsidRPr="0049126A" w14:paraId="30845F17"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00C8C28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VSH (la o oră)</w:t>
            </w:r>
          </w:p>
        </w:tc>
        <w:tc>
          <w:tcPr>
            <w:tcW w:w="1701" w:type="dxa"/>
            <w:tcBorders>
              <w:top w:val="single" w:sz="6" w:space="0" w:color="000000"/>
              <w:left w:val="single" w:sz="6" w:space="0" w:color="000000"/>
              <w:bottom w:val="single" w:sz="6" w:space="0" w:color="000000"/>
              <w:right w:val="single" w:sz="6" w:space="0" w:color="000000"/>
            </w:tcBorders>
          </w:tcPr>
          <w:p w14:paraId="30DC861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17103B2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64B9371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8A74B10"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6140C7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Hemograma:</w:t>
            </w:r>
          </w:p>
        </w:tc>
        <w:tc>
          <w:tcPr>
            <w:tcW w:w="1701" w:type="dxa"/>
            <w:tcBorders>
              <w:top w:val="single" w:sz="6" w:space="0" w:color="000000"/>
              <w:left w:val="single" w:sz="6" w:space="0" w:color="000000"/>
              <w:bottom w:val="single" w:sz="6" w:space="0" w:color="000000"/>
              <w:right w:val="single" w:sz="6" w:space="0" w:color="000000"/>
            </w:tcBorders>
          </w:tcPr>
          <w:p w14:paraId="0D3CEFA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75C231F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3603538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ED56001"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04F77E6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Hb</w:t>
            </w:r>
          </w:p>
        </w:tc>
        <w:tc>
          <w:tcPr>
            <w:tcW w:w="1701" w:type="dxa"/>
            <w:tcBorders>
              <w:top w:val="single" w:sz="6" w:space="0" w:color="000000"/>
              <w:left w:val="single" w:sz="6" w:space="0" w:color="000000"/>
              <w:bottom w:val="single" w:sz="6" w:space="0" w:color="000000"/>
              <w:right w:val="single" w:sz="6" w:space="0" w:color="000000"/>
            </w:tcBorders>
          </w:tcPr>
          <w:p w14:paraId="25B9FEB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6B6E0B5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77B53C4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2575946"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5AD0F0D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Hematocrit</w:t>
            </w:r>
          </w:p>
        </w:tc>
        <w:tc>
          <w:tcPr>
            <w:tcW w:w="1701" w:type="dxa"/>
            <w:tcBorders>
              <w:top w:val="single" w:sz="6" w:space="0" w:color="000000"/>
              <w:left w:val="single" w:sz="6" w:space="0" w:color="000000"/>
              <w:bottom w:val="single" w:sz="6" w:space="0" w:color="000000"/>
              <w:right w:val="single" w:sz="6" w:space="0" w:color="000000"/>
            </w:tcBorders>
          </w:tcPr>
          <w:p w14:paraId="1CB41FE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4539AD4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50BA338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96EE568"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3C0891B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lastRenderedPageBreak/>
              <w:t>Număr hematii</w:t>
            </w:r>
          </w:p>
        </w:tc>
        <w:tc>
          <w:tcPr>
            <w:tcW w:w="1701" w:type="dxa"/>
            <w:tcBorders>
              <w:top w:val="single" w:sz="6" w:space="0" w:color="000000"/>
              <w:left w:val="single" w:sz="6" w:space="0" w:color="000000"/>
              <w:bottom w:val="single" w:sz="6" w:space="0" w:color="000000"/>
              <w:right w:val="single" w:sz="6" w:space="0" w:color="000000"/>
            </w:tcBorders>
          </w:tcPr>
          <w:p w14:paraId="2FCC128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42EF52C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7246992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D0A8172"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4E63981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leucocite</w:t>
            </w:r>
          </w:p>
        </w:tc>
        <w:tc>
          <w:tcPr>
            <w:tcW w:w="1701" w:type="dxa"/>
            <w:tcBorders>
              <w:top w:val="single" w:sz="6" w:space="0" w:color="000000"/>
              <w:left w:val="single" w:sz="6" w:space="0" w:color="000000"/>
              <w:bottom w:val="single" w:sz="6" w:space="0" w:color="000000"/>
              <w:right w:val="single" w:sz="6" w:space="0" w:color="000000"/>
            </w:tcBorders>
          </w:tcPr>
          <w:p w14:paraId="5DCE142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45E8E52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12ACDF9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9561C1D"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6714A0D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neutrofile</w:t>
            </w:r>
          </w:p>
        </w:tc>
        <w:tc>
          <w:tcPr>
            <w:tcW w:w="1701" w:type="dxa"/>
            <w:tcBorders>
              <w:top w:val="single" w:sz="6" w:space="0" w:color="000000"/>
              <w:left w:val="single" w:sz="6" w:space="0" w:color="000000"/>
              <w:bottom w:val="single" w:sz="6" w:space="0" w:color="000000"/>
              <w:right w:val="single" w:sz="6" w:space="0" w:color="000000"/>
            </w:tcBorders>
          </w:tcPr>
          <w:p w14:paraId="1D6C562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60326A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09219B7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2F83127"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2781765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bazofile</w:t>
            </w:r>
          </w:p>
        </w:tc>
        <w:tc>
          <w:tcPr>
            <w:tcW w:w="1701" w:type="dxa"/>
            <w:tcBorders>
              <w:top w:val="single" w:sz="6" w:space="0" w:color="000000"/>
              <w:left w:val="single" w:sz="6" w:space="0" w:color="000000"/>
              <w:bottom w:val="single" w:sz="6" w:space="0" w:color="000000"/>
              <w:right w:val="single" w:sz="6" w:space="0" w:color="000000"/>
            </w:tcBorders>
          </w:tcPr>
          <w:p w14:paraId="2CA6312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7EB8E34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15F3545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F786B93"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768275F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eozinofile</w:t>
            </w:r>
          </w:p>
        </w:tc>
        <w:tc>
          <w:tcPr>
            <w:tcW w:w="1701" w:type="dxa"/>
            <w:tcBorders>
              <w:top w:val="single" w:sz="6" w:space="0" w:color="000000"/>
              <w:left w:val="single" w:sz="6" w:space="0" w:color="000000"/>
              <w:bottom w:val="single" w:sz="6" w:space="0" w:color="000000"/>
              <w:right w:val="single" w:sz="6" w:space="0" w:color="000000"/>
            </w:tcBorders>
          </w:tcPr>
          <w:p w14:paraId="05F3710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6744B2B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518A3DF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08019021"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09C3B26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monocite</w:t>
            </w:r>
          </w:p>
        </w:tc>
        <w:tc>
          <w:tcPr>
            <w:tcW w:w="1701" w:type="dxa"/>
            <w:tcBorders>
              <w:top w:val="single" w:sz="6" w:space="0" w:color="000000"/>
              <w:left w:val="single" w:sz="6" w:space="0" w:color="000000"/>
              <w:bottom w:val="single" w:sz="6" w:space="0" w:color="000000"/>
              <w:right w:val="single" w:sz="6" w:space="0" w:color="000000"/>
            </w:tcBorders>
          </w:tcPr>
          <w:p w14:paraId="339F141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78D3BDC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6E24774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1353925"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3F02FCA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limfocite</w:t>
            </w:r>
          </w:p>
        </w:tc>
        <w:tc>
          <w:tcPr>
            <w:tcW w:w="1701" w:type="dxa"/>
            <w:tcBorders>
              <w:top w:val="single" w:sz="6" w:space="0" w:color="000000"/>
              <w:left w:val="single" w:sz="6" w:space="0" w:color="000000"/>
              <w:bottom w:val="single" w:sz="6" w:space="0" w:color="000000"/>
              <w:right w:val="single" w:sz="6" w:space="0" w:color="000000"/>
            </w:tcBorders>
          </w:tcPr>
          <w:p w14:paraId="70A39B7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4F90D7C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02B4127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E23EC1F"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01DE191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Număr trombocite</w:t>
            </w:r>
          </w:p>
        </w:tc>
        <w:tc>
          <w:tcPr>
            <w:tcW w:w="1701" w:type="dxa"/>
            <w:tcBorders>
              <w:top w:val="single" w:sz="6" w:space="0" w:color="000000"/>
              <w:left w:val="single" w:sz="6" w:space="0" w:color="000000"/>
              <w:bottom w:val="single" w:sz="6" w:space="0" w:color="000000"/>
              <w:right w:val="single" w:sz="6" w:space="0" w:color="000000"/>
            </w:tcBorders>
          </w:tcPr>
          <w:p w14:paraId="407526E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696231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77100F3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3E4753E"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03263DF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Altele modificate</w:t>
            </w:r>
          </w:p>
        </w:tc>
        <w:tc>
          <w:tcPr>
            <w:tcW w:w="1701" w:type="dxa"/>
            <w:tcBorders>
              <w:top w:val="single" w:sz="6" w:space="0" w:color="000000"/>
              <w:left w:val="single" w:sz="6" w:space="0" w:color="000000"/>
              <w:bottom w:val="single" w:sz="6" w:space="0" w:color="000000"/>
              <w:right w:val="single" w:sz="6" w:space="0" w:color="000000"/>
            </w:tcBorders>
          </w:tcPr>
          <w:p w14:paraId="6D23613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0154DE2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2FDAB1D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D65054D"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1E72BA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Creatinină</w:t>
            </w:r>
          </w:p>
        </w:tc>
        <w:tc>
          <w:tcPr>
            <w:tcW w:w="1701" w:type="dxa"/>
            <w:tcBorders>
              <w:top w:val="single" w:sz="6" w:space="0" w:color="000000"/>
              <w:left w:val="single" w:sz="6" w:space="0" w:color="000000"/>
              <w:bottom w:val="single" w:sz="6" w:space="0" w:color="000000"/>
              <w:right w:val="single" w:sz="6" w:space="0" w:color="000000"/>
            </w:tcBorders>
          </w:tcPr>
          <w:p w14:paraId="3267DE2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55C2CB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2D15EE5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6C3FB9C"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67892D5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Uree</w:t>
            </w:r>
          </w:p>
        </w:tc>
        <w:tc>
          <w:tcPr>
            <w:tcW w:w="1701" w:type="dxa"/>
            <w:tcBorders>
              <w:top w:val="single" w:sz="6" w:space="0" w:color="000000"/>
              <w:left w:val="single" w:sz="6" w:space="0" w:color="000000"/>
              <w:bottom w:val="single" w:sz="6" w:space="0" w:color="000000"/>
              <w:right w:val="single" w:sz="6" w:space="0" w:color="000000"/>
            </w:tcBorders>
          </w:tcPr>
          <w:p w14:paraId="149C6E2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503B371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0ABE6F6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28CBEB2"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679876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TGO (ASAT)</w:t>
            </w:r>
          </w:p>
        </w:tc>
        <w:tc>
          <w:tcPr>
            <w:tcW w:w="1701" w:type="dxa"/>
            <w:tcBorders>
              <w:top w:val="single" w:sz="6" w:space="0" w:color="000000"/>
              <w:left w:val="single" w:sz="6" w:space="0" w:color="000000"/>
              <w:bottom w:val="single" w:sz="6" w:space="0" w:color="000000"/>
              <w:right w:val="single" w:sz="6" w:space="0" w:color="000000"/>
            </w:tcBorders>
          </w:tcPr>
          <w:p w14:paraId="5F17211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155E262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57EAB7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AC09ABE"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4C7C9F8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TGP (ALAT)</w:t>
            </w:r>
          </w:p>
        </w:tc>
        <w:tc>
          <w:tcPr>
            <w:tcW w:w="1701" w:type="dxa"/>
            <w:tcBorders>
              <w:top w:val="single" w:sz="6" w:space="0" w:color="000000"/>
              <w:left w:val="single" w:sz="6" w:space="0" w:color="000000"/>
              <w:bottom w:val="single" w:sz="6" w:space="0" w:color="000000"/>
              <w:right w:val="single" w:sz="6" w:space="0" w:color="000000"/>
            </w:tcBorders>
          </w:tcPr>
          <w:p w14:paraId="640121A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1A762B6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426B559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31BB687F"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39FD26A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GGT</w:t>
            </w:r>
          </w:p>
        </w:tc>
        <w:tc>
          <w:tcPr>
            <w:tcW w:w="1701" w:type="dxa"/>
            <w:tcBorders>
              <w:top w:val="single" w:sz="6" w:space="0" w:color="000000"/>
              <w:left w:val="single" w:sz="6" w:space="0" w:color="000000"/>
              <w:bottom w:val="single" w:sz="6" w:space="0" w:color="000000"/>
              <w:right w:val="single" w:sz="6" w:space="0" w:color="000000"/>
            </w:tcBorders>
          </w:tcPr>
          <w:p w14:paraId="3FC1381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729115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42F0FA3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394F5F1"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7DA48E2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Sodiu</w:t>
            </w:r>
          </w:p>
        </w:tc>
        <w:tc>
          <w:tcPr>
            <w:tcW w:w="1701" w:type="dxa"/>
            <w:tcBorders>
              <w:top w:val="single" w:sz="6" w:space="0" w:color="000000"/>
              <w:left w:val="single" w:sz="6" w:space="0" w:color="000000"/>
              <w:bottom w:val="single" w:sz="6" w:space="0" w:color="000000"/>
              <w:right w:val="single" w:sz="6" w:space="0" w:color="000000"/>
            </w:tcBorders>
          </w:tcPr>
          <w:p w14:paraId="2CEF3D7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71161EC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78A8822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DEFC9C1"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34AC032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Potasiu</w:t>
            </w:r>
          </w:p>
        </w:tc>
        <w:tc>
          <w:tcPr>
            <w:tcW w:w="1701" w:type="dxa"/>
            <w:tcBorders>
              <w:top w:val="single" w:sz="6" w:space="0" w:color="000000"/>
              <w:left w:val="single" w:sz="6" w:space="0" w:color="000000"/>
              <w:bottom w:val="single" w:sz="6" w:space="0" w:color="000000"/>
              <w:right w:val="single" w:sz="6" w:space="0" w:color="000000"/>
            </w:tcBorders>
          </w:tcPr>
          <w:p w14:paraId="4602D37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7576D78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6B36BCA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FE50209"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631BB36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AgHBs</w:t>
            </w:r>
          </w:p>
        </w:tc>
        <w:tc>
          <w:tcPr>
            <w:tcW w:w="1701" w:type="dxa"/>
            <w:tcBorders>
              <w:top w:val="single" w:sz="6" w:space="0" w:color="000000"/>
              <w:left w:val="single" w:sz="6" w:space="0" w:color="000000"/>
              <w:bottom w:val="single" w:sz="6" w:space="0" w:color="000000"/>
              <w:right w:val="single" w:sz="6" w:space="0" w:color="000000"/>
            </w:tcBorders>
          </w:tcPr>
          <w:p w14:paraId="38BF2C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192B28C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27C872B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B148089"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1F8BF84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Ac anti HVC</w:t>
            </w:r>
          </w:p>
        </w:tc>
        <w:tc>
          <w:tcPr>
            <w:tcW w:w="1701" w:type="dxa"/>
            <w:tcBorders>
              <w:top w:val="single" w:sz="6" w:space="0" w:color="000000"/>
              <w:left w:val="single" w:sz="6" w:space="0" w:color="000000"/>
              <w:bottom w:val="single" w:sz="6" w:space="0" w:color="000000"/>
              <w:right w:val="single" w:sz="6" w:space="0" w:color="000000"/>
            </w:tcBorders>
          </w:tcPr>
          <w:p w14:paraId="57C0699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0B9F059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6EA56B5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4A5BBE2F"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3C93F8F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Sumar de urină</w:t>
            </w:r>
          </w:p>
        </w:tc>
        <w:tc>
          <w:tcPr>
            <w:tcW w:w="1701" w:type="dxa"/>
            <w:tcBorders>
              <w:top w:val="single" w:sz="6" w:space="0" w:color="000000"/>
              <w:left w:val="single" w:sz="6" w:space="0" w:color="000000"/>
              <w:bottom w:val="single" w:sz="6" w:space="0" w:color="000000"/>
              <w:right w:val="single" w:sz="6" w:space="0" w:color="000000"/>
            </w:tcBorders>
          </w:tcPr>
          <w:p w14:paraId="13C3C6F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58B5EA3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55E842E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66DD522C"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3C9BED3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Radiografie pulmonară</w:t>
            </w:r>
          </w:p>
        </w:tc>
        <w:tc>
          <w:tcPr>
            <w:tcW w:w="1701" w:type="dxa"/>
            <w:tcBorders>
              <w:top w:val="single" w:sz="6" w:space="0" w:color="000000"/>
              <w:left w:val="single" w:sz="6" w:space="0" w:color="000000"/>
              <w:bottom w:val="single" w:sz="6" w:space="0" w:color="000000"/>
              <w:right w:val="single" w:sz="6" w:space="0" w:color="000000"/>
            </w:tcBorders>
          </w:tcPr>
          <w:p w14:paraId="44E900A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single" w:sz="6" w:space="0" w:color="000000"/>
              <w:right w:val="single" w:sz="6" w:space="0" w:color="000000"/>
            </w:tcBorders>
          </w:tcPr>
          <w:p w14:paraId="39CB933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single" w:sz="6" w:space="0" w:color="000000"/>
              <w:right w:val="single" w:sz="6" w:space="0" w:color="000000"/>
            </w:tcBorders>
          </w:tcPr>
          <w:p w14:paraId="51DB587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2E6BBD3" w14:textId="77777777" w:rsidTr="00300738">
        <w:tc>
          <w:tcPr>
            <w:tcW w:w="3402" w:type="dxa"/>
            <w:tcBorders>
              <w:top w:val="single" w:sz="6" w:space="0" w:color="000000"/>
              <w:left w:val="single" w:sz="6" w:space="0" w:color="000000"/>
              <w:bottom w:val="nil"/>
              <w:right w:val="single" w:sz="6" w:space="0" w:color="000000"/>
            </w:tcBorders>
          </w:tcPr>
          <w:p w14:paraId="53A661B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Testul cutanat tuberculinic sau</w:t>
            </w:r>
          </w:p>
        </w:tc>
        <w:tc>
          <w:tcPr>
            <w:tcW w:w="1701" w:type="dxa"/>
            <w:tcBorders>
              <w:top w:val="single" w:sz="6" w:space="0" w:color="000000"/>
              <w:left w:val="single" w:sz="6" w:space="0" w:color="000000"/>
              <w:bottom w:val="nil"/>
              <w:right w:val="single" w:sz="6" w:space="0" w:color="000000"/>
            </w:tcBorders>
          </w:tcPr>
          <w:p w14:paraId="31005DE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single" w:sz="6" w:space="0" w:color="000000"/>
              <w:left w:val="single" w:sz="6" w:space="0" w:color="000000"/>
              <w:bottom w:val="nil"/>
              <w:right w:val="single" w:sz="6" w:space="0" w:color="000000"/>
            </w:tcBorders>
          </w:tcPr>
          <w:p w14:paraId="761E99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single" w:sz="6" w:space="0" w:color="000000"/>
              <w:left w:val="single" w:sz="6" w:space="0" w:color="000000"/>
              <w:bottom w:val="nil"/>
              <w:right w:val="single" w:sz="6" w:space="0" w:color="000000"/>
            </w:tcBorders>
          </w:tcPr>
          <w:p w14:paraId="0EE8C55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165E8114" w14:textId="77777777" w:rsidTr="00300738">
        <w:tc>
          <w:tcPr>
            <w:tcW w:w="3402" w:type="dxa"/>
            <w:tcBorders>
              <w:top w:val="nil"/>
              <w:left w:val="single" w:sz="6" w:space="0" w:color="000000"/>
              <w:bottom w:val="single" w:sz="6" w:space="0" w:color="000000"/>
              <w:right w:val="single" w:sz="6" w:space="0" w:color="000000"/>
            </w:tcBorders>
          </w:tcPr>
          <w:p w14:paraId="38C049B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IGRA</w:t>
            </w:r>
          </w:p>
        </w:tc>
        <w:tc>
          <w:tcPr>
            <w:tcW w:w="1701" w:type="dxa"/>
            <w:tcBorders>
              <w:top w:val="nil"/>
              <w:left w:val="single" w:sz="6" w:space="0" w:color="000000"/>
              <w:bottom w:val="single" w:sz="6" w:space="0" w:color="000000"/>
              <w:right w:val="single" w:sz="6" w:space="0" w:color="000000"/>
            </w:tcBorders>
          </w:tcPr>
          <w:p w14:paraId="43D9F1C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985" w:type="dxa"/>
            <w:tcBorders>
              <w:top w:val="nil"/>
              <w:left w:val="single" w:sz="6" w:space="0" w:color="000000"/>
              <w:bottom w:val="single" w:sz="6" w:space="0" w:color="000000"/>
              <w:right w:val="single" w:sz="6" w:space="0" w:color="000000"/>
            </w:tcBorders>
          </w:tcPr>
          <w:p w14:paraId="1B1D9E3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2693" w:type="dxa"/>
            <w:tcBorders>
              <w:top w:val="nil"/>
              <w:left w:val="single" w:sz="6" w:space="0" w:color="000000"/>
              <w:bottom w:val="single" w:sz="6" w:space="0" w:color="000000"/>
              <w:right w:val="single" w:sz="6" w:space="0" w:color="000000"/>
            </w:tcBorders>
          </w:tcPr>
          <w:p w14:paraId="5A4B509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24919477" w14:textId="77777777" w:rsidTr="00300738">
        <w:tc>
          <w:tcPr>
            <w:tcW w:w="3402" w:type="dxa"/>
            <w:tcBorders>
              <w:top w:val="single" w:sz="6" w:space="0" w:color="000000"/>
              <w:left w:val="single" w:sz="6" w:space="0" w:color="000000"/>
              <w:bottom w:val="single" w:sz="6" w:space="0" w:color="000000"/>
              <w:right w:val="single" w:sz="6" w:space="0" w:color="000000"/>
            </w:tcBorders>
          </w:tcPr>
          <w:p w14:paraId="428A8AC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Alte date de laborator semnificative</w:t>
            </w:r>
          </w:p>
        </w:tc>
        <w:tc>
          <w:tcPr>
            <w:tcW w:w="1701" w:type="dxa"/>
            <w:tcBorders>
              <w:top w:val="single" w:sz="6" w:space="0" w:color="000000"/>
              <w:left w:val="single" w:sz="6" w:space="0" w:color="000000"/>
              <w:bottom w:val="single" w:sz="6" w:space="0" w:color="000000"/>
              <w:right w:val="single" w:sz="6" w:space="0" w:color="000000"/>
            </w:tcBorders>
          </w:tcPr>
          <w:p w14:paraId="57FB863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985" w:type="dxa"/>
            <w:tcBorders>
              <w:top w:val="single" w:sz="6" w:space="0" w:color="000000"/>
              <w:left w:val="single" w:sz="6" w:space="0" w:color="000000"/>
              <w:bottom w:val="single" w:sz="6" w:space="0" w:color="000000"/>
              <w:right w:val="single" w:sz="6" w:space="0" w:color="000000"/>
            </w:tcBorders>
          </w:tcPr>
          <w:p w14:paraId="6759624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2693" w:type="dxa"/>
            <w:tcBorders>
              <w:top w:val="single" w:sz="6" w:space="0" w:color="000000"/>
              <w:left w:val="single" w:sz="6" w:space="0" w:color="000000"/>
              <w:bottom w:val="single" w:sz="6" w:space="0" w:color="000000"/>
              <w:right w:val="single" w:sz="6" w:space="0" w:color="000000"/>
            </w:tcBorders>
          </w:tcPr>
          <w:p w14:paraId="6B1BCCE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bl>
    <w:p w14:paraId="7FF9502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1A84C77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VIII. TRATAMENTUL BIOLOGIC PROPUS:</w:t>
      </w:r>
    </w:p>
    <w:p w14:paraId="72E56EF4"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b/>
          <w:bCs/>
          <w:sz w:val="24"/>
          <w:szCs w:val="24"/>
          <w:lang w:val="en-US" w:eastAsia="ro-RO"/>
        </w:rPr>
        <w:t xml:space="preserve">INIŢIERE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sz w:val="24"/>
          <w:szCs w:val="24"/>
          <w:u w:val="single"/>
          <w:lang w:val="en-US" w:eastAsia="ro-RO"/>
        </w:rPr>
        <w:t>¯</w:t>
      </w:r>
      <w:r w:rsidRPr="0049126A">
        <w:rPr>
          <w:rFonts w:ascii="Times New Roman" w:eastAsia="Times New Roman" w:hAnsi="Times New Roman" w:cs="Times New Roman"/>
          <w:sz w:val="24"/>
          <w:szCs w:val="24"/>
          <w:lang w:val="en-US" w:eastAsia="ro-RO"/>
        </w:rPr>
        <w:t>|</w:t>
      </w:r>
    </w:p>
    <w:p w14:paraId="66DE8C76"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 xml:space="preserve">Agent biologic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denumire comercială</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DCI</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w:t>
      </w:r>
    </w:p>
    <w:tbl>
      <w:tblPr>
        <w:tblW w:w="9781" w:type="dxa"/>
        <w:tblInd w:w="-8" w:type="dxa"/>
        <w:tblLayout w:type="fixed"/>
        <w:tblCellMar>
          <w:left w:w="105" w:type="dxa"/>
          <w:right w:w="105" w:type="dxa"/>
        </w:tblCellMar>
        <w:tblLook w:val="0000" w:firstRow="0" w:lastRow="0" w:firstColumn="0" w:lastColumn="0" w:noHBand="0" w:noVBand="0"/>
      </w:tblPr>
      <w:tblGrid>
        <w:gridCol w:w="616"/>
        <w:gridCol w:w="4086"/>
        <w:gridCol w:w="1081"/>
        <w:gridCol w:w="1447"/>
        <w:gridCol w:w="1105"/>
        <w:gridCol w:w="1446"/>
      </w:tblGrid>
      <w:tr w:rsidR="0049126A" w:rsidRPr="0049126A" w14:paraId="684F4B2E" w14:textId="77777777" w:rsidTr="00300738">
        <w:tc>
          <w:tcPr>
            <w:tcW w:w="616" w:type="dxa"/>
            <w:tcBorders>
              <w:top w:val="single" w:sz="6" w:space="0" w:color="000000"/>
              <w:left w:val="single" w:sz="6" w:space="0" w:color="000000"/>
              <w:bottom w:val="single" w:sz="6" w:space="0" w:color="000000"/>
              <w:right w:val="single" w:sz="6" w:space="0" w:color="000000"/>
            </w:tcBorders>
          </w:tcPr>
          <w:p w14:paraId="02BF749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4086" w:type="dxa"/>
            <w:tcBorders>
              <w:top w:val="single" w:sz="6" w:space="0" w:color="000000"/>
              <w:left w:val="single" w:sz="6" w:space="0" w:color="000000"/>
              <w:bottom w:val="single" w:sz="6" w:space="0" w:color="000000"/>
              <w:right w:val="single" w:sz="6" w:space="0" w:color="000000"/>
            </w:tcBorders>
          </w:tcPr>
          <w:p w14:paraId="05E8AA0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081" w:type="dxa"/>
            <w:tcBorders>
              <w:top w:val="single" w:sz="6" w:space="0" w:color="000000"/>
              <w:left w:val="single" w:sz="6" w:space="0" w:color="000000"/>
              <w:bottom w:val="single" w:sz="6" w:space="0" w:color="000000"/>
              <w:right w:val="single" w:sz="6" w:space="0" w:color="000000"/>
            </w:tcBorders>
          </w:tcPr>
          <w:p w14:paraId="49CEF0C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interval</w:t>
            </w:r>
          </w:p>
        </w:tc>
        <w:tc>
          <w:tcPr>
            <w:tcW w:w="1447" w:type="dxa"/>
            <w:tcBorders>
              <w:top w:val="single" w:sz="6" w:space="0" w:color="000000"/>
              <w:left w:val="single" w:sz="6" w:space="0" w:color="000000"/>
              <w:bottom w:val="single" w:sz="6" w:space="0" w:color="000000"/>
              <w:right w:val="single" w:sz="6" w:space="0" w:color="000000"/>
            </w:tcBorders>
          </w:tcPr>
          <w:p w14:paraId="22F91D1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data administrării</w:t>
            </w:r>
          </w:p>
        </w:tc>
        <w:tc>
          <w:tcPr>
            <w:tcW w:w="1105" w:type="dxa"/>
            <w:tcBorders>
              <w:top w:val="single" w:sz="6" w:space="0" w:color="000000"/>
              <w:left w:val="single" w:sz="6" w:space="0" w:color="000000"/>
              <w:bottom w:val="single" w:sz="6" w:space="0" w:color="000000"/>
              <w:right w:val="single" w:sz="6" w:space="0" w:color="000000"/>
            </w:tcBorders>
          </w:tcPr>
          <w:p w14:paraId="49DECFFB"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doza</w:t>
            </w:r>
          </w:p>
        </w:tc>
        <w:tc>
          <w:tcPr>
            <w:tcW w:w="1446" w:type="dxa"/>
            <w:tcBorders>
              <w:top w:val="single" w:sz="6" w:space="0" w:color="000000"/>
              <w:left w:val="single" w:sz="6" w:space="0" w:color="000000"/>
              <w:bottom w:val="single" w:sz="6" w:space="0" w:color="000000"/>
              <w:right w:val="single" w:sz="6" w:space="0" w:color="000000"/>
            </w:tcBorders>
          </w:tcPr>
          <w:p w14:paraId="03DD9FF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mod administrare</w:t>
            </w:r>
          </w:p>
        </w:tc>
      </w:tr>
      <w:tr w:rsidR="0049126A" w:rsidRPr="0049126A" w14:paraId="79605928" w14:textId="77777777" w:rsidTr="00300738">
        <w:tc>
          <w:tcPr>
            <w:tcW w:w="616" w:type="dxa"/>
            <w:tcBorders>
              <w:top w:val="single" w:sz="6" w:space="0" w:color="000000"/>
              <w:left w:val="single" w:sz="6" w:space="0" w:color="000000"/>
              <w:bottom w:val="single" w:sz="6" w:space="0" w:color="000000"/>
              <w:right w:val="single" w:sz="6" w:space="0" w:color="000000"/>
            </w:tcBorders>
          </w:tcPr>
          <w:p w14:paraId="45040C3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w:t>
            </w:r>
          </w:p>
        </w:tc>
        <w:tc>
          <w:tcPr>
            <w:tcW w:w="4086" w:type="dxa"/>
            <w:tcBorders>
              <w:top w:val="single" w:sz="6" w:space="0" w:color="000000"/>
              <w:left w:val="single" w:sz="6" w:space="0" w:color="000000"/>
              <w:bottom w:val="single" w:sz="6" w:space="0" w:color="000000"/>
              <w:right w:val="single" w:sz="6" w:space="0" w:color="000000"/>
            </w:tcBorders>
          </w:tcPr>
          <w:p w14:paraId="4756428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Vizită iniţială</w:t>
            </w:r>
          </w:p>
        </w:tc>
        <w:tc>
          <w:tcPr>
            <w:tcW w:w="1081" w:type="dxa"/>
            <w:tcBorders>
              <w:top w:val="single" w:sz="6" w:space="0" w:color="000000"/>
              <w:left w:val="single" w:sz="6" w:space="0" w:color="000000"/>
              <w:bottom w:val="single" w:sz="6" w:space="0" w:color="000000"/>
              <w:right w:val="single" w:sz="6" w:space="0" w:color="000000"/>
            </w:tcBorders>
          </w:tcPr>
          <w:p w14:paraId="5343CC26"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w:t>
            </w:r>
          </w:p>
        </w:tc>
        <w:tc>
          <w:tcPr>
            <w:tcW w:w="1447" w:type="dxa"/>
            <w:tcBorders>
              <w:top w:val="single" w:sz="6" w:space="0" w:color="000000"/>
              <w:left w:val="single" w:sz="6" w:space="0" w:color="000000"/>
              <w:bottom w:val="single" w:sz="6" w:space="0" w:color="000000"/>
              <w:right w:val="single" w:sz="6" w:space="0" w:color="000000"/>
            </w:tcBorders>
          </w:tcPr>
          <w:p w14:paraId="6AFBBF1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105" w:type="dxa"/>
            <w:tcBorders>
              <w:top w:val="single" w:sz="6" w:space="0" w:color="000000"/>
              <w:left w:val="single" w:sz="6" w:space="0" w:color="000000"/>
              <w:bottom w:val="single" w:sz="6" w:space="0" w:color="000000"/>
              <w:right w:val="single" w:sz="6" w:space="0" w:color="000000"/>
            </w:tcBorders>
          </w:tcPr>
          <w:p w14:paraId="56DEEE2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46" w:type="dxa"/>
            <w:tcBorders>
              <w:top w:val="single" w:sz="6" w:space="0" w:color="000000"/>
              <w:left w:val="single" w:sz="6" w:space="0" w:color="000000"/>
              <w:bottom w:val="single" w:sz="6" w:space="0" w:color="000000"/>
              <w:right w:val="single" w:sz="6" w:space="0" w:color="000000"/>
            </w:tcBorders>
          </w:tcPr>
          <w:p w14:paraId="4162764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5D7A557E" w14:textId="77777777" w:rsidTr="00300738">
        <w:tc>
          <w:tcPr>
            <w:tcW w:w="616" w:type="dxa"/>
            <w:tcBorders>
              <w:top w:val="single" w:sz="6" w:space="0" w:color="000000"/>
              <w:left w:val="single" w:sz="6" w:space="0" w:color="000000"/>
              <w:bottom w:val="single" w:sz="6" w:space="0" w:color="000000"/>
              <w:right w:val="single" w:sz="6" w:space="0" w:color="000000"/>
            </w:tcBorders>
          </w:tcPr>
          <w:p w14:paraId="00494BC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2</w:t>
            </w:r>
          </w:p>
        </w:tc>
        <w:tc>
          <w:tcPr>
            <w:tcW w:w="4086" w:type="dxa"/>
            <w:tcBorders>
              <w:top w:val="single" w:sz="6" w:space="0" w:color="000000"/>
              <w:left w:val="single" w:sz="6" w:space="0" w:color="000000"/>
              <w:bottom w:val="single" w:sz="6" w:space="0" w:color="000000"/>
              <w:right w:val="single" w:sz="6" w:space="0" w:color="000000"/>
            </w:tcBorders>
          </w:tcPr>
          <w:p w14:paraId="16ED72C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Vizita de evaluare a eficacităţii clinice la 3 luni</w:t>
            </w:r>
          </w:p>
        </w:tc>
        <w:tc>
          <w:tcPr>
            <w:tcW w:w="1081" w:type="dxa"/>
            <w:tcBorders>
              <w:top w:val="single" w:sz="6" w:space="0" w:color="000000"/>
              <w:left w:val="single" w:sz="6" w:space="0" w:color="000000"/>
              <w:bottom w:val="single" w:sz="6" w:space="0" w:color="000000"/>
              <w:right w:val="single" w:sz="6" w:space="0" w:color="000000"/>
            </w:tcBorders>
          </w:tcPr>
          <w:p w14:paraId="2E581EF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447" w:type="dxa"/>
            <w:tcBorders>
              <w:top w:val="single" w:sz="6" w:space="0" w:color="000000"/>
              <w:left w:val="single" w:sz="6" w:space="0" w:color="000000"/>
              <w:bottom w:val="single" w:sz="6" w:space="0" w:color="000000"/>
              <w:right w:val="single" w:sz="6" w:space="0" w:color="000000"/>
            </w:tcBorders>
          </w:tcPr>
          <w:p w14:paraId="05A8010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105" w:type="dxa"/>
            <w:tcBorders>
              <w:top w:val="single" w:sz="6" w:space="0" w:color="000000"/>
              <w:left w:val="single" w:sz="6" w:space="0" w:color="000000"/>
              <w:bottom w:val="single" w:sz="6" w:space="0" w:color="000000"/>
              <w:right w:val="single" w:sz="6" w:space="0" w:color="000000"/>
            </w:tcBorders>
          </w:tcPr>
          <w:p w14:paraId="193CA17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446" w:type="dxa"/>
            <w:tcBorders>
              <w:top w:val="single" w:sz="6" w:space="0" w:color="000000"/>
              <w:left w:val="single" w:sz="6" w:space="0" w:color="000000"/>
              <w:bottom w:val="single" w:sz="6" w:space="0" w:color="000000"/>
              <w:right w:val="single" w:sz="6" w:space="0" w:color="000000"/>
            </w:tcBorders>
          </w:tcPr>
          <w:p w14:paraId="460C35D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bl>
    <w:p w14:paraId="392E9B3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C04672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p>
    <w:p w14:paraId="5FF69138"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 xml:space="preserve">CONTINUAREA TERAPIEI CU AGENT BIOLOGIC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CONTROL EFECTUAT DE LA PRIMA EVALUARE A EFICACITĂŢII CLINICE - LA INTERVAL DE 6 LUNI DE LA INITIERE SI APOI DIN 6 IN 6 LUNI)</w:t>
      </w:r>
    </w:p>
    <w:p w14:paraId="112DFED1"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 xml:space="preserve">Agent biologic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denumire comercială</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DCI</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w:t>
      </w:r>
    </w:p>
    <w:p w14:paraId="2C9559D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8A5472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DOZĂ de continuare .................................</w:t>
      </w:r>
    </w:p>
    <w:p w14:paraId="77A6A0A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Interval de administrare ..............................</w:t>
      </w:r>
    </w:p>
    <w:p w14:paraId="4E6DA3E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Mod de administrare ..................................</w:t>
      </w:r>
    </w:p>
    <w:p w14:paraId="5F356CD2"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F9C8BF5"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b/>
          <w:bCs/>
          <w:sz w:val="24"/>
          <w:szCs w:val="24"/>
          <w:lang w:val="fr-MC" w:eastAsia="ro-RO"/>
        </w:rPr>
        <w:t xml:space="preserve">SCHIMBAREA AGENTULUI BIOLOGIC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53B1FD69"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fr-MC" w:eastAsia="ro-RO"/>
        </w:rPr>
        <w:t xml:space="preserve">Agent biologic ineficient/care a produs o reacţie adversă </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denumire comercială</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b/>
          <w:bCs/>
          <w:sz w:val="24"/>
          <w:szCs w:val="24"/>
          <w:lang w:val="fr-MC" w:eastAsia="ro-RO"/>
        </w:rPr>
        <w:t xml:space="preserve"> ..................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DCI</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w:t>
      </w:r>
    </w:p>
    <w:p w14:paraId="6E5382F4"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 xml:space="preserve">Agent biologic nou introdus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denumire comercială</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 </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DCI</w:t>
      </w:r>
      <w:r w:rsidRPr="0049126A">
        <w:rPr>
          <w:rFonts w:ascii="Times New Roman" w:eastAsia="Times New Roman" w:hAnsi="Times New Roman" w:cs="Times New Roman"/>
          <w:sz w:val="24"/>
          <w:szCs w:val="24"/>
          <w:lang w:val="en-US" w:eastAsia="ro-RO"/>
        </w:rPr>
        <w:t>)</w:t>
      </w:r>
      <w:r w:rsidRPr="0049126A">
        <w:rPr>
          <w:rFonts w:ascii="Times New Roman" w:eastAsia="Times New Roman" w:hAnsi="Times New Roman" w:cs="Times New Roman"/>
          <w:b/>
          <w:bCs/>
          <w:sz w:val="24"/>
          <w:szCs w:val="24"/>
          <w:lang w:val="en-US" w:eastAsia="ro-RO"/>
        </w:rPr>
        <w:t xml:space="preserve"> .........................</w:t>
      </w:r>
    </w:p>
    <w:tbl>
      <w:tblPr>
        <w:tblW w:w="9781" w:type="dxa"/>
        <w:tblInd w:w="-8" w:type="dxa"/>
        <w:tblLayout w:type="fixed"/>
        <w:tblCellMar>
          <w:left w:w="105" w:type="dxa"/>
          <w:right w:w="105" w:type="dxa"/>
        </w:tblCellMar>
        <w:tblLook w:val="0000" w:firstRow="0" w:lastRow="0" w:firstColumn="0" w:lastColumn="0" w:noHBand="0" w:noVBand="0"/>
      </w:tblPr>
      <w:tblGrid>
        <w:gridCol w:w="616"/>
        <w:gridCol w:w="4033"/>
        <w:gridCol w:w="1134"/>
        <w:gridCol w:w="1701"/>
        <w:gridCol w:w="851"/>
        <w:gridCol w:w="1446"/>
      </w:tblGrid>
      <w:tr w:rsidR="0049126A" w:rsidRPr="0049126A" w14:paraId="579E6BE8" w14:textId="77777777" w:rsidTr="00300738">
        <w:tc>
          <w:tcPr>
            <w:tcW w:w="616" w:type="dxa"/>
            <w:tcBorders>
              <w:top w:val="single" w:sz="6" w:space="0" w:color="000000"/>
              <w:left w:val="single" w:sz="6" w:space="0" w:color="000000"/>
              <w:bottom w:val="single" w:sz="6" w:space="0" w:color="000000"/>
              <w:right w:val="single" w:sz="6" w:space="0" w:color="000000"/>
            </w:tcBorders>
          </w:tcPr>
          <w:p w14:paraId="14D3B45E"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4033" w:type="dxa"/>
            <w:tcBorders>
              <w:top w:val="single" w:sz="6" w:space="0" w:color="000000"/>
              <w:left w:val="single" w:sz="6" w:space="0" w:color="000000"/>
              <w:bottom w:val="single" w:sz="6" w:space="0" w:color="000000"/>
              <w:right w:val="single" w:sz="6" w:space="0" w:color="000000"/>
            </w:tcBorders>
          </w:tcPr>
          <w:p w14:paraId="18BB3904"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1134" w:type="dxa"/>
            <w:tcBorders>
              <w:top w:val="single" w:sz="6" w:space="0" w:color="000000"/>
              <w:left w:val="single" w:sz="6" w:space="0" w:color="000000"/>
              <w:bottom w:val="single" w:sz="6" w:space="0" w:color="000000"/>
              <w:right w:val="single" w:sz="6" w:space="0" w:color="000000"/>
            </w:tcBorders>
          </w:tcPr>
          <w:p w14:paraId="61871123"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interval</w:t>
            </w:r>
          </w:p>
        </w:tc>
        <w:tc>
          <w:tcPr>
            <w:tcW w:w="1701" w:type="dxa"/>
            <w:tcBorders>
              <w:top w:val="single" w:sz="6" w:space="0" w:color="000000"/>
              <w:left w:val="single" w:sz="6" w:space="0" w:color="000000"/>
              <w:bottom w:val="single" w:sz="6" w:space="0" w:color="000000"/>
              <w:right w:val="single" w:sz="6" w:space="0" w:color="000000"/>
            </w:tcBorders>
          </w:tcPr>
          <w:p w14:paraId="15A95EE2"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data administrării</w:t>
            </w:r>
          </w:p>
        </w:tc>
        <w:tc>
          <w:tcPr>
            <w:tcW w:w="851" w:type="dxa"/>
            <w:tcBorders>
              <w:top w:val="single" w:sz="6" w:space="0" w:color="000000"/>
              <w:left w:val="single" w:sz="6" w:space="0" w:color="000000"/>
              <w:bottom w:val="single" w:sz="6" w:space="0" w:color="000000"/>
              <w:right w:val="single" w:sz="6" w:space="0" w:color="000000"/>
            </w:tcBorders>
          </w:tcPr>
          <w:p w14:paraId="1DA9BE8C"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doza</w:t>
            </w:r>
          </w:p>
        </w:tc>
        <w:tc>
          <w:tcPr>
            <w:tcW w:w="1446" w:type="dxa"/>
            <w:tcBorders>
              <w:top w:val="single" w:sz="6" w:space="0" w:color="000000"/>
              <w:left w:val="single" w:sz="6" w:space="0" w:color="000000"/>
              <w:bottom w:val="single" w:sz="6" w:space="0" w:color="000000"/>
              <w:right w:val="single" w:sz="6" w:space="0" w:color="000000"/>
            </w:tcBorders>
          </w:tcPr>
          <w:p w14:paraId="13FFCE6A"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mod administrare</w:t>
            </w:r>
          </w:p>
        </w:tc>
      </w:tr>
      <w:tr w:rsidR="0049126A" w:rsidRPr="0049126A" w14:paraId="7C350019" w14:textId="77777777" w:rsidTr="00300738">
        <w:tc>
          <w:tcPr>
            <w:tcW w:w="616" w:type="dxa"/>
            <w:tcBorders>
              <w:top w:val="single" w:sz="6" w:space="0" w:color="000000"/>
              <w:left w:val="single" w:sz="6" w:space="0" w:color="000000"/>
              <w:bottom w:val="single" w:sz="6" w:space="0" w:color="000000"/>
              <w:right w:val="single" w:sz="6" w:space="0" w:color="000000"/>
            </w:tcBorders>
          </w:tcPr>
          <w:p w14:paraId="739E945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1</w:t>
            </w:r>
          </w:p>
        </w:tc>
        <w:tc>
          <w:tcPr>
            <w:tcW w:w="4033" w:type="dxa"/>
            <w:tcBorders>
              <w:top w:val="single" w:sz="6" w:space="0" w:color="000000"/>
              <w:left w:val="single" w:sz="6" w:space="0" w:color="000000"/>
              <w:bottom w:val="single" w:sz="6" w:space="0" w:color="000000"/>
              <w:right w:val="single" w:sz="6" w:space="0" w:color="000000"/>
            </w:tcBorders>
          </w:tcPr>
          <w:p w14:paraId="25ADF7D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Vizită iniţială</w:t>
            </w:r>
          </w:p>
        </w:tc>
        <w:tc>
          <w:tcPr>
            <w:tcW w:w="1134" w:type="dxa"/>
            <w:tcBorders>
              <w:top w:val="single" w:sz="6" w:space="0" w:color="000000"/>
              <w:left w:val="single" w:sz="6" w:space="0" w:color="000000"/>
              <w:bottom w:val="single" w:sz="6" w:space="0" w:color="000000"/>
              <w:right w:val="single" w:sz="6" w:space="0" w:color="000000"/>
            </w:tcBorders>
          </w:tcPr>
          <w:p w14:paraId="1E09E752"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0</w:t>
            </w:r>
          </w:p>
        </w:tc>
        <w:tc>
          <w:tcPr>
            <w:tcW w:w="1701" w:type="dxa"/>
            <w:tcBorders>
              <w:top w:val="single" w:sz="6" w:space="0" w:color="000000"/>
              <w:left w:val="single" w:sz="6" w:space="0" w:color="000000"/>
              <w:bottom w:val="single" w:sz="6" w:space="0" w:color="000000"/>
              <w:right w:val="single" w:sz="6" w:space="0" w:color="000000"/>
            </w:tcBorders>
          </w:tcPr>
          <w:p w14:paraId="7CFC040F"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p>
        </w:tc>
        <w:tc>
          <w:tcPr>
            <w:tcW w:w="851" w:type="dxa"/>
            <w:tcBorders>
              <w:top w:val="single" w:sz="6" w:space="0" w:color="000000"/>
              <w:left w:val="single" w:sz="6" w:space="0" w:color="000000"/>
              <w:bottom w:val="single" w:sz="6" w:space="0" w:color="000000"/>
              <w:right w:val="single" w:sz="6" w:space="0" w:color="000000"/>
            </w:tcBorders>
          </w:tcPr>
          <w:p w14:paraId="6B34BA6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c>
          <w:tcPr>
            <w:tcW w:w="1446" w:type="dxa"/>
            <w:tcBorders>
              <w:top w:val="single" w:sz="6" w:space="0" w:color="000000"/>
              <w:left w:val="single" w:sz="6" w:space="0" w:color="000000"/>
              <w:bottom w:val="single" w:sz="6" w:space="0" w:color="000000"/>
              <w:right w:val="single" w:sz="6" w:space="0" w:color="000000"/>
            </w:tcBorders>
          </w:tcPr>
          <w:p w14:paraId="60DF93C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en-US" w:eastAsia="ro-RO"/>
              </w:rPr>
            </w:pPr>
          </w:p>
        </w:tc>
      </w:tr>
      <w:tr w:rsidR="0049126A" w:rsidRPr="0049126A" w14:paraId="74A4AAB9" w14:textId="77777777" w:rsidTr="00300738">
        <w:tc>
          <w:tcPr>
            <w:tcW w:w="616" w:type="dxa"/>
            <w:tcBorders>
              <w:top w:val="single" w:sz="6" w:space="0" w:color="000000"/>
              <w:left w:val="single" w:sz="6" w:space="0" w:color="000000"/>
              <w:bottom w:val="single" w:sz="6" w:space="0" w:color="000000"/>
              <w:right w:val="single" w:sz="6" w:space="0" w:color="000000"/>
            </w:tcBorders>
          </w:tcPr>
          <w:p w14:paraId="1851B1E0"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2</w:t>
            </w:r>
          </w:p>
        </w:tc>
        <w:tc>
          <w:tcPr>
            <w:tcW w:w="4033" w:type="dxa"/>
            <w:tcBorders>
              <w:top w:val="single" w:sz="6" w:space="0" w:color="000000"/>
              <w:left w:val="single" w:sz="6" w:space="0" w:color="000000"/>
              <w:bottom w:val="single" w:sz="6" w:space="0" w:color="000000"/>
              <w:right w:val="single" w:sz="6" w:space="0" w:color="000000"/>
            </w:tcBorders>
          </w:tcPr>
          <w:p w14:paraId="11219C5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Vizita de evaluare a eficacităţii clinice la 3 luni</w:t>
            </w:r>
          </w:p>
        </w:tc>
        <w:tc>
          <w:tcPr>
            <w:tcW w:w="1134" w:type="dxa"/>
            <w:tcBorders>
              <w:top w:val="single" w:sz="6" w:space="0" w:color="000000"/>
              <w:left w:val="single" w:sz="6" w:space="0" w:color="000000"/>
              <w:bottom w:val="single" w:sz="6" w:space="0" w:color="000000"/>
              <w:right w:val="single" w:sz="6" w:space="0" w:color="000000"/>
            </w:tcBorders>
          </w:tcPr>
          <w:p w14:paraId="517797C3"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701" w:type="dxa"/>
            <w:tcBorders>
              <w:top w:val="single" w:sz="6" w:space="0" w:color="000000"/>
              <w:left w:val="single" w:sz="6" w:space="0" w:color="000000"/>
              <w:bottom w:val="single" w:sz="6" w:space="0" w:color="000000"/>
              <w:right w:val="single" w:sz="6" w:space="0" w:color="000000"/>
            </w:tcBorders>
          </w:tcPr>
          <w:p w14:paraId="7405EBB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851" w:type="dxa"/>
            <w:tcBorders>
              <w:top w:val="single" w:sz="6" w:space="0" w:color="000000"/>
              <w:left w:val="single" w:sz="6" w:space="0" w:color="000000"/>
              <w:bottom w:val="single" w:sz="6" w:space="0" w:color="000000"/>
              <w:right w:val="single" w:sz="6" w:space="0" w:color="000000"/>
            </w:tcBorders>
          </w:tcPr>
          <w:p w14:paraId="2231413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c>
          <w:tcPr>
            <w:tcW w:w="1446" w:type="dxa"/>
            <w:tcBorders>
              <w:top w:val="single" w:sz="6" w:space="0" w:color="000000"/>
              <w:left w:val="single" w:sz="6" w:space="0" w:color="000000"/>
              <w:bottom w:val="single" w:sz="6" w:space="0" w:color="000000"/>
              <w:right w:val="single" w:sz="6" w:space="0" w:color="000000"/>
            </w:tcBorders>
          </w:tcPr>
          <w:p w14:paraId="56A0DF55"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0"/>
                <w:szCs w:val="20"/>
                <w:lang w:val="fr-MC" w:eastAsia="ro-RO"/>
              </w:rPr>
            </w:pPr>
          </w:p>
        </w:tc>
      </w:tr>
    </w:tbl>
    <w:p w14:paraId="6C367C2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eastAsia="ro-RO"/>
        </w:rPr>
      </w:pPr>
    </w:p>
    <w:p w14:paraId="0145FB9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În cazul în care se solicită schimbarea terapiei biologice vă rugăm să precizaţi motivul (ineficienţă, reacţii adverse):</w:t>
      </w:r>
    </w:p>
    <w:p w14:paraId="74D1FA2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w:t>
      </w:r>
    </w:p>
    <w:p w14:paraId="3677187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eastAsia="ro-RO"/>
        </w:rPr>
      </w:pPr>
      <w:r w:rsidRPr="0049126A">
        <w:rPr>
          <w:rFonts w:ascii="Times New Roman" w:eastAsia="Times New Roman" w:hAnsi="Times New Roman" w:cs="Times New Roman"/>
          <w:sz w:val="24"/>
          <w:szCs w:val="24"/>
          <w:lang w:eastAsia="ro-RO"/>
        </w:rPr>
        <w:t xml:space="preserve">    ................................................................................................................................................................</w:t>
      </w:r>
    </w:p>
    <w:p w14:paraId="11F17DB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eastAsia="ro-RO"/>
        </w:rPr>
      </w:pPr>
    </w:p>
    <w:p w14:paraId="7871C1EE"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eastAsia="ro-RO"/>
        </w:rPr>
      </w:pPr>
      <w:r w:rsidRPr="0049126A">
        <w:rPr>
          <w:rFonts w:ascii="Times New Roman" w:eastAsia="Times New Roman" w:hAnsi="Times New Roman" w:cs="Times New Roman"/>
          <w:b/>
          <w:bCs/>
          <w:sz w:val="24"/>
          <w:szCs w:val="24"/>
          <w:lang w:eastAsia="ro-RO"/>
        </w:rPr>
        <w:lastRenderedPageBreak/>
        <w:t xml:space="preserve">IX. REACŢII ADVERSE </w:t>
      </w:r>
      <w:r w:rsidRPr="0049126A">
        <w:rPr>
          <w:rFonts w:ascii="Times New Roman" w:eastAsia="Times New Roman" w:hAnsi="Times New Roman" w:cs="Times New Roman"/>
          <w:sz w:val="24"/>
          <w:szCs w:val="24"/>
          <w:lang w:eastAsia="ro-RO"/>
        </w:rPr>
        <w:t>(RA) legate de terapia PSORIAZIS (descrieţi toate RA apărute de la completarea ultimei fişe de evaluare; prin RA se înţelege orice eveniment medical semnificativ, indiferent de relaţia de cauzalitate faţă de boală sau tratamentul administrat, vor fi precizate cel puţin: diagnosticul, descrierea pe scurt a RA, data apariţiei/rezolvării, tratamentul aplicat):</w:t>
      </w:r>
    </w:p>
    <w:p w14:paraId="3F29B47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w:t>
      </w:r>
    </w:p>
    <w:p w14:paraId="3DFDB79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4979CF3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610F27E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X. Complianţa la tratament:</w:t>
      </w:r>
    </w:p>
    <w:p w14:paraId="1D7AA83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Bună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     Necorespunzătoare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059494B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3019C3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XI. CONCLUZII, OBSERVAŢII, RECOMANDĂRI:</w:t>
      </w:r>
    </w:p>
    <w:p w14:paraId="6762D83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w:t>
      </w:r>
    </w:p>
    <w:p w14:paraId="560CA70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3E702EC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b/>
          <w:bCs/>
          <w:sz w:val="24"/>
          <w:szCs w:val="24"/>
          <w:lang w:val="fr-MC" w:eastAsia="ro-RO"/>
        </w:rPr>
      </w:pPr>
    </w:p>
    <w:p w14:paraId="70BF5877"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NOTĂ:</w:t>
      </w:r>
    </w:p>
    <w:p w14:paraId="77B1B4B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Fişa se completează citeţ, la toate rubricile, alegând varianta corespunzătoare şi precizând detalii acolo unde sunt solicitate. Datele se introduc în Registrul Naţional de psoriazis.</w:t>
      </w:r>
    </w:p>
    <w:p w14:paraId="776E57BF"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Completarea fişei se face la iniţierea terapiei, la 3 luni, la prima evaluare pentru atingerea ţintei terapeutice, apoi la 6 luni de la initiere şi apoi la fiecare 6 luni (sau mai des în caz de necesitate).</w:t>
      </w:r>
    </w:p>
    <w:p w14:paraId="5F292C0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După întreruperea definitivă a terapiei este obligatorie efectuarea unor evaluări de control, la fiecare 6 luni, pentru toţi pacienţii care au fost supuşi tratamentului cu agenţi biologici timp de 2 ani. Este obligatorie păstrarea dosarului medical complet al pacientului (bilete externare, fişe ambulator, rezultate analize medicale etc.) la medicul curant pentru eventuale solicitări ale forurilor abilitate.</w:t>
      </w:r>
    </w:p>
    <w:p w14:paraId="498BDDB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p>
    <w:p w14:paraId="15C4A98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34A7FB1B"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B58FF9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10523A5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3D9415E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51A49D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0C908D8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0928A2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30C9C0C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6F61D6A"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6AD3340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38036E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8C6281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54FC9F5E"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A7ACF0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5464753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2CF191A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A6C8E60"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419EDE41"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06C1343D"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3CFDCCB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6FA3906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0E785E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D09AC1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71BC3D8"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F353F69"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158DB46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84E7B94"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75E7C463"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lastRenderedPageBreak/>
        <w:t>Declaraţie de consimţământ pentru pacientul pediatric</w:t>
      </w:r>
    </w:p>
    <w:p w14:paraId="57661242"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01D75768" w14:textId="77777777" w:rsidR="005D3C7A" w:rsidRPr="0049126A" w:rsidRDefault="005D3C7A" w:rsidP="005D3C7A">
      <w:pPr>
        <w:autoSpaceDE w:val="0"/>
        <w:autoSpaceDN w:val="0"/>
        <w:adjustRightInd w:val="0"/>
        <w:spacing w:after="0" w:line="240" w:lineRule="auto"/>
        <w:jc w:val="center"/>
        <w:rPr>
          <w:rFonts w:ascii="Times New Roman" w:eastAsia="Times New Roman" w:hAnsi="Times New Roman" w:cs="Times New Roman"/>
          <w:b/>
          <w:bCs/>
          <w:sz w:val="24"/>
          <w:szCs w:val="24"/>
          <w:lang w:val="fr-MC" w:eastAsia="ro-RO"/>
        </w:rPr>
      </w:pPr>
    </w:p>
    <w:p w14:paraId="3D40D3B3" w14:textId="77777777" w:rsidR="005D3C7A" w:rsidRPr="0049126A" w:rsidRDefault="005D3C7A" w:rsidP="005D3C7A">
      <w:pPr>
        <w:autoSpaceDE w:val="0"/>
        <w:autoSpaceDN w:val="0"/>
        <w:adjustRightInd w:val="0"/>
        <w:spacing w:after="0" w:line="240" w:lineRule="auto"/>
        <w:jc w:val="center"/>
        <w:outlineLvl w:val="0"/>
        <w:rPr>
          <w:rFonts w:ascii="Times New Roman" w:eastAsia="Times New Roman" w:hAnsi="Times New Roman" w:cs="Times New Roman"/>
          <w:b/>
          <w:bCs/>
          <w:sz w:val="24"/>
          <w:szCs w:val="24"/>
          <w:lang w:val="fr-MC" w:eastAsia="ro-RO"/>
        </w:rPr>
      </w:pPr>
      <w:r w:rsidRPr="0049126A">
        <w:rPr>
          <w:rFonts w:ascii="Times New Roman" w:eastAsia="Times New Roman" w:hAnsi="Times New Roman" w:cs="Times New Roman"/>
          <w:b/>
          <w:bCs/>
          <w:sz w:val="24"/>
          <w:szCs w:val="24"/>
          <w:lang w:val="fr-MC" w:eastAsia="ro-RO"/>
        </w:rPr>
        <w:t>CONSIMŢĂMÂNT PACIENT</w:t>
      </w:r>
    </w:p>
    <w:p w14:paraId="7B06463A" w14:textId="77777777" w:rsidR="005D3C7A" w:rsidRPr="0049126A" w:rsidRDefault="005D3C7A" w:rsidP="005D3C7A">
      <w:pPr>
        <w:autoSpaceDE w:val="0"/>
        <w:autoSpaceDN w:val="0"/>
        <w:adjustRightInd w:val="0"/>
        <w:spacing w:after="0" w:line="240" w:lineRule="auto"/>
        <w:jc w:val="center"/>
        <w:outlineLvl w:val="0"/>
        <w:rPr>
          <w:rFonts w:ascii="Times New Roman" w:eastAsia="Times New Roman" w:hAnsi="Times New Roman" w:cs="Times New Roman"/>
          <w:b/>
          <w:bCs/>
          <w:sz w:val="24"/>
          <w:szCs w:val="24"/>
          <w:lang w:val="fr-MC" w:eastAsia="ro-RO"/>
        </w:rPr>
      </w:pPr>
    </w:p>
    <w:p w14:paraId="3AC12BDC"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Copilul</w:t>
      </w:r>
      <w:r w:rsidRPr="0049126A">
        <w:rPr>
          <w:rFonts w:ascii="Times New Roman" w:eastAsia="Times New Roman" w:hAnsi="Times New Roman" w:cs="Times New Roman"/>
          <w:sz w:val="24"/>
          <w:szCs w:val="24"/>
          <w:lang w:val="fr-MC" w:eastAsia="ro-RO"/>
        </w:rPr>
        <w:t xml:space="preserve"> ..................................................................................................,</w:t>
      </w:r>
    </w:p>
    <w:p w14:paraId="1FBC7C74"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 xml:space="preserve">CNP </w:t>
      </w:r>
      <w:r w:rsidRPr="0049126A">
        <w:rPr>
          <w:rFonts w:ascii="Times New Roman" w:eastAsia="Times New Roman" w:hAnsi="Times New Roman" w:cs="Times New Roman"/>
          <w:sz w:val="24"/>
          <w:szCs w:val="24"/>
          <w:lang w:val="fr-MC" w:eastAsia="ro-RO"/>
        </w:rPr>
        <w:t>copil: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1CFF2657"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b/>
          <w:bCs/>
          <w:sz w:val="24"/>
          <w:szCs w:val="24"/>
          <w:lang w:val="fr-MC" w:eastAsia="ro-RO"/>
        </w:rPr>
        <w:t>Subsemnaţii</w:t>
      </w:r>
      <w:r w:rsidRPr="0049126A">
        <w:rPr>
          <w:rFonts w:ascii="Times New Roman" w:eastAsia="Times New Roman" w:hAnsi="Times New Roman" w:cs="Times New Roman"/>
          <w:sz w:val="24"/>
          <w:szCs w:val="24"/>
          <w:lang w:val="fr-MC" w:eastAsia="ro-RO"/>
        </w:rPr>
        <w:t xml:space="preserve"> ..........................................................................................,</w:t>
      </w:r>
    </w:p>
    <w:p w14:paraId="036E93ED"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CNP: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442DA70A"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CNP: |</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w:t>
      </w:r>
    </w:p>
    <w:p w14:paraId="266E1076"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(se completează CNP-urile părinţilor sau aparţinătorilor)</w:t>
      </w:r>
    </w:p>
    <w:p w14:paraId="677A52EF" w14:textId="77777777" w:rsidR="005D3C7A" w:rsidRPr="0049126A" w:rsidRDefault="005D3C7A" w:rsidP="005D3C7A">
      <w:pPr>
        <w:autoSpaceDE w:val="0"/>
        <w:autoSpaceDN w:val="0"/>
        <w:adjustRightInd w:val="0"/>
        <w:spacing w:after="0" w:line="240" w:lineRule="auto"/>
        <w:rPr>
          <w:rFonts w:ascii="Times New Roman" w:eastAsia="Times New Roman" w:hAnsi="Times New Roman" w:cs="Times New Roman"/>
          <w:sz w:val="24"/>
          <w:szCs w:val="24"/>
          <w:lang w:val="fr-MC" w:eastAsia="ro-RO"/>
        </w:rPr>
      </w:pPr>
    </w:p>
    <w:p w14:paraId="5ACC936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fr-MC" w:eastAsia="ro-RO"/>
        </w:rPr>
        <w:tab/>
        <w:t xml:space="preserve"> Domiciliaţi în str. ..........................................., nr. ..., bl. ..., sc. ..., et. ....., ap. ..., sector ...., localitatea ....................., judeţul .........................., telefon ..................., în calitate de reprezentant legal al copilului ............................................., diagnosticat cu ......................................... sunt de acord să urmeze tratamentul cu ......................................................</w:t>
      </w:r>
    </w:p>
    <w:p w14:paraId="753EFA6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fr-MC" w:eastAsia="ro-RO"/>
        </w:rPr>
        <w:tab/>
      </w:r>
    </w:p>
    <w:p w14:paraId="0C193F8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Am fost informaţi asupra importanţei, efectelor şi consecinţelor administrării acestei terapii cu produse biologice.</w:t>
      </w:r>
    </w:p>
    <w:p w14:paraId="3FA6C62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Ne declarăm de acord cu instituirea acestui tratament precum şi a tuturor examenelor clinice şi de laborator necesare unei conduite terapeutice eficiente.</w:t>
      </w:r>
    </w:p>
    <w:p w14:paraId="7C0BC0A4"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Ne declarăm de acord să urmeze instrucţiunile medicului curant, să răspundem la întrebări şi să semnalăm în timp util orice manifestare clinică survenită pe parcursul terapiei.</w:t>
      </w:r>
    </w:p>
    <w:p w14:paraId="69EA5FE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r w:rsidRPr="0049126A">
        <w:rPr>
          <w:rFonts w:ascii="Times New Roman" w:eastAsia="Times New Roman" w:hAnsi="Times New Roman" w:cs="Times New Roman"/>
          <w:sz w:val="24"/>
          <w:szCs w:val="24"/>
          <w:lang w:val="fr-MC" w:eastAsia="ro-RO"/>
        </w:rPr>
        <w:t>|</w:t>
      </w:r>
      <w:r w:rsidRPr="0049126A">
        <w:rPr>
          <w:rFonts w:ascii="Times New Roman" w:eastAsia="Times New Roman" w:hAnsi="Times New Roman" w:cs="Times New Roman"/>
          <w:sz w:val="24"/>
          <w:szCs w:val="24"/>
          <w:u w:val="single"/>
          <w:lang w:val="fr-MC" w:eastAsia="ro-RO"/>
        </w:rPr>
        <w:t>¯</w:t>
      </w:r>
      <w:r w:rsidRPr="0049126A">
        <w:rPr>
          <w:rFonts w:ascii="Times New Roman" w:eastAsia="Times New Roman" w:hAnsi="Times New Roman" w:cs="Times New Roman"/>
          <w:sz w:val="24"/>
          <w:szCs w:val="24"/>
          <w:lang w:val="fr-MC" w:eastAsia="ro-RO"/>
        </w:rPr>
        <w:t>| (pentru paciente) Declarăm pe proprie răspundere că la momentul iniţierii terapiei pacienta nu este însărcinată şi nu alăptează şi ne obligăm ca în cazul în care rămâne însărcinată să fie anunţat medicul curant dermato-venerolog.</w:t>
      </w:r>
    </w:p>
    <w:p w14:paraId="5F6E9C73"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b/>
          <w:bCs/>
          <w:sz w:val="24"/>
          <w:szCs w:val="24"/>
          <w:lang w:val="en-US" w:eastAsia="ro-RO"/>
        </w:rPr>
      </w:pPr>
      <w:r w:rsidRPr="0049126A">
        <w:rPr>
          <w:rFonts w:ascii="Times New Roman" w:eastAsia="Times New Roman" w:hAnsi="Times New Roman" w:cs="Times New Roman"/>
          <w:b/>
          <w:bCs/>
          <w:sz w:val="24"/>
          <w:szCs w:val="24"/>
          <w:lang w:val="en-US" w:eastAsia="ro-RO"/>
        </w:rPr>
        <w:t>Medicul specialist care a recomandat tratamentul:</w:t>
      </w:r>
    </w:p>
    <w:p w14:paraId="3174DF10"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w:t>
      </w:r>
    </w:p>
    <w:p w14:paraId="6B9E493E"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Unitatea sanitară unde se desfăşoară monitorizarea tratamentului</w:t>
      </w:r>
    </w:p>
    <w:p w14:paraId="326CC6F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en-US" w:eastAsia="ro-RO"/>
        </w:rPr>
        <w:t xml:space="preserve">    ........................................................................................................................</w:t>
      </w:r>
    </w:p>
    <w:p w14:paraId="12199387"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en-US" w:eastAsia="ro-RO"/>
        </w:rPr>
      </w:pPr>
    </w:p>
    <w:tbl>
      <w:tblPr>
        <w:tblW w:w="9534" w:type="dxa"/>
        <w:tblInd w:w="105" w:type="dxa"/>
        <w:tblLayout w:type="fixed"/>
        <w:tblCellMar>
          <w:left w:w="105" w:type="dxa"/>
          <w:right w:w="105" w:type="dxa"/>
        </w:tblCellMar>
        <w:tblLook w:val="0000" w:firstRow="0" w:lastRow="0" w:firstColumn="0" w:lastColumn="0" w:noHBand="0" w:noVBand="0"/>
      </w:tblPr>
      <w:tblGrid>
        <w:gridCol w:w="3686"/>
        <w:gridCol w:w="5848"/>
      </w:tblGrid>
      <w:tr w:rsidR="0049126A" w:rsidRPr="0049126A" w14:paraId="5613EDDB" w14:textId="77777777" w:rsidTr="00300738">
        <w:tc>
          <w:tcPr>
            <w:tcW w:w="3686" w:type="dxa"/>
            <w:tcBorders>
              <w:top w:val="nil"/>
              <w:left w:val="nil"/>
              <w:bottom w:val="nil"/>
              <w:right w:val="nil"/>
            </w:tcBorders>
          </w:tcPr>
          <w:p w14:paraId="7A3D5272"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 xml:space="preserve">    Data</w:t>
            </w:r>
          </w:p>
        </w:tc>
        <w:tc>
          <w:tcPr>
            <w:tcW w:w="5848" w:type="dxa"/>
            <w:tcBorders>
              <w:top w:val="nil"/>
              <w:left w:val="nil"/>
              <w:bottom w:val="nil"/>
              <w:right w:val="nil"/>
            </w:tcBorders>
          </w:tcPr>
          <w:p w14:paraId="1D90C64B"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Semnătura părinţilor sau aparţinătorilor legali</w:t>
            </w:r>
          </w:p>
        </w:tc>
      </w:tr>
      <w:tr w:rsidR="0049126A" w:rsidRPr="0049126A" w14:paraId="6343662C" w14:textId="77777777" w:rsidTr="00300738">
        <w:tc>
          <w:tcPr>
            <w:tcW w:w="3686" w:type="dxa"/>
            <w:tcBorders>
              <w:top w:val="nil"/>
              <w:left w:val="nil"/>
              <w:bottom w:val="nil"/>
              <w:right w:val="nil"/>
            </w:tcBorders>
          </w:tcPr>
          <w:p w14:paraId="5598D6C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848" w:type="dxa"/>
            <w:tcBorders>
              <w:top w:val="nil"/>
              <w:left w:val="nil"/>
              <w:bottom w:val="nil"/>
              <w:right w:val="nil"/>
            </w:tcBorders>
          </w:tcPr>
          <w:p w14:paraId="63738F0A"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w:t>
            </w:r>
          </w:p>
        </w:tc>
      </w:tr>
      <w:tr w:rsidR="0049126A" w:rsidRPr="0049126A" w14:paraId="7936B782" w14:textId="77777777" w:rsidTr="00300738">
        <w:tc>
          <w:tcPr>
            <w:tcW w:w="3686" w:type="dxa"/>
            <w:tcBorders>
              <w:top w:val="nil"/>
              <w:left w:val="nil"/>
              <w:bottom w:val="nil"/>
              <w:right w:val="nil"/>
            </w:tcBorders>
          </w:tcPr>
          <w:p w14:paraId="2BB38346"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848" w:type="dxa"/>
            <w:tcBorders>
              <w:top w:val="nil"/>
              <w:left w:val="nil"/>
              <w:bottom w:val="nil"/>
              <w:right w:val="nil"/>
            </w:tcBorders>
          </w:tcPr>
          <w:p w14:paraId="20BFCD61"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r w:rsidRPr="0049126A">
              <w:rPr>
                <w:rFonts w:ascii="Times New Roman" w:eastAsia="Times New Roman" w:hAnsi="Times New Roman" w:cs="Times New Roman"/>
                <w:sz w:val="20"/>
                <w:szCs w:val="20"/>
                <w:lang w:val="en-US" w:eastAsia="ro-RO"/>
              </w:rPr>
              <w:t>............................................................................</w:t>
            </w:r>
          </w:p>
        </w:tc>
      </w:tr>
      <w:tr w:rsidR="005D3C7A" w:rsidRPr="0049126A" w14:paraId="1B3804C9" w14:textId="77777777" w:rsidTr="00300738">
        <w:tc>
          <w:tcPr>
            <w:tcW w:w="3686" w:type="dxa"/>
            <w:tcBorders>
              <w:top w:val="nil"/>
              <w:left w:val="nil"/>
              <w:bottom w:val="nil"/>
              <w:right w:val="nil"/>
            </w:tcBorders>
          </w:tcPr>
          <w:p w14:paraId="432AFC0C"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en-US" w:eastAsia="ro-RO"/>
              </w:rPr>
            </w:pPr>
          </w:p>
        </w:tc>
        <w:tc>
          <w:tcPr>
            <w:tcW w:w="5848" w:type="dxa"/>
            <w:tcBorders>
              <w:top w:val="nil"/>
              <w:left w:val="nil"/>
              <w:bottom w:val="nil"/>
              <w:right w:val="nil"/>
            </w:tcBorders>
          </w:tcPr>
          <w:p w14:paraId="63144215"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0"/>
                <w:szCs w:val="20"/>
                <w:lang w:val="fr-MC" w:eastAsia="ro-RO"/>
              </w:rPr>
            </w:pPr>
            <w:r w:rsidRPr="0049126A">
              <w:rPr>
                <w:rFonts w:ascii="Times New Roman" w:eastAsia="Times New Roman" w:hAnsi="Times New Roman" w:cs="Times New Roman"/>
                <w:sz w:val="20"/>
                <w:szCs w:val="20"/>
                <w:lang w:val="fr-MC" w:eastAsia="ro-RO"/>
              </w:rPr>
              <w:t>Semnătura pacientului (copil peste vârsta de 14 ani) (facultativ) ............................................................................</w:t>
            </w:r>
          </w:p>
        </w:tc>
      </w:tr>
    </w:tbl>
    <w:p w14:paraId="4F1C4EBD" w14:textId="77777777" w:rsidR="005D3C7A" w:rsidRPr="0049126A" w:rsidRDefault="005D3C7A" w:rsidP="005D3C7A">
      <w:pPr>
        <w:autoSpaceDE w:val="0"/>
        <w:autoSpaceDN w:val="0"/>
        <w:adjustRightInd w:val="0"/>
        <w:spacing w:after="0" w:line="240" w:lineRule="auto"/>
        <w:jc w:val="both"/>
        <w:rPr>
          <w:rFonts w:ascii="Times New Roman" w:eastAsia="Times New Roman" w:hAnsi="Times New Roman" w:cs="Times New Roman"/>
          <w:sz w:val="24"/>
          <w:szCs w:val="24"/>
          <w:lang w:val="fr-MC" w:eastAsia="ro-RO"/>
        </w:rPr>
      </w:pPr>
    </w:p>
    <w:p w14:paraId="0C057996" w14:textId="77777777" w:rsidR="005D3C7A" w:rsidRPr="0049126A" w:rsidRDefault="005D3C7A" w:rsidP="005D3C7A">
      <w:pPr>
        <w:autoSpaceDE w:val="0"/>
        <w:autoSpaceDN w:val="0"/>
        <w:adjustRightInd w:val="0"/>
        <w:spacing w:after="0" w:line="240" w:lineRule="auto"/>
        <w:jc w:val="both"/>
        <w:outlineLvl w:val="0"/>
        <w:rPr>
          <w:rFonts w:ascii="Times New Roman" w:eastAsia="Times New Roman" w:hAnsi="Times New Roman" w:cs="Times New Roman"/>
          <w:sz w:val="24"/>
          <w:szCs w:val="24"/>
          <w:lang w:val="en-US" w:eastAsia="ro-RO"/>
        </w:rPr>
      </w:pPr>
      <w:r w:rsidRPr="0049126A">
        <w:rPr>
          <w:rFonts w:ascii="Times New Roman" w:eastAsia="Times New Roman" w:hAnsi="Times New Roman" w:cs="Times New Roman"/>
          <w:sz w:val="24"/>
          <w:szCs w:val="24"/>
          <w:lang w:val="fr-MC" w:eastAsia="ro-RO"/>
        </w:rPr>
        <w:t xml:space="preserve">    </w:t>
      </w:r>
      <w:r w:rsidRPr="0049126A">
        <w:rPr>
          <w:rFonts w:ascii="Times New Roman" w:eastAsia="Times New Roman" w:hAnsi="Times New Roman" w:cs="Times New Roman"/>
          <w:sz w:val="24"/>
          <w:szCs w:val="24"/>
          <w:lang w:val="en-US" w:eastAsia="ro-RO"/>
        </w:rPr>
        <w:t>Semnătura şi parafa medicului”</w:t>
      </w:r>
    </w:p>
    <w:p w14:paraId="49162990" w14:textId="77777777" w:rsidR="005D3C7A" w:rsidRPr="0049126A" w:rsidRDefault="005D3C7A" w:rsidP="005D3C7A">
      <w:pPr>
        <w:tabs>
          <w:tab w:val="left" w:pos="426"/>
        </w:tabs>
        <w:spacing w:after="0" w:line="276" w:lineRule="auto"/>
        <w:jc w:val="both"/>
        <w:rPr>
          <w:rFonts w:ascii="Times New Roman" w:eastAsia="Arial" w:hAnsi="Times New Roman" w:cs="Times New Roman"/>
          <w:b/>
          <w:bCs/>
          <w:sz w:val="24"/>
          <w:szCs w:val="24"/>
          <w:vertAlign w:val="superscript"/>
          <w:lang w:eastAsia="ro-RO"/>
        </w:rPr>
      </w:pPr>
    </w:p>
    <w:p w14:paraId="72454A62" w14:textId="77777777" w:rsidR="005D3C7A" w:rsidRPr="0049126A" w:rsidRDefault="005D3C7A" w:rsidP="005D3C7A">
      <w:pPr>
        <w:tabs>
          <w:tab w:val="left" w:pos="851"/>
        </w:tabs>
        <w:spacing w:after="0" w:line="240" w:lineRule="auto"/>
        <w:jc w:val="both"/>
        <w:rPr>
          <w:rFonts w:ascii="Times New Roman" w:eastAsia="Times New Roman" w:hAnsi="Times New Roman" w:cs="Times New Roman"/>
          <w:sz w:val="24"/>
          <w:szCs w:val="24"/>
          <w:lang w:eastAsia="ro-RO"/>
        </w:rPr>
      </w:pPr>
    </w:p>
    <w:p w14:paraId="67437FF8" w14:textId="77777777" w:rsidR="005D3C7A" w:rsidRPr="0049126A" w:rsidRDefault="005D3C7A" w:rsidP="005D3C7A">
      <w:pPr>
        <w:spacing w:after="0" w:line="240" w:lineRule="auto"/>
        <w:rPr>
          <w:rFonts w:ascii="Times New Roman" w:eastAsia="Times New Roman" w:hAnsi="Times New Roman" w:cs="Times New Roman"/>
          <w:sz w:val="24"/>
          <w:szCs w:val="24"/>
          <w:lang w:eastAsia="ro-RO"/>
        </w:rPr>
      </w:pPr>
    </w:p>
    <w:p w14:paraId="23913C5D"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15C58B83"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5685DE41"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8AC5042"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358FDC5A" w14:textId="77777777" w:rsidR="005D3C7A" w:rsidRPr="0049126A" w:rsidRDefault="005D3C7A" w:rsidP="005D3C7A">
      <w:pPr>
        <w:autoSpaceDE w:val="0"/>
        <w:autoSpaceDN w:val="0"/>
        <w:adjustRightInd w:val="0"/>
        <w:spacing w:after="0" w:line="240" w:lineRule="auto"/>
        <w:outlineLvl w:val="0"/>
        <w:rPr>
          <w:rFonts w:ascii="Times New Roman" w:eastAsia="Times New Roman" w:hAnsi="Times New Roman" w:cs="Times New Roman"/>
          <w:b/>
          <w:bCs/>
          <w:sz w:val="24"/>
          <w:szCs w:val="24"/>
          <w:lang w:val="fr-MC" w:eastAsia="ro-RO"/>
        </w:rPr>
      </w:pPr>
    </w:p>
    <w:p w14:paraId="6B054382" w14:textId="77777777" w:rsidR="005D3C7A" w:rsidRPr="0049126A" w:rsidRDefault="005D3C7A" w:rsidP="005D3C7A">
      <w:pPr>
        <w:tabs>
          <w:tab w:val="left" w:pos="851"/>
        </w:tabs>
        <w:spacing w:after="0" w:line="276" w:lineRule="auto"/>
        <w:jc w:val="both"/>
        <w:rPr>
          <w:rFonts w:ascii="Times New Roman" w:eastAsia="Arial" w:hAnsi="Times New Roman" w:cs="Times New Roman"/>
          <w:b/>
          <w:bCs/>
          <w:sz w:val="24"/>
          <w:szCs w:val="24"/>
          <w:lang w:val="fr-MC" w:eastAsia="ro-RO"/>
        </w:rPr>
      </w:pPr>
    </w:p>
    <w:p w14:paraId="43FBB1C3" w14:textId="77777777" w:rsidR="005D3C7A" w:rsidRPr="0049126A" w:rsidRDefault="005D3C7A" w:rsidP="005D3C7A">
      <w:pPr>
        <w:spacing w:after="0" w:line="240" w:lineRule="auto"/>
        <w:rPr>
          <w:rFonts w:ascii="Times New Roman" w:eastAsia="Times New Roman" w:hAnsi="Times New Roman" w:cs="Times New Roman"/>
          <w:sz w:val="24"/>
          <w:szCs w:val="24"/>
          <w:lang w:eastAsia="ro-RO"/>
        </w:rPr>
      </w:pPr>
    </w:p>
    <w:p w14:paraId="29048901" w14:textId="77777777" w:rsidR="00A42AE3" w:rsidRPr="0049126A" w:rsidRDefault="00A42AE3"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230A3E0E" w14:textId="77777777" w:rsidR="003547FE" w:rsidRPr="0049126A" w:rsidRDefault="003547FE" w:rsidP="00BF0BF2">
      <w:pPr>
        <w:autoSpaceDE w:val="0"/>
        <w:autoSpaceDN w:val="0"/>
        <w:adjustRightInd w:val="0"/>
        <w:spacing w:after="0" w:line="240" w:lineRule="auto"/>
        <w:jc w:val="both"/>
        <w:rPr>
          <w:rFonts w:ascii="Times New Roman" w:eastAsia="Times New Roman" w:hAnsi="Times New Roman" w:cs="Times New Roman"/>
          <w:iCs/>
          <w:sz w:val="24"/>
          <w:szCs w:val="24"/>
        </w:rPr>
      </w:pPr>
    </w:p>
    <w:p w14:paraId="1EB26FC0" w14:textId="77777777" w:rsidR="00692351" w:rsidRPr="0049126A" w:rsidRDefault="00692351" w:rsidP="00692351">
      <w:pPr>
        <w:tabs>
          <w:tab w:val="left" w:pos="9639"/>
        </w:tabs>
        <w:jc w:val="both"/>
        <w:rPr>
          <w:rFonts w:ascii="Times New Roman" w:eastAsia="Calibri" w:hAnsi="Times New Roman" w:cs="Times New Roman"/>
          <w:b/>
          <w:sz w:val="24"/>
          <w:szCs w:val="24"/>
        </w:rPr>
      </w:pPr>
    </w:p>
    <w:p w14:paraId="3E75D751" w14:textId="77777777" w:rsidR="00692351" w:rsidRPr="0049126A" w:rsidRDefault="00692351" w:rsidP="00692351">
      <w:pPr>
        <w:tabs>
          <w:tab w:val="left" w:pos="426"/>
        </w:tabs>
        <w:jc w:val="both"/>
        <w:rPr>
          <w:rFonts w:ascii="Times New Roman" w:eastAsia="Arial" w:hAnsi="Times New Roman" w:cs="Times New Roman"/>
          <w:b/>
          <w:bCs/>
          <w:sz w:val="24"/>
          <w:szCs w:val="24"/>
          <w:lang w:val="en-GB"/>
        </w:rPr>
      </w:pPr>
    </w:p>
    <w:p w14:paraId="3212DDD8" w14:textId="77777777" w:rsidR="003A7EB0" w:rsidRPr="0049126A" w:rsidRDefault="003A7EB0" w:rsidP="0082217A">
      <w:pPr>
        <w:tabs>
          <w:tab w:val="left" w:pos="851"/>
        </w:tabs>
        <w:spacing w:after="0" w:line="276" w:lineRule="auto"/>
        <w:jc w:val="both"/>
        <w:rPr>
          <w:rFonts w:ascii="Times New Roman" w:eastAsia="Arial" w:hAnsi="Times New Roman" w:cs="Times New Roman"/>
          <w:b/>
          <w:bCs/>
          <w:sz w:val="24"/>
          <w:szCs w:val="24"/>
          <w:lang w:val="fr-MC"/>
        </w:rPr>
      </w:pPr>
    </w:p>
    <w:sectPr w:rsidR="003A7EB0" w:rsidRPr="0049126A" w:rsidSect="00BF7F57">
      <w:footerReference w:type="default" r:id="rId12"/>
      <w:pgSz w:w="11906" w:h="16838"/>
      <w:pgMar w:top="728" w:right="849" w:bottom="284" w:left="1417"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AA7637" w14:textId="77777777" w:rsidR="003C769A" w:rsidRDefault="003C769A" w:rsidP="00ED04A6">
      <w:pPr>
        <w:spacing w:after="0" w:line="240" w:lineRule="auto"/>
      </w:pPr>
      <w:r>
        <w:separator/>
      </w:r>
    </w:p>
  </w:endnote>
  <w:endnote w:type="continuationSeparator" w:id="0">
    <w:p w14:paraId="7127C67E" w14:textId="77777777" w:rsidR="003C769A" w:rsidRDefault="003C769A" w:rsidP="00ED0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STZhongsong">
    <w:charset w:val="86"/>
    <w:family w:val="auto"/>
    <w:pitch w:val="variable"/>
    <w:sig w:usb0="00000287" w:usb1="080F0000" w:usb2="00000010" w:usb3="00000000" w:csb0="0004009F" w:csb1="00000000"/>
  </w:font>
  <w:font w:name="DengXian">
    <w:altName w:val="等线"/>
    <w:charset w:val="86"/>
    <w:family w:val="auto"/>
    <w:pitch w:val="variable"/>
    <w:sig w:usb0="A00002BF" w:usb1="38CF7CFA" w:usb2="00000016" w:usb3="00000000" w:csb0="0004000F" w:csb1="00000000"/>
  </w:font>
  <w:font w:name="Sabon">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ndale Sans UI">
    <w:charset w:val="00"/>
    <w:family w:val="auto"/>
    <w:pitch w:val="variable"/>
  </w:font>
  <w:font w:name="Open Sans SemiBold">
    <w:altName w:val="Open Sans SemiBold"/>
    <w:charset w:val="00"/>
    <w:family w:val="auto"/>
    <w:pitch w:val="variable"/>
    <w:sig w:usb0="E00002FF" w:usb1="4000201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93957" w14:textId="29EB9CED" w:rsidR="00C26280" w:rsidRDefault="00C26280" w:rsidP="00FF4B29">
    <w:pPr>
      <w:pStyle w:val="Footer"/>
      <w:tabs>
        <w:tab w:val="clear" w:pos="4680"/>
        <w:tab w:val="clear" w:pos="9360"/>
      </w:tabs>
      <w:jc w:val="center"/>
      <w:rPr>
        <w:caps/>
        <w:noProof/>
      </w:rPr>
    </w:pPr>
    <w:r w:rsidRPr="008A3533">
      <w:rPr>
        <w:caps/>
      </w:rPr>
      <w:fldChar w:fldCharType="begin"/>
    </w:r>
    <w:r w:rsidRPr="008A3533">
      <w:rPr>
        <w:caps/>
      </w:rPr>
      <w:instrText xml:space="preserve"> PAGE   \* MERGEFORMAT </w:instrText>
    </w:r>
    <w:r w:rsidRPr="008A3533">
      <w:rPr>
        <w:caps/>
      </w:rPr>
      <w:fldChar w:fldCharType="separate"/>
    </w:r>
    <w:r w:rsidR="00B605F4">
      <w:rPr>
        <w:caps/>
        <w:noProof/>
      </w:rPr>
      <w:t>1</w:t>
    </w:r>
    <w:r w:rsidRPr="008A3533">
      <w:rPr>
        <w:caps/>
        <w:noProof/>
      </w:rPr>
      <w:fldChar w:fldCharType="end"/>
    </w:r>
  </w:p>
  <w:p w14:paraId="4EF00C56" w14:textId="77777777" w:rsidR="00C26280" w:rsidRPr="00FF4B29" w:rsidRDefault="00C26280" w:rsidP="00FF4B29">
    <w:pPr>
      <w:pStyle w:val="Footer"/>
      <w:tabs>
        <w:tab w:val="clear" w:pos="4680"/>
        <w:tab w:val="clear" w:pos="9360"/>
      </w:tabs>
      <w:jc w:val="center"/>
      <w:rPr>
        <w:caps/>
        <w:noProof/>
      </w:rPr>
    </w:pPr>
  </w:p>
  <w:p w14:paraId="1A434E09" w14:textId="77777777" w:rsidR="00C26280" w:rsidRDefault="00C262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D5B39" w14:textId="77777777" w:rsidR="003C769A" w:rsidRDefault="003C769A" w:rsidP="00ED04A6">
      <w:pPr>
        <w:spacing w:after="0" w:line="240" w:lineRule="auto"/>
      </w:pPr>
      <w:r>
        <w:separator/>
      </w:r>
    </w:p>
  </w:footnote>
  <w:footnote w:type="continuationSeparator" w:id="0">
    <w:p w14:paraId="476F037F" w14:textId="77777777" w:rsidR="003C769A" w:rsidRDefault="003C769A" w:rsidP="00ED04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name w:val="WWNum12"/>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4"/>
    <w:multiLevelType w:val="multilevel"/>
    <w:tmpl w:val="00000004"/>
    <w:name w:val="WWNum15"/>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5"/>
    <w:multiLevelType w:val="multilevel"/>
    <w:tmpl w:val="00000005"/>
    <w:name w:val="WWNum1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6"/>
    <w:multiLevelType w:val="multilevel"/>
    <w:tmpl w:val="00000006"/>
    <w:name w:val="WWNum19"/>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sz w:val="22"/>
        <w:szCs w:val="22"/>
        <w:shd w:val="clear" w:color="auto" w:fill="auto"/>
        <w:lang w:val="it-I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shd w:val="clear" w:color="auto" w:fill="auto"/>
        <w:lang w:val="it-IT"/>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shd w:val="clear" w:color="auto" w:fill="auto"/>
        <w:lang w:val="it-IT"/>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Num43"/>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A"/>
    <w:multiLevelType w:val="multilevel"/>
    <w:tmpl w:val="0000000A"/>
    <w:name w:val="WWNum47"/>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D"/>
    <w:multiLevelType w:val="multilevel"/>
    <w:tmpl w:val="CC4875A0"/>
    <w:name w:val="WWNum54"/>
    <w:lvl w:ilvl="0">
      <w:start w:val="1"/>
      <w:numFmt w:val="bullet"/>
      <w:lvlText w:val=""/>
      <w:lvlJc w:val="left"/>
      <w:pPr>
        <w:tabs>
          <w:tab w:val="num" w:pos="0"/>
        </w:tabs>
        <w:ind w:left="0" w:firstLine="0"/>
      </w:pPr>
      <w:rPr>
        <w:rFonts w:ascii="Symbol" w:hAnsi="Symbol"/>
      </w:rPr>
    </w:lvl>
    <w:lvl w:ilvl="1">
      <w:start w:val="1"/>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Courier New" w:hAnsi="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bullet"/>
      <w:lvlText w:val="-"/>
      <w:lvlJc w:val="left"/>
      <w:pPr>
        <w:tabs>
          <w:tab w:val="num" w:pos="2520"/>
        </w:tabs>
        <w:ind w:left="2520" w:hanging="360"/>
      </w:pPr>
      <w:rPr>
        <w:rFonts w:ascii="Courier New" w:hAnsi="Courier New" w:hint="default"/>
      </w:r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bullet"/>
      <w:lvlText w:val="-"/>
      <w:lvlJc w:val="left"/>
      <w:pPr>
        <w:tabs>
          <w:tab w:val="num" w:pos="3600"/>
        </w:tabs>
        <w:ind w:left="3600" w:hanging="360"/>
      </w:pPr>
      <w:rPr>
        <w:rFonts w:ascii="Courier New" w:hAnsi="Courier New" w:hint="default"/>
        <w:b/>
      </w:rPr>
    </w:lvl>
  </w:abstractNum>
  <w:abstractNum w:abstractNumId="9" w15:restartNumberingAfterBreak="0">
    <w:nsid w:val="00294993"/>
    <w:multiLevelType w:val="hybridMultilevel"/>
    <w:tmpl w:val="90FC9A0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5202DF"/>
    <w:multiLevelType w:val="hybridMultilevel"/>
    <w:tmpl w:val="88CA372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586E43"/>
    <w:multiLevelType w:val="hybridMultilevel"/>
    <w:tmpl w:val="A2648072"/>
    <w:styleLink w:val="ImportedStyle58"/>
    <w:lvl w:ilvl="0" w:tplc="1DF6D44A">
      <w:start w:val="1"/>
      <w:numFmt w:val="upperRoman"/>
      <w:lvlText w:val="%1."/>
      <w:lvlJc w:val="left"/>
      <w:pPr>
        <w:ind w:left="72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C8284B84">
      <w:start w:val="1"/>
      <w:numFmt w:val="lowerLetter"/>
      <w:lvlText w:val="%2)"/>
      <w:lvlJc w:val="left"/>
      <w:pPr>
        <w:ind w:left="1440" w:hanging="360"/>
      </w:pPr>
      <w:rPr>
        <w:rFonts w:hAnsi="Arial Unicode MS"/>
        <w:b/>
        <w:bCs/>
        <w:i/>
        <w:iCs/>
        <w:caps w:val="0"/>
        <w:smallCaps w:val="0"/>
        <w:strike w:val="0"/>
        <w:dstrike w:val="0"/>
        <w:color w:val="000000"/>
        <w:spacing w:val="0"/>
        <w:w w:val="100"/>
        <w:kern w:val="0"/>
        <w:position w:val="0"/>
        <w:highlight w:val="none"/>
        <w:vertAlign w:val="baseline"/>
      </w:rPr>
    </w:lvl>
    <w:lvl w:ilvl="2" w:tplc="961C3770">
      <w:start w:val="1"/>
      <w:numFmt w:val="lowerRoman"/>
      <w:lvlText w:val="%3."/>
      <w:lvlJc w:val="left"/>
      <w:pPr>
        <w:ind w:left="2160" w:hanging="313"/>
      </w:pPr>
      <w:rPr>
        <w:rFonts w:hAnsi="Arial Unicode MS"/>
        <w:b/>
        <w:bCs/>
        <w:i/>
        <w:iCs/>
        <w:caps w:val="0"/>
        <w:smallCaps w:val="0"/>
        <w:strike w:val="0"/>
        <w:dstrike w:val="0"/>
        <w:color w:val="000000"/>
        <w:spacing w:val="0"/>
        <w:w w:val="100"/>
        <w:kern w:val="0"/>
        <w:position w:val="0"/>
        <w:highlight w:val="none"/>
        <w:vertAlign w:val="baseline"/>
      </w:rPr>
    </w:lvl>
    <w:lvl w:ilvl="3" w:tplc="1024B77A">
      <w:start w:val="1"/>
      <w:numFmt w:val="decimal"/>
      <w:lvlText w:val="%4."/>
      <w:lvlJc w:val="left"/>
      <w:pPr>
        <w:ind w:left="2880" w:hanging="360"/>
      </w:pPr>
      <w:rPr>
        <w:rFonts w:hAnsi="Arial Unicode MS"/>
        <w:b/>
        <w:bCs/>
        <w:i/>
        <w:iCs/>
        <w:caps w:val="0"/>
        <w:smallCaps w:val="0"/>
        <w:strike w:val="0"/>
        <w:dstrike w:val="0"/>
        <w:color w:val="000000"/>
        <w:spacing w:val="0"/>
        <w:w w:val="100"/>
        <w:kern w:val="0"/>
        <w:position w:val="0"/>
        <w:highlight w:val="none"/>
        <w:vertAlign w:val="baseline"/>
      </w:rPr>
    </w:lvl>
    <w:lvl w:ilvl="4" w:tplc="7BC0D9B4">
      <w:start w:val="1"/>
      <w:numFmt w:val="lowerLetter"/>
      <w:lvlText w:val="%5."/>
      <w:lvlJc w:val="left"/>
      <w:pPr>
        <w:ind w:left="3600" w:hanging="360"/>
      </w:pPr>
      <w:rPr>
        <w:rFonts w:hAnsi="Arial Unicode MS"/>
        <w:b/>
        <w:bCs/>
        <w:i/>
        <w:iCs/>
        <w:caps w:val="0"/>
        <w:smallCaps w:val="0"/>
        <w:strike w:val="0"/>
        <w:dstrike w:val="0"/>
        <w:color w:val="000000"/>
        <w:spacing w:val="0"/>
        <w:w w:val="100"/>
        <w:kern w:val="0"/>
        <w:position w:val="0"/>
        <w:highlight w:val="none"/>
        <w:vertAlign w:val="baseline"/>
      </w:rPr>
    </w:lvl>
    <w:lvl w:ilvl="5" w:tplc="5B2E5948">
      <w:start w:val="1"/>
      <w:numFmt w:val="lowerRoman"/>
      <w:lvlText w:val="%6."/>
      <w:lvlJc w:val="left"/>
      <w:pPr>
        <w:ind w:left="4320" w:hanging="313"/>
      </w:pPr>
      <w:rPr>
        <w:rFonts w:hAnsi="Arial Unicode MS"/>
        <w:b/>
        <w:bCs/>
        <w:i/>
        <w:iCs/>
        <w:caps w:val="0"/>
        <w:smallCaps w:val="0"/>
        <w:strike w:val="0"/>
        <w:dstrike w:val="0"/>
        <w:color w:val="000000"/>
        <w:spacing w:val="0"/>
        <w:w w:val="100"/>
        <w:kern w:val="0"/>
        <w:position w:val="0"/>
        <w:highlight w:val="none"/>
        <w:vertAlign w:val="baseline"/>
      </w:rPr>
    </w:lvl>
    <w:lvl w:ilvl="6" w:tplc="B72450BE">
      <w:start w:val="1"/>
      <w:numFmt w:val="decimal"/>
      <w:lvlText w:val="%7."/>
      <w:lvlJc w:val="left"/>
      <w:pPr>
        <w:ind w:left="5040" w:hanging="360"/>
      </w:pPr>
      <w:rPr>
        <w:rFonts w:hAnsi="Arial Unicode MS"/>
        <w:b/>
        <w:bCs/>
        <w:i/>
        <w:iCs/>
        <w:caps w:val="0"/>
        <w:smallCaps w:val="0"/>
        <w:strike w:val="0"/>
        <w:dstrike w:val="0"/>
        <w:color w:val="000000"/>
        <w:spacing w:val="0"/>
        <w:w w:val="100"/>
        <w:kern w:val="0"/>
        <w:position w:val="0"/>
        <w:highlight w:val="none"/>
        <w:vertAlign w:val="baseline"/>
      </w:rPr>
    </w:lvl>
    <w:lvl w:ilvl="7" w:tplc="DFBCB75A">
      <w:start w:val="1"/>
      <w:numFmt w:val="lowerLetter"/>
      <w:lvlText w:val="%8."/>
      <w:lvlJc w:val="left"/>
      <w:pPr>
        <w:ind w:left="5760" w:hanging="360"/>
      </w:pPr>
      <w:rPr>
        <w:rFonts w:hAnsi="Arial Unicode MS"/>
        <w:b/>
        <w:bCs/>
        <w:i/>
        <w:iCs/>
        <w:caps w:val="0"/>
        <w:smallCaps w:val="0"/>
        <w:strike w:val="0"/>
        <w:dstrike w:val="0"/>
        <w:color w:val="000000"/>
        <w:spacing w:val="0"/>
        <w:w w:val="100"/>
        <w:kern w:val="0"/>
        <w:position w:val="0"/>
        <w:highlight w:val="none"/>
        <w:vertAlign w:val="baseline"/>
      </w:rPr>
    </w:lvl>
    <w:lvl w:ilvl="8" w:tplc="949456AC">
      <w:start w:val="1"/>
      <w:numFmt w:val="lowerRoman"/>
      <w:lvlText w:val="%9."/>
      <w:lvlJc w:val="left"/>
      <w:pPr>
        <w:ind w:left="6480" w:hanging="313"/>
      </w:pPr>
      <w:rPr>
        <w:rFonts w:hAnsi="Arial Unicode MS"/>
        <w:b/>
        <w:bCs/>
        <w:i/>
        <w:iCs/>
        <w:caps w:val="0"/>
        <w:smallCaps w:val="0"/>
        <w:strike w:val="0"/>
        <w:dstrike w:val="0"/>
        <w:color w:val="000000"/>
        <w:spacing w:val="0"/>
        <w:w w:val="100"/>
        <w:kern w:val="0"/>
        <w:position w:val="0"/>
        <w:highlight w:val="none"/>
        <w:vertAlign w:val="baseline"/>
      </w:rPr>
    </w:lvl>
  </w:abstractNum>
  <w:abstractNum w:abstractNumId="12" w15:restartNumberingAfterBreak="0">
    <w:nsid w:val="006960D9"/>
    <w:multiLevelType w:val="hybridMultilevel"/>
    <w:tmpl w:val="4E3A8CD4"/>
    <w:styleLink w:val="ImportedStyle780511"/>
    <w:lvl w:ilvl="0" w:tplc="2078FEEA">
      <w:start w:val="1"/>
      <w:numFmt w:val="upperRoman"/>
      <w:lvlText w:val="%1."/>
      <w:lvlJc w:val="left"/>
      <w:pPr>
        <w:ind w:left="72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EB20B232">
      <w:start w:val="1"/>
      <w:numFmt w:val="lowerLetter"/>
      <w:lvlText w:val="%2)"/>
      <w:lvlJc w:val="left"/>
      <w:pPr>
        <w:ind w:left="426" w:hanging="426"/>
      </w:pPr>
      <w:rPr>
        <w:rFonts w:hAnsi="Arial Unicode MS"/>
        <w:caps w:val="0"/>
        <w:smallCaps w:val="0"/>
        <w:strike w:val="0"/>
        <w:dstrike w:val="0"/>
        <w:color w:val="000000"/>
        <w:spacing w:val="0"/>
        <w:w w:val="100"/>
        <w:kern w:val="0"/>
        <w:position w:val="0"/>
        <w:highlight w:val="none"/>
        <w:vertAlign w:val="baseline"/>
      </w:rPr>
    </w:lvl>
    <w:lvl w:ilvl="2" w:tplc="A384B1CC">
      <w:start w:val="1"/>
      <w:numFmt w:val="lowerRoman"/>
      <w:lvlText w:val="%3."/>
      <w:lvlJc w:val="left"/>
      <w:pPr>
        <w:ind w:left="1146" w:hanging="379"/>
      </w:pPr>
      <w:rPr>
        <w:rFonts w:hAnsi="Arial Unicode MS"/>
        <w:caps w:val="0"/>
        <w:smallCaps w:val="0"/>
        <w:strike w:val="0"/>
        <w:dstrike w:val="0"/>
        <w:color w:val="000000"/>
        <w:spacing w:val="0"/>
        <w:w w:val="100"/>
        <w:kern w:val="0"/>
        <w:position w:val="0"/>
        <w:highlight w:val="none"/>
        <w:vertAlign w:val="baseline"/>
      </w:rPr>
    </w:lvl>
    <w:lvl w:ilvl="3" w:tplc="7B90B080">
      <w:start w:val="1"/>
      <w:numFmt w:val="decimal"/>
      <w:lvlText w:val="%4."/>
      <w:lvlJc w:val="left"/>
      <w:pPr>
        <w:ind w:left="1866" w:hanging="426"/>
      </w:pPr>
      <w:rPr>
        <w:rFonts w:hAnsi="Arial Unicode MS"/>
        <w:caps w:val="0"/>
        <w:smallCaps w:val="0"/>
        <w:strike w:val="0"/>
        <w:dstrike w:val="0"/>
        <w:color w:val="000000"/>
        <w:spacing w:val="0"/>
        <w:w w:val="100"/>
        <w:kern w:val="0"/>
        <w:position w:val="0"/>
        <w:highlight w:val="none"/>
        <w:vertAlign w:val="baseline"/>
      </w:rPr>
    </w:lvl>
    <w:lvl w:ilvl="4" w:tplc="D0084348">
      <w:start w:val="1"/>
      <w:numFmt w:val="lowerLetter"/>
      <w:lvlText w:val="%5."/>
      <w:lvlJc w:val="left"/>
      <w:pPr>
        <w:ind w:left="2586" w:hanging="426"/>
      </w:pPr>
      <w:rPr>
        <w:rFonts w:hAnsi="Arial Unicode MS"/>
        <w:caps w:val="0"/>
        <w:smallCaps w:val="0"/>
        <w:strike w:val="0"/>
        <w:dstrike w:val="0"/>
        <w:color w:val="000000"/>
        <w:spacing w:val="0"/>
        <w:w w:val="100"/>
        <w:kern w:val="0"/>
        <w:position w:val="0"/>
        <w:highlight w:val="none"/>
        <w:vertAlign w:val="baseline"/>
      </w:rPr>
    </w:lvl>
    <w:lvl w:ilvl="5" w:tplc="B2B2F7A8">
      <w:start w:val="1"/>
      <w:numFmt w:val="lowerRoman"/>
      <w:lvlText w:val="%6."/>
      <w:lvlJc w:val="left"/>
      <w:pPr>
        <w:ind w:left="3306" w:hanging="379"/>
      </w:pPr>
      <w:rPr>
        <w:rFonts w:hAnsi="Arial Unicode MS"/>
        <w:caps w:val="0"/>
        <w:smallCaps w:val="0"/>
        <w:strike w:val="0"/>
        <w:dstrike w:val="0"/>
        <w:color w:val="000000"/>
        <w:spacing w:val="0"/>
        <w:w w:val="100"/>
        <w:kern w:val="0"/>
        <w:position w:val="0"/>
        <w:highlight w:val="none"/>
        <w:vertAlign w:val="baseline"/>
      </w:rPr>
    </w:lvl>
    <w:lvl w:ilvl="6" w:tplc="770C9732">
      <w:start w:val="1"/>
      <w:numFmt w:val="decimal"/>
      <w:lvlText w:val="%7."/>
      <w:lvlJc w:val="left"/>
      <w:pPr>
        <w:ind w:left="4026" w:hanging="426"/>
      </w:pPr>
      <w:rPr>
        <w:rFonts w:hAnsi="Arial Unicode MS"/>
        <w:caps w:val="0"/>
        <w:smallCaps w:val="0"/>
        <w:strike w:val="0"/>
        <w:dstrike w:val="0"/>
        <w:color w:val="000000"/>
        <w:spacing w:val="0"/>
        <w:w w:val="100"/>
        <w:kern w:val="0"/>
        <w:position w:val="0"/>
        <w:highlight w:val="none"/>
        <w:vertAlign w:val="baseline"/>
      </w:rPr>
    </w:lvl>
    <w:lvl w:ilvl="7" w:tplc="CC00D59C">
      <w:start w:val="1"/>
      <w:numFmt w:val="lowerLetter"/>
      <w:lvlText w:val="%8."/>
      <w:lvlJc w:val="left"/>
      <w:pPr>
        <w:ind w:left="4746" w:hanging="426"/>
      </w:pPr>
      <w:rPr>
        <w:rFonts w:hAnsi="Arial Unicode MS"/>
        <w:caps w:val="0"/>
        <w:smallCaps w:val="0"/>
        <w:strike w:val="0"/>
        <w:dstrike w:val="0"/>
        <w:color w:val="000000"/>
        <w:spacing w:val="0"/>
        <w:w w:val="100"/>
        <w:kern w:val="0"/>
        <w:position w:val="0"/>
        <w:highlight w:val="none"/>
        <w:vertAlign w:val="baseline"/>
      </w:rPr>
    </w:lvl>
    <w:lvl w:ilvl="8" w:tplc="75BAEB12">
      <w:start w:val="1"/>
      <w:numFmt w:val="lowerRoman"/>
      <w:lvlText w:val="%9."/>
      <w:lvlJc w:val="left"/>
      <w:pPr>
        <w:ind w:left="5466" w:hanging="379"/>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009A3D51"/>
    <w:multiLevelType w:val="hybridMultilevel"/>
    <w:tmpl w:val="406CD1D6"/>
    <w:styleLink w:val="ImportedStyle11624"/>
    <w:lvl w:ilvl="0" w:tplc="AB4C27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961A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53C9A5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B36BE0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1844C9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FA181B6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4123B7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C5004B7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1C0683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00CE053B"/>
    <w:multiLevelType w:val="hybridMultilevel"/>
    <w:tmpl w:val="BD782ECE"/>
    <w:styleLink w:val="ImportedStyle51"/>
    <w:lvl w:ilvl="0" w:tplc="0BF0768A">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1" w:tplc="24EE0A4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EF005EFA">
      <w:start w:val="1"/>
      <w:numFmt w:val="lowerLetter"/>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3ACCF7CE">
      <w:start w:val="1"/>
      <w:numFmt w:val="lowerLetter"/>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5EE2700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1B389EE0">
      <w:start w:val="1"/>
      <w:numFmt w:val="lowerLetter"/>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86D2BDE4">
      <w:start w:val="1"/>
      <w:numFmt w:val="lowerLetter"/>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6E94C75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1312E592">
      <w:start w:val="1"/>
      <w:numFmt w:val="lowerLetter"/>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00DA66DB"/>
    <w:multiLevelType w:val="hybridMultilevel"/>
    <w:tmpl w:val="64381556"/>
    <w:styleLink w:val="ImportedStyle38"/>
    <w:lvl w:ilvl="0" w:tplc="DE1C7BDC">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01039C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E9CF4E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DA038E2">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590DC2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9609A0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2128C66">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884264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E289B0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6" w15:restartNumberingAfterBreak="0">
    <w:nsid w:val="00F02C75"/>
    <w:multiLevelType w:val="hybridMultilevel"/>
    <w:tmpl w:val="78586CE6"/>
    <w:styleLink w:val="ImportedStyle8032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02592C"/>
    <w:multiLevelType w:val="hybridMultilevel"/>
    <w:tmpl w:val="7104207C"/>
    <w:styleLink w:val="ImportedStyle1171"/>
    <w:lvl w:ilvl="0" w:tplc="7E9A67F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0E8D51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11A964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FC27560">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568EED2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134055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B3CB072">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986258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CB2AA1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8" w15:restartNumberingAfterBreak="0">
    <w:nsid w:val="0127713C"/>
    <w:multiLevelType w:val="hybridMultilevel"/>
    <w:tmpl w:val="5B2037B0"/>
    <w:lvl w:ilvl="0" w:tplc="E9F6141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4B3DCB"/>
    <w:multiLevelType w:val="hybridMultilevel"/>
    <w:tmpl w:val="D14E2AE4"/>
    <w:styleLink w:val="ImportedStyle3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01525F0D"/>
    <w:multiLevelType w:val="hybridMultilevel"/>
    <w:tmpl w:val="A01616F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180332F"/>
    <w:multiLevelType w:val="hybridMultilevel"/>
    <w:tmpl w:val="A1D016D6"/>
    <w:styleLink w:val="Stilimportat71311"/>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1DC76D9"/>
    <w:multiLevelType w:val="hybridMultilevel"/>
    <w:tmpl w:val="8264A2B6"/>
    <w:styleLink w:val="ImportedStyle80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2036B12"/>
    <w:multiLevelType w:val="hybridMultilevel"/>
    <w:tmpl w:val="D2B64EA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23D0702"/>
    <w:multiLevelType w:val="hybridMultilevel"/>
    <w:tmpl w:val="8C2C08A6"/>
    <w:styleLink w:val="ImportedStyle7802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2A17E7C"/>
    <w:multiLevelType w:val="hybridMultilevel"/>
    <w:tmpl w:val="31CA6650"/>
    <w:styleLink w:val="Stilimportat2121"/>
    <w:lvl w:ilvl="0" w:tplc="9B0A63E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2FA50E3"/>
    <w:multiLevelType w:val="hybridMultilevel"/>
    <w:tmpl w:val="C3E4B7B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3131859"/>
    <w:multiLevelType w:val="hybridMultilevel"/>
    <w:tmpl w:val="9D5C682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D22ECE"/>
    <w:multiLevelType w:val="hybridMultilevel"/>
    <w:tmpl w:val="AE1AC78A"/>
    <w:styleLink w:val="ImportedStyle119"/>
    <w:lvl w:ilvl="0" w:tplc="8F7870B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D023BDA">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7D1E8258">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CBD4F8FC">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350AD6A">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718A2098">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B06EFE1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C106A1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8B2C8542">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0437559A"/>
    <w:multiLevelType w:val="hybridMultilevel"/>
    <w:tmpl w:val="761EE6B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4F26C58"/>
    <w:multiLevelType w:val="hybridMultilevel"/>
    <w:tmpl w:val="6AF6F756"/>
    <w:styleLink w:val="Stilimportat1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4F85A22"/>
    <w:multiLevelType w:val="hybridMultilevel"/>
    <w:tmpl w:val="43B4ABE8"/>
    <w:styleLink w:val="Stilimportat2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5886777"/>
    <w:multiLevelType w:val="hybridMultilevel"/>
    <w:tmpl w:val="19DA2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5997910"/>
    <w:multiLevelType w:val="hybridMultilevel"/>
    <w:tmpl w:val="79E600BA"/>
    <w:styleLink w:val="Stilimportat3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5D31C7C"/>
    <w:multiLevelType w:val="hybridMultilevel"/>
    <w:tmpl w:val="0E16C434"/>
    <w:styleLink w:val="ImportedStyle80611"/>
    <w:lvl w:ilvl="0" w:tplc="70AE2D2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E788C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736D5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C7E2FD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3F277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FD44E7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51CDA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0A232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6F631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5" w15:restartNumberingAfterBreak="0">
    <w:nsid w:val="05DD10BB"/>
    <w:multiLevelType w:val="hybridMultilevel"/>
    <w:tmpl w:val="3342BA60"/>
    <w:styleLink w:val="Stilimportat3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6023D41"/>
    <w:multiLevelType w:val="hybridMultilevel"/>
    <w:tmpl w:val="968A946E"/>
    <w:styleLink w:val="Stilimportat1141"/>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60D55A4"/>
    <w:multiLevelType w:val="hybridMultilevel"/>
    <w:tmpl w:val="9D2C0FC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6550E18"/>
    <w:multiLevelType w:val="multilevel"/>
    <w:tmpl w:val="9B220CD8"/>
    <w:lvl w:ilvl="0">
      <w:start w:val="1"/>
      <w:numFmt w:val="decimal"/>
      <w:lvlText w:val="%1."/>
      <w:lvlJc w:val="left"/>
      <w:pPr>
        <w:ind w:left="720" w:hanging="360"/>
      </w:pPr>
      <w:rPr>
        <w:rFonts w:hint="default"/>
        <w:b w:val="0"/>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06552917"/>
    <w:multiLevelType w:val="hybridMultilevel"/>
    <w:tmpl w:val="DD92E7F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6A768DF"/>
    <w:multiLevelType w:val="hybridMultilevel"/>
    <w:tmpl w:val="1E3680A2"/>
    <w:styleLink w:val="ImportedStyle43"/>
    <w:lvl w:ilvl="0" w:tplc="46929AD6">
      <w:start w:val="1"/>
      <w:numFmt w:val="bullet"/>
      <w:lvlText w:val="-"/>
      <w:lvlJc w:val="left"/>
      <w:pPr>
        <w:ind w:left="852"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A8C2C5DA">
      <w:start w:val="1"/>
      <w:numFmt w:val="bullet"/>
      <w:lvlText w:val="o"/>
      <w:lvlJc w:val="left"/>
      <w:pPr>
        <w:ind w:left="153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CA129540">
      <w:start w:val="1"/>
      <w:numFmt w:val="bullet"/>
      <w:lvlText w:val="▪"/>
      <w:lvlJc w:val="left"/>
      <w:pPr>
        <w:ind w:left="225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4E6630FA">
      <w:start w:val="1"/>
      <w:numFmt w:val="bullet"/>
      <w:lvlText w:val="•"/>
      <w:lvlJc w:val="left"/>
      <w:pPr>
        <w:ind w:left="297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5936C026">
      <w:start w:val="1"/>
      <w:numFmt w:val="bullet"/>
      <w:lvlText w:val="o"/>
      <w:lvlJc w:val="left"/>
      <w:pPr>
        <w:ind w:left="369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E6CCE5F2">
      <w:start w:val="1"/>
      <w:numFmt w:val="bullet"/>
      <w:lvlText w:val="▪"/>
      <w:lvlJc w:val="left"/>
      <w:pPr>
        <w:ind w:left="441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0A4ECA3C">
      <w:start w:val="1"/>
      <w:numFmt w:val="bullet"/>
      <w:lvlText w:val="•"/>
      <w:lvlJc w:val="left"/>
      <w:pPr>
        <w:ind w:left="513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DC540130">
      <w:start w:val="1"/>
      <w:numFmt w:val="bullet"/>
      <w:lvlText w:val="o"/>
      <w:lvlJc w:val="left"/>
      <w:pPr>
        <w:ind w:left="585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C51E85A4">
      <w:start w:val="1"/>
      <w:numFmt w:val="bullet"/>
      <w:lvlText w:val="▪"/>
      <w:lvlJc w:val="left"/>
      <w:pPr>
        <w:ind w:left="657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1" w15:restartNumberingAfterBreak="0">
    <w:nsid w:val="06A806FC"/>
    <w:multiLevelType w:val="hybridMultilevel"/>
    <w:tmpl w:val="32124FB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6B2E2F8"/>
    <w:multiLevelType w:val="multilevel"/>
    <w:tmpl w:val="FFFFFFFF"/>
    <w:styleLink w:val="Stilimportat712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43" w15:restartNumberingAfterBreak="0">
    <w:nsid w:val="07027E40"/>
    <w:multiLevelType w:val="hybridMultilevel"/>
    <w:tmpl w:val="53F43AD0"/>
    <w:styleLink w:val="ImportedStyle30"/>
    <w:lvl w:ilvl="0" w:tplc="921CE420">
      <w:start w:val="1"/>
      <w:numFmt w:val="upperLetter"/>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205EFFBA">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49B289D6">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4BD21DC4">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3D1835BE">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38CC58EA">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78F001BC">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FD961B18">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E30259FC">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44" w15:restartNumberingAfterBreak="0">
    <w:nsid w:val="070332B3"/>
    <w:multiLevelType w:val="hybridMultilevel"/>
    <w:tmpl w:val="15F24CB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306A24"/>
    <w:multiLevelType w:val="hybridMultilevel"/>
    <w:tmpl w:val="82486C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76A2538"/>
    <w:multiLevelType w:val="hybridMultilevel"/>
    <w:tmpl w:val="FCEA447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7767C58"/>
    <w:multiLevelType w:val="hybridMultilevel"/>
    <w:tmpl w:val="017EA5F4"/>
    <w:styleLink w:val="Stilimportat31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078A7620"/>
    <w:multiLevelType w:val="hybridMultilevel"/>
    <w:tmpl w:val="0E30AC58"/>
    <w:styleLink w:val="ImportedStyle78011211"/>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7F6292F"/>
    <w:multiLevelType w:val="hybridMultilevel"/>
    <w:tmpl w:val="7076F79A"/>
    <w:styleLink w:val="Stilimportat12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81249E5"/>
    <w:multiLevelType w:val="hybridMultilevel"/>
    <w:tmpl w:val="3BA80C4C"/>
    <w:styleLink w:val="ImportedStyle20"/>
    <w:lvl w:ilvl="0" w:tplc="329C00A8">
      <w:start w:val="1"/>
      <w:numFmt w:val="bullet"/>
      <w:lvlText w:val="·"/>
      <w:lvlJc w:val="left"/>
      <w:pPr>
        <w:tabs>
          <w:tab w:val="num" w:pos="851"/>
        </w:tabs>
        <w:ind w:left="567" w:firstLine="7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FE81624">
      <w:start w:val="1"/>
      <w:numFmt w:val="bullet"/>
      <w:lvlText w:val="o"/>
      <w:lvlJc w:val="left"/>
      <w:pPr>
        <w:tabs>
          <w:tab w:val="left" w:pos="851"/>
        </w:tabs>
        <w:ind w:left="128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189E68">
      <w:start w:val="1"/>
      <w:numFmt w:val="bullet"/>
      <w:lvlText w:val="▪"/>
      <w:lvlJc w:val="left"/>
      <w:pPr>
        <w:tabs>
          <w:tab w:val="left" w:pos="851"/>
        </w:tabs>
        <w:ind w:left="200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E60A52A">
      <w:start w:val="1"/>
      <w:numFmt w:val="bullet"/>
      <w:lvlText w:val="·"/>
      <w:lvlJc w:val="left"/>
      <w:pPr>
        <w:tabs>
          <w:tab w:val="left" w:pos="851"/>
        </w:tabs>
        <w:ind w:left="2727" w:hanging="22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71056FC">
      <w:start w:val="1"/>
      <w:numFmt w:val="bullet"/>
      <w:lvlText w:val="o"/>
      <w:lvlJc w:val="left"/>
      <w:pPr>
        <w:tabs>
          <w:tab w:val="left" w:pos="851"/>
        </w:tabs>
        <w:ind w:left="344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F70DE3C">
      <w:start w:val="1"/>
      <w:numFmt w:val="bullet"/>
      <w:lvlText w:val="▪"/>
      <w:lvlJc w:val="left"/>
      <w:pPr>
        <w:tabs>
          <w:tab w:val="left" w:pos="851"/>
        </w:tabs>
        <w:ind w:left="416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F8304A">
      <w:start w:val="1"/>
      <w:numFmt w:val="bullet"/>
      <w:lvlText w:val="·"/>
      <w:lvlJc w:val="left"/>
      <w:pPr>
        <w:tabs>
          <w:tab w:val="left" w:pos="851"/>
        </w:tabs>
        <w:ind w:left="4887" w:hanging="22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F80FE60">
      <w:start w:val="1"/>
      <w:numFmt w:val="bullet"/>
      <w:lvlText w:val="o"/>
      <w:lvlJc w:val="left"/>
      <w:pPr>
        <w:tabs>
          <w:tab w:val="left" w:pos="851"/>
        </w:tabs>
        <w:ind w:left="560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0D4A8BA">
      <w:start w:val="1"/>
      <w:numFmt w:val="bullet"/>
      <w:lvlText w:val="▪"/>
      <w:lvlJc w:val="left"/>
      <w:pPr>
        <w:tabs>
          <w:tab w:val="left" w:pos="851"/>
        </w:tabs>
        <w:ind w:left="6327" w:hanging="22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15:restartNumberingAfterBreak="0">
    <w:nsid w:val="084E370E"/>
    <w:multiLevelType w:val="hybridMultilevel"/>
    <w:tmpl w:val="883CF8AA"/>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8AF4D07"/>
    <w:multiLevelType w:val="hybridMultilevel"/>
    <w:tmpl w:val="DBA26DC4"/>
    <w:styleLink w:val="Stilimportat52111111"/>
    <w:lvl w:ilvl="0" w:tplc="923225F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3" w15:restartNumberingAfterBreak="0">
    <w:nsid w:val="08E01867"/>
    <w:multiLevelType w:val="hybridMultilevel"/>
    <w:tmpl w:val="B5A0573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8F958DC"/>
    <w:multiLevelType w:val="hybridMultilevel"/>
    <w:tmpl w:val="5B565D24"/>
    <w:lvl w:ilvl="0" w:tplc="B1A2443E">
      <w:numFmt w:val="bullet"/>
      <w:lvlText w:val="-"/>
      <w:lvlJc w:val="left"/>
      <w:pPr>
        <w:ind w:left="836" w:hanging="360"/>
      </w:pPr>
      <w:rPr>
        <w:rFonts w:ascii="Courier New" w:eastAsia="Courier New" w:hAnsi="Courier New" w:cs="Courier New" w:hint="default"/>
        <w:b w:val="0"/>
        <w:bCs w:val="0"/>
        <w:i w:val="0"/>
        <w:iCs w:val="0"/>
        <w:w w:val="100"/>
        <w:sz w:val="24"/>
        <w:szCs w:val="24"/>
      </w:rPr>
    </w:lvl>
    <w:lvl w:ilvl="1" w:tplc="7EFCF438">
      <w:numFmt w:val="bullet"/>
      <w:lvlText w:val="•"/>
      <w:lvlJc w:val="left"/>
      <w:pPr>
        <w:ind w:left="980" w:hanging="360"/>
      </w:pPr>
      <w:rPr>
        <w:rFonts w:hint="default"/>
      </w:rPr>
    </w:lvl>
    <w:lvl w:ilvl="2" w:tplc="C722D802">
      <w:numFmt w:val="bullet"/>
      <w:lvlText w:val="•"/>
      <w:lvlJc w:val="left"/>
      <w:pPr>
        <w:ind w:left="1942" w:hanging="360"/>
      </w:pPr>
      <w:rPr>
        <w:rFonts w:hint="default"/>
      </w:rPr>
    </w:lvl>
    <w:lvl w:ilvl="3" w:tplc="5FDE6120">
      <w:numFmt w:val="bullet"/>
      <w:lvlText w:val="•"/>
      <w:lvlJc w:val="left"/>
      <w:pPr>
        <w:ind w:left="2904" w:hanging="360"/>
      </w:pPr>
      <w:rPr>
        <w:rFonts w:hint="default"/>
      </w:rPr>
    </w:lvl>
    <w:lvl w:ilvl="4" w:tplc="74D81750">
      <w:numFmt w:val="bullet"/>
      <w:lvlText w:val="•"/>
      <w:lvlJc w:val="left"/>
      <w:pPr>
        <w:ind w:left="3866" w:hanging="360"/>
      </w:pPr>
      <w:rPr>
        <w:rFonts w:hint="default"/>
      </w:rPr>
    </w:lvl>
    <w:lvl w:ilvl="5" w:tplc="BF06FB70">
      <w:numFmt w:val="bullet"/>
      <w:lvlText w:val="•"/>
      <w:lvlJc w:val="left"/>
      <w:pPr>
        <w:ind w:left="4828" w:hanging="360"/>
      </w:pPr>
      <w:rPr>
        <w:rFonts w:hint="default"/>
      </w:rPr>
    </w:lvl>
    <w:lvl w:ilvl="6" w:tplc="93104198">
      <w:numFmt w:val="bullet"/>
      <w:lvlText w:val="•"/>
      <w:lvlJc w:val="left"/>
      <w:pPr>
        <w:ind w:left="5791" w:hanging="360"/>
      </w:pPr>
      <w:rPr>
        <w:rFonts w:hint="default"/>
      </w:rPr>
    </w:lvl>
    <w:lvl w:ilvl="7" w:tplc="D3F02CFE">
      <w:numFmt w:val="bullet"/>
      <w:lvlText w:val="•"/>
      <w:lvlJc w:val="left"/>
      <w:pPr>
        <w:ind w:left="6753" w:hanging="360"/>
      </w:pPr>
      <w:rPr>
        <w:rFonts w:hint="default"/>
      </w:rPr>
    </w:lvl>
    <w:lvl w:ilvl="8" w:tplc="6ACC9720">
      <w:numFmt w:val="bullet"/>
      <w:lvlText w:val="•"/>
      <w:lvlJc w:val="left"/>
      <w:pPr>
        <w:ind w:left="7715" w:hanging="360"/>
      </w:pPr>
      <w:rPr>
        <w:rFonts w:hint="default"/>
      </w:rPr>
    </w:lvl>
  </w:abstractNum>
  <w:abstractNum w:abstractNumId="55" w15:restartNumberingAfterBreak="0">
    <w:nsid w:val="0940135C"/>
    <w:multiLevelType w:val="hybridMultilevel"/>
    <w:tmpl w:val="EDF6AF56"/>
    <w:styleLink w:val="Stilimportat23211"/>
    <w:lvl w:ilvl="0" w:tplc="9C8C267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9727ACD"/>
    <w:multiLevelType w:val="hybridMultilevel"/>
    <w:tmpl w:val="BE86B4E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8C5E13"/>
    <w:multiLevelType w:val="hybridMultilevel"/>
    <w:tmpl w:val="B4E08DB2"/>
    <w:styleLink w:val="ImportedStyle3522"/>
    <w:lvl w:ilvl="0" w:tplc="88E67AE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DC563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B8B5D0">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103CE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A4628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2EC7482">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18353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B0B5C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84607C">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09B509BD"/>
    <w:multiLevelType w:val="hybridMultilevel"/>
    <w:tmpl w:val="ABF41B12"/>
    <w:styleLink w:val="ImportedStyle55"/>
    <w:lvl w:ilvl="0" w:tplc="C16A9F0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8106596E">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A2CD02A">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5830817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2FE851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D99CC152">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0024DCEC">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D368C7D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6F0EC44E">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59" w15:restartNumberingAfterBreak="0">
    <w:nsid w:val="0A3A06E9"/>
    <w:multiLevelType w:val="hybridMultilevel"/>
    <w:tmpl w:val="ABAC6170"/>
    <w:styleLink w:val="ImportedStyle71"/>
    <w:lvl w:ilvl="0" w:tplc="5FA6BA8C">
      <w:start w:val="1"/>
      <w:numFmt w:val="upperRoman"/>
      <w:lvlText w:val="%1."/>
      <w:lvlJc w:val="left"/>
      <w:pPr>
        <w:tabs>
          <w:tab w:val="left" w:pos="1077"/>
        </w:tabs>
        <w:ind w:left="42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09D4810E">
      <w:start w:val="1"/>
      <w:numFmt w:val="lowerLetter"/>
      <w:lvlText w:val="%2."/>
      <w:lvlJc w:val="left"/>
      <w:pPr>
        <w:ind w:left="1077" w:hanging="215"/>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2" w:tplc="678606B6">
      <w:start w:val="1"/>
      <w:numFmt w:val="lowerRoman"/>
      <w:lvlText w:val="%3."/>
      <w:lvlJc w:val="left"/>
      <w:pPr>
        <w:tabs>
          <w:tab w:val="left" w:pos="1077"/>
        </w:tabs>
        <w:ind w:left="1866" w:hanging="23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3" w:tplc="E26E534C">
      <w:start w:val="1"/>
      <w:numFmt w:val="decimal"/>
      <w:lvlText w:val="%4."/>
      <w:lvlJc w:val="left"/>
      <w:pPr>
        <w:tabs>
          <w:tab w:val="left" w:pos="1077"/>
        </w:tabs>
        <w:ind w:left="258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4" w:tplc="F34AF398">
      <w:start w:val="1"/>
      <w:numFmt w:val="lowerLetter"/>
      <w:lvlText w:val="%5."/>
      <w:lvlJc w:val="left"/>
      <w:pPr>
        <w:tabs>
          <w:tab w:val="left" w:pos="1077"/>
        </w:tabs>
        <w:ind w:left="330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5" w:tplc="C0783BAC">
      <w:start w:val="1"/>
      <w:numFmt w:val="lowerRoman"/>
      <w:lvlText w:val="%6."/>
      <w:lvlJc w:val="left"/>
      <w:pPr>
        <w:tabs>
          <w:tab w:val="left" w:pos="1077"/>
        </w:tabs>
        <w:ind w:left="4026" w:hanging="23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6" w:tplc="C45E000E">
      <w:start w:val="1"/>
      <w:numFmt w:val="decimal"/>
      <w:lvlText w:val="%7."/>
      <w:lvlJc w:val="left"/>
      <w:pPr>
        <w:tabs>
          <w:tab w:val="left" w:pos="1077"/>
        </w:tabs>
        <w:ind w:left="474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7" w:tplc="8134388A">
      <w:start w:val="1"/>
      <w:numFmt w:val="lowerLetter"/>
      <w:lvlText w:val="%8."/>
      <w:lvlJc w:val="left"/>
      <w:pPr>
        <w:tabs>
          <w:tab w:val="left" w:pos="1077"/>
        </w:tabs>
        <w:ind w:left="5466" w:hanging="284"/>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8" w:tplc="6C7A1DC8">
      <w:start w:val="1"/>
      <w:numFmt w:val="lowerRoman"/>
      <w:lvlText w:val="%9."/>
      <w:lvlJc w:val="left"/>
      <w:pPr>
        <w:tabs>
          <w:tab w:val="left" w:pos="1077"/>
        </w:tabs>
        <w:ind w:left="6186" w:hanging="23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abstractNum>
  <w:abstractNum w:abstractNumId="60" w15:restartNumberingAfterBreak="0">
    <w:nsid w:val="0A71421B"/>
    <w:multiLevelType w:val="hybridMultilevel"/>
    <w:tmpl w:val="AFF287E0"/>
    <w:lvl w:ilvl="0" w:tplc="E9F614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0AA920EF"/>
    <w:multiLevelType w:val="hybridMultilevel"/>
    <w:tmpl w:val="62EC5D7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2" w15:restartNumberingAfterBreak="0">
    <w:nsid w:val="0B21129F"/>
    <w:multiLevelType w:val="hybridMultilevel"/>
    <w:tmpl w:val="8E527492"/>
    <w:lvl w:ilvl="0" w:tplc="0CF08D3C">
      <w:start w:val="1"/>
      <w:numFmt w:val="bullet"/>
      <w:lvlText w:val="-"/>
      <w:lvlJc w:val="left"/>
      <w:pPr>
        <w:ind w:left="927" w:hanging="360"/>
      </w:pPr>
      <w:rPr>
        <w:rFonts w:ascii="Courier New" w:hAnsi="Courier New"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3" w15:restartNumberingAfterBreak="0">
    <w:nsid w:val="0B667903"/>
    <w:multiLevelType w:val="hybridMultilevel"/>
    <w:tmpl w:val="970E582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0BA15980"/>
    <w:multiLevelType w:val="hybridMultilevel"/>
    <w:tmpl w:val="FF121744"/>
    <w:styleLink w:val="ImportedStyle821211"/>
    <w:lvl w:ilvl="0" w:tplc="C494EB8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B0684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088ED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30B34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4EE65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20478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E895D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AE8F3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19EFF7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0C9E3067"/>
    <w:multiLevelType w:val="hybridMultilevel"/>
    <w:tmpl w:val="64B284A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0CB41797"/>
    <w:multiLevelType w:val="hybridMultilevel"/>
    <w:tmpl w:val="5DBA33D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CB9341F"/>
    <w:multiLevelType w:val="hybridMultilevel"/>
    <w:tmpl w:val="6A7C70F4"/>
    <w:styleLink w:val="ImportedStyle116522"/>
    <w:lvl w:ilvl="0" w:tplc="CAA46DF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8982B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38A8D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7BE990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A4E17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CE61F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EE01F0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8E682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D067F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8" w15:restartNumberingAfterBreak="0">
    <w:nsid w:val="0CF97131"/>
    <w:multiLevelType w:val="hybridMultilevel"/>
    <w:tmpl w:val="A32A0656"/>
    <w:styleLink w:val="ImportedStyle1166"/>
    <w:lvl w:ilvl="0" w:tplc="EE328290">
      <w:start w:val="1"/>
      <w:numFmt w:val="upperRoman"/>
      <w:lvlText w:val="%1."/>
      <w:lvlJc w:val="left"/>
      <w:pPr>
        <w:ind w:left="1080" w:hanging="720"/>
      </w:pPr>
      <w:rPr>
        <w:rFonts w:hint="default"/>
        <w:b/>
      </w:rPr>
    </w:lvl>
    <w:lvl w:ilvl="1" w:tplc="5DAC0E9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0D4000D9"/>
    <w:multiLevelType w:val="hybridMultilevel"/>
    <w:tmpl w:val="78442EE0"/>
    <w:styleLink w:val="ImportedStyle115141"/>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0D50769E"/>
    <w:multiLevelType w:val="hybridMultilevel"/>
    <w:tmpl w:val="AF38A9B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0D9F3E31"/>
    <w:multiLevelType w:val="hybridMultilevel"/>
    <w:tmpl w:val="5B18187E"/>
    <w:styleLink w:val="ImportedStyle10"/>
    <w:lvl w:ilvl="0" w:tplc="1BEA23B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5265E2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22883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C2044D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87445C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FBE5F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9D61F7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0DED2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A3AB4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2" w15:restartNumberingAfterBreak="0">
    <w:nsid w:val="0DFC284E"/>
    <w:multiLevelType w:val="hybridMultilevel"/>
    <w:tmpl w:val="D9FC4F0C"/>
    <w:styleLink w:val="Stilimportat23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E0D4430"/>
    <w:multiLevelType w:val="hybridMultilevel"/>
    <w:tmpl w:val="6240C6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E18528D"/>
    <w:multiLevelType w:val="hybridMultilevel"/>
    <w:tmpl w:val="48D69130"/>
    <w:styleLink w:val="Stilimportat25111"/>
    <w:lvl w:ilvl="0" w:tplc="04090001">
      <w:start w:val="1"/>
      <w:numFmt w:val="bullet"/>
      <w:lvlText w:val=""/>
      <w:lvlJc w:val="left"/>
      <w:pPr>
        <w:ind w:left="720" w:hanging="360"/>
      </w:pPr>
      <w:rPr>
        <w:rFonts w:ascii="Symbol" w:hAnsi="Symbol" w:hint="default"/>
      </w:rPr>
    </w:lvl>
    <w:lvl w:ilvl="1" w:tplc="0CF08D3C">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15:restartNumberingAfterBreak="0">
    <w:nsid w:val="0E481552"/>
    <w:multiLevelType w:val="hybridMultilevel"/>
    <w:tmpl w:val="6430DCC0"/>
    <w:styleLink w:val="ImportedStyle9"/>
    <w:lvl w:ilvl="0" w:tplc="4CB665EA">
      <w:start w:val="1"/>
      <w:numFmt w:val="bullet"/>
      <w:lvlText w:val="-"/>
      <w:lvlJc w:val="left"/>
      <w:pPr>
        <w:ind w:left="71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5936E824">
      <w:start w:val="1"/>
      <w:numFmt w:val="bullet"/>
      <w:lvlText w:val="o"/>
      <w:lvlJc w:val="left"/>
      <w:pPr>
        <w:ind w:left="143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6BC2554E">
      <w:start w:val="1"/>
      <w:numFmt w:val="bullet"/>
      <w:lvlText w:val="▪"/>
      <w:lvlJc w:val="left"/>
      <w:pPr>
        <w:ind w:left="215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F628F738">
      <w:start w:val="1"/>
      <w:numFmt w:val="bullet"/>
      <w:lvlText w:val="•"/>
      <w:lvlJc w:val="left"/>
      <w:pPr>
        <w:ind w:left="287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CA48D8CA">
      <w:start w:val="1"/>
      <w:numFmt w:val="bullet"/>
      <w:lvlText w:val="o"/>
      <w:lvlJc w:val="left"/>
      <w:pPr>
        <w:ind w:left="359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B581D98">
      <w:start w:val="1"/>
      <w:numFmt w:val="bullet"/>
      <w:lvlText w:val="▪"/>
      <w:lvlJc w:val="left"/>
      <w:pPr>
        <w:ind w:left="431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B84A9DBE">
      <w:start w:val="1"/>
      <w:numFmt w:val="bullet"/>
      <w:lvlText w:val="•"/>
      <w:lvlJc w:val="left"/>
      <w:pPr>
        <w:ind w:left="503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2F7035CA">
      <w:start w:val="1"/>
      <w:numFmt w:val="bullet"/>
      <w:lvlText w:val="o"/>
      <w:lvlJc w:val="left"/>
      <w:pPr>
        <w:ind w:left="575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1C40860">
      <w:start w:val="1"/>
      <w:numFmt w:val="bullet"/>
      <w:lvlText w:val="▪"/>
      <w:lvlJc w:val="left"/>
      <w:pPr>
        <w:ind w:left="647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76" w15:restartNumberingAfterBreak="0">
    <w:nsid w:val="0E712700"/>
    <w:multiLevelType w:val="hybridMultilevel"/>
    <w:tmpl w:val="DFDED3B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0EEF0A0D"/>
    <w:multiLevelType w:val="hybridMultilevel"/>
    <w:tmpl w:val="A322FEF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0EF16A20"/>
    <w:multiLevelType w:val="hybridMultilevel"/>
    <w:tmpl w:val="2A661734"/>
    <w:lvl w:ilvl="0" w:tplc="E9F61410">
      <w:start w:val="1"/>
      <w:numFmt w:val="bullet"/>
      <w:lvlText w:val=""/>
      <w:lvlJc w:val="left"/>
      <w:pPr>
        <w:ind w:left="1221" w:hanging="360"/>
      </w:pPr>
      <w:rPr>
        <w:rFonts w:ascii="Symbol" w:hAnsi="Symbol" w:hint="default"/>
      </w:rPr>
    </w:lvl>
    <w:lvl w:ilvl="1" w:tplc="04180003" w:tentative="1">
      <w:start w:val="1"/>
      <w:numFmt w:val="bullet"/>
      <w:lvlText w:val="o"/>
      <w:lvlJc w:val="left"/>
      <w:pPr>
        <w:ind w:left="1941" w:hanging="360"/>
      </w:pPr>
      <w:rPr>
        <w:rFonts w:ascii="Courier New" w:hAnsi="Courier New" w:cs="Courier New" w:hint="default"/>
      </w:rPr>
    </w:lvl>
    <w:lvl w:ilvl="2" w:tplc="04180005" w:tentative="1">
      <w:start w:val="1"/>
      <w:numFmt w:val="bullet"/>
      <w:lvlText w:val=""/>
      <w:lvlJc w:val="left"/>
      <w:pPr>
        <w:ind w:left="2661" w:hanging="360"/>
      </w:pPr>
      <w:rPr>
        <w:rFonts w:ascii="Wingdings" w:hAnsi="Wingdings" w:hint="default"/>
      </w:rPr>
    </w:lvl>
    <w:lvl w:ilvl="3" w:tplc="04180001" w:tentative="1">
      <w:start w:val="1"/>
      <w:numFmt w:val="bullet"/>
      <w:lvlText w:val=""/>
      <w:lvlJc w:val="left"/>
      <w:pPr>
        <w:ind w:left="3381" w:hanging="360"/>
      </w:pPr>
      <w:rPr>
        <w:rFonts w:ascii="Symbol" w:hAnsi="Symbol" w:hint="default"/>
      </w:rPr>
    </w:lvl>
    <w:lvl w:ilvl="4" w:tplc="04180003" w:tentative="1">
      <w:start w:val="1"/>
      <w:numFmt w:val="bullet"/>
      <w:lvlText w:val="o"/>
      <w:lvlJc w:val="left"/>
      <w:pPr>
        <w:ind w:left="4101" w:hanging="360"/>
      </w:pPr>
      <w:rPr>
        <w:rFonts w:ascii="Courier New" w:hAnsi="Courier New" w:cs="Courier New" w:hint="default"/>
      </w:rPr>
    </w:lvl>
    <w:lvl w:ilvl="5" w:tplc="04180005" w:tentative="1">
      <w:start w:val="1"/>
      <w:numFmt w:val="bullet"/>
      <w:lvlText w:val=""/>
      <w:lvlJc w:val="left"/>
      <w:pPr>
        <w:ind w:left="4821" w:hanging="360"/>
      </w:pPr>
      <w:rPr>
        <w:rFonts w:ascii="Wingdings" w:hAnsi="Wingdings" w:hint="default"/>
      </w:rPr>
    </w:lvl>
    <w:lvl w:ilvl="6" w:tplc="04180001" w:tentative="1">
      <w:start w:val="1"/>
      <w:numFmt w:val="bullet"/>
      <w:lvlText w:val=""/>
      <w:lvlJc w:val="left"/>
      <w:pPr>
        <w:ind w:left="5541" w:hanging="360"/>
      </w:pPr>
      <w:rPr>
        <w:rFonts w:ascii="Symbol" w:hAnsi="Symbol" w:hint="default"/>
      </w:rPr>
    </w:lvl>
    <w:lvl w:ilvl="7" w:tplc="04180003" w:tentative="1">
      <w:start w:val="1"/>
      <w:numFmt w:val="bullet"/>
      <w:lvlText w:val="o"/>
      <w:lvlJc w:val="left"/>
      <w:pPr>
        <w:ind w:left="6261" w:hanging="360"/>
      </w:pPr>
      <w:rPr>
        <w:rFonts w:ascii="Courier New" w:hAnsi="Courier New" w:cs="Courier New" w:hint="default"/>
      </w:rPr>
    </w:lvl>
    <w:lvl w:ilvl="8" w:tplc="04180005" w:tentative="1">
      <w:start w:val="1"/>
      <w:numFmt w:val="bullet"/>
      <w:lvlText w:val=""/>
      <w:lvlJc w:val="left"/>
      <w:pPr>
        <w:ind w:left="6981" w:hanging="360"/>
      </w:pPr>
      <w:rPr>
        <w:rFonts w:ascii="Wingdings" w:hAnsi="Wingdings" w:hint="default"/>
      </w:rPr>
    </w:lvl>
  </w:abstractNum>
  <w:abstractNum w:abstractNumId="79" w15:restartNumberingAfterBreak="0">
    <w:nsid w:val="0F5572B9"/>
    <w:multiLevelType w:val="hybridMultilevel"/>
    <w:tmpl w:val="0CD8FC3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F794D14"/>
    <w:multiLevelType w:val="multilevel"/>
    <w:tmpl w:val="93ACBDF0"/>
    <w:styleLink w:val="ImportedStyle780241"/>
    <w:lvl w:ilvl="0">
      <w:numFmt w:val="bullet"/>
      <w:lvlText w:val="-"/>
      <w:lvlJc w:val="left"/>
      <w:pPr>
        <w:ind w:left="1287" w:hanging="360"/>
      </w:pPr>
      <w:rPr>
        <w:rFonts w:ascii="Calibri" w:eastAsia="Calibri" w:hAnsi="Calibri" w:cs="Calibri"/>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81" w15:restartNumberingAfterBreak="0">
    <w:nsid w:val="0F9573DB"/>
    <w:multiLevelType w:val="hybridMultilevel"/>
    <w:tmpl w:val="E98E85F0"/>
    <w:styleLink w:val="ImportedStyle2141"/>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E4E81BE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00C4A37"/>
    <w:multiLevelType w:val="hybridMultilevel"/>
    <w:tmpl w:val="A790C69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05963CF"/>
    <w:multiLevelType w:val="hybridMultilevel"/>
    <w:tmpl w:val="6E5C489C"/>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0652338"/>
    <w:multiLevelType w:val="hybridMultilevel"/>
    <w:tmpl w:val="B2B67448"/>
    <w:styleLink w:val="ImportedStyle1162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07A44FE"/>
    <w:multiLevelType w:val="hybridMultilevel"/>
    <w:tmpl w:val="D0501B48"/>
    <w:styleLink w:val="ImportedStyle7801211"/>
    <w:lvl w:ilvl="0" w:tplc="7D5CC72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4A775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18F9A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727F5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5C9EF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E0F2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7DC812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AAA7E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205F3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10815A75"/>
    <w:multiLevelType w:val="hybridMultilevel"/>
    <w:tmpl w:val="07A81F72"/>
    <w:styleLink w:val="ImportedStyle61"/>
    <w:lvl w:ilvl="0" w:tplc="A0C6393E">
      <w:start w:val="1"/>
      <w:numFmt w:val="bullet"/>
      <w:lvlText w:val="-"/>
      <w:lvlJc w:val="left"/>
      <w:pPr>
        <w:ind w:left="36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5012518E">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108C3750">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48648294">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AAE006C">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6D06DF8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33906898">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F7BC8CA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6956784E">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87" w15:restartNumberingAfterBreak="0">
    <w:nsid w:val="11755FEE"/>
    <w:multiLevelType w:val="hybridMultilevel"/>
    <w:tmpl w:val="F5F8ED26"/>
    <w:styleLink w:val="ImportedStyle85"/>
    <w:lvl w:ilvl="0" w:tplc="7448870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BA2B936">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EE9EE3CA">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37F6318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8144564">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5D5267CA">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14127B56">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7BCDA3E">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2794D0A0">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88" w15:restartNumberingAfterBreak="0">
    <w:nsid w:val="11762069"/>
    <w:multiLevelType w:val="hybridMultilevel"/>
    <w:tmpl w:val="3A9A78E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1982F37"/>
    <w:multiLevelType w:val="hybridMultilevel"/>
    <w:tmpl w:val="DE5C1204"/>
    <w:styleLink w:val="Stilimportat1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29E7DC2"/>
    <w:multiLevelType w:val="hybridMultilevel"/>
    <w:tmpl w:val="B65C89FE"/>
    <w:styleLink w:val="ImportedStyle2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12C9524E"/>
    <w:multiLevelType w:val="hybridMultilevel"/>
    <w:tmpl w:val="10AAB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13333641"/>
    <w:multiLevelType w:val="hybridMultilevel"/>
    <w:tmpl w:val="4E24524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34F771A"/>
    <w:multiLevelType w:val="hybridMultilevel"/>
    <w:tmpl w:val="C1D4909C"/>
    <w:lvl w:ilvl="0" w:tplc="0CF08D3C">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37A578C"/>
    <w:multiLevelType w:val="multilevel"/>
    <w:tmpl w:val="5A2CBF40"/>
    <w:styleLink w:val="ImportedStyle80241"/>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5" w15:restartNumberingAfterBreak="0">
    <w:nsid w:val="13A128B1"/>
    <w:multiLevelType w:val="hybridMultilevel"/>
    <w:tmpl w:val="92A2D24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3B24D08"/>
    <w:multiLevelType w:val="hybridMultilevel"/>
    <w:tmpl w:val="C3D07802"/>
    <w:styleLink w:val="Stilimportat5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3CD6387"/>
    <w:multiLevelType w:val="hybridMultilevel"/>
    <w:tmpl w:val="F2FEB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3E73FAD"/>
    <w:multiLevelType w:val="hybridMultilevel"/>
    <w:tmpl w:val="094852B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1451098C"/>
    <w:multiLevelType w:val="hybridMultilevel"/>
    <w:tmpl w:val="CB2AC33E"/>
    <w:styleLink w:val="ImportedStyle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461007F"/>
    <w:multiLevelType w:val="hybridMultilevel"/>
    <w:tmpl w:val="367462E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F08D3C">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4960379"/>
    <w:multiLevelType w:val="hybridMultilevel"/>
    <w:tmpl w:val="EE6C2D70"/>
    <w:styleLink w:val="ImportedStyle1157"/>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4B806F3"/>
    <w:multiLevelType w:val="hybridMultilevel"/>
    <w:tmpl w:val="A4444688"/>
    <w:styleLink w:val="ImportedStyle1161111111"/>
    <w:lvl w:ilvl="0" w:tplc="04090019">
      <w:start w:val="1"/>
      <w:numFmt w:val="lowerLetter"/>
      <w:lvlText w:val="%1."/>
      <w:lvlJc w:val="left"/>
      <w:pPr>
        <w:ind w:left="720" w:hanging="360"/>
      </w:pPr>
    </w:lvl>
    <w:lvl w:ilvl="1" w:tplc="790A0F8E">
      <w:start w:val="2"/>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5021375"/>
    <w:multiLevelType w:val="hybridMultilevel"/>
    <w:tmpl w:val="5762A71E"/>
    <w:styleLink w:val="ImportedStyle110"/>
    <w:lvl w:ilvl="0" w:tplc="AD2033A2">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1" w:tplc="143A3838">
      <w:start w:val="1"/>
      <w:numFmt w:val="bullet"/>
      <w:lvlText w:val="o"/>
      <w:lvlJc w:val="left"/>
      <w:pPr>
        <w:ind w:left="25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14AA3B46">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376232D4">
      <w:start w:val="1"/>
      <w:numFmt w:val="bullet"/>
      <w:lvlText w:val="•"/>
      <w:lvlJc w:val="left"/>
      <w:pPr>
        <w:ind w:left="39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6EAC55F6">
      <w:start w:val="1"/>
      <w:numFmt w:val="bullet"/>
      <w:lvlText w:val="o"/>
      <w:lvlJc w:val="left"/>
      <w:pPr>
        <w:ind w:left="46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2E80390E">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32F2FACA">
      <w:start w:val="1"/>
      <w:numFmt w:val="bullet"/>
      <w:lvlText w:val="•"/>
      <w:lvlJc w:val="left"/>
      <w:pPr>
        <w:ind w:left="61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0305AB4">
      <w:start w:val="1"/>
      <w:numFmt w:val="bullet"/>
      <w:lvlText w:val="o"/>
      <w:lvlJc w:val="left"/>
      <w:pPr>
        <w:ind w:left="68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FCC01CC2">
      <w:start w:val="1"/>
      <w:numFmt w:val="bullet"/>
      <w:lvlText w:val="▪"/>
      <w:lvlJc w:val="left"/>
      <w:pPr>
        <w:ind w:left="75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104" w15:restartNumberingAfterBreak="0">
    <w:nsid w:val="15453545"/>
    <w:multiLevelType w:val="hybridMultilevel"/>
    <w:tmpl w:val="BB4A8E40"/>
    <w:styleLink w:val="ImportedStyle72"/>
    <w:lvl w:ilvl="0" w:tplc="C16A96BC">
      <w:start w:val="1"/>
      <w:numFmt w:val="decimal"/>
      <w:lvlText w:val="%1."/>
      <w:lvlJc w:val="left"/>
      <w:pPr>
        <w:tabs>
          <w:tab w:val="left" w:pos="760"/>
        </w:tabs>
        <w:ind w:left="759" w:hanging="360"/>
      </w:pPr>
      <w:rPr>
        <w:rFonts w:hAnsi="Arial Unicode MS"/>
        <w:i/>
        <w:iCs/>
        <w:caps w:val="0"/>
        <w:smallCaps w:val="0"/>
        <w:strike w:val="0"/>
        <w:dstrike w:val="0"/>
        <w:spacing w:val="0"/>
        <w:w w:val="100"/>
        <w:kern w:val="0"/>
        <w:position w:val="0"/>
        <w:highlight w:val="none"/>
        <w:vertAlign w:val="baseline"/>
      </w:rPr>
    </w:lvl>
    <w:lvl w:ilvl="1" w:tplc="58CAA00A">
      <w:start w:val="1"/>
      <w:numFmt w:val="decimal"/>
      <w:lvlText w:val="%2."/>
      <w:lvlJc w:val="left"/>
      <w:pPr>
        <w:tabs>
          <w:tab w:val="left" w:pos="760"/>
        </w:tabs>
        <w:ind w:left="1080" w:hanging="360"/>
      </w:pPr>
      <w:rPr>
        <w:rFonts w:hAnsi="Arial Unicode MS"/>
        <w:i/>
        <w:iCs/>
        <w:caps w:val="0"/>
        <w:smallCaps w:val="0"/>
        <w:strike w:val="0"/>
        <w:dstrike w:val="0"/>
        <w:spacing w:val="0"/>
        <w:w w:val="100"/>
        <w:kern w:val="0"/>
        <w:position w:val="0"/>
        <w:highlight w:val="none"/>
        <w:vertAlign w:val="baseline"/>
      </w:rPr>
    </w:lvl>
    <w:lvl w:ilvl="2" w:tplc="1A9AF2B0">
      <w:start w:val="1"/>
      <w:numFmt w:val="decimal"/>
      <w:lvlText w:val="%3."/>
      <w:lvlJc w:val="left"/>
      <w:pPr>
        <w:tabs>
          <w:tab w:val="left" w:pos="760"/>
        </w:tabs>
        <w:ind w:left="1800" w:hanging="360"/>
      </w:pPr>
      <w:rPr>
        <w:rFonts w:hAnsi="Arial Unicode MS"/>
        <w:i/>
        <w:iCs/>
        <w:caps w:val="0"/>
        <w:smallCaps w:val="0"/>
        <w:strike w:val="0"/>
        <w:dstrike w:val="0"/>
        <w:spacing w:val="0"/>
        <w:w w:val="100"/>
        <w:kern w:val="0"/>
        <w:position w:val="0"/>
        <w:highlight w:val="none"/>
        <w:vertAlign w:val="baseline"/>
      </w:rPr>
    </w:lvl>
    <w:lvl w:ilvl="3" w:tplc="E85CB34A">
      <w:start w:val="1"/>
      <w:numFmt w:val="decimal"/>
      <w:lvlText w:val="%4."/>
      <w:lvlJc w:val="left"/>
      <w:pPr>
        <w:tabs>
          <w:tab w:val="left" w:pos="760"/>
        </w:tabs>
        <w:ind w:left="2520" w:hanging="360"/>
      </w:pPr>
      <w:rPr>
        <w:rFonts w:hAnsi="Arial Unicode MS"/>
        <w:i/>
        <w:iCs/>
        <w:caps w:val="0"/>
        <w:smallCaps w:val="0"/>
        <w:strike w:val="0"/>
        <w:dstrike w:val="0"/>
        <w:spacing w:val="0"/>
        <w:w w:val="100"/>
        <w:kern w:val="0"/>
        <w:position w:val="0"/>
        <w:highlight w:val="none"/>
        <w:vertAlign w:val="baseline"/>
      </w:rPr>
    </w:lvl>
    <w:lvl w:ilvl="4" w:tplc="BB66DA1E">
      <w:start w:val="1"/>
      <w:numFmt w:val="decimal"/>
      <w:lvlText w:val="%5."/>
      <w:lvlJc w:val="left"/>
      <w:pPr>
        <w:tabs>
          <w:tab w:val="left" w:pos="760"/>
        </w:tabs>
        <w:ind w:left="3240" w:hanging="360"/>
      </w:pPr>
      <w:rPr>
        <w:rFonts w:hAnsi="Arial Unicode MS"/>
        <w:i/>
        <w:iCs/>
        <w:caps w:val="0"/>
        <w:smallCaps w:val="0"/>
        <w:strike w:val="0"/>
        <w:dstrike w:val="0"/>
        <w:spacing w:val="0"/>
        <w:w w:val="100"/>
        <w:kern w:val="0"/>
        <w:position w:val="0"/>
        <w:highlight w:val="none"/>
        <w:vertAlign w:val="baseline"/>
      </w:rPr>
    </w:lvl>
    <w:lvl w:ilvl="5" w:tplc="41D86494">
      <w:start w:val="1"/>
      <w:numFmt w:val="decimal"/>
      <w:lvlText w:val="%6."/>
      <w:lvlJc w:val="left"/>
      <w:pPr>
        <w:tabs>
          <w:tab w:val="left" w:pos="760"/>
        </w:tabs>
        <w:ind w:left="3960" w:hanging="360"/>
      </w:pPr>
      <w:rPr>
        <w:rFonts w:hAnsi="Arial Unicode MS"/>
        <w:i/>
        <w:iCs/>
        <w:caps w:val="0"/>
        <w:smallCaps w:val="0"/>
        <w:strike w:val="0"/>
        <w:dstrike w:val="0"/>
        <w:spacing w:val="0"/>
        <w:w w:val="100"/>
        <w:kern w:val="0"/>
        <w:position w:val="0"/>
        <w:highlight w:val="none"/>
        <w:vertAlign w:val="baseline"/>
      </w:rPr>
    </w:lvl>
    <w:lvl w:ilvl="6" w:tplc="1ED40942">
      <w:start w:val="1"/>
      <w:numFmt w:val="decimal"/>
      <w:lvlText w:val="%7."/>
      <w:lvlJc w:val="left"/>
      <w:pPr>
        <w:tabs>
          <w:tab w:val="left" w:pos="760"/>
        </w:tabs>
        <w:ind w:left="4680" w:hanging="360"/>
      </w:pPr>
      <w:rPr>
        <w:rFonts w:hAnsi="Arial Unicode MS"/>
        <w:i/>
        <w:iCs/>
        <w:caps w:val="0"/>
        <w:smallCaps w:val="0"/>
        <w:strike w:val="0"/>
        <w:dstrike w:val="0"/>
        <w:spacing w:val="0"/>
        <w:w w:val="100"/>
        <w:kern w:val="0"/>
        <w:position w:val="0"/>
        <w:highlight w:val="none"/>
        <w:vertAlign w:val="baseline"/>
      </w:rPr>
    </w:lvl>
    <w:lvl w:ilvl="7" w:tplc="9434252E">
      <w:start w:val="1"/>
      <w:numFmt w:val="decimal"/>
      <w:lvlText w:val="%8."/>
      <w:lvlJc w:val="left"/>
      <w:pPr>
        <w:tabs>
          <w:tab w:val="left" w:pos="760"/>
        </w:tabs>
        <w:ind w:left="5400" w:hanging="360"/>
      </w:pPr>
      <w:rPr>
        <w:rFonts w:hAnsi="Arial Unicode MS"/>
        <w:i/>
        <w:iCs/>
        <w:caps w:val="0"/>
        <w:smallCaps w:val="0"/>
        <w:strike w:val="0"/>
        <w:dstrike w:val="0"/>
        <w:spacing w:val="0"/>
        <w:w w:val="100"/>
        <w:kern w:val="0"/>
        <w:position w:val="0"/>
        <w:highlight w:val="none"/>
        <w:vertAlign w:val="baseline"/>
      </w:rPr>
    </w:lvl>
    <w:lvl w:ilvl="8" w:tplc="A3465474">
      <w:start w:val="1"/>
      <w:numFmt w:val="decimal"/>
      <w:lvlText w:val="%9."/>
      <w:lvlJc w:val="left"/>
      <w:pPr>
        <w:tabs>
          <w:tab w:val="left" w:pos="760"/>
        </w:tabs>
        <w:ind w:left="6120" w:hanging="360"/>
      </w:pPr>
      <w:rPr>
        <w:rFonts w:hAnsi="Arial Unicode MS"/>
        <w:i/>
        <w:iCs/>
        <w:caps w:val="0"/>
        <w:smallCaps w:val="0"/>
        <w:strike w:val="0"/>
        <w:dstrike w:val="0"/>
        <w:spacing w:val="0"/>
        <w:w w:val="100"/>
        <w:kern w:val="0"/>
        <w:position w:val="0"/>
        <w:highlight w:val="none"/>
        <w:vertAlign w:val="baseline"/>
      </w:rPr>
    </w:lvl>
  </w:abstractNum>
  <w:abstractNum w:abstractNumId="105" w15:restartNumberingAfterBreak="0">
    <w:nsid w:val="158E28EB"/>
    <w:multiLevelType w:val="hybridMultilevel"/>
    <w:tmpl w:val="DED4F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159F2A42"/>
    <w:multiLevelType w:val="hybridMultilevel"/>
    <w:tmpl w:val="B6789838"/>
    <w:styleLink w:val="ImportedStyle50"/>
    <w:lvl w:ilvl="0" w:tplc="3E22232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CCC8C7C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7D1C3EA2">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35AEAFD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74BCF54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67E09296">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111E2C9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45F0924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17D4603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107" w15:restartNumberingAfterBreak="0">
    <w:nsid w:val="15A63331"/>
    <w:multiLevelType w:val="hybridMultilevel"/>
    <w:tmpl w:val="1FBCEE8E"/>
    <w:styleLink w:val="ImportedStyle11614"/>
    <w:lvl w:ilvl="0" w:tplc="5DBED88C">
      <w:start w:val="1"/>
      <w:numFmt w:val="bullet"/>
      <w:lvlText w:val="-"/>
      <w:lvlJc w:val="left"/>
      <w:pPr>
        <w:ind w:left="71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07A3632">
      <w:start w:val="1"/>
      <w:numFmt w:val="bullet"/>
      <w:lvlText w:val="o"/>
      <w:lvlJc w:val="left"/>
      <w:pPr>
        <w:ind w:left="143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2B64AC4">
      <w:start w:val="1"/>
      <w:numFmt w:val="bullet"/>
      <w:lvlText w:val="▪"/>
      <w:lvlJc w:val="left"/>
      <w:pPr>
        <w:ind w:left="21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DBCF56C">
      <w:start w:val="1"/>
      <w:numFmt w:val="bullet"/>
      <w:lvlText w:val="·"/>
      <w:lvlJc w:val="left"/>
      <w:pPr>
        <w:ind w:left="287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370813E">
      <w:start w:val="1"/>
      <w:numFmt w:val="bullet"/>
      <w:lvlText w:val="o"/>
      <w:lvlJc w:val="left"/>
      <w:pPr>
        <w:ind w:left="359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FCAF0F6">
      <w:start w:val="1"/>
      <w:numFmt w:val="bullet"/>
      <w:lvlText w:val="▪"/>
      <w:lvlJc w:val="left"/>
      <w:pPr>
        <w:ind w:left="43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B782EC8">
      <w:start w:val="1"/>
      <w:numFmt w:val="bullet"/>
      <w:lvlText w:val="·"/>
      <w:lvlJc w:val="left"/>
      <w:pPr>
        <w:ind w:left="50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868F340">
      <w:start w:val="1"/>
      <w:numFmt w:val="bullet"/>
      <w:lvlText w:val="o"/>
      <w:lvlJc w:val="left"/>
      <w:pPr>
        <w:ind w:left="57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EC45658">
      <w:start w:val="1"/>
      <w:numFmt w:val="bullet"/>
      <w:lvlText w:val="▪"/>
      <w:lvlJc w:val="left"/>
      <w:pPr>
        <w:ind w:left="647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08" w15:restartNumberingAfterBreak="0">
    <w:nsid w:val="15DB1591"/>
    <w:multiLevelType w:val="hybridMultilevel"/>
    <w:tmpl w:val="03A2A802"/>
    <w:styleLink w:val="Stilimportat31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6015655"/>
    <w:multiLevelType w:val="hybridMultilevel"/>
    <w:tmpl w:val="9B00D76C"/>
    <w:styleLink w:val="ImportedStyle116311111"/>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166B2A59"/>
    <w:multiLevelType w:val="hybridMultilevel"/>
    <w:tmpl w:val="A45A8A58"/>
    <w:styleLink w:val="ImportedStyle7814"/>
    <w:lvl w:ilvl="0" w:tplc="C72461F4">
      <w:start w:val="1"/>
      <w:numFmt w:val="decimal"/>
      <w:suff w:val="nothing"/>
      <w:lvlText w:val="%1."/>
      <w:lvlJc w:val="left"/>
      <w:pPr>
        <w:ind w:left="152"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6CB6D968">
      <w:start w:val="1"/>
      <w:numFmt w:val="lowerLetter"/>
      <w:suff w:val="nothing"/>
      <w:lvlText w:val="%2."/>
      <w:lvlJc w:val="left"/>
      <w:pPr>
        <w:ind w:left="72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2" w:tplc="1EF0432A">
      <w:start w:val="1"/>
      <w:numFmt w:val="lowerRoman"/>
      <w:lvlText w:val="%3."/>
      <w:lvlJc w:val="left"/>
      <w:pPr>
        <w:ind w:left="1440" w:hanging="25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3" w:tplc="06868636">
      <w:start w:val="1"/>
      <w:numFmt w:val="decimal"/>
      <w:suff w:val="nothing"/>
      <w:lvlText w:val="%4."/>
      <w:lvlJc w:val="left"/>
      <w:pPr>
        <w:ind w:left="216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4" w:tplc="24542A86">
      <w:start w:val="1"/>
      <w:numFmt w:val="lowerLetter"/>
      <w:suff w:val="nothing"/>
      <w:lvlText w:val="%5."/>
      <w:lvlJc w:val="left"/>
      <w:pPr>
        <w:ind w:left="288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5" w:tplc="9B78CCC4">
      <w:start w:val="1"/>
      <w:numFmt w:val="lowerRoman"/>
      <w:lvlText w:val="%6."/>
      <w:lvlJc w:val="left"/>
      <w:pPr>
        <w:ind w:left="3600" w:hanging="25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6" w:tplc="39E20E2C">
      <w:start w:val="1"/>
      <w:numFmt w:val="decimal"/>
      <w:suff w:val="nothing"/>
      <w:lvlText w:val="%7."/>
      <w:lvlJc w:val="left"/>
      <w:pPr>
        <w:ind w:left="432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7" w:tplc="1AA6A8EA">
      <w:start w:val="1"/>
      <w:numFmt w:val="lowerLetter"/>
      <w:suff w:val="nothing"/>
      <w:lvlText w:val="%8."/>
      <w:lvlJc w:val="left"/>
      <w:pPr>
        <w:ind w:left="5040" w:firstLine="416"/>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8" w:tplc="8AF69744">
      <w:start w:val="1"/>
      <w:numFmt w:val="lowerRoman"/>
      <w:lvlText w:val="%9."/>
      <w:lvlJc w:val="left"/>
      <w:pPr>
        <w:ind w:left="5760" w:hanging="257"/>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abstractNum>
  <w:abstractNum w:abstractNumId="111" w15:restartNumberingAfterBreak="0">
    <w:nsid w:val="17112A38"/>
    <w:multiLevelType w:val="hybridMultilevel"/>
    <w:tmpl w:val="A3C0AFF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7A83B6A"/>
    <w:multiLevelType w:val="hybridMultilevel"/>
    <w:tmpl w:val="2464722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17B400D0"/>
    <w:multiLevelType w:val="hybridMultilevel"/>
    <w:tmpl w:val="9D50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7BB1A3E"/>
    <w:multiLevelType w:val="hybridMultilevel"/>
    <w:tmpl w:val="3BAC8B8E"/>
    <w:styleLink w:val="ImportedStyle114311111"/>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17E433A7"/>
    <w:multiLevelType w:val="hybridMultilevel"/>
    <w:tmpl w:val="AAD09DEE"/>
    <w:styleLink w:val="ImportedStyle11614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184B2B6D"/>
    <w:multiLevelType w:val="hybridMultilevel"/>
    <w:tmpl w:val="406CD1D6"/>
    <w:styleLink w:val="ImportedStyle11424"/>
    <w:lvl w:ilvl="0" w:tplc="BC5ED5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7A599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A84DC6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84C884C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D8E90F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506558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60DB8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972C20B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CFC1A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184F4443"/>
    <w:multiLevelType w:val="hybridMultilevel"/>
    <w:tmpl w:val="EC5AE0E8"/>
    <w:styleLink w:val="Stilimportat6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86A58B3"/>
    <w:multiLevelType w:val="hybridMultilevel"/>
    <w:tmpl w:val="23D88224"/>
    <w:styleLink w:val="Stilimportat1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18757FF7"/>
    <w:multiLevelType w:val="hybridMultilevel"/>
    <w:tmpl w:val="D0AAB302"/>
    <w:lvl w:ilvl="0" w:tplc="D0CA4A82">
      <w:numFmt w:val="bullet"/>
      <w:lvlText w:val="-"/>
      <w:lvlJc w:val="left"/>
      <w:pPr>
        <w:ind w:left="836" w:hanging="360"/>
      </w:pPr>
      <w:rPr>
        <w:rFonts w:ascii="Courier New" w:eastAsia="Courier New" w:hAnsi="Courier New" w:cs="Courier New" w:hint="default"/>
        <w:b w:val="0"/>
        <w:bCs w:val="0"/>
        <w:i w:val="0"/>
        <w:iCs w:val="0"/>
        <w:w w:val="100"/>
        <w:sz w:val="24"/>
        <w:szCs w:val="24"/>
      </w:rPr>
    </w:lvl>
    <w:lvl w:ilvl="1" w:tplc="D4E28DE0">
      <w:numFmt w:val="bullet"/>
      <w:lvlText w:val="•"/>
      <w:lvlJc w:val="left"/>
      <w:pPr>
        <w:ind w:left="1720" w:hanging="360"/>
      </w:pPr>
      <w:rPr>
        <w:rFonts w:hint="default"/>
      </w:rPr>
    </w:lvl>
    <w:lvl w:ilvl="2" w:tplc="3B1645B4">
      <w:numFmt w:val="bullet"/>
      <w:lvlText w:val="•"/>
      <w:lvlJc w:val="left"/>
      <w:pPr>
        <w:ind w:left="2600" w:hanging="360"/>
      </w:pPr>
      <w:rPr>
        <w:rFonts w:hint="default"/>
      </w:rPr>
    </w:lvl>
    <w:lvl w:ilvl="3" w:tplc="73B4644E">
      <w:numFmt w:val="bullet"/>
      <w:lvlText w:val="•"/>
      <w:lvlJc w:val="left"/>
      <w:pPr>
        <w:ind w:left="3480" w:hanging="360"/>
      </w:pPr>
      <w:rPr>
        <w:rFonts w:hint="default"/>
      </w:rPr>
    </w:lvl>
    <w:lvl w:ilvl="4" w:tplc="A366FC14">
      <w:numFmt w:val="bullet"/>
      <w:lvlText w:val="•"/>
      <w:lvlJc w:val="left"/>
      <w:pPr>
        <w:ind w:left="4360" w:hanging="360"/>
      </w:pPr>
      <w:rPr>
        <w:rFonts w:hint="default"/>
      </w:rPr>
    </w:lvl>
    <w:lvl w:ilvl="5" w:tplc="1AF480D0">
      <w:numFmt w:val="bullet"/>
      <w:lvlText w:val="•"/>
      <w:lvlJc w:val="left"/>
      <w:pPr>
        <w:ind w:left="5240" w:hanging="360"/>
      </w:pPr>
      <w:rPr>
        <w:rFonts w:hint="default"/>
      </w:rPr>
    </w:lvl>
    <w:lvl w:ilvl="6" w:tplc="11E85EAE">
      <w:numFmt w:val="bullet"/>
      <w:lvlText w:val="•"/>
      <w:lvlJc w:val="left"/>
      <w:pPr>
        <w:ind w:left="6120" w:hanging="360"/>
      </w:pPr>
      <w:rPr>
        <w:rFonts w:hint="default"/>
      </w:rPr>
    </w:lvl>
    <w:lvl w:ilvl="7" w:tplc="93943A44">
      <w:numFmt w:val="bullet"/>
      <w:lvlText w:val="•"/>
      <w:lvlJc w:val="left"/>
      <w:pPr>
        <w:ind w:left="7000" w:hanging="360"/>
      </w:pPr>
      <w:rPr>
        <w:rFonts w:hint="default"/>
      </w:rPr>
    </w:lvl>
    <w:lvl w:ilvl="8" w:tplc="BEBCBAAC">
      <w:numFmt w:val="bullet"/>
      <w:lvlText w:val="•"/>
      <w:lvlJc w:val="left"/>
      <w:pPr>
        <w:ind w:left="7880" w:hanging="360"/>
      </w:pPr>
      <w:rPr>
        <w:rFonts w:hint="default"/>
      </w:rPr>
    </w:lvl>
  </w:abstractNum>
  <w:abstractNum w:abstractNumId="120" w15:restartNumberingAfterBreak="0">
    <w:nsid w:val="1932450F"/>
    <w:multiLevelType w:val="hybridMultilevel"/>
    <w:tmpl w:val="490CD822"/>
    <w:styleLink w:val="Stilimportat4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19C12BCB"/>
    <w:multiLevelType w:val="hybridMultilevel"/>
    <w:tmpl w:val="8EEEE0E0"/>
    <w:lvl w:ilvl="0" w:tplc="04090001">
      <w:start w:val="1"/>
      <w:numFmt w:val="bullet"/>
      <w:lvlText w:val=""/>
      <w:lvlJc w:val="left"/>
      <w:pPr>
        <w:tabs>
          <w:tab w:val="num" w:pos="709"/>
        </w:tabs>
        <w:ind w:left="709" w:hanging="284"/>
      </w:pPr>
      <w:rPr>
        <w:rFonts w:ascii="Symbol" w:hAnsi="Symbol" w:hint="default"/>
      </w:rPr>
    </w:lvl>
    <w:lvl w:ilvl="1" w:tplc="C05C3A24">
      <w:start w:val="1"/>
      <w:numFmt w:val="bullet"/>
      <w:lvlText w:val="-"/>
      <w:lvlJc w:val="left"/>
      <w:pPr>
        <w:tabs>
          <w:tab w:val="num" w:pos="1788"/>
        </w:tabs>
        <w:ind w:left="1788" w:hanging="283"/>
      </w:pPr>
      <w:rPr>
        <w:rFonts w:ascii="Courier New" w:hAnsi="Courier New" w:hint="default"/>
      </w:rPr>
    </w:lvl>
    <w:lvl w:ilvl="2" w:tplc="0409001B" w:tentative="1">
      <w:start w:val="1"/>
      <w:numFmt w:val="lowerRoman"/>
      <w:lvlText w:val="%3."/>
      <w:lvlJc w:val="right"/>
      <w:pPr>
        <w:tabs>
          <w:tab w:val="num" w:pos="2585"/>
        </w:tabs>
        <w:ind w:left="2585" w:hanging="180"/>
      </w:pPr>
    </w:lvl>
    <w:lvl w:ilvl="3" w:tplc="0409000F" w:tentative="1">
      <w:start w:val="1"/>
      <w:numFmt w:val="decimal"/>
      <w:lvlText w:val="%4."/>
      <w:lvlJc w:val="left"/>
      <w:pPr>
        <w:tabs>
          <w:tab w:val="num" w:pos="3305"/>
        </w:tabs>
        <w:ind w:left="3305" w:hanging="360"/>
      </w:pPr>
    </w:lvl>
    <w:lvl w:ilvl="4" w:tplc="04090019" w:tentative="1">
      <w:start w:val="1"/>
      <w:numFmt w:val="lowerLetter"/>
      <w:lvlText w:val="%5."/>
      <w:lvlJc w:val="left"/>
      <w:pPr>
        <w:tabs>
          <w:tab w:val="num" w:pos="4025"/>
        </w:tabs>
        <w:ind w:left="4025" w:hanging="360"/>
      </w:pPr>
    </w:lvl>
    <w:lvl w:ilvl="5" w:tplc="0409001B" w:tentative="1">
      <w:start w:val="1"/>
      <w:numFmt w:val="lowerRoman"/>
      <w:lvlText w:val="%6."/>
      <w:lvlJc w:val="right"/>
      <w:pPr>
        <w:tabs>
          <w:tab w:val="num" w:pos="4745"/>
        </w:tabs>
        <w:ind w:left="4745" w:hanging="180"/>
      </w:pPr>
    </w:lvl>
    <w:lvl w:ilvl="6" w:tplc="0409000F" w:tentative="1">
      <w:start w:val="1"/>
      <w:numFmt w:val="decimal"/>
      <w:lvlText w:val="%7."/>
      <w:lvlJc w:val="left"/>
      <w:pPr>
        <w:tabs>
          <w:tab w:val="num" w:pos="5465"/>
        </w:tabs>
        <w:ind w:left="5465" w:hanging="360"/>
      </w:pPr>
    </w:lvl>
    <w:lvl w:ilvl="7" w:tplc="04090019" w:tentative="1">
      <w:start w:val="1"/>
      <w:numFmt w:val="lowerLetter"/>
      <w:lvlText w:val="%8."/>
      <w:lvlJc w:val="left"/>
      <w:pPr>
        <w:tabs>
          <w:tab w:val="num" w:pos="6185"/>
        </w:tabs>
        <w:ind w:left="6185" w:hanging="360"/>
      </w:pPr>
    </w:lvl>
    <w:lvl w:ilvl="8" w:tplc="0409001B" w:tentative="1">
      <w:start w:val="1"/>
      <w:numFmt w:val="lowerRoman"/>
      <w:lvlText w:val="%9."/>
      <w:lvlJc w:val="right"/>
      <w:pPr>
        <w:tabs>
          <w:tab w:val="num" w:pos="6905"/>
        </w:tabs>
        <w:ind w:left="6905" w:hanging="180"/>
      </w:pPr>
    </w:lvl>
  </w:abstractNum>
  <w:abstractNum w:abstractNumId="122" w15:restartNumberingAfterBreak="0">
    <w:nsid w:val="19C4196C"/>
    <w:multiLevelType w:val="hybridMultilevel"/>
    <w:tmpl w:val="D87467AE"/>
    <w:styleLink w:val="ImportedStyle822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A124937"/>
    <w:multiLevelType w:val="hybridMultilevel"/>
    <w:tmpl w:val="2EAA9A34"/>
    <w:styleLink w:val="Stilimportat441111"/>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1A3F2957"/>
    <w:multiLevelType w:val="hybridMultilevel"/>
    <w:tmpl w:val="469AFF02"/>
    <w:lvl w:ilvl="0" w:tplc="0409000F">
      <w:start w:val="1"/>
      <w:numFmt w:val="decimal"/>
      <w:lvlText w:val="%1."/>
      <w:lvlJc w:val="left"/>
      <w:pPr>
        <w:ind w:left="720" w:hanging="360"/>
      </w:pPr>
    </w:lvl>
    <w:lvl w:ilvl="1" w:tplc="E9F6141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1A9C162F"/>
    <w:multiLevelType w:val="hybridMultilevel"/>
    <w:tmpl w:val="934C659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1AA27F3D"/>
    <w:multiLevelType w:val="multilevel"/>
    <w:tmpl w:val="5B788CB8"/>
    <w:name w:val="Definition Numbering List"/>
    <w:styleLink w:val="ImportedStyle80141"/>
    <w:lvl w:ilvl="0">
      <w:start w:val="1"/>
      <w:numFmt w:val="none"/>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127" w15:restartNumberingAfterBreak="0">
    <w:nsid w:val="1ACF3CB8"/>
    <w:multiLevelType w:val="hybridMultilevel"/>
    <w:tmpl w:val="4A4813D2"/>
    <w:styleLink w:val="ImportedStyle114532"/>
    <w:lvl w:ilvl="0" w:tplc="C59EEC72">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8B802B88">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F24F80C">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88E2C27E">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ED1263F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C6E484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A7A2817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F94BFF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5D526DB2">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128" w15:restartNumberingAfterBreak="0">
    <w:nsid w:val="1AE33C4D"/>
    <w:multiLevelType w:val="hybridMultilevel"/>
    <w:tmpl w:val="254A0374"/>
    <w:styleLink w:val="Stilimportat41211"/>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1B1D5485"/>
    <w:multiLevelType w:val="hybridMultilevel"/>
    <w:tmpl w:val="680896FE"/>
    <w:styleLink w:val="Stilimportat5121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1B20602E"/>
    <w:multiLevelType w:val="hybridMultilevel"/>
    <w:tmpl w:val="204A3E7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1B57099E"/>
    <w:multiLevelType w:val="hybridMultilevel"/>
    <w:tmpl w:val="24F2A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1B5C57EC"/>
    <w:multiLevelType w:val="hybridMultilevel"/>
    <w:tmpl w:val="638A3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1B996022"/>
    <w:multiLevelType w:val="hybridMultilevel"/>
    <w:tmpl w:val="AA38C722"/>
    <w:styleLink w:val="ImportedStyle76"/>
    <w:lvl w:ilvl="0" w:tplc="029A1B7A">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A02F0C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6E8BA8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E06A99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0B0E82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2384FB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31ABA1A">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4A43472">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96C843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34" w15:restartNumberingAfterBreak="0">
    <w:nsid w:val="1BA534AE"/>
    <w:multiLevelType w:val="hybridMultilevel"/>
    <w:tmpl w:val="8D8CB0CA"/>
    <w:styleLink w:val="Stilimportat71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1BB4051F"/>
    <w:multiLevelType w:val="hybridMultilevel"/>
    <w:tmpl w:val="2E4A11DA"/>
    <w:styleLink w:val="ImportedStyle18"/>
    <w:lvl w:ilvl="0" w:tplc="50D68B6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D032C508">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7FFED264">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D702F3D6">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DAA80C14">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D4C897DC">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40A2009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3BC95F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27F8CF1E">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136" w15:restartNumberingAfterBreak="0">
    <w:nsid w:val="1C756EC4"/>
    <w:multiLevelType w:val="hybridMultilevel"/>
    <w:tmpl w:val="341C6B50"/>
    <w:styleLink w:val="ImportedStyle500"/>
    <w:lvl w:ilvl="0" w:tplc="3B848450">
      <w:start w:val="1"/>
      <w:numFmt w:val="lowerLetter"/>
      <w:lvlText w:val="%1."/>
      <w:lvlJc w:val="left"/>
      <w:pPr>
        <w:tabs>
          <w:tab w:val="left" w:pos="1530"/>
        </w:tabs>
        <w:ind w:left="740" w:hanging="268"/>
      </w:pPr>
      <w:rPr>
        <w:rFonts w:hAnsi="Arial Unicode MS"/>
        <w:b/>
        <w:bCs/>
        <w:caps w:val="0"/>
        <w:smallCaps w:val="0"/>
        <w:strike w:val="0"/>
        <w:dstrike w:val="0"/>
        <w:color w:val="000000"/>
        <w:spacing w:val="0"/>
        <w:w w:val="100"/>
        <w:kern w:val="0"/>
        <w:position w:val="0"/>
        <w:highlight w:val="none"/>
        <w:vertAlign w:val="baseline"/>
      </w:rPr>
    </w:lvl>
    <w:lvl w:ilvl="1" w:tplc="7584E3B6">
      <w:start w:val="1"/>
      <w:numFmt w:val="lowerLetter"/>
      <w:lvlText w:val="%2."/>
      <w:lvlJc w:val="left"/>
      <w:pPr>
        <w:ind w:left="1440" w:hanging="248"/>
      </w:pPr>
      <w:rPr>
        <w:rFonts w:hAnsi="Arial Unicode MS"/>
        <w:b/>
        <w:bCs/>
        <w:caps w:val="0"/>
        <w:smallCaps w:val="0"/>
        <w:strike w:val="0"/>
        <w:dstrike w:val="0"/>
        <w:color w:val="000000"/>
        <w:spacing w:val="0"/>
        <w:w w:val="100"/>
        <w:kern w:val="0"/>
        <w:position w:val="0"/>
        <w:highlight w:val="none"/>
        <w:vertAlign w:val="baseline"/>
      </w:rPr>
    </w:lvl>
    <w:lvl w:ilvl="2" w:tplc="76E4AC68">
      <w:start w:val="1"/>
      <w:numFmt w:val="lowerRoman"/>
      <w:suff w:val="nothing"/>
      <w:lvlText w:val="%3."/>
      <w:lvlJc w:val="left"/>
      <w:pPr>
        <w:tabs>
          <w:tab w:val="left" w:pos="1530"/>
        </w:tabs>
        <w:ind w:left="1418" w:hanging="68"/>
      </w:pPr>
      <w:rPr>
        <w:rFonts w:hAnsi="Arial Unicode MS"/>
        <w:b/>
        <w:bCs/>
        <w:caps w:val="0"/>
        <w:smallCaps w:val="0"/>
        <w:strike w:val="0"/>
        <w:dstrike w:val="0"/>
        <w:spacing w:val="0"/>
        <w:w w:val="100"/>
        <w:kern w:val="0"/>
        <w:position w:val="0"/>
        <w:highlight w:val="none"/>
        <w:vertAlign w:val="baseline"/>
      </w:rPr>
    </w:lvl>
    <w:lvl w:ilvl="3" w:tplc="AF7EF0A8">
      <w:start w:val="1"/>
      <w:numFmt w:val="decimal"/>
      <w:lvlText w:val="%4."/>
      <w:lvlJc w:val="left"/>
      <w:pPr>
        <w:tabs>
          <w:tab w:val="left" w:pos="1530"/>
        </w:tabs>
        <w:ind w:left="2127" w:hanging="698"/>
      </w:pPr>
      <w:rPr>
        <w:rFonts w:hAnsi="Arial Unicode MS"/>
        <w:b/>
        <w:bCs/>
        <w:caps w:val="0"/>
        <w:smallCaps w:val="0"/>
        <w:strike w:val="0"/>
        <w:dstrike w:val="0"/>
        <w:spacing w:val="0"/>
        <w:w w:val="100"/>
        <w:kern w:val="0"/>
        <w:position w:val="0"/>
        <w:highlight w:val="none"/>
        <w:vertAlign w:val="baseline"/>
      </w:rPr>
    </w:lvl>
    <w:lvl w:ilvl="4" w:tplc="079AE0C0">
      <w:start w:val="1"/>
      <w:numFmt w:val="upperRoman"/>
      <w:lvlText w:val="%5."/>
      <w:lvlJc w:val="left"/>
      <w:pPr>
        <w:tabs>
          <w:tab w:val="left" w:pos="1530"/>
        </w:tabs>
        <w:ind w:left="3207" w:hanging="305"/>
      </w:pPr>
      <w:rPr>
        <w:rFonts w:hAnsi="Arial Unicode MS"/>
        <w:b/>
        <w:bCs/>
        <w:caps w:val="0"/>
        <w:smallCaps w:val="0"/>
        <w:strike w:val="0"/>
        <w:dstrike w:val="0"/>
        <w:spacing w:val="0"/>
        <w:w w:val="100"/>
        <w:kern w:val="0"/>
        <w:position w:val="0"/>
        <w:highlight w:val="none"/>
        <w:vertAlign w:val="baseline"/>
      </w:rPr>
    </w:lvl>
    <w:lvl w:ilvl="5" w:tplc="D58CD1F4">
      <w:start w:val="1"/>
      <w:numFmt w:val="lowerRoman"/>
      <w:lvlText w:val="%6."/>
      <w:lvlJc w:val="left"/>
      <w:pPr>
        <w:tabs>
          <w:tab w:val="left" w:pos="1530"/>
        </w:tabs>
        <w:ind w:left="3567" w:hanging="633"/>
      </w:pPr>
      <w:rPr>
        <w:rFonts w:hAnsi="Arial Unicode MS"/>
        <w:b/>
        <w:bCs/>
        <w:caps w:val="0"/>
        <w:smallCaps w:val="0"/>
        <w:strike w:val="0"/>
        <w:dstrike w:val="0"/>
        <w:spacing w:val="0"/>
        <w:w w:val="100"/>
        <w:kern w:val="0"/>
        <w:position w:val="0"/>
        <w:highlight w:val="none"/>
        <w:vertAlign w:val="baseline"/>
      </w:rPr>
    </w:lvl>
    <w:lvl w:ilvl="6" w:tplc="24809B0A">
      <w:start w:val="1"/>
      <w:numFmt w:val="decimal"/>
      <w:lvlText w:val="%7."/>
      <w:lvlJc w:val="left"/>
      <w:pPr>
        <w:tabs>
          <w:tab w:val="left" w:pos="1530"/>
        </w:tabs>
        <w:ind w:left="4287" w:hanging="698"/>
      </w:pPr>
      <w:rPr>
        <w:rFonts w:hAnsi="Arial Unicode MS"/>
        <w:b/>
        <w:bCs/>
        <w:caps w:val="0"/>
        <w:smallCaps w:val="0"/>
        <w:strike w:val="0"/>
        <w:dstrike w:val="0"/>
        <w:spacing w:val="0"/>
        <w:w w:val="100"/>
        <w:kern w:val="0"/>
        <w:position w:val="0"/>
        <w:highlight w:val="none"/>
        <w:vertAlign w:val="baseline"/>
      </w:rPr>
    </w:lvl>
    <w:lvl w:ilvl="7" w:tplc="551C823A">
      <w:start w:val="1"/>
      <w:numFmt w:val="lowerLetter"/>
      <w:lvlText w:val="%8."/>
      <w:lvlJc w:val="left"/>
      <w:pPr>
        <w:tabs>
          <w:tab w:val="left" w:pos="1530"/>
        </w:tabs>
        <w:ind w:left="5007" w:hanging="698"/>
      </w:pPr>
      <w:rPr>
        <w:rFonts w:hAnsi="Arial Unicode MS"/>
        <w:b/>
        <w:bCs/>
        <w:caps w:val="0"/>
        <w:smallCaps w:val="0"/>
        <w:strike w:val="0"/>
        <w:dstrike w:val="0"/>
        <w:spacing w:val="0"/>
        <w:w w:val="100"/>
        <w:kern w:val="0"/>
        <w:position w:val="0"/>
        <w:highlight w:val="none"/>
        <w:vertAlign w:val="baseline"/>
      </w:rPr>
    </w:lvl>
    <w:lvl w:ilvl="8" w:tplc="4ABC94B6">
      <w:start w:val="1"/>
      <w:numFmt w:val="lowerRoman"/>
      <w:lvlText w:val="%9."/>
      <w:lvlJc w:val="left"/>
      <w:pPr>
        <w:tabs>
          <w:tab w:val="left" w:pos="1530"/>
        </w:tabs>
        <w:ind w:left="5727" w:hanging="633"/>
      </w:pPr>
      <w:rPr>
        <w:rFonts w:hAnsi="Arial Unicode MS"/>
        <w:b/>
        <w:bCs/>
        <w:caps w:val="0"/>
        <w:smallCaps w:val="0"/>
        <w:strike w:val="0"/>
        <w:dstrike w:val="0"/>
        <w:spacing w:val="0"/>
        <w:w w:val="100"/>
        <w:kern w:val="0"/>
        <w:position w:val="0"/>
        <w:highlight w:val="none"/>
        <w:vertAlign w:val="baseline"/>
      </w:rPr>
    </w:lvl>
  </w:abstractNum>
  <w:abstractNum w:abstractNumId="137" w15:restartNumberingAfterBreak="0">
    <w:nsid w:val="1C9D5E94"/>
    <w:multiLevelType w:val="hybridMultilevel"/>
    <w:tmpl w:val="2D0EF8A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1CB91585"/>
    <w:multiLevelType w:val="hybridMultilevel"/>
    <w:tmpl w:val="99C00A00"/>
    <w:styleLink w:val="ImportedStyle1142211"/>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1CC30D66"/>
    <w:multiLevelType w:val="hybridMultilevel"/>
    <w:tmpl w:val="4D5AF3F0"/>
    <w:styleLink w:val="ImportedStyle120"/>
    <w:lvl w:ilvl="0" w:tplc="CE88F32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2DEB13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49A9A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F4220FA">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B2EC5A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0E2D54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9E0C9BC">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A043F6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6AE513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40" w15:restartNumberingAfterBreak="0">
    <w:nsid w:val="1D190514"/>
    <w:multiLevelType w:val="hybridMultilevel"/>
    <w:tmpl w:val="FC40D56A"/>
    <w:styleLink w:val="ImportedStyle54"/>
    <w:lvl w:ilvl="0" w:tplc="EEF02342">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994B57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70E1BC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FC04624">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0C4693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C02965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5F0DEEA">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C45E3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0F610D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15:restartNumberingAfterBreak="0">
    <w:nsid w:val="1D685089"/>
    <w:multiLevelType w:val="hybridMultilevel"/>
    <w:tmpl w:val="C23CEAE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1DCA7C6A"/>
    <w:multiLevelType w:val="hybridMultilevel"/>
    <w:tmpl w:val="787251C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1E4A416E"/>
    <w:multiLevelType w:val="hybridMultilevel"/>
    <w:tmpl w:val="A0C41BF6"/>
    <w:styleLink w:val="ImportedStyle233"/>
    <w:lvl w:ilvl="0" w:tplc="F7867D82">
      <w:start w:val="1"/>
      <w:numFmt w:val="bullet"/>
      <w:lvlText w:val="·"/>
      <w:lvlJc w:val="left"/>
      <w:pPr>
        <w:tabs>
          <w:tab w:val="left" w:pos="82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60E9920">
      <w:start w:val="1"/>
      <w:numFmt w:val="bullet"/>
      <w:lvlText w:val="o"/>
      <w:lvlJc w:val="left"/>
      <w:pPr>
        <w:tabs>
          <w:tab w:val="left" w:pos="8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558439A">
      <w:start w:val="1"/>
      <w:numFmt w:val="bullet"/>
      <w:lvlText w:val="▪"/>
      <w:lvlJc w:val="left"/>
      <w:pPr>
        <w:tabs>
          <w:tab w:val="left" w:pos="8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AF08212">
      <w:start w:val="1"/>
      <w:numFmt w:val="bullet"/>
      <w:lvlText w:val="·"/>
      <w:lvlJc w:val="left"/>
      <w:pPr>
        <w:tabs>
          <w:tab w:val="left" w:pos="8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91478CA">
      <w:start w:val="1"/>
      <w:numFmt w:val="bullet"/>
      <w:lvlText w:val="o"/>
      <w:lvlJc w:val="left"/>
      <w:pPr>
        <w:tabs>
          <w:tab w:val="left" w:pos="8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B54082A">
      <w:start w:val="1"/>
      <w:numFmt w:val="bullet"/>
      <w:lvlText w:val="▪"/>
      <w:lvlJc w:val="left"/>
      <w:pPr>
        <w:tabs>
          <w:tab w:val="left" w:pos="8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7FC1312">
      <w:start w:val="1"/>
      <w:numFmt w:val="bullet"/>
      <w:lvlText w:val="·"/>
      <w:lvlJc w:val="left"/>
      <w:pPr>
        <w:tabs>
          <w:tab w:val="left" w:pos="8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3942F56">
      <w:start w:val="1"/>
      <w:numFmt w:val="bullet"/>
      <w:lvlText w:val="o"/>
      <w:lvlJc w:val="left"/>
      <w:pPr>
        <w:tabs>
          <w:tab w:val="left" w:pos="8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A0E00FC">
      <w:start w:val="1"/>
      <w:numFmt w:val="bullet"/>
      <w:lvlText w:val="▪"/>
      <w:lvlJc w:val="left"/>
      <w:pPr>
        <w:tabs>
          <w:tab w:val="left" w:pos="8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44" w15:restartNumberingAfterBreak="0">
    <w:nsid w:val="1E4D1A2C"/>
    <w:multiLevelType w:val="hybridMultilevel"/>
    <w:tmpl w:val="CB82C65C"/>
    <w:styleLink w:val="Stilimportat7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1E5721F6"/>
    <w:multiLevelType w:val="hybridMultilevel"/>
    <w:tmpl w:val="115C3F8E"/>
    <w:styleLink w:val="ImportedStyle13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1E9278D8"/>
    <w:multiLevelType w:val="hybridMultilevel"/>
    <w:tmpl w:val="AD540582"/>
    <w:lvl w:ilvl="0" w:tplc="0D085B6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7" w15:restartNumberingAfterBreak="0">
    <w:nsid w:val="1ED3335E"/>
    <w:multiLevelType w:val="hybridMultilevel"/>
    <w:tmpl w:val="86F86F46"/>
    <w:styleLink w:val="Stilimportat46"/>
    <w:lvl w:ilvl="0" w:tplc="806ACE22">
      <w:start w:val="1"/>
      <w:numFmt w:val="decimal"/>
      <w:lvlText w:val="%1."/>
      <w:lvlJc w:val="left"/>
      <w:pPr>
        <w:ind w:left="720" w:hanging="360"/>
      </w:pPr>
      <w:rPr>
        <w:b/>
        <w:color w:val="auto"/>
      </w:rPr>
    </w:lvl>
    <w:lvl w:ilvl="1" w:tplc="436267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1F1B7F21"/>
    <w:multiLevelType w:val="hybridMultilevel"/>
    <w:tmpl w:val="58D668A2"/>
    <w:styleLink w:val="Stilimportat4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9" w15:restartNumberingAfterBreak="0">
    <w:nsid w:val="1F471DA2"/>
    <w:multiLevelType w:val="hybridMultilevel"/>
    <w:tmpl w:val="071C2E9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1FBE69D4"/>
    <w:multiLevelType w:val="hybridMultilevel"/>
    <w:tmpl w:val="6D4209BA"/>
    <w:styleLink w:val="ImportedStyle95"/>
    <w:lvl w:ilvl="0" w:tplc="631ECB5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6A0244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3CEC8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098B7D4">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57E5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62402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07C009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DEED8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9F8AB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51" w15:restartNumberingAfterBreak="0">
    <w:nsid w:val="20227969"/>
    <w:multiLevelType w:val="hybridMultilevel"/>
    <w:tmpl w:val="01CEA642"/>
    <w:lvl w:ilvl="0" w:tplc="E9F6141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0230B96"/>
    <w:multiLevelType w:val="hybridMultilevel"/>
    <w:tmpl w:val="5830C43A"/>
    <w:styleLink w:val="Stilimportat73211"/>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20C44424"/>
    <w:multiLevelType w:val="hybridMultilevel"/>
    <w:tmpl w:val="95C64F1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210454A1"/>
    <w:multiLevelType w:val="hybridMultilevel"/>
    <w:tmpl w:val="F3386F62"/>
    <w:styleLink w:val="ImportedStyle114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2125409C"/>
    <w:multiLevelType w:val="hybridMultilevel"/>
    <w:tmpl w:val="F0FCA94A"/>
    <w:lvl w:ilvl="0" w:tplc="04090001">
      <w:start w:val="1"/>
      <w:numFmt w:val="bullet"/>
      <w:lvlText w:val=""/>
      <w:lvlJc w:val="left"/>
      <w:pPr>
        <w:ind w:left="907" w:hanging="360"/>
      </w:pPr>
      <w:rPr>
        <w:rFonts w:ascii="Symbol" w:hAnsi="Symbol" w:hint="default"/>
      </w:rPr>
    </w:lvl>
    <w:lvl w:ilvl="1" w:tplc="04090003">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56" w15:restartNumberingAfterBreak="0">
    <w:nsid w:val="212E1F74"/>
    <w:multiLevelType w:val="hybridMultilevel"/>
    <w:tmpl w:val="5D3C4A5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19F18FA"/>
    <w:multiLevelType w:val="hybridMultilevel"/>
    <w:tmpl w:val="A9AE2DC6"/>
    <w:styleLink w:val="ImportedStyle11461"/>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21B71338"/>
    <w:multiLevelType w:val="hybridMultilevel"/>
    <w:tmpl w:val="F0188316"/>
    <w:styleLink w:val="ImportedStyle3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2246175A"/>
    <w:multiLevelType w:val="hybridMultilevel"/>
    <w:tmpl w:val="F86A883E"/>
    <w:styleLink w:val="ImportedStyle101"/>
    <w:lvl w:ilvl="0" w:tplc="37B461AE">
      <w:start w:val="1"/>
      <w:numFmt w:val="upperRoman"/>
      <w:lvlText w:val="%1."/>
      <w:lvlJc w:val="left"/>
      <w:pPr>
        <w:ind w:left="1080" w:hanging="720"/>
      </w:pPr>
      <w:rPr>
        <w:rFonts w:hAnsi="Arial Unicode MS"/>
        <w:b/>
        <w:bCs/>
        <w:caps w:val="0"/>
        <w:smallCaps w:val="0"/>
        <w:strike w:val="0"/>
        <w:dstrike w:val="0"/>
        <w:spacing w:val="0"/>
        <w:w w:val="100"/>
        <w:kern w:val="0"/>
        <w:position w:val="0"/>
        <w:highlight w:val="none"/>
        <w:vertAlign w:val="baseline"/>
      </w:rPr>
    </w:lvl>
    <w:lvl w:ilvl="1" w:tplc="EDA094A0">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229C3306">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E76CB15A">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504A97D8">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B176AD3C">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5D18DF22">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D14E44B4">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28ACC3FC">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160" w15:restartNumberingAfterBreak="0">
    <w:nsid w:val="229F68E6"/>
    <w:multiLevelType w:val="multilevel"/>
    <w:tmpl w:val="19A42ADA"/>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161" w15:restartNumberingAfterBreak="0">
    <w:nsid w:val="22A30CF7"/>
    <w:multiLevelType w:val="hybridMultilevel"/>
    <w:tmpl w:val="F072E48E"/>
    <w:styleLink w:val="ImportedStyle78022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2AE298A"/>
    <w:multiLevelType w:val="hybridMultilevel"/>
    <w:tmpl w:val="B96E21C4"/>
    <w:styleLink w:val="ImportedStyle68"/>
    <w:lvl w:ilvl="0" w:tplc="D45A3CEA">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324A8A2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4BD6AE3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CAE2FA4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92FEA57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30CAFF0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3A3C6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19C2675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A5E82BC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163" w15:restartNumberingAfterBreak="0">
    <w:nsid w:val="23A23DE1"/>
    <w:multiLevelType w:val="hybridMultilevel"/>
    <w:tmpl w:val="3D183374"/>
    <w:styleLink w:val="ImportedStyle803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3CE3FFE"/>
    <w:multiLevelType w:val="hybridMultilevel"/>
    <w:tmpl w:val="46EE9A56"/>
    <w:styleLink w:val="ImportedStyle133"/>
    <w:lvl w:ilvl="0" w:tplc="672435B0">
      <w:start w:val="1"/>
      <w:numFmt w:val="lowerLetter"/>
      <w:lvlText w:val="%1)"/>
      <w:lvlJc w:val="left"/>
      <w:pPr>
        <w:ind w:left="754" w:hanging="360"/>
      </w:pPr>
      <w:rPr>
        <w:rFonts w:hAnsi="Arial Unicode MS"/>
        <w:caps w:val="0"/>
        <w:smallCaps w:val="0"/>
        <w:strike w:val="0"/>
        <w:dstrike w:val="0"/>
        <w:spacing w:val="0"/>
        <w:w w:val="100"/>
        <w:kern w:val="0"/>
        <w:position w:val="0"/>
        <w:highlight w:val="none"/>
        <w:vertAlign w:val="baseline"/>
      </w:rPr>
    </w:lvl>
    <w:lvl w:ilvl="1" w:tplc="E83AB17A">
      <w:start w:val="1"/>
      <w:numFmt w:val="lowerLetter"/>
      <w:lvlText w:val="%2."/>
      <w:lvlJc w:val="left"/>
      <w:pPr>
        <w:ind w:left="1474" w:hanging="360"/>
      </w:pPr>
      <w:rPr>
        <w:rFonts w:hAnsi="Arial Unicode MS"/>
        <w:caps w:val="0"/>
        <w:smallCaps w:val="0"/>
        <w:strike w:val="0"/>
        <w:dstrike w:val="0"/>
        <w:spacing w:val="0"/>
        <w:w w:val="100"/>
        <w:kern w:val="0"/>
        <w:position w:val="0"/>
        <w:highlight w:val="none"/>
        <w:vertAlign w:val="baseline"/>
      </w:rPr>
    </w:lvl>
    <w:lvl w:ilvl="2" w:tplc="3448014A">
      <w:start w:val="1"/>
      <w:numFmt w:val="lowerRoman"/>
      <w:lvlText w:val="%3."/>
      <w:lvlJc w:val="left"/>
      <w:pPr>
        <w:ind w:left="2194" w:hanging="313"/>
      </w:pPr>
      <w:rPr>
        <w:rFonts w:hAnsi="Arial Unicode MS"/>
        <w:caps w:val="0"/>
        <w:smallCaps w:val="0"/>
        <w:strike w:val="0"/>
        <w:dstrike w:val="0"/>
        <w:spacing w:val="0"/>
        <w:w w:val="100"/>
        <w:kern w:val="0"/>
        <w:position w:val="0"/>
        <w:highlight w:val="none"/>
        <w:vertAlign w:val="baseline"/>
      </w:rPr>
    </w:lvl>
    <w:lvl w:ilvl="3" w:tplc="B588D958">
      <w:start w:val="1"/>
      <w:numFmt w:val="decimal"/>
      <w:lvlText w:val="%4."/>
      <w:lvlJc w:val="left"/>
      <w:pPr>
        <w:ind w:left="2914" w:hanging="360"/>
      </w:pPr>
      <w:rPr>
        <w:rFonts w:hAnsi="Arial Unicode MS"/>
        <w:caps w:val="0"/>
        <w:smallCaps w:val="0"/>
        <w:strike w:val="0"/>
        <w:dstrike w:val="0"/>
        <w:spacing w:val="0"/>
        <w:w w:val="100"/>
        <w:kern w:val="0"/>
        <w:position w:val="0"/>
        <w:highlight w:val="none"/>
        <w:vertAlign w:val="baseline"/>
      </w:rPr>
    </w:lvl>
    <w:lvl w:ilvl="4" w:tplc="837456CA">
      <w:start w:val="1"/>
      <w:numFmt w:val="lowerLetter"/>
      <w:lvlText w:val="%5."/>
      <w:lvlJc w:val="left"/>
      <w:pPr>
        <w:ind w:left="3634" w:hanging="360"/>
      </w:pPr>
      <w:rPr>
        <w:rFonts w:hAnsi="Arial Unicode MS"/>
        <w:caps w:val="0"/>
        <w:smallCaps w:val="0"/>
        <w:strike w:val="0"/>
        <w:dstrike w:val="0"/>
        <w:spacing w:val="0"/>
        <w:w w:val="100"/>
        <w:kern w:val="0"/>
        <w:position w:val="0"/>
        <w:highlight w:val="none"/>
        <w:vertAlign w:val="baseline"/>
      </w:rPr>
    </w:lvl>
    <w:lvl w:ilvl="5" w:tplc="19809D3E">
      <w:start w:val="1"/>
      <w:numFmt w:val="lowerRoman"/>
      <w:lvlText w:val="%6."/>
      <w:lvlJc w:val="left"/>
      <w:pPr>
        <w:ind w:left="4354" w:hanging="313"/>
      </w:pPr>
      <w:rPr>
        <w:rFonts w:hAnsi="Arial Unicode MS"/>
        <w:caps w:val="0"/>
        <w:smallCaps w:val="0"/>
        <w:strike w:val="0"/>
        <w:dstrike w:val="0"/>
        <w:spacing w:val="0"/>
        <w:w w:val="100"/>
        <w:kern w:val="0"/>
        <w:position w:val="0"/>
        <w:highlight w:val="none"/>
        <w:vertAlign w:val="baseline"/>
      </w:rPr>
    </w:lvl>
    <w:lvl w:ilvl="6" w:tplc="D2C6B07C">
      <w:start w:val="1"/>
      <w:numFmt w:val="decimal"/>
      <w:lvlText w:val="%7."/>
      <w:lvlJc w:val="left"/>
      <w:pPr>
        <w:ind w:left="5074" w:hanging="360"/>
      </w:pPr>
      <w:rPr>
        <w:rFonts w:hAnsi="Arial Unicode MS"/>
        <w:caps w:val="0"/>
        <w:smallCaps w:val="0"/>
        <w:strike w:val="0"/>
        <w:dstrike w:val="0"/>
        <w:spacing w:val="0"/>
        <w:w w:val="100"/>
        <w:kern w:val="0"/>
        <w:position w:val="0"/>
        <w:highlight w:val="none"/>
        <w:vertAlign w:val="baseline"/>
      </w:rPr>
    </w:lvl>
    <w:lvl w:ilvl="7" w:tplc="2F4CF788">
      <w:start w:val="1"/>
      <w:numFmt w:val="lowerLetter"/>
      <w:lvlText w:val="%8."/>
      <w:lvlJc w:val="left"/>
      <w:pPr>
        <w:ind w:left="5794" w:hanging="360"/>
      </w:pPr>
      <w:rPr>
        <w:rFonts w:hAnsi="Arial Unicode MS"/>
        <w:caps w:val="0"/>
        <w:smallCaps w:val="0"/>
        <w:strike w:val="0"/>
        <w:dstrike w:val="0"/>
        <w:spacing w:val="0"/>
        <w:w w:val="100"/>
        <w:kern w:val="0"/>
        <w:position w:val="0"/>
        <w:highlight w:val="none"/>
        <w:vertAlign w:val="baseline"/>
      </w:rPr>
    </w:lvl>
    <w:lvl w:ilvl="8" w:tplc="D390C5FE">
      <w:start w:val="1"/>
      <w:numFmt w:val="lowerRoman"/>
      <w:lvlText w:val="%9."/>
      <w:lvlJc w:val="left"/>
      <w:pPr>
        <w:ind w:left="6514" w:hanging="313"/>
      </w:pPr>
      <w:rPr>
        <w:rFonts w:hAnsi="Arial Unicode MS"/>
        <w:caps w:val="0"/>
        <w:smallCaps w:val="0"/>
        <w:strike w:val="0"/>
        <w:dstrike w:val="0"/>
        <w:spacing w:val="0"/>
        <w:w w:val="100"/>
        <w:kern w:val="0"/>
        <w:position w:val="0"/>
        <w:highlight w:val="none"/>
        <w:vertAlign w:val="baseline"/>
      </w:rPr>
    </w:lvl>
  </w:abstractNum>
  <w:abstractNum w:abstractNumId="165" w15:restartNumberingAfterBreak="0">
    <w:nsid w:val="23D6001C"/>
    <w:multiLevelType w:val="hybridMultilevel"/>
    <w:tmpl w:val="D74ABE98"/>
    <w:styleLink w:val="ImportedStyle81"/>
    <w:lvl w:ilvl="0" w:tplc="6BE00AD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45AC243A">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1B528E94">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304AF2A8">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DCBEF4D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2CFC1F58">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E8720A7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B6EE3932">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BB96EF76">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166" w15:restartNumberingAfterBreak="0">
    <w:nsid w:val="24587ABB"/>
    <w:multiLevelType w:val="hybridMultilevel"/>
    <w:tmpl w:val="5F7EF47E"/>
    <w:styleLink w:val="ImportedStyle103"/>
    <w:lvl w:ilvl="0" w:tplc="4AF868AC">
      <w:start w:val="1"/>
      <w:numFmt w:val="bullet"/>
      <w:lvlText w:val="-"/>
      <w:lvlJc w:val="left"/>
      <w:pPr>
        <w:tabs>
          <w:tab w:val="left" w:pos="90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492977C">
      <w:start w:val="1"/>
      <w:numFmt w:val="bullet"/>
      <w:lvlText w:val="o"/>
      <w:lvlJc w:val="left"/>
      <w:pPr>
        <w:tabs>
          <w:tab w:val="left" w:pos="90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744DB90">
      <w:start w:val="1"/>
      <w:numFmt w:val="bullet"/>
      <w:lvlText w:val="▪"/>
      <w:lvlJc w:val="left"/>
      <w:pPr>
        <w:tabs>
          <w:tab w:val="left" w:pos="90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0923C40">
      <w:start w:val="1"/>
      <w:numFmt w:val="bullet"/>
      <w:lvlText w:val="·"/>
      <w:lvlJc w:val="left"/>
      <w:pPr>
        <w:tabs>
          <w:tab w:val="left" w:pos="90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02CAFAA">
      <w:start w:val="1"/>
      <w:numFmt w:val="bullet"/>
      <w:lvlText w:val="o"/>
      <w:lvlJc w:val="left"/>
      <w:pPr>
        <w:tabs>
          <w:tab w:val="left" w:pos="90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96C0AA60">
      <w:start w:val="1"/>
      <w:numFmt w:val="bullet"/>
      <w:lvlText w:val="▪"/>
      <w:lvlJc w:val="left"/>
      <w:pPr>
        <w:tabs>
          <w:tab w:val="left" w:pos="90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3DA31AE">
      <w:start w:val="1"/>
      <w:numFmt w:val="bullet"/>
      <w:lvlText w:val="·"/>
      <w:lvlJc w:val="left"/>
      <w:pPr>
        <w:tabs>
          <w:tab w:val="left" w:pos="90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FA2FC68">
      <w:start w:val="1"/>
      <w:numFmt w:val="bullet"/>
      <w:lvlText w:val="o"/>
      <w:lvlJc w:val="left"/>
      <w:pPr>
        <w:tabs>
          <w:tab w:val="left" w:pos="90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2A88C48">
      <w:start w:val="1"/>
      <w:numFmt w:val="bullet"/>
      <w:lvlText w:val="▪"/>
      <w:lvlJc w:val="left"/>
      <w:pPr>
        <w:tabs>
          <w:tab w:val="left" w:pos="90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67" w15:restartNumberingAfterBreak="0">
    <w:nsid w:val="245C15AA"/>
    <w:multiLevelType w:val="hybridMultilevel"/>
    <w:tmpl w:val="C3FC14B2"/>
    <w:styleLink w:val="ImportedStyle67"/>
    <w:lvl w:ilvl="0" w:tplc="2E5E20C0">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EB1C475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852EC13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074433E4">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053E5BE8">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520AB4F0">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DDF47814">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2952BB5A">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11428B60">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168" w15:restartNumberingAfterBreak="0">
    <w:nsid w:val="24742E4C"/>
    <w:multiLevelType w:val="hybridMultilevel"/>
    <w:tmpl w:val="99C83E3A"/>
    <w:styleLink w:val="ImportedStyle74"/>
    <w:lvl w:ilvl="0" w:tplc="9DCC230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750932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4769EA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73CFD04">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A72A4A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9AE798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4D27F5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ACED08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36CB1AE">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69" w15:restartNumberingAfterBreak="0">
    <w:nsid w:val="247B2ED4"/>
    <w:multiLevelType w:val="hybridMultilevel"/>
    <w:tmpl w:val="78F0295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24C37E33"/>
    <w:multiLevelType w:val="hybridMultilevel"/>
    <w:tmpl w:val="8500E420"/>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1" w15:restartNumberingAfterBreak="0">
    <w:nsid w:val="257B0BEF"/>
    <w:multiLevelType w:val="hybridMultilevel"/>
    <w:tmpl w:val="F7066B7C"/>
    <w:styleLink w:val="Stilimportat13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25B30368"/>
    <w:multiLevelType w:val="hybridMultilevel"/>
    <w:tmpl w:val="D68AF97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26264115"/>
    <w:multiLevelType w:val="hybridMultilevel"/>
    <w:tmpl w:val="1402EF5E"/>
    <w:styleLink w:val="Stilimportat5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263A2D3F"/>
    <w:multiLevelType w:val="hybridMultilevel"/>
    <w:tmpl w:val="F878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26484D06"/>
    <w:multiLevelType w:val="hybridMultilevel"/>
    <w:tmpl w:val="63F4F768"/>
    <w:lvl w:ilvl="0" w:tplc="D478BF7A">
      <w:numFmt w:val="bullet"/>
      <w:lvlText w:val="-"/>
      <w:lvlJc w:val="left"/>
      <w:pPr>
        <w:ind w:left="836" w:hanging="360"/>
      </w:pPr>
      <w:rPr>
        <w:rFonts w:ascii="Courier New" w:eastAsia="Courier New" w:hAnsi="Courier New" w:cs="Courier New" w:hint="default"/>
        <w:b w:val="0"/>
        <w:bCs w:val="0"/>
        <w:i w:val="0"/>
        <w:iCs w:val="0"/>
        <w:w w:val="100"/>
        <w:sz w:val="24"/>
        <w:szCs w:val="24"/>
      </w:rPr>
    </w:lvl>
    <w:lvl w:ilvl="1" w:tplc="1D385292">
      <w:numFmt w:val="bullet"/>
      <w:lvlText w:val="•"/>
      <w:lvlJc w:val="left"/>
      <w:pPr>
        <w:ind w:left="1720" w:hanging="360"/>
      </w:pPr>
      <w:rPr>
        <w:rFonts w:hint="default"/>
      </w:rPr>
    </w:lvl>
    <w:lvl w:ilvl="2" w:tplc="0090ED1A">
      <w:numFmt w:val="bullet"/>
      <w:lvlText w:val="•"/>
      <w:lvlJc w:val="left"/>
      <w:pPr>
        <w:ind w:left="2600" w:hanging="360"/>
      </w:pPr>
      <w:rPr>
        <w:rFonts w:hint="default"/>
      </w:rPr>
    </w:lvl>
    <w:lvl w:ilvl="3" w:tplc="94C4CE9A">
      <w:numFmt w:val="bullet"/>
      <w:lvlText w:val="•"/>
      <w:lvlJc w:val="left"/>
      <w:pPr>
        <w:ind w:left="3480" w:hanging="360"/>
      </w:pPr>
      <w:rPr>
        <w:rFonts w:hint="default"/>
      </w:rPr>
    </w:lvl>
    <w:lvl w:ilvl="4" w:tplc="A9E8929E">
      <w:numFmt w:val="bullet"/>
      <w:lvlText w:val="•"/>
      <w:lvlJc w:val="left"/>
      <w:pPr>
        <w:ind w:left="4360" w:hanging="360"/>
      </w:pPr>
      <w:rPr>
        <w:rFonts w:hint="default"/>
      </w:rPr>
    </w:lvl>
    <w:lvl w:ilvl="5" w:tplc="5A9468DA">
      <w:numFmt w:val="bullet"/>
      <w:lvlText w:val="•"/>
      <w:lvlJc w:val="left"/>
      <w:pPr>
        <w:ind w:left="5240" w:hanging="360"/>
      </w:pPr>
      <w:rPr>
        <w:rFonts w:hint="default"/>
      </w:rPr>
    </w:lvl>
    <w:lvl w:ilvl="6" w:tplc="F7E22180">
      <w:numFmt w:val="bullet"/>
      <w:lvlText w:val="•"/>
      <w:lvlJc w:val="left"/>
      <w:pPr>
        <w:ind w:left="6120" w:hanging="360"/>
      </w:pPr>
      <w:rPr>
        <w:rFonts w:hint="default"/>
      </w:rPr>
    </w:lvl>
    <w:lvl w:ilvl="7" w:tplc="7C6CB478">
      <w:numFmt w:val="bullet"/>
      <w:lvlText w:val="•"/>
      <w:lvlJc w:val="left"/>
      <w:pPr>
        <w:ind w:left="7000" w:hanging="360"/>
      </w:pPr>
      <w:rPr>
        <w:rFonts w:hint="default"/>
      </w:rPr>
    </w:lvl>
    <w:lvl w:ilvl="8" w:tplc="D00C0180">
      <w:numFmt w:val="bullet"/>
      <w:lvlText w:val="•"/>
      <w:lvlJc w:val="left"/>
      <w:pPr>
        <w:ind w:left="7880" w:hanging="360"/>
      </w:pPr>
      <w:rPr>
        <w:rFonts w:hint="default"/>
      </w:rPr>
    </w:lvl>
  </w:abstractNum>
  <w:abstractNum w:abstractNumId="176" w15:restartNumberingAfterBreak="0">
    <w:nsid w:val="267D48C4"/>
    <w:multiLevelType w:val="hybridMultilevel"/>
    <w:tmpl w:val="87729FE4"/>
    <w:styleLink w:val="ImportedStyle1162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2690250B"/>
    <w:multiLevelType w:val="hybridMultilevel"/>
    <w:tmpl w:val="A4B4068A"/>
    <w:styleLink w:val="ImportedStyle40"/>
    <w:lvl w:ilvl="0" w:tplc="420C5640">
      <w:start w:val="1"/>
      <w:numFmt w:val="upperLetter"/>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4504007E">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60981F26">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733678E6">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B0DEB878">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4F2E0EE4">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B21C849E">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244CE4C6">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001452AE">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178" w15:restartNumberingAfterBreak="0">
    <w:nsid w:val="26925E52"/>
    <w:multiLevelType w:val="hybridMultilevel"/>
    <w:tmpl w:val="6CF2E4EE"/>
    <w:styleLink w:val="ImportedStyle78231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9" w15:restartNumberingAfterBreak="0">
    <w:nsid w:val="26A54637"/>
    <w:multiLevelType w:val="hybridMultilevel"/>
    <w:tmpl w:val="29AC1798"/>
    <w:lvl w:ilvl="0" w:tplc="A11A0F12">
      <w:start w:val="1"/>
      <w:numFmt w:val="lowerLetter"/>
      <w:lvlText w:val="%1)"/>
      <w:lvlJc w:val="left"/>
      <w:pPr>
        <w:ind w:left="399" w:hanging="284"/>
      </w:pPr>
      <w:rPr>
        <w:rFonts w:ascii="Times New Roman" w:eastAsia="Times New Roman" w:hAnsi="Times New Roman" w:cs="Times New Roman" w:hint="default"/>
        <w:b w:val="0"/>
        <w:bCs w:val="0"/>
        <w:i w:val="0"/>
        <w:iCs w:val="0"/>
        <w:spacing w:val="-1"/>
        <w:w w:val="99"/>
        <w:sz w:val="24"/>
        <w:szCs w:val="24"/>
      </w:rPr>
    </w:lvl>
    <w:lvl w:ilvl="1" w:tplc="EEEEEA4E">
      <w:numFmt w:val="bullet"/>
      <w:lvlText w:val=""/>
      <w:lvlJc w:val="left"/>
      <w:pPr>
        <w:ind w:left="836" w:hanging="360"/>
      </w:pPr>
      <w:rPr>
        <w:rFonts w:ascii="Symbol" w:eastAsia="Symbol" w:hAnsi="Symbol" w:cs="Symbol" w:hint="default"/>
        <w:b w:val="0"/>
        <w:bCs w:val="0"/>
        <w:i w:val="0"/>
        <w:iCs w:val="0"/>
        <w:w w:val="100"/>
        <w:sz w:val="24"/>
        <w:szCs w:val="24"/>
      </w:rPr>
    </w:lvl>
    <w:lvl w:ilvl="2" w:tplc="5010C77A">
      <w:numFmt w:val="bullet"/>
      <w:lvlText w:val="•"/>
      <w:lvlJc w:val="left"/>
      <w:pPr>
        <w:ind w:left="1817" w:hanging="360"/>
      </w:pPr>
      <w:rPr>
        <w:rFonts w:hint="default"/>
      </w:rPr>
    </w:lvl>
    <w:lvl w:ilvl="3" w:tplc="0DCA6F0C">
      <w:numFmt w:val="bullet"/>
      <w:lvlText w:val="•"/>
      <w:lvlJc w:val="left"/>
      <w:pPr>
        <w:ind w:left="2795" w:hanging="360"/>
      </w:pPr>
      <w:rPr>
        <w:rFonts w:hint="default"/>
      </w:rPr>
    </w:lvl>
    <w:lvl w:ilvl="4" w:tplc="8DE04FB6">
      <w:numFmt w:val="bullet"/>
      <w:lvlText w:val="•"/>
      <w:lvlJc w:val="left"/>
      <w:pPr>
        <w:ind w:left="3773" w:hanging="360"/>
      </w:pPr>
      <w:rPr>
        <w:rFonts w:hint="default"/>
      </w:rPr>
    </w:lvl>
    <w:lvl w:ilvl="5" w:tplc="6C125A4C">
      <w:numFmt w:val="bullet"/>
      <w:lvlText w:val="•"/>
      <w:lvlJc w:val="left"/>
      <w:pPr>
        <w:ind w:left="4751" w:hanging="360"/>
      </w:pPr>
      <w:rPr>
        <w:rFonts w:hint="default"/>
      </w:rPr>
    </w:lvl>
    <w:lvl w:ilvl="6" w:tplc="857ED65A">
      <w:numFmt w:val="bullet"/>
      <w:lvlText w:val="•"/>
      <w:lvlJc w:val="left"/>
      <w:pPr>
        <w:ind w:left="5728" w:hanging="360"/>
      </w:pPr>
      <w:rPr>
        <w:rFonts w:hint="default"/>
      </w:rPr>
    </w:lvl>
    <w:lvl w:ilvl="7" w:tplc="E8C0BA24">
      <w:numFmt w:val="bullet"/>
      <w:lvlText w:val="•"/>
      <w:lvlJc w:val="left"/>
      <w:pPr>
        <w:ind w:left="6706" w:hanging="360"/>
      </w:pPr>
      <w:rPr>
        <w:rFonts w:hint="default"/>
      </w:rPr>
    </w:lvl>
    <w:lvl w:ilvl="8" w:tplc="AB66E93A">
      <w:numFmt w:val="bullet"/>
      <w:lvlText w:val="•"/>
      <w:lvlJc w:val="left"/>
      <w:pPr>
        <w:ind w:left="7684" w:hanging="360"/>
      </w:pPr>
      <w:rPr>
        <w:rFonts w:hint="default"/>
      </w:rPr>
    </w:lvl>
  </w:abstractNum>
  <w:abstractNum w:abstractNumId="180" w15:restartNumberingAfterBreak="0">
    <w:nsid w:val="26AC4879"/>
    <w:multiLevelType w:val="hybridMultilevel"/>
    <w:tmpl w:val="4E44E168"/>
    <w:styleLink w:val="ImportedStyle12211"/>
    <w:lvl w:ilvl="0" w:tplc="C5E6A5A2">
      <w:start w:val="1"/>
      <w:numFmt w:val="decimal"/>
      <w:lvlText w:val="%1."/>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702A22">
      <w:start w:val="1"/>
      <w:numFmt w:val="decimal"/>
      <w:lvlText w:val="%2."/>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E2A30C">
      <w:start w:val="1"/>
      <w:numFmt w:val="lowerRoman"/>
      <w:lvlText w:val="%3."/>
      <w:lvlJc w:val="left"/>
      <w:pPr>
        <w:ind w:left="128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1E2676">
      <w:start w:val="1"/>
      <w:numFmt w:val="decimal"/>
      <w:lvlText w:val="%4."/>
      <w:lvlJc w:val="left"/>
      <w:pPr>
        <w:ind w:left="200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ADAFFD6">
      <w:start w:val="1"/>
      <w:numFmt w:val="lowerLetter"/>
      <w:lvlText w:val="%5."/>
      <w:lvlJc w:val="left"/>
      <w:pPr>
        <w:ind w:left="272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B6F2E8">
      <w:start w:val="1"/>
      <w:numFmt w:val="lowerRoman"/>
      <w:lvlText w:val="%6."/>
      <w:lvlJc w:val="left"/>
      <w:pPr>
        <w:ind w:left="344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7C440A">
      <w:start w:val="1"/>
      <w:numFmt w:val="decimal"/>
      <w:lvlText w:val="%7."/>
      <w:lvlJc w:val="left"/>
      <w:pPr>
        <w:ind w:left="41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68316">
      <w:start w:val="1"/>
      <w:numFmt w:val="lowerLetter"/>
      <w:lvlText w:val="%8."/>
      <w:lvlJc w:val="left"/>
      <w:pPr>
        <w:ind w:left="48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C63AAE">
      <w:start w:val="1"/>
      <w:numFmt w:val="lowerRoman"/>
      <w:lvlText w:val="%9."/>
      <w:lvlJc w:val="left"/>
      <w:pPr>
        <w:ind w:left="560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26C34ADE"/>
    <w:multiLevelType w:val="hybridMultilevel"/>
    <w:tmpl w:val="EAC88E72"/>
    <w:styleLink w:val="ImportedStyle4"/>
    <w:lvl w:ilvl="0" w:tplc="3A729E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ED667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C66C6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848D20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43CCF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5CB0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DB2454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8BA2F0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8C2E0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2" w15:restartNumberingAfterBreak="0">
    <w:nsid w:val="270344E6"/>
    <w:multiLevelType w:val="hybridMultilevel"/>
    <w:tmpl w:val="19F05CE6"/>
    <w:lvl w:ilvl="0" w:tplc="3E5A8E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27E360A0"/>
    <w:multiLevelType w:val="hybridMultilevel"/>
    <w:tmpl w:val="A53A221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28311FB7"/>
    <w:multiLevelType w:val="hybridMultilevel"/>
    <w:tmpl w:val="E87C7474"/>
    <w:styleLink w:val="ImportedStyle84"/>
    <w:lvl w:ilvl="0" w:tplc="EBDE618A">
      <w:start w:val="1"/>
      <w:numFmt w:val="bullet"/>
      <w:lvlText w:val="-"/>
      <w:lvlJc w:val="left"/>
      <w:pPr>
        <w:ind w:left="18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6590D5AE">
      <w:start w:val="1"/>
      <w:numFmt w:val="bullet"/>
      <w:lvlText w:val="o"/>
      <w:lvlJc w:val="left"/>
      <w:pPr>
        <w:ind w:left="90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1F78BDC2">
      <w:start w:val="1"/>
      <w:numFmt w:val="bullet"/>
      <w:lvlText w:val="▪"/>
      <w:lvlJc w:val="left"/>
      <w:pPr>
        <w:ind w:left="162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4D286A96">
      <w:start w:val="1"/>
      <w:numFmt w:val="bullet"/>
      <w:lvlText w:val="•"/>
      <w:lvlJc w:val="left"/>
      <w:pPr>
        <w:ind w:left="234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58EA8E88">
      <w:start w:val="1"/>
      <w:numFmt w:val="bullet"/>
      <w:lvlText w:val="o"/>
      <w:lvlJc w:val="left"/>
      <w:pPr>
        <w:ind w:left="306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75F0E8FA">
      <w:start w:val="1"/>
      <w:numFmt w:val="bullet"/>
      <w:lvlText w:val="▪"/>
      <w:lvlJc w:val="left"/>
      <w:pPr>
        <w:ind w:left="378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65500372">
      <w:start w:val="1"/>
      <w:numFmt w:val="bullet"/>
      <w:lvlText w:val="•"/>
      <w:lvlJc w:val="left"/>
      <w:pPr>
        <w:ind w:left="450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7E9A3DC0">
      <w:start w:val="1"/>
      <w:numFmt w:val="bullet"/>
      <w:lvlText w:val="o"/>
      <w:lvlJc w:val="left"/>
      <w:pPr>
        <w:ind w:left="522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5EE4B300">
      <w:start w:val="1"/>
      <w:numFmt w:val="bullet"/>
      <w:lvlText w:val="▪"/>
      <w:lvlJc w:val="left"/>
      <w:pPr>
        <w:ind w:left="5940" w:hanging="18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185" w15:restartNumberingAfterBreak="0">
    <w:nsid w:val="286D0DEA"/>
    <w:multiLevelType w:val="hybridMultilevel"/>
    <w:tmpl w:val="F266FA00"/>
    <w:styleLink w:val="Stilimportat5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29112A5B"/>
    <w:multiLevelType w:val="hybridMultilevel"/>
    <w:tmpl w:val="58D4545C"/>
    <w:styleLink w:val="Stilimportat7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2931094F"/>
    <w:multiLevelType w:val="hybridMultilevel"/>
    <w:tmpl w:val="7BF285EE"/>
    <w:styleLink w:val="Stilimportat1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29863EBE"/>
    <w:multiLevelType w:val="hybridMultilevel"/>
    <w:tmpl w:val="B5923D9C"/>
    <w:styleLink w:val="ImportedStyle3111111"/>
    <w:lvl w:ilvl="0" w:tplc="EE8C2070">
      <w:start w:val="1"/>
      <w:numFmt w:val="upp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29CF1294"/>
    <w:multiLevelType w:val="hybridMultilevel"/>
    <w:tmpl w:val="D8F24214"/>
    <w:styleLink w:val="ImportedStyle214"/>
    <w:lvl w:ilvl="0" w:tplc="8D4E6288">
      <w:start w:val="1"/>
      <w:numFmt w:val="upperRoman"/>
      <w:lvlText w:val="%1."/>
      <w:lvlJc w:val="left"/>
      <w:pPr>
        <w:tabs>
          <w:tab w:val="num" w:pos="2160"/>
        </w:tabs>
        <w:ind w:left="1080" w:firstLine="360"/>
      </w:pPr>
      <w:rPr>
        <w:rFonts w:hAnsi="Arial Unicode MS"/>
        <w:caps w:val="0"/>
        <w:smallCaps w:val="0"/>
        <w:strike w:val="0"/>
        <w:dstrike w:val="0"/>
        <w:spacing w:val="0"/>
        <w:w w:val="100"/>
        <w:kern w:val="0"/>
        <w:position w:val="0"/>
        <w:highlight w:val="none"/>
        <w:vertAlign w:val="baseline"/>
      </w:rPr>
    </w:lvl>
    <w:lvl w:ilvl="1" w:tplc="9050BD42">
      <w:start w:val="1"/>
      <w:numFmt w:val="lowerLetter"/>
      <w:lvlText w:val="%2."/>
      <w:lvlJc w:val="left"/>
      <w:pPr>
        <w:tabs>
          <w:tab w:val="num" w:pos="1440"/>
        </w:tabs>
        <w:ind w:left="360" w:firstLine="720"/>
      </w:pPr>
      <w:rPr>
        <w:rFonts w:hAnsi="Arial Unicode MS"/>
        <w:caps w:val="0"/>
        <w:smallCaps w:val="0"/>
        <w:strike w:val="0"/>
        <w:dstrike w:val="0"/>
        <w:spacing w:val="0"/>
        <w:w w:val="100"/>
        <w:kern w:val="0"/>
        <w:position w:val="0"/>
        <w:highlight w:val="none"/>
        <w:vertAlign w:val="baseline"/>
      </w:rPr>
    </w:lvl>
    <w:lvl w:ilvl="2" w:tplc="3E084CA8">
      <w:start w:val="1"/>
      <w:numFmt w:val="lowerRoman"/>
      <w:lvlText w:val="%3."/>
      <w:lvlJc w:val="left"/>
      <w:pPr>
        <w:tabs>
          <w:tab w:val="num" w:pos="1800"/>
        </w:tabs>
        <w:ind w:left="720" w:firstLine="767"/>
      </w:pPr>
      <w:rPr>
        <w:rFonts w:hAnsi="Arial Unicode MS"/>
        <w:caps w:val="0"/>
        <w:smallCaps w:val="0"/>
        <w:strike w:val="0"/>
        <w:dstrike w:val="0"/>
        <w:spacing w:val="0"/>
        <w:w w:val="100"/>
        <w:kern w:val="0"/>
        <w:position w:val="0"/>
        <w:highlight w:val="none"/>
        <w:vertAlign w:val="baseline"/>
      </w:rPr>
    </w:lvl>
    <w:lvl w:ilvl="3" w:tplc="3BE29F3A">
      <w:start w:val="1"/>
      <w:numFmt w:val="decimal"/>
      <w:lvlText w:val="%4."/>
      <w:lvlJc w:val="left"/>
      <w:pPr>
        <w:tabs>
          <w:tab w:val="num" w:pos="2520"/>
        </w:tabs>
        <w:ind w:left="1440" w:firstLine="720"/>
      </w:pPr>
      <w:rPr>
        <w:rFonts w:hAnsi="Arial Unicode MS"/>
        <w:caps w:val="0"/>
        <w:smallCaps w:val="0"/>
        <w:strike w:val="0"/>
        <w:dstrike w:val="0"/>
        <w:spacing w:val="0"/>
        <w:w w:val="100"/>
        <w:kern w:val="0"/>
        <w:position w:val="0"/>
        <w:highlight w:val="none"/>
        <w:vertAlign w:val="baseline"/>
      </w:rPr>
    </w:lvl>
    <w:lvl w:ilvl="4" w:tplc="1506DEF4">
      <w:start w:val="1"/>
      <w:numFmt w:val="lowerLetter"/>
      <w:lvlText w:val="%5."/>
      <w:lvlJc w:val="left"/>
      <w:pPr>
        <w:tabs>
          <w:tab w:val="num" w:pos="3240"/>
        </w:tabs>
        <w:ind w:left="2160" w:firstLine="720"/>
      </w:pPr>
      <w:rPr>
        <w:rFonts w:hAnsi="Arial Unicode MS"/>
        <w:caps w:val="0"/>
        <w:smallCaps w:val="0"/>
        <w:strike w:val="0"/>
        <w:dstrike w:val="0"/>
        <w:spacing w:val="0"/>
        <w:w w:val="100"/>
        <w:kern w:val="0"/>
        <w:position w:val="0"/>
        <w:highlight w:val="none"/>
        <w:vertAlign w:val="baseline"/>
      </w:rPr>
    </w:lvl>
    <w:lvl w:ilvl="5" w:tplc="B31E1188">
      <w:start w:val="1"/>
      <w:numFmt w:val="lowerRoman"/>
      <w:lvlText w:val="%6."/>
      <w:lvlJc w:val="left"/>
      <w:pPr>
        <w:tabs>
          <w:tab w:val="num" w:pos="3960"/>
        </w:tabs>
        <w:ind w:left="2880" w:firstLine="767"/>
      </w:pPr>
      <w:rPr>
        <w:rFonts w:hAnsi="Arial Unicode MS"/>
        <w:caps w:val="0"/>
        <w:smallCaps w:val="0"/>
        <w:strike w:val="0"/>
        <w:dstrike w:val="0"/>
        <w:spacing w:val="0"/>
        <w:w w:val="100"/>
        <w:kern w:val="0"/>
        <w:position w:val="0"/>
        <w:highlight w:val="none"/>
        <w:vertAlign w:val="baseline"/>
      </w:rPr>
    </w:lvl>
    <w:lvl w:ilvl="6" w:tplc="D1CCF7BA">
      <w:start w:val="1"/>
      <w:numFmt w:val="decimal"/>
      <w:lvlText w:val="%7."/>
      <w:lvlJc w:val="left"/>
      <w:pPr>
        <w:tabs>
          <w:tab w:val="num" w:pos="4680"/>
        </w:tabs>
        <w:ind w:left="3600" w:firstLine="720"/>
      </w:pPr>
      <w:rPr>
        <w:rFonts w:hAnsi="Arial Unicode MS"/>
        <w:caps w:val="0"/>
        <w:smallCaps w:val="0"/>
        <w:strike w:val="0"/>
        <w:dstrike w:val="0"/>
        <w:spacing w:val="0"/>
        <w:w w:val="100"/>
        <w:kern w:val="0"/>
        <w:position w:val="0"/>
        <w:highlight w:val="none"/>
        <w:vertAlign w:val="baseline"/>
      </w:rPr>
    </w:lvl>
    <w:lvl w:ilvl="7" w:tplc="49607FAA">
      <w:start w:val="1"/>
      <w:numFmt w:val="lowerLetter"/>
      <w:lvlText w:val="%8."/>
      <w:lvlJc w:val="left"/>
      <w:pPr>
        <w:tabs>
          <w:tab w:val="num" w:pos="5400"/>
        </w:tabs>
        <w:ind w:left="4320" w:firstLine="720"/>
      </w:pPr>
      <w:rPr>
        <w:rFonts w:hAnsi="Arial Unicode MS"/>
        <w:caps w:val="0"/>
        <w:smallCaps w:val="0"/>
        <w:strike w:val="0"/>
        <w:dstrike w:val="0"/>
        <w:spacing w:val="0"/>
        <w:w w:val="100"/>
        <w:kern w:val="0"/>
        <w:position w:val="0"/>
        <w:highlight w:val="none"/>
        <w:vertAlign w:val="baseline"/>
      </w:rPr>
    </w:lvl>
    <w:lvl w:ilvl="8" w:tplc="18EC5A82">
      <w:start w:val="1"/>
      <w:numFmt w:val="lowerRoman"/>
      <w:lvlText w:val="%9."/>
      <w:lvlJc w:val="left"/>
      <w:pPr>
        <w:tabs>
          <w:tab w:val="num" w:pos="6120"/>
        </w:tabs>
        <w:ind w:left="5040" w:firstLine="767"/>
      </w:pPr>
      <w:rPr>
        <w:rFonts w:hAnsi="Arial Unicode MS"/>
        <w:caps w:val="0"/>
        <w:smallCaps w:val="0"/>
        <w:strike w:val="0"/>
        <w:dstrike w:val="0"/>
        <w:spacing w:val="0"/>
        <w:w w:val="100"/>
        <w:kern w:val="0"/>
        <w:position w:val="0"/>
        <w:highlight w:val="none"/>
        <w:vertAlign w:val="baseline"/>
      </w:rPr>
    </w:lvl>
  </w:abstractNum>
  <w:abstractNum w:abstractNumId="190" w15:restartNumberingAfterBreak="0">
    <w:nsid w:val="29DF0FE8"/>
    <w:multiLevelType w:val="multilevel"/>
    <w:tmpl w:val="DE481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A1E7FF7"/>
    <w:multiLevelType w:val="hybridMultilevel"/>
    <w:tmpl w:val="FC002036"/>
    <w:styleLink w:val="ImportedStyle77"/>
    <w:lvl w:ilvl="0" w:tplc="FB56B8E4">
      <w:start w:val="1"/>
      <w:numFmt w:val="decimal"/>
      <w:suff w:val="nothing"/>
      <w:lvlText w:val="%1."/>
      <w:lvlJc w:val="left"/>
      <w:pPr>
        <w:tabs>
          <w:tab w:val="left" w:pos="539"/>
          <w:tab w:val="left" w:pos="541"/>
        </w:tabs>
        <w:ind w:left="720" w:hanging="360"/>
      </w:pPr>
      <w:rPr>
        <w:rFonts w:hAnsi="Arial Unicode MS"/>
        <w:caps w:val="0"/>
        <w:smallCaps w:val="0"/>
        <w:strike w:val="0"/>
        <w:dstrike w:val="0"/>
        <w:spacing w:val="0"/>
        <w:w w:val="100"/>
        <w:kern w:val="0"/>
        <w:position w:val="0"/>
        <w:highlight w:val="none"/>
        <w:vertAlign w:val="baseline"/>
      </w:rPr>
    </w:lvl>
    <w:lvl w:ilvl="1" w:tplc="B920B688">
      <w:start w:val="1"/>
      <w:numFmt w:val="lowerLetter"/>
      <w:lvlText w:val="%2."/>
      <w:lvlJc w:val="left"/>
      <w:pPr>
        <w:tabs>
          <w:tab w:val="left" w:pos="539"/>
          <w:tab w:val="left" w:pos="541"/>
          <w:tab w:val="num" w:pos="1440"/>
        </w:tabs>
        <w:ind w:left="1621" w:hanging="541"/>
      </w:pPr>
      <w:rPr>
        <w:rFonts w:hAnsi="Arial Unicode MS"/>
        <w:caps w:val="0"/>
        <w:smallCaps w:val="0"/>
        <w:strike w:val="0"/>
        <w:dstrike w:val="0"/>
        <w:spacing w:val="0"/>
        <w:w w:val="100"/>
        <w:kern w:val="0"/>
        <w:position w:val="0"/>
        <w:highlight w:val="none"/>
        <w:vertAlign w:val="baseline"/>
      </w:rPr>
    </w:lvl>
    <w:lvl w:ilvl="2" w:tplc="1F6CE58A">
      <w:start w:val="1"/>
      <w:numFmt w:val="lowerRoman"/>
      <w:lvlText w:val="%3."/>
      <w:lvlJc w:val="left"/>
      <w:pPr>
        <w:tabs>
          <w:tab w:val="left" w:pos="539"/>
          <w:tab w:val="left" w:pos="541"/>
          <w:tab w:val="num" w:pos="2160"/>
        </w:tabs>
        <w:ind w:left="2341" w:hanging="494"/>
      </w:pPr>
      <w:rPr>
        <w:rFonts w:hAnsi="Arial Unicode MS"/>
        <w:caps w:val="0"/>
        <w:smallCaps w:val="0"/>
        <w:strike w:val="0"/>
        <w:dstrike w:val="0"/>
        <w:spacing w:val="0"/>
        <w:w w:val="100"/>
        <w:kern w:val="0"/>
        <w:position w:val="0"/>
        <w:highlight w:val="none"/>
        <w:vertAlign w:val="baseline"/>
      </w:rPr>
    </w:lvl>
    <w:lvl w:ilvl="3" w:tplc="6ECC0CE6">
      <w:start w:val="1"/>
      <w:numFmt w:val="decimal"/>
      <w:lvlText w:val="%4."/>
      <w:lvlJc w:val="left"/>
      <w:pPr>
        <w:tabs>
          <w:tab w:val="left" w:pos="539"/>
          <w:tab w:val="left" w:pos="541"/>
          <w:tab w:val="num" w:pos="2880"/>
        </w:tabs>
        <w:ind w:left="3061" w:hanging="541"/>
      </w:pPr>
      <w:rPr>
        <w:rFonts w:hAnsi="Arial Unicode MS"/>
        <w:caps w:val="0"/>
        <w:smallCaps w:val="0"/>
        <w:strike w:val="0"/>
        <w:dstrike w:val="0"/>
        <w:spacing w:val="0"/>
        <w:w w:val="100"/>
        <w:kern w:val="0"/>
        <w:position w:val="0"/>
        <w:highlight w:val="none"/>
        <w:vertAlign w:val="baseline"/>
      </w:rPr>
    </w:lvl>
    <w:lvl w:ilvl="4" w:tplc="58E01452">
      <w:start w:val="1"/>
      <w:numFmt w:val="lowerLetter"/>
      <w:lvlText w:val="%5."/>
      <w:lvlJc w:val="left"/>
      <w:pPr>
        <w:tabs>
          <w:tab w:val="left" w:pos="539"/>
          <w:tab w:val="left" w:pos="541"/>
          <w:tab w:val="num" w:pos="3600"/>
        </w:tabs>
        <w:ind w:left="3781" w:hanging="541"/>
      </w:pPr>
      <w:rPr>
        <w:rFonts w:hAnsi="Arial Unicode MS"/>
        <w:caps w:val="0"/>
        <w:smallCaps w:val="0"/>
        <w:strike w:val="0"/>
        <w:dstrike w:val="0"/>
        <w:spacing w:val="0"/>
        <w:w w:val="100"/>
        <w:kern w:val="0"/>
        <w:position w:val="0"/>
        <w:highlight w:val="none"/>
        <w:vertAlign w:val="baseline"/>
      </w:rPr>
    </w:lvl>
    <w:lvl w:ilvl="5" w:tplc="D60C1852">
      <w:start w:val="1"/>
      <w:numFmt w:val="lowerRoman"/>
      <w:lvlText w:val="%6."/>
      <w:lvlJc w:val="left"/>
      <w:pPr>
        <w:tabs>
          <w:tab w:val="left" w:pos="539"/>
          <w:tab w:val="left" w:pos="541"/>
          <w:tab w:val="num" w:pos="4320"/>
        </w:tabs>
        <w:ind w:left="4501" w:hanging="494"/>
      </w:pPr>
      <w:rPr>
        <w:rFonts w:hAnsi="Arial Unicode MS"/>
        <w:caps w:val="0"/>
        <w:smallCaps w:val="0"/>
        <w:strike w:val="0"/>
        <w:dstrike w:val="0"/>
        <w:spacing w:val="0"/>
        <w:w w:val="100"/>
        <w:kern w:val="0"/>
        <w:position w:val="0"/>
        <w:highlight w:val="none"/>
        <w:vertAlign w:val="baseline"/>
      </w:rPr>
    </w:lvl>
    <w:lvl w:ilvl="6" w:tplc="4EC6629C">
      <w:start w:val="1"/>
      <w:numFmt w:val="decimal"/>
      <w:lvlText w:val="%7."/>
      <w:lvlJc w:val="left"/>
      <w:pPr>
        <w:tabs>
          <w:tab w:val="left" w:pos="539"/>
          <w:tab w:val="left" w:pos="541"/>
          <w:tab w:val="num" w:pos="5040"/>
        </w:tabs>
        <w:ind w:left="5221" w:hanging="541"/>
      </w:pPr>
      <w:rPr>
        <w:rFonts w:hAnsi="Arial Unicode MS"/>
        <w:caps w:val="0"/>
        <w:smallCaps w:val="0"/>
        <w:strike w:val="0"/>
        <w:dstrike w:val="0"/>
        <w:spacing w:val="0"/>
        <w:w w:val="100"/>
        <w:kern w:val="0"/>
        <w:position w:val="0"/>
        <w:highlight w:val="none"/>
        <w:vertAlign w:val="baseline"/>
      </w:rPr>
    </w:lvl>
    <w:lvl w:ilvl="7" w:tplc="679AF4B6">
      <w:start w:val="1"/>
      <w:numFmt w:val="lowerLetter"/>
      <w:lvlText w:val="%8."/>
      <w:lvlJc w:val="left"/>
      <w:pPr>
        <w:tabs>
          <w:tab w:val="left" w:pos="539"/>
          <w:tab w:val="left" w:pos="541"/>
          <w:tab w:val="num" w:pos="5760"/>
        </w:tabs>
        <w:ind w:left="5941" w:hanging="541"/>
      </w:pPr>
      <w:rPr>
        <w:rFonts w:hAnsi="Arial Unicode MS"/>
        <w:caps w:val="0"/>
        <w:smallCaps w:val="0"/>
        <w:strike w:val="0"/>
        <w:dstrike w:val="0"/>
        <w:spacing w:val="0"/>
        <w:w w:val="100"/>
        <w:kern w:val="0"/>
        <w:position w:val="0"/>
        <w:highlight w:val="none"/>
        <w:vertAlign w:val="baseline"/>
      </w:rPr>
    </w:lvl>
    <w:lvl w:ilvl="8" w:tplc="8B467AEE">
      <w:start w:val="1"/>
      <w:numFmt w:val="lowerRoman"/>
      <w:lvlText w:val="%9."/>
      <w:lvlJc w:val="left"/>
      <w:pPr>
        <w:tabs>
          <w:tab w:val="left" w:pos="539"/>
          <w:tab w:val="left" w:pos="541"/>
          <w:tab w:val="num" w:pos="6480"/>
        </w:tabs>
        <w:ind w:left="6661" w:hanging="494"/>
      </w:pPr>
      <w:rPr>
        <w:rFonts w:hAnsi="Arial Unicode MS"/>
        <w:caps w:val="0"/>
        <w:smallCaps w:val="0"/>
        <w:strike w:val="0"/>
        <w:dstrike w:val="0"/>
        <w:spacing w:val="0"/>
        <w:w w:val="100"/>
        <w:kern w:val="0"/>
        <w:position w:val="0"/>
        <w:highlight w:val="none"/>
        <w:vertAlign w:val="baseline"/>
      </w:rPr>
    </w:lvl>
  </w:abstractNum>
  <w:abstractNum w:abstractNumId="192" w15:restartNumberingAfterBreak="0">
    <w:nsid w:val="2A3601B5"/>
    <w:multiLevelType w:val="hybridMultilevel"/>
    <w:tmpl w:val="5E10E416"/>
    <w:styleLink w:val="ImportedStyle300"/>
    <w:lvl w:ilvl="0" w:tplc="9F0AF04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E2AE030">
      <w:start w:val="1"/>
      <w:numFmt w:val="bullet"/>
      <w:lvlText w:val="o"/>
      <w:lvlJc w:val="left"/>
      <w:pPr>
        <w:tabs>
          <w:tab w:val="left" w:pos="1077"/>
        </w:tabs>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C0C996">
      <w:start w:val="1"/>
      <w:numFmt w:val="bullet"/>
      <w:lvlText w:val="▪"/>
      <w:lvlJc w:val="left"/>
      <w:pPr>
        <w:tabs>
          <w:tab w:val="left" w:pos="1077"/>
        </w:tabs>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A6EE836">
      <w:start w:val="1"/>
      <w:numFmt w:val="bullet"/>
      <w:lvlText w:val="•"/>
      <w:lvlJc w:val="left"/>
      <w:pPr>
        <w:tabs>
          <w:tab w:val="left" w:pos="1077"/>
        </w:tabs>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F4DA06E0">
      <w:start w:val="1"/>
      <w:numFmt w:val="bullet"/>
      <w:lvlText w:val="o"/>
      <w:lvlJc w:val="left"/>
      <w:pPr>
        <w:tabs>
          <w:tab w:val="left" w:pos="1077"/>
        </w:tabs>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C16B88C">
      <w:start w:val="1"/>
      <w:numFmt w:val="bullet"/>
      <w:lvlText w:val="▪"/>
      <w:lvlJc w:val="left"/>
      <w:pPr>
        <w:tabs>
          <w:tab w:val="left" w:pos="1077"/>
        </w:tabs>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32C6232">
      <w:start w:val="1"/>
      <w:numFmt w:val="bullet"/>
      <w:lvlText w:val="•"/>
      <w:lvlJc w:val="left"/>
      <w:pPr>
        <w:tabs>
          <w:tab w:val="left" w:pos="1077"/>
        </w:tabs>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8F3EC376">
      <w:start w:val="1"/>
      <w:numFmt w:val="bullet"/>
      <w:lvlText w:val="o"/>
      <w:lvlJc w:val="left"/>
      <w:pPr>
        <w:tabs>
          <w:tab w:val="left" w:pos="1077"/>
        </w:tabs>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448A5A">
      <w:start w:val="1"/>
      <w:numFmt w:val="bullet"/>
      <w:lvlText w:val="▪"/>
      <w:lvlJc w:val="left"/>
      <w:pPr>
        <w:tabs>
          <w:tab w:val="left" w:pos="1077"/>
        </w:tabs>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3" w15:restartNumberingAfterBreak="0">
    <w:nsid w:val="2A3C081D"/>
    <w:multiLevelType w:val="hybridMultilevel"/>
    <w:tmpl w:val="D6202F90"/>
    <w:styleLink w:val="ImportedStyle8314"/>
    <w:lvl w:ilvl="0" w:tplc="ED06BCA0">
      <w:start w:val="1"/>
      <w:numFmt w:val="bullet"/>
      <w:lvlText w:val="·"/>
      <w:lvlJc w:val="left"/>
      <w:pPr>
        <w:ind w:left="118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B34252C">
      <w:start w:val="1"/>
      <w:numFmt w:val="bullet"/>
      <w:lvlText w:val="o"/>
      <w:lvlJc w:val="left"/>
      <w:pPr>
        <w:ind w:left="190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78A01AEE">
      <w:start w:val="1"/>
      <w:numFmt w:val="bullet"/>
      <w:lvlText w:val="▪"/>
      <w:lvlJc w:val="left"/>
      <w:pPr>
        <w:ind w:left="26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2DEB816">
      <w:start w:val="1"/>
      <w:numFmt w:val="bullet"/>
      <w:lvlText w:val="·"/>
      <w:lvlJc w:val="left"/>
      <w:pPr>
        <w:ind w:left="334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D040E68">
      <w:start w:val="1"/>
      <w:numFmt w:val="bullet"/>
      <w:lvlText w:val="o"/>
      <w:lvlJc w:val="left"/>
      <w:pPr>
        <w:ind w:left="406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704E8A8">
      <w:start w:val="1"/>
      <w:numFmt w:val="bullet"/>
      <w:lvlText w:val="▪"/>
      <w:lvlJc w:val="left"/>
      <w:pPr>
        <w:ind w:left="478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58E55A6">
      <w:start w:val="1"/>
      <w:numFmt w:val="bullet"/>
      <w:lvlText w:val="·"/>
      <w:lvlJc w:val="left"/>
      <w:pPr>
        <w:ind w:left="550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3C2141C">
      <w:start w:val="1"/>
      <w:numFmt w:val="bullet"/>
      <w:lvlText w:val="o"/>
      <w:lvlJc w:val="left"/>
      <w:pPr>
        <w:ind w:left="62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6DAA91A">
      <w:start w:val="1"/>
      <w:numFmt w:val="bullet"/>
      <w:lvlText w:val="▪"/>
      <w:lvlJc w:val="left"/>
      <w:pPr>
        <w:ind w:left="694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4" w15:restartNumberingAfterBreak="0">
    <w:nsid w:val="2A943685"/>
    <w:multiLevelType w:val="hybridMultilevel"/>
    <w:tmpl w:val="9828E1A8"/>
    <w:styleLink w:val="ImportedStyle1112"/>
    <w:lvl w:ilvl="0" w:tplc="A2A62968">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C25CBB5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18223DEC">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09D20B8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9C3046D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F23467EC">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62BA0DA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B64AE24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8DA45E42">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195" w15:restartNumberingAfterBreak="0">
    <w:nsid w:val="2B156F88"/>
    <w:multiLevelType w:val="hybridMultilevel"/>
    <w:tmpl w:val="EADCBB4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2B2F75A0"/>
    <w:multiLevelType w:val="hybridMultilevel"/>
    <w:tmpl w:val="80EED3CE"/>
    <w:lvl w:ilvl="0" w:tplc="E9F61410">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2B773100"/>
    <w:multiLevelType w:val="hybridMultilevel"/>
    <w:tmpl w:val="0128A93A"/>
    <w:styleLink w:val="ImportedStyle80411111"/>
    <w:lvl w:ilvl="0" w:tplc="B0787FBA">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7A352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64A9F7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349BE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10CA6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3C6F0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F8811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F07AE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EA141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8" w15:restartNumberingAfterBreak="0">
    <w:nsid w:val="2B7A19CC"/>
    <w:multiLevelType w:val="hybridMultilevel"/>
    <w:tmpl w:val="D91EE316"/>
    <w:styleLink w:val="Stilimportat54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2BA34E89"/>
    <w:multiLevelType w:val="hybridMultilevel"/>
    <w:tmpl w:val="435EBD98"/>
    <w:lvl w:ilvl="0" w:tplc="E9F61410">
      <w:start w:val="1"/>
      <w:numFmt w:val="bullet"/>
      <w:lvlText w:val=""/>
      <w:lvlJc w:val="left"/>
      <w:pPr>
        <w:ind w:left="720" w:hanging="360"/>
      </w:pPr>
      <w:rPr>
        <w:rFonts w:ascii="Symbol" w:hAnsi="Symbol" w:hint="default"/>
      </w:rPr>
    </w:lvl>
    <w:lvl w:ilvl="1" w:tplc="327C2780">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0" w15:restartNumberingAfterBreak="0">
    <w:nsid w:val="2BAA487B"/>
    <w:multiLevelType w:val="hybridMultilevel"/>
    <w:tmpl w:val="2222BD80"/>
    <w:styleLink w:val="ImportedStyle8314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2BFC29DF"/>
    <w:multiLevelType w:val="hybridMultilevel"/>
    <w:tmpl w:val="09A2EEE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2C2375A0"/>
    <w:multiLevelType w:val="hybridMultilevel"/>
    <w:tmpl w:val="A9C0A012"/>
    <w:styleLink w:val="ImportedStyle1131"/>
    <w:lvl w:ilvl="0" w:tplc="5E2AEF1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42AE8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972819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F58619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AE4DC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14A0A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1486B5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F025A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F90DD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03" w15:restartNumberingAfterBreak="0">
    <w:nsid w:val="2CB3102D"/>
    <w:multiLevelType w:val="hybridMultilevel"/>
    <w:tmpl w:val="9FF62C5C"/>
    <w:lvl w:ilvl="0" w:tplc="E9F61410">
      <w:start w:val="1"/>
      <w:numFmt w:val="bullet"/>
      <w:lvlText w:val=""/>
      <w:lvlJc w:val="left"/>
      <w:pPr>
        <w:ind w:left="811" w:hanging="360"/>
      </w:pPr>
      <w:rPr>
        <w:rFonts w:ascii="Symbol" w:hAnsi="Symbol"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204" w15:restartNumberingAfterBreak="0">
    <w:nsid w:val="2CD2236A"/>
    <w:multiLevelType w:val="hybridMultilevel"/>
    <w:tmpl w:val="61BAB2B2"/>
    <w:styleLink w:val="Stilimportat7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2D037EC5"/>
    <w:multiLevelType w:val="hybridMultilevel"/>
    <w:tmpl w:val="4492F214"/>
    <w:lvl w:ilvl="0" w:tplc="E9F61410">
      <w:start w:val="1"/>
      <w:numFmt w:val="bullet"/>
      <w:lvlText w:val=""/>
      <w:lvlJc w:val="left"/>
      <w:pPr>
        <w:tabs>
          <w:tab w:val="num" w:pos="765"/>
        </w:tabs>
        <w:ind w:left="765" w:hanging="34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6" w15:restartNumberingAfterBreak="0">
    <w:nsid w:val="2D3E4F82"/>
    <w:multiLevelType w:val="hybridMultilevel"/>
    <w:tmpl w:val="C99263E8"/>
    <w:styleLink w:val="ImportedStyle94"/>
    <w:lvl w:ilvl="0" w:tplc="3788BC1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85469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1D6EC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63E48F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37428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6565F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57EF91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4DA2A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1FA54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07" w15:restartNumberingAfterBreak="0">
    <w:nsid w:val="2DFA0648"/>
    <w:multiLevelType w:val="hybridMultilevel"/>
    <w:tmpl w:val="53AEBFBE"/>
    <w:styleLink w:val="ImportedStyle132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2E193430"/>
    <w:multiLevelType w:val="hybridMultilevel"/>
    <w:tmpl w:val="FAFE9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2E2876E8"/>
    <w:multiLevelType w:val="hybridMultilevel"/>
    <w:tmpl w:val="DFC291AC"/>
    <w:styleLink w:val="ImportedStyle11414"/>
    <w:lvl w:ilvl="0" w:tplc="07267CC2">
      <w:start w:val="1"/>
      <w:numFmt w:val="bullet"/>
      <w:lvlText w:val="·"/>
      <w:lvlJc w:val="left"/>
      <w:pPr>
        <w:ind w:left="117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43C9608">
      <w:start w:val="1"/>
      <w:numFmt w:val="bullet"/>
      <w:lvlText w:val="o"/>
      <w:lvlJc w:val="left"/>
      <w:pPr>
        <w:ind w:left="189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8A0B218">
      <w:start w:val="1"/>
      <w:numFmt w:val="bullet"/>
      <w:lvlText w:val="▪"/>
      <w:lvlJc w:val="left"/>
      <w:pPr>
        <w:ind w:left="26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7E4B5D2">
      <w:start w:val="1"/>
      <w:numFmt w:val="bullet"/>
      <w:lvlText w:val="·"/>
      <w:lvlJc w:val="left"/>
      <w:pPr>
        <w:ind w:left="33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956BB48">
      <w:start w:val="1"/>
      <w:numFmt w:val="bullet"/>
      <w:lvlText w:val="o"/>
      <w:lvlJc w:val="left"/>
      <w:pPr>
        <w:ind w:left="40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EA25E26">
      <w:start w:val="1"/>
      <w:numFmt w:val="bullet"/>
      <w:lvlText w:val="▪"/>
      <w:lvlJc w:val="left"/>
      <w:pPr>
        <w:ind w:left="477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386DA6A">
      <w:start w:val="1"/>
      <w:numFmt w:val="bullet"/>
      <w:lvlText w:val="·"/>
      <w:lvlJc w:val="left"/>
      <w:pPr>
        <w:ind w:left="549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7381BD6">
      <w:start w:val="1"/>
      <w:numFmt w:val="bullet"/>
      <w:lvlText w:val="o"/>
      <w:lvlJc w:val="left"/>
      <w:pPr>
        <w:ind w:left="62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492133E">
      <w:start w:val="1"/>
      <w:numFmt w:val="bullet"/>
      <w:lvlText w:val="▪"/>
      <w:lvlJc w:val="left"/>
      <w:pPr>
        <w:ind w:left="693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10" w15:restartNumberingAfterBreak="0">
    <w:nsid w:val="2E617311"/>
    <w:multiLevelType w:val="hybridMultilevel"/>
    <w:tmpl w:val="422CEB7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2F773729"/>
    <w:multiLevelType w:val="hybridMultilevel"/>
    <w:tmpl w:val="AD90FCE8"/>
    <w:styleLink w:val="Stilimportat42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2FCD0A6E"/>
    <w:multiLevelType w:val="hybridMultilevel"/>
    <w:tmpl w:val="99EEAE6A"/>
    <w:lvl w:ilvl="0" w:tplc="E9F61410">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3" w15:restartNumberingAfterBreak="0">
    <w:nsid w:val="2FFF1796"/>
    <w:multiLevelType w:val="hybridMultilevel"/>
    <w:tmpl w:val="F1561B96"/>
    <w:styleLink w:val="ImportedStyle141"/>
    <w:lvl w:ilvl="0" w:tplc="A842904A">
      <w:start w:val="1"/>
      <w:numFmt w:val="lowerLetter"/>
      <w:lvlText w:val="%1)"/>
      <w:lvlJc w:val="left"/>
      <w:pPr>
        <w:ind w:left="1111" w:hanging="360"/>
      </w:pPr>
      <w:rPr>
        <w:rFonts w:hAnsi="Arial Unicode MS"/>
        <w:b/>
        <w:bCs/>
        <w:i/>
        <w:iCs/>
        <w:caps w:val="0"/>
        <w:smallCaps w:val="0"/>
        <w:strike w:val="0"/>
        <w:dstrike w:val="0"/>
        <w:spacing w:val="0"/>
        <w:w w:val="100"/>
        <w:kern w:val="0"/>
        <w:position w:val="0"/>
        <w:highlight w:val="none"/>
        <w:vertAlign w:val="baseline"/>
      </w:rPr>
    </w:lvl>
    <w:lvl w:ilvl="1" w:tplc="C952C7FA">
      <w:start w:val="1"/>
      <w:numFmt w:val="lowerLetter"/>
      <w:lvlText w:val="%2."/>
      <w:lvlJc w:val="left"/>
      <w:pPr>
        <w:ind w:left="1831" w:hanging="360"/>
      </w:pPr>
      <w:rPr>
        <w:rFonts w:hAnsi="Arial Unicode MS"/>
        <w:b/>
        <w:bCs/>
        <w:i/>
        <w:iCs/>
        <w:caps w:val="0"/>
        <w:smallCaps w:val="0"/>
        <w:strike w:val="0"/>
        <w:dstrike w:val="0"/>
        <w:spacing w:val="0"/>
        <w:w w:val="100"/>
        <w:kern w:val="0"/>
        <w:position w:val="0"/>
        <w:highlight w:val="none"/>
        <w:vertAlign w:val="baseline"/>
      </w:rPr>
    </w:lvl>
    <w:lvl w:ilvl="2" w:tplc="4ACABD84">
      <w:start w:val="1"/>
      <w:numFmt w:val="lowerRoman"/>
      <w:lvlText w:val="%3."/>
      <w:lvlJc w:val="left"/>
      <w:pPr>
        <w:ind w:left="2551" w:hanging="313"/>
      </w:pPr>
      <w:rPr>
        <w:rFonts w:hAnsi="Arial Unicode MS"/>
        <w:b/>
        <w:bCs/>
        <w:i/>
        <w:iCs/>
        <w:caps w:val="0"/>
        <w:smallCaps w:val="0"/>
        <w:strike w:val="0"/>
        <w:dstrike w:val="0"/>
        <w:spacing w:val="0"/>
        <w:w w:val="100"/>
        <w:kern w:val="0"/>
        <w:position w:val="0"/>
        <w:highlight w:val="none"/>
        <w:vertAlign w:val="baseline"/>
      </w:rPr>
    </w:lvl>
    <w:lvl w:ilvl="3" w:tplc="1F845B6A">
      <w:start w:val="1"/>
      <w:numFmt w:val="decimal"/>
      <w:lvlText w:val="%4."/>
      <w:lvlJc w:val="left"/>
      <w:pPr>
        <w:ind w:left="3271" w:hanging="360"/>
      </w:pPr>
      <w:rPr>
        <w:rFonts w:hAnsi="Arial Unicode MS"/>
        <w:b/>
        <w:bCs/>
        <w:i/>
        <w:iCs/>
        <w:caps w:val="0"/>
        <w:smallCaps w:val="0"/>
        <w:strike w:val="0"/>
        <w:dstrike w:val="0"/>
        <w:spacing w:val="0"/>
        <w:w w:val="100"/>
        <w:kern w:val="0"/>
        <w:position w:val="0"/>
        <w:highlight w:val="none"/>
        <w:vertAlign w:val="baseline"/>
      </w:rPr>
    </w:lvl>
    <w:lvl w:ilvl="4" w:tplc="46267F88">
      <w:start w:val="1"/>
      <w:numFmt w:val="lowerLetter"/>
      <w:lvlText w:val="%5."/>
      <w:lvlJc w:val="left"/>
      <w:pPr>
        <w:ind w:left="3991" w:hanging="360"/>
      </w:pPr>
      <w:rPr>
        <w:rFonts w:hAnsi="Arial Unicode MS"/>
        <w:b/>
        <w:bCs/>
        <w:i/>
        <w:iCs/>
        <w:caps w:val="0"/>
        <w:smallCaps w:val="0"/>
        <w:strike w:val="0"/>
        <w:dstrike w:val="0"/>
        <w:spacing w:val="0"/>
        <w:w w:val="100"/>
        <w:kern w:val="0"/>
        <w:position w:val="0"/>
        <w:highlight w:val="none"/>
        <w:vertAlign w:val="baseline"/>
      </w:rPr>
    </w:lvl>
    <w:lvl w:ilvl="5" w:tplc="080C1B98">
      <w:start w:val="1"/>
      <w:numFmt w:val="lowerRoman"/>
      <w:lvlText w:val="%6."/>
      <w:lvlJc w:val="left"/>
      <w:pPr>
        <w:ind w:left="4711" w:hanging="313"/>
      </w:pPr>
      <w:rPr>
        <w:rFonts w:hAnsi="Arial Unicode MS"/>
        <w:b/>
        <w:bCs/>
        <w:i/>
        <w:iCs/>
        <w:caps w:val="0"/>
        <w:smallCaps w:val="0"/>
        <w:strike w:val="0"/>
        <w:dstrike w:val="0"/>
        <w:spacing w:val="0"/>
        <w:w w:val="100"/>
        <w:kern w:val="0"/>
        <w:position w:val="0"/>
        <w:highlight w:val="none"/>
        <w:vertAlign w:val="baseline"/>
      </w:rPr>
    </w:lvl>
    <w:lvl w:ilvl="6" w:tplc="1958B258">
      <w:start w:val="1"/>
      <w:numFmt w:val="decimal"/>
      <w:lvlText w:val="%7."/>
      <w:lvlJc w:val="left"/>
      <w:pPr>
        <w:ind w:left="5431" w:hanging="360"/>
      </w:pPr>
      <w:rPr>
        <w:rFonts w:hAnsi="Arial Unicode MS"/>
        <w:b/>
        <w:bCs/>
        <w:i/>
        <w:iCs/>
        <w:caps w:val="0"/>
        <w:smallCaps w:val="0"/>
        <w:strike w:val="0"/>
        <w:dstrike w:val="0"/>
        <w:spacing w:val="0"/>
        <w:w w:val="100"/>
        <w:kern w:val="0"/>
        <w:position w:val="0"/>
        <w:highlight w:val="none"/>
        <w:vertAlign w:val="baseline"/>
      </w:rPr>
    </w:lvl>
    <w:lvl w:ilvl="7" w:tplc="85906298">
      <w:start w:val="1"/>
      <w:numFmt w:val="lowerLetter"/>
      <w:lvlText w:val="%8."/>
      <w:lvlJc w:val="left"/>
      <w:pPr>
        <w:ind w:left="6151" w:hanging="360"/>
      </w:pPr>
      <w:rPr>
        <w:rFonts w:hAnsi="Arial Unicode MS"/>
        <w:b/>
        <w:bCs/>
        <w:i/>
        <w:iCs/>
        <w:caps w:val="0"/>
        <w:smallCaps w:val="0"/>
        <w:strike w:val="0"/>
        <w:dstrike w:val="0"/>
        <w:spacing w:val="0"/>
        <w:w w:val="100"/>
        <w:kern w:val="0"/>
        <w:position w:val="0"/>
        <w:highlight w:val="none"/>
        <w:vertAlign w:val="baseline"/>
      </w:rPr>
    </w:lvl>
    <w:lvl w:ilvl="8" w:tplc="F8986284">
      <w:start w:val="1"/>
      <w:numFmt w:val="lowerRoman"/>
      <w:lvlText w:val="%9."/>
      <w:lvlJc w:val="left"/>
      <w:pPr>
        <w:ind w:left="6871" w:hanging="313"/>
      </w:pPr>
      <w:rPr>
        <w:rFonts w:hAnsi="Arial Unicode MS"/>
        <w:b/>
        <w:bCs/>
        <w:i/>
        <w:iCs/>
        <w:caps w:val="0"/>
        <w:smallCaps w:val="0"/>
        <w:strike w:val="0"/>
        <w:dstrike w:val="0"/>
        <w:spacing w:val="0"/>
        <w:w w:val="100"/>
        <w:kern w:val="0"/>
        <w:position w:val="0"/>
        <w:highlight w:val="none"/>
        <w:vertAlign w:val="baseline"/>
      </w:rPr>
    </w:lvl>
  </w:abstractNum>
  <w:abstractNum w:abstractNumId="214" w15:restartNumberingAfterBreak="0">
    <w:nsid w:val="300D1B26"/>
    <w:multiLevelType w:val="hybridMultilevel"/>
    <w:tmpl w:val="EAA6A09A"/>
    <w:styleLink w:val="Stilimportat31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E222C928">
      <w:start w:val="1"/>
      <w:numFmt w:val="low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301B4A9D"/>
    <w:multiLevelType w:val="hybridMultilevel"/>
    <w:tmpl w:val="591859F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301F6290"/>
    <w:multiLevelType w:val="hybridMultilevel"/>
    <w:tmpl w:val="D0501B48"/>
    <w:styleLink w:val="Stilimportat2511"/>
    <w:lvl w:ilvl="0" w:tplc="113207E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904F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676F08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500CDB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1CC7F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5E709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448CD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72DD3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4ADCE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7" w15:restartNumberingAfterBreak="0">
    <w:nsid w:val="305852CE"/>
    <w:multiLevelType w:val="hybridMultilevel"/>
    <w:tmpl w:val="0166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308F1D3B"/>
    <w:multiLevelType w:val="hybridMultilevel"/>
    <w:tmpl w:val="26C84DBE"/>
    <w:styleLink w:val="ImportedStyle1121"/>
    <w:lvl w:ilvl="0" w:tplc="F0FA3790">
      <w:start w:val="1"/>
      <w:numFmt w:val="bullet"/>
      <w:lvlText w:val="·"/>
      <w:lvlJc w:val="left"/>
      <w:pPr>
        <w:ind w:left="1571"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89E4F08">
      <w:start w:val="1"/>
      <w:numFmt w:val="bullet"/>
      <w:lvlText w:val="o"/>
      <w:lvlJc w:val="left"/>
      <w:pPr>
        <w:ind w:left="229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D5CC3FA">
      <w:start w:val="1"/>
      <w:numFmt w:val="bullet"/>
      <w:lvlText w:val="▪"/>
      <w:lvlJc w:val="left"/>
      <w:pPr>
        <w:ind w:left="301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4D46BDC">
      <w:start w:val="1"/>
      <w:numFmt w:val="bullet"/>
      <w:lvlText w:val="·"/>
      <w:lvlJc w:val="left"/>
      <w:pPr>
        <w:ind w:left="3731"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DCE9ECA">
      <w:start w:val="1"/>
      <w:numFmt w:val="bullet"/>
      <w:lvlText w:val="o"/>
      <w:lvlJc w:val="left"/>
      <w:pPr>
        <w:ind w:left="445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A104C8A">
      <w:start w:val="1"/>
      <w:numFmt w:val="bullet"/>
      <w:lvlText w:val="▪"/>
      <w:lvlJc w:val="left"/>
      <w:pPr>
        <w:ind w:left="517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D4A6BCE">
      <w:start w:val="1"/>
      <w:numFmt w:val="bullet"/>
      <w:lvlText w:val="·"/>
      <w:lvlJc w:val="left"/>
      <w:pPr>
        <w:ind w:left="5891"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85A0A32">
      <w:start w:val="1"/>
      <w:numFmt w:val="bullet"/>
      <w:lvlText w:val="o"/>
      <w:lvlJc w:val="left"/>
      <w:pPr>
        <w:ind w:left="661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2E6DEBA">
      <w:start w:val="1"/>
      <w:numFmt w:val="bullet"/>
      <w:lvlText w:val="▪"/>
      <w:lvlJc w:val="left"/>
      <w:pPr>
        <w:ind w:left="7331"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19" w15:restartNumberingAfterBreak="0">
    <w:nsid w:val="30F566A3"/>
    <w:multiLevelType w:val="hybridMultilevel"/>
    <w:tmpl w:val="F230D778"/>
    <w:lvl w:ilvl="0" w:tplc="9A5891E8">
      <w:start w:val="1"/>
      <w:numFmt w:val="upp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31332AF2"/>
    <w:multiLevelType w:val="hybridMultilevel"/>
    <w:tmpl w:val="11B2293C"/>
    <w:styleLink w:val="Stilimportat332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31401C78"/>
    <w:multiLevelType w:val="hybridMultilevel"/>
    <w:tmpl w:val="BB10D9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319D09D4"/>
    <w:multiLevelType w:val="hybridMultilevel"/>
    <w:tmpl w:val="59D6FA7A"/>
    <w:lvl w:ilvl="0" w:tplc="67D4A110">
      <w:start w:val="1"/>
      <w:numFmt w:val="bullet"/>
      <w:lvlText w:val="–"/>
      <w:lvlJc w:val="left"/>
      <w:pPr>
        <w:tabs>
          <w:tab w:val="num" w:pos="709"/>
        </w:tabs>
        <w:ind w:left="709" w:hanging="284"/>
      </w:pPr>
      <w:rPr>
        <w:rFonts w:ascii="Courier" w:hAnsi="Courier" w:cs="Courie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15:restartNumberingAfterBreak="0">
    <w:nsid w:val="31E970CD"/>
    <w:multiLevelType w:val="hybridMultilevel"/>
    <w:tmpl w:val="F30A895E"/>
    <w:styleLink w:val="ImportedStyle782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4" w15:restartNumberingAfterBreak="0">
    <w:nsid w:val="320E05A5"/>
    <w:multiLevelType w:val="hybridMultilevel"/>
    <w:tmpl w:val="0B120BDC"/>
    <w:styleLink w:val="Stilimportat53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324F31D3"/>
    <w:multiLevelType w:val="hybridMultilevel"/>
    <w:tmpl w:val="94CCFC3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32814C94"/>
    <w:multiLevelType w:val="hybridMultilevel"/>
    <w:tmpl w:val="2272F86A"/>
    <w:styleLink w:val="ImportedStyle42"/>
    <w:lvl w:ilvl="0" w:tplc="9AB80C9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0BCF04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988E1B64">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1474103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8BA6F9E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2250AA9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FA46E1D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E240471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26EA31E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227" w15:restartNumberingAfterBreak="0">
    <w:nsid w:val="32A82557"/>
    <w:multiLevelType w:val="hybridMultilevel"/>
    <w:tmpl w:val="5DC49554"/>
    <w:lvl w:ilvl="0" w:tplc="4F38859E">
      <w:start w:val="1"/>
      <w:numFmt w:val="lowerLetter"/>
      <w:lvlText w:val="%1."/>
      <w:lvlJc w:val="left"/>
      <w:pPr>
        <w:ind w:left="1393" w:hanging="284"/>
      </w:pPr>
      <w:rPr>
        <w:rFonts w:ascii="Times New Roman" w:eastAsia="Times New Roman" w:hAnsi="Times New Roman" w:cs="Times New Roman" w:hint="default"/>
        <w:b w:val="0"/>
        <w:bCs w:val="0"/>
        <w:i w:val="0"/>
        <w:iCs w:val="0"/>
        <w:spacing w:val="-1"/>
        <w:w w:val="100"/>
        <w:sz w:val="24"/>
        <w:szCs w:val="24"/>
      </w:rPr>
    </w:lvl>
    <w:lvl w:ilvl="1" w:tplc="63A89ED8">
      <w:numFmt w:val="bullet"/>
      <w:lvlText w:val="•"/>
      <w:lvlJc w:val="left"/>
      <w:pPr>
        <w:ind w:left="2224" w:hanging="284"/>
      </w:pPr>
      <w:rPr>
        <w:rFonts w:hint="default"/>
      </w:rPr>
    </w:lvl>
    <w:lvl w:ilvl="2" w:tplc="3A94C5F6">
      <w:numFmt w:val="bullet"/>
      <w:lvlText w:val="•"/>
      <w:lvlJc w:val="left"/>
      <w:pPr>
        <w:ind w:left="3048" w:hanging="284"/>
      </w:pPr>
      <w:rPr>
        <w:rFonts w:hint="default"/>
      </w:rPr>
    </w:lvl>
    <w:lvl w:ilvl="3" w:tplc="0C88FC8C">
      <w:numFmt w:val="bullet"/>
      <w:lvlText w:val="•"/>
      <w:lvlJc w:val="left"/>
      <w:pPr>
        <w:ind w:left="3872" w:hanging="284"/>
      </w:pPr>
      <w:rPr>
        <w:rFonts w:hint="default"/>
      </w:rPr>
    </w:lvl>
    <w:lvl w:ilvl="4" w:tplc="32181F46">
      <w:numFmt w:val="bullet"/>
      <w:lvlText w:val="•"/>
      <w:lvlJc w:val="left"/>
      <w:pPr>
        <w:ind w:left="4696" w:hanging="284"/>
      </w:pPr>
      <w:rPr>
        <w:rFonts w:hint="default"/>
      </w:rPr>
    </w:lvl>
    <w:lvl w:ilvl="5" w:tplc="4536849C">
      <w:numFmt w:val="bullet"/>
      <w:lvlText w:val="•"/>
      <w:lvlJc w:val="left"/>
      <w:pPr>
        <w:ind w:left="5520" w:hanging="284"/>
      </w:pPr>
      <w:rPr>
        <w:rFonts w:hint="default"/>
      </w:rPr>
    </w:lvl>
    <w:lvl w:ilvl="6" w:tplc="CEC88B70">
      <w:numFmt w:val="bullet"/>
      <w:lvlText w:val="•"/>
      <w:lvlJc w:val="left"/>
      <w:pPr>
        <w:ind w:left="6344" w:hanging="284"/>
      </w:pPr>
      <w:rPr>
        <w:rFonts w:hint="default"/>
      </w:rPr>
    </w:lvl>
    <w:lvl w:ilvl="7" w:tplc="D77432C8">
      <w:numFmt w:val="bullet"/>
      <w:lvlText w:val="•"/>
      <w:lvlJc w:val="left"/>
      <w:pPr>
        <w:ind w:left="7168" w:hanging="284"/>
      </w:pPr>
      <w:rPr>
        <w:rFonts w:hint="default"/>
      </w:rPr>
    </w:lvl>
    <w:lvl w:ilvl="8" w:tplc="885CAE00">
      <w:numFmt w:val="bullet"/>
      <w:lvlText w:val="•"/>
      <w:lvlJc w:val="left"/>
      <w:pPr>
        <w:ind w:left="7992" w:hanging="284"/>
      </w:pPr>
      <w:rPr>
        <w:rFonts w:hint="default"/>
      </w:rPr>
    </w:lvl>
  </w:abstractNum>
  <w:abstractNum w:abstractNumId="228" w15:restartNumberingAfterBreak="0">
    <w:nsid w:val="32EB19BB"/>
    <w:multiLevelType w:val="hybridMultilevel"/>
    <w:tmpl w:val="76E46558"/>
    <w:lvl w:ilvl="0" w:tplc="0409000F">
      <w:start w:val="1"/>
      <w:numFmt w:val="decimal"/>
      <w:lvlText w:val="%1."/>
      <w:lvlJc w:val="left"/>
      <w:pPr>
        <w:ind w:left="1287" w:hanging="360"/>
      </w:pPr>
    </w:lvl>
    <w:lvl w:ilvl="1" w:tplc="0409000F">
      <w:start w:val="1"/>
      <w:numFmt w:val="decimal"/>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9" w15:restartNumberingAfterBreak="0">
    <w:nsid w:val="332312C2"/>
    <w:multiLevelType w:val="hybridMultilevel"/>
    <w:tmpl w:val="87ECFA22"/>
    <w:styleLink w:val="Stilimportat6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33285419"/>
    <w:multiLevelType w:val="hybridMultilevel"/>
    <w:tmpl w:val="2124E824"/>
    <w:styleLink w:val="ImportedStyle29"/>
    <w:lvl w:ilvl="0" w:tplc="30DAABB4">
      <w:start w:val="1"/>
      <w:numFmt w:val="bullet"/>
      <w:lvlText w:val="-"/>
      <w:lvlJc w:val="left"/>
      <w:pPr>
        <w:tabs>
          <w:tab w:val="left" w:pos="4678"/>
          <w:tab w:val="left" w:pos="4820"/>
        </w:tabs>
        <w:ind w:left="47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86CCA66A">
      <w:start w:val="1"/>
      <w:numFmt w:val="bullet"/>
      <w:lvlText w:val="o"/>
      <w:lvlJc w:val="left"/>
      <w:pPr>
        <w:tabs>
          <w:tab w:val="left" w:pos="4678"/>
          <w:tab w:val="left" w:pos="4820"/>
        </w:tabs>
        <w:ind w:left="119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2" w:tplc="D268662E">
      <w:start w:val="1"/>
      <w:numFmt w:val="bullet"/>
      <w:lvlText w:val="▪"/>
      <w:lvlJc w:val="left"/>
      <w:pPr>
        <w:tabs>
          <w:tab w:val="left" w:pos="4678"/>
          <w:tab w:val="left" w:pos="4820"/>
        </w:tabs>
        <w:ind w:left="191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3" w:tplc="9410CCDE">
      <w:start w:val="1"/>
      <w:numFmt w:val="bullet"/>
      <w:lvlText w:val="•"/>
      <w:lvlJc w:val="left"/>
      <w:pPr>
        <w:tabs>
          <w:tab w:val="left" w:pos="4678"/>
          <w:tab w:val="left" w:pos="4820"/>
        </w:tabs>
        <w:ind w:left="263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4" w:tplc="FC40C0D2">
      <w:start w:val="1"/>
      <w:numFmt w:val="bullet"/>
      <w:lvlText w:val="o"/>
      <w:lvlJc w:val="left"/>
      <w:pPr>
        <w:tabs>
          <w:tab w:val="left" w:pos="4678"/>
          <w:tab w:val="left" w:pos="4820"/>
        </w:tabs>
        <w:ind w:left="335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5" w:tplc="E3B077DC">
      <w:start w:val="1"/>
      <w:numFmt w:val="bullet"/>
      <w:lvlText w:val="▪"/>
      <w:lvlJc w:val="left"/>
      <w:pPr>
        <w:tabs>
          <w:tab w:val="left" w:pos="4678"/>
          <w:tab w:val="left" w:pos="4820"/>
        </w:tabs>
        <w:ind w:left="407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6" w:tplc="BEA6581C">
      <w:start w:val="1"/>
      <w:numFmt w:val="bullet"/>
      <w:lvlText w:val="•"/>
      <w:lvlJc w:val="left"/>
      <w:pPr>
        <w:tabs>
          <w:tab w:val="left" w:pos="4820"/>
        </w:tabs>
        <w:ind w:left="4678" w:hanging="242"/>
      </w:pPr>
      <w:rPr>
        <w:rFonts w:ascii="Arial" w:eastAsia="Arial" w:hAnsi="Arial" w:cs="Arial"/>
        <w:b/>
        <w:bCs/>
        <w:i w:val="0"/>
        <w:iCs w:val="0"/>
        <w:caps w:val="0"/>
        <w:smallCaps w:val="0"/>
        <w:strike w:val="0"/>
        <w:dstrike w:val="0"/>
        <w:spacing w:val="0"/>
        <w:w w:val="100"/>
        <w:kern w:val="0"/>
        <w:position w:val="0"/>
        <w:highlight w:val="none"/>
        <w:vertAlign w:val="baseline"/>
      </w:rPr>
    </w:lvl>
    <w:lvl w:ilvl="7" w:tplc="A2540258">
      <w:start w:val="1"/>
      <w:numFmt w:val="bullet"/>
      <w:lvlText w:val="o"/>
      <w:lvlJc w:val="left"/>
      <w:pPr>
        <w:tabs>
          <w:tab w:val="left" w:pos="4678"/>
          <w:tab w:val="left" w:pos="4820"/>
        </w:tabs>
        <w:ind w:left="5516"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8" w:tplc="471EB594">
      <w:start w:val="1"/>
      <w:numFmt w:val="bullet"/>
      <w:lvlText w:val="▪"/>
      <w:lvlJc w:val="left"/>
      <w:pPr>
        <w:tabs>
          <w:tab w:val="left" w:pos="4678"/>
          <w:tab w:val="left" w:pos="4820"/>
        </w:tabs>
        <w:ind w:left="6236" w:hanging="360"/>
      </w:pPr>
      <w:rPr>
        <w:rFonts w:ascii="Arial" w:eastAsia="Arial" w:hAnsi="Arial" w:cs="Arial"/>
        <w:b/>
        <w:bCs/>
        <w:i w:val="0"/>
        <w:iCs w:val="0"/>
        <w:caps w:val="0"/>
        <w:smallCaps w:val="0"/>
        <w:strike w:val="0"/>
        <w:dstrike w:val="0"/>
        <w:spacing w:val="0"/>
        <w:w w:val="100"/>
        <w:kern w:val="0"/>
        <w:position w:val="0"/>
        <w:highlight w:val="none"/>
        <w:vertAlign w:val="baseline"/>
      </w:rPr>
    </w:lvl>
  </w:abstractNum>
  <w:abstractNum w:abstractNumId="231" w15:restartNumberingAfterBreak="0">
    <w:nsid w:val="33465525"/>
    <w:multiLevelType w:val="hybridMultilevel"/>
    <w:tmpl w:val="49F4807E"/>
    <w:styleLink w:val="ImportedStyle251"/>
    <w:lvl w:ilvl="0" w:tplc="DA1E39A4">
      <w:start w:val="1"/>
      <w:numFmt w:val="bullet"/>
      <w:lvlText w:val="·"/>
      <w:lvlJc w:val="left"/>
      <w:pPr>
        <w:tabs>
          <w:tab w:val="left" w:pos="1560"/>
        </w:tabs>
        <w:ind w:left="709"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E6C7DC6">
      <w:start w:val="1"/>
      <w:numFmt w:val="bullet"/>
      <w:lvlText w:val="o"/>
      <w:lvlJc w:val="left"/>
      <w:pPr>
        <w:tabs>
          <w:tab w:val="left" w:pos="1560"/>
        </w:tabs>
        <w:ind w:left="143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53433EE">
      <w:start w:val="1"/>
      <w:numFmt w:val="bullet"/>
      <w:lvlText w:val="▪"/>
      <w:lvlJc w:val="left"/>
      <w:pPr>
        <w:tabs>
          <w:tab w:val="left" w:pos="1560"/>
        </w:tabs>
        <w:ind w:left="215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612447A">
      <w:start w:val="1"/>
      <w:numFmt w:val="bullet"/>
      <w:lvlText w:val="·"/>
      <w:lvlJc w:val="left"/>
      <w:pPr>
        <w:tabs>
          <w:tab w:val="left" w:pos="1560"/>
        </w:tabs>
        <w:ind w:left="2877"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7BABCF2">
      <w:start w:val="1"/>
      <w:numFmt w:val="bullet"/>
      <w:lvlText w:val="o"/>
      <w:lvlJc w:val="left"/>
      <w:pPr>
        <w:tabs>
          <w:tab w:val="left" w:pos="1560"/>
        </w:tabs>
        <w:ind w:left="359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C3AC83E">
      <w:start w:val="1"/>
      <w:numFmt w:val="bullet"/>
      <w:lvlText w:val="▪"/>
      <w:lvlJc w:val="left"/>
      <w:pPr>
        <w:tabs>
          <w:tab w:val="left" w:pos="1560"/>
        </w:tabs>
        <w:ind w:left="431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3A69720">
      <w:start w:val="1"/>
      <w:numFmt w:val="bullet"/>
      <w:lvlText w:val="·"/>
      <w:lvlJc w:val="left"/>
      <w:pPr>
        <w:tabs>
          <w:tab w:val="left" w:pos="1560"/>
        </w:tabs>
        <w:ind w:left="5037"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6166A9E">
      <w:start w:val="1"/>
      <w:numFmt w:val="bullet"/>
      <w:lvlText w:val="o"/>
      <w:lvlJc w:val="left"/>
      <w:pPr>
        <w:tabs>
          <w:tab w:val="left" w:pos="1560"/>
        </w:tabs>
        <w:ind w:left="575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C1642D2">
      <w:start w:val="1"/>
      <w:numFmt w:val="bullet"/>
      <w:lvlText w:val="▪"/>
      <w:lvlJc w:val="left"/>
      <w:pPr>
        <w:tabs>
          <w:tab w:val="left" w:pos="1560"/>
        </w:tabs>
        <w:ind w:left="6477"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32" w15:restartNumberingAfterBreak="0">
    <w:nsid w:val="3392303A"/>
    <w:multiLevelType w:val="hybridMultilevel"/>
    <w:tmpl w:val="EB187894"/>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3B1518D"/>
    <w:multiLevelType w:val="hybridMultilevel"/>
    <w:tmpl w:val="A268FAE4"/>
    <w:styleLink w:val="ImportedStyle821111111"/>
    <w:lvl w:ilvl="0" w:tplc="52E24294">
      <w:start w:val="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33CC5E8F"/>
    <w:multiLevelType w:val="hybridMultilevel"/>
    <w:tmpl w:val="AA94941A"/>
    <w:styleLink w:val="Stilimportat4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33D12533"/>
    <w:multiLevelType w:val="hybridMultilevel"/>
    <w:tmpl w:val="BF329A54"/>
    <w:lvl w:ilvl="0" w:tplc="EF309858">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3497512E"/>
    <w:multiLevelType w:val="hybridMultilevel"/>
    <w:tmpl w:val="3FF06E9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3584391D"/>
    <w:multiLevelType w:val="hybridMultilevel"/>
    <w:tmpl w:val="93D86B84"/>
    <w:styleLink w:val="ImportedStyle86"/>
    <w:lvl w:ilvl="0" w:tplc="3926F388">
      <w:start w:val="1"/>
      <w:numFmt w:val="bullet"/>
      <w:lvlText w:val="·"/>
      <w:lvlJc w:val="left"/>
      <w:pPr>
        <w:ind w:left="78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54C238C">
      <w:start w:val="1"/>
      <w:numFmt w:val="bullet"/>
      <w:lvlText w:val="o"/>
      <w:lvlJc w:val="left"/>
      <w:pPr>
        <w:ind w:left="150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2E61730">
      <w:start w:val="1"/>
      <w:numFmt w:val="bullet"/>
      <w:lvlText w:val="▪"/>
      <w:lvlJc w:val="left"/>
      <w:pPr>
        <w:ind w:left="22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A30BD00">
      <w:start w:val="1"/>
      <w:numFmt w:val="bullet"/>
      <w:lvlText w:val="·"/>
      <w:lvlJc w:val="left"/>
      <w:pPr>
        <w:ind w:left="294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9CEC16E">
      <w:start w:val="1"/>
      <w:numFmt w:val="bullet"/>
      <w:lvlText w:val="o"/>
      <w:lvlJc w:val="left"/>
      <w:pPr>
        <w:ind w:left="366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84C166C">
      <w:start w:val="1"/>
      <w:numFmt w:val="bullet"/>
      <w:lvlText w:val="▪"/>
      <w:lvlJc w:val="left"/>
      <w:pPr>
        <w:ind w:left="438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D201CC0">
      <w:start w:val="1"/>
      <w:numFmt w:val="bullet"/>
      <w:lvlText w:val="·"/>
      <w:lvlJc w:val="left"/>
      <w:pPr>
        <w:ind w:left="510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C60EDDA">
      <w:start w:val="1"/>
      <w:numFmt w:val="bullet"/>
      <w:lvlText w:val="o"/>
      <w:lvlJc w:val="left"/>
      <w:pPr>
        <w:ind w:left="58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4D4C1A0">
      <w:start w:val="1"/>
      <w:numFmt w:val="bullet"/>
      <w:lvlText w:val="▪"/>
      <w:lvlJc w:val="left"/>
      <w:pPr>
        <w:ind w:left="654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38" w15:restartNumberingAfterBreak="0">
    <w:nsid w:val="35E724D1"/>
    <w:multiLevelType w:val="hybridMultilevel"/>
    <w:tmpl w:val="4030CF72"/>
    <w:styleLink w:val="ImportedStyle96"/>
    <w:lvl w:ilvl="0" w:tplc="BCC2FA7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86218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50C91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4A61A1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B882F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DA0A0C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EF8B87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66633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D1ACE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39" w15:restartNumberingAfterBreak="0">
    <w:nsid w:val="35ED7E6D"/>
    <w:multiLevelType w:val="hybridMultilevel"/>
    <w:tmpl w:val="BE68561A"/>
    <w:styleLink w:val="ImportedStyle78"/>
    <w:lvl w:ilvl="0" w:tplc="87FE7D5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652A7266">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0D9EA106">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F2B812CE">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E2FA5660">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1F4A9A58">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D04A1F3E">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D74AD1C8">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875C4EBE">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240" w15:restartNumberingAfterBreak="0">
    <w:nsid w:val="36230BFE"/>
    <w:multiLevelType w:val="hybridMultilevel"/>
    <w:tmpl w:val="797E6956"/>
    <w:styleLink w:val="Stilimportat241"/>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362863D0"/>
    <w:multiLevelType w:val="hybridMultilevel"/>
    <w:tmpl w:val="C7CEAE74"/>
    <w:lvl w:ilvl="0" w:tplc="47C482D0">
      <w:start w:val="520"/>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42" w15:restartNumberingAfterBreak="0">
    <w:nsid w:val="362977C3"/>
    <w:multiLevelType w:val="hybridMultilevel"/>
    <w:tmpl w:val="A91E7054"/>
    <w:styleLink w:val="Stilimportat61211"/>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368A1BAC"/>
    <w:multiLevelType w:val="hybridMultilevel"/>
    <w:tmpl w:val="93CA275C"/>
    <w:styleLink w:val="ImportedStyle115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369A012F"/>
    <w:multiLevelType w:val="hybridMultilevel"/>
    <w:tmpl w:val="3DDEFEFA"/>
    <w:styleLink w:val="ImportedStyle100"/>
    <w:lvl w:ilvl="0" w:tplc="6228FB5E">
      <w:start w:val="1"/>
      <w:numFmt w:val="bullet"/>
      <w:lvlText w:val="·"/>
      <w:lvlJc w:val="left"/>
      <w:pPr>
        <w:tabs>
          <w:tab w:val="left" w:pos="683"/>
        </w:tabs>
        <w:ind w:left="111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728C268">
      <w:start w:val="1"/>
      <w:numFmt w:val="bullet"/>
      <w:lvlText w:val="o"/>
      <w:lvlJc w:val="left"/>
      <w:pPr>
        <w:tabs>
          <w:tab w:val="left" w:pos="683"/>
        </w:tabs>
        <w:ind w:left="183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64081AA">
      <w:start w:val="1"/>
      <w:numFmt w:val="bullet"/>
      <w:lvlText w:val="▪"/>
      <w:lvlJc w:val="left"/>
      <w:pPr>
        <w:tabs>
          <w:tab w:val="left" w:pos="683"/>
        </w:tabs>
        <w:ind w:left="255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F7E7B7E">
      <w:start w:val="1"/>
      <w:numFmt w:val="bullet"/>
      <w:lvlText w:val="·"/>
      <w:lvlJc w:val="left"/>
      <w:pPr>
        <w:tabs>
          <w:tab w:val="left" w:pos="683"/>
        </w:tabs>
        <w:ind w:left="327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D706E8A">
      <w:start w:val="1"/>
      <w:numFmt w:val="bullet"/>
      <w:lvlText w:val="o"/>
      <w:lvlJc w:val="left"/>
      <w:pPr>
        <w:tabs>
          <w:tab w:val="left" w:pos="683"/>
        </w:tabs>
        <w:ind w:left="399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296571E">
      <w:start w:val="1"/>
      <w:numFmt w:val="bullet"/>
      <w:lvlText w:val="▪"/>
      <w:lvlJc w:val="left"/>
      <w:pPr>
        <w:tabs>
          <w:tab w:val="left" w:pos="683"/>
        </w:tabs>
        <w:ind w:left="471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F542E14">
      <w:start w:val="1"/>
      <w:numFmt w:val="bullet"/>
      <w:lvlText w:val="·"/>
      <w:lvlJc w:val="left"/>
      <w:pPr>
        <w:tabs>
          <w:tab w:val="left" w:pos="683"/>
        </w:tabs>
        <w:ind w:left="5438"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1E8E0E8">
      <w:start w:val="1"/>
      <w:numFmt w:val="bullet"/>
      <w:lvlText w:val="o"/>
      <w:lvlJc w:val="left"/>
      <w:pPr>
        <w:tabs>
          <w:tab w:val="left" w:pos="683"/>
        </w:tabs>
        <w:ind w:left="615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8F8168A">
      <w:start w:val="1"/>
      <w:numFmt w:val="bullet"/>
      <w:lvlText w:val="▪"/>
      <w:lvlJc w:val="left"/>
      <w:pPr>
        <w:tabs>
          <w:tab w:val="left" w:pos="683"/>
        </w:tabs>
        <w:ind w:left="6878"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45" w15:restartNumberingAfterBreak="0">
    <w:nsid w:val="36C86077"/>
    <w:multiLevelType w:val="hybridMultilevel"/>
    <w:tmpl w:val="ECA86750"/>
    <w:styleLink w:val="Stilimportat214"/>
    <w:lvl w:ilvl="0" w:tplc="806ACE22">
      <w:start w:val="1"/>
      <w:numFmt w:val="decimal"/>
      <w:lvlText w:val="%1."/>
      <w:lvlJc w:val="left"/>
      <w:pPr>
        <w:ind w:left="720" w:hanging="360"/>
      </w:pPr>
      <w:rPr>
        <w:b/>
        <w:color w:val="auto"/>
      </w:rPr>
    </w:lvl>
    <w:lvl w:ilvl="1" w:tplc="436267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37684382"/>
    <w:multiLevelType w:val="hybridMultilevel"/>
    <w:tmpl w:val="0948795A"/>
    <w:styleLink w:val="ImportedStyle8032111"/>
    <w:lvl w:ilvl="0" w:tplc="E2520BC6">
      <w:start w:val="1"/>
      <w:numFmt w:val="bullet"/>
      <w:lvlText w:val="o"/>
      <w:lvlJc w:val="left"/>
      <w:pPr>
        <w:ind w:left="19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C8F174">
      <w:start w:val="1"/>
      <w:numFmt w:val="bullet"/>
      <w:lvlText w:val="o"/>
      <w:lvlJc w:val="left"/>
      <w:pPr>
        <w:ind w:left="27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26F316">
      <w:start w:val="1"/>
      <w:numFmt w:val="bullet"/>
      <w:lvlText w:val="▪"/>
      <w:lvlJc w:val="left"/>
      <w:pPr>
        <w:ind w:left="34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A6D030">
      <w:start w:val="1"/>
      <w:numFmt w:val="bullet"/>
      <w:lvlText w:val="•"/>
      <w:lvlJc w:val="left"/>
      <w:pPr>
        <w:ind w:left="41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14B262">
      <w:start w:val="1"/>
      <w:numFmt w:val="bullet"/>
      <w:lvlText w:val="o"/>
      <w:lvlJc w:val="left"/>
      <w:pPr>
        <w:ind w:left="486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5C63EA">
      <w:start w:val="1"/>
      <w:numFmt w:val="bullet"/>
      <w:lvlText w:val="▪"/>
      <w:lvlJc w:val="left"/>
      <w:pPr>
        <w:ind w:left="55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E07A42">
      <w:start w:val="1"/>
      <w:numFmt w:val="bullet"/>
      <w:lvlText w:val="•"/>
      <w:lvlJc w:val="left"/>
      <w:pPr>
        <w:ind w:left="63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7E8420">
      <w:start w:val="1"/>
      <w:numFmt w:val="bullet"/>
      <w:lvlText w:val="o"/>
      <w:lvlJc w:val="left"/>
      <w:pPr>
        <w:ind w:left="70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AC060C">
      <w:start w:val="1"/>
      <w:numFmt w:val="bullet"/>
      <w:lvlText w:val="▪"/>
      <w:lvlJc w:val="left"/>
      <w:pPr>
        <w:ind w:left="77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7" w15:restartNumberingAfterBreak="0">
    <w:nsid w:val="37D06003"/>
    <w:multiLevelType w:val="hybridMultilevel"/>
    <w:tmpl w:val="158042A8"/>
    <w:styleLink w:val="ImportedStyle1141211"/>
    <w:lvl w:ilvl="0" w:tplc="5D888634">
      <w:start w:val="1"/>
      <w:numFmt w:val="bullet"/>
      <w:lvlText w:val="·"/>
      <w:lvlJc w:val="left"/>
      <w:pPr>
        <w:ind w:left="127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3A5CDA">
      <w:start w:val="1"/>
      <w:numFmt w:val="bullet"/>
      <w:lvlText w:val="o"/>
      <w:lvlJc w:val="left"/>
      <w:pPr>
        <w:ind w:left="199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1ACEBC">
      <w:start w:val="1"/>
      <w:numFmt w:val="bullet"/>
      <w:lvlText w:val="▪"/>
      <w:lvlJc w:val="left"/>
      <w:pPr>
        <w:ind w:left="27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F4BEEE">
      <w:start w:val="1"/>
      <w:numFmt w:val="bullet"/>
      <w:lvlText w:val="·"/>
      <w:lvlJc w:val="left"/>
      <w:pPr>
        <w:ind w:left="343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BCD2E2">
      <w:start w:val="1"/>
      <w:numFmt w:val="bullet"/>
      <w:lvlText w:val="o"/>
      <w:lvlJc w:val="left"/>
      <w:pPr>
        <w:ind w:left="415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EC4900">
      <w:start w:val="1"/>
      <w:numFmt w:val="bullet"/>
      <w:lvlText w:val="▪"/>
      <w:lvlJc w:val="left"/>
      <w:pPr>
        <w:ind w:left="487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A61CC2">
      <w:start w:val="1"/>
      <w:numFmt w:val="bullet"/>
      <w:lvlText w:val="·"/>
      <w:lvlJc w:val="left"/>
      <w:pPr>
        <w:ind w:left="559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F4893A">
      <w:start w:val="1"/>
      <w:numFmt w:val="bullet"/>
      <w:lvlText w:val="o"/>
      <w:lvlJc w:val="left"/>
      <w:pPr>
        <w:ind w:left="63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96AE4A">
      <w:start w:val="1"/>
      <w:numFmt w:val="bullet"/>
      <w:lvlText w:val="▪"/>
      <w:lvlJc w:val="left"/>
      <w:pPr>
        <w:ind w:left="703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8" w15:restartNumberingAfterBreak="0">
    <w:nsid w:val="3830572D"/>
    <w:multiLevelType w:val="hybridMultilevel"/>
    <w:tmpl w:val="531EFEF8"/>
    <w:styleLink w:val="ImportedStyle241"/>
    <w:lvl w:ilvl="0" w:tplc="FCF2813E">
      <w:start w:val="1"/>
      <w:numFmt w:val="bullet"/>
      <w:lvlText w:val="·"/>
      <w:lvlJc w:val="left"/>
      <w:pPr>
        <w:tabs>
          <w:tab w:val="left" w:pos="82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516013A">
      <w:start w:val="1"/>
      <w:numFmt w:val="bullet"/>
      <w:lvlText w:val="o"/>
      <w:lvlJc w:val="left"/>
      <w:pPr>
        <w:tabs>
          <w:tab w:val="left" w:pos="8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9C0AFA4">
      <w:start w:val="1"/>
      <w:numFmt w:val="bullet"/>
      <w:lvlText w:val="▪"/>
      <w:lvlJc w:val="left"/>
      <w:pPr>
        <w:tabs>
          <w:tab w:val="left" w:pos="8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BE22364">
      <w:start w:val="1"/>
      <w:numFmt w:val="bullet"/>
      <w:lvlText w:val="·"/>
      <w:lvlJc w:val="left"/>
      <w:pPr>
        <w:tabs>
          <w:tab w:val="left" w:pos="82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0C60FD0">
      <w:start w:val="1"/>
      <w:numFmt w:val="bullet"/>
      <w:lvlText w:val="o"/>
      <w:lvlJc w:val="left"/>
      <w:pPr>
        <w:tabs>
          <w:tab w:val="left" w:pos="8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F8AE294">
      <w:start w:val="1"/>
      <w:numFmt w:val="bullet"/>
      <w:lvlText w:val="▪"/>
      <w:lvlJc w:val="left"/>
      <w:pPr>
        <w:tabs>
          <w:tab w:val="left" w:pos="8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592A4E0">
      <w:start w:val="1"/>
      <w:numFmt w:val="bullet"/>
      <w:lvlText w:val="·"/>
      <w:lvlJc w:val="left"/>
      <w:pPr>
        <w:tabs>
          <w:tab w:val="left" w:pos="82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E806612">
      <w:start w:val="1"/>
      <w:numFmt w:val="bullet"/>
      <w:lvlText w:val="o"/>
      <w:lvlJc w:val="left"/>
      <w:pPr>
        <w:tabs>
          <w:tab w:val="left" w:pos="8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DDEE364">
      <w:start w:val="1"/>
      <w:numFmt w:val="bullet"/>
      <w:lvlText w:val="▪"/>
      <w:lvlJc w:val="left"/>
      <w:pPr>
        <w:tabs>
          <w:tab w:val="left" w:pos="8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49" w15:restartNumberingAfterBreak="0">
    <w:nsid w:val="38596701"/>
    <w:multiLevelType w:val="hybridMultilevel"/>
    <w:tmpl w:val="DC4E5D1C"/>
    <w:styleLink w:val="ImportedStyle224"/>
    <w:lvl w:ilvl="0" w:tplc="8EB8BC7E">
      <w:start w:val="1"/>
      <w:numFmt w:val="bullet"/>
      <w:lvlText w:val="·"/>
      <w:lvlJc w:val="left"/>
      <w:pPr>
        <w:ind w:left="83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74443F8">
      <w:start w:val="1"/>
      <w:numFmt w:val="bullet"/>
      <w:lvlText w:val="o"/>
      <w:lvlJc w:val="left"/>
      <w:pPr>
        <w:ind w:left="155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47821EA">
      <w:start w:val="1"/>
      <w:numFmt w:val="bullet"/>
      <w:lvlText w:val="▪"/>
      <w:lvlJc w:val="left"/>
      <w:pPr>
        <w:ind w:left="22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4187F88">
      <w:start w:val="1"/>
      <w:numFmt w:val="bullet"/>
      <w:lvlText w:val="·"/>
      <w:lvlJc w:val="left"/>
      <w:pPr>
        <w:ind w:left="299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E6C79A8">
      <w:start w:val="1"/>
      <w:numFmt w:val="bullet"/>
      <w:lvlText w:val="o"/>
      <w:lvlJc w:val="left"/>
      <w:pPr>
        <w:ind w:left="371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39C5A8A">
      <w:start w:val="1"/>
      <w:numFmt w:val="bullet"/>
      <w:lvlText w:val="▪"/>
      <w:lvlJc w:val="left"/>
      <w:pPr>
        <w:ind w:left="443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E7CCA16">
      <w:start w:val="1"/>
      <w:numFmt w:val="bullet"/>
      <w:lvlText w:val="·"/>
      <w:lvlJc w:val="left"/>
      <w:pPr>
        <w:ind w:left="515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5E04DC0">
      <w:start w:val="1"/>
      <w:numFmt w:val="bullet"/>
      <w:lvlText w:val="o"/>
      <w:lvlJc w:val="left"/>
      <w:pPr>
        <w:ind w:left="58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5065880">
      <w:start w:val="1"/>
      <w:numFmt w:val="bullet"/>
      <w:lvlText w:val="▪"/>
      <w:lvlJc w:val="left"/>
      <w:pPr>
        <w:ind w:left="659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50" w15:restartNumberingAfterBreak="0">
    <w:nsid w:val="385D7E23"/>
    <w:multiLevelType w:val="hybridMultilevel"/>
    <w:tmpl w:val="A7A63780"/>
    <w:styleLink w:val="ImportedStyle37"/>
    <w:lvl w:ilvl="0" w:tplc="85520064">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375423C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3682791A">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632C65E">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A4EEEB7C">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7E4495E4">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C1C663C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3CD085D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FFAC35C4">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51" w15:restartNumberingAfterBreak="0">
    <w:nsid w:val="385E2F99"/>
    <w:multiLevelType w:val="hybridMultilevel"/>
    <w:tmpl w:val="66A66886"/>
    <w:styleLink w:val="ImportedStyle69"/>
    <w:lvl w:ilvl="0" w:tplc="59463E26">
      <w:start w:val="1"/>
      <w:numFmt w:val="upperLetter"/>
      <w:lvlText w:val="%1."/>
      <w:lvlJc w:val="left"/>
      <w:pPr>
        <w:ind w:left="720" w:hanging="360"/>
      </w:pPr>
      <w:rPr>
        <w:rFonts w:hAnsi="Arial Unicode MS"/>
        <w:b/>
        <w:bCs/>
        <w:caps w:val="0"/>
        <w:smallCaps w:val="0"/>
        <w:strike w:val="0"/>
        <w:dstrike w:val="0"/>
        <w:spacing w:val="0"/>
        <w:w w:val="100"/>
        <w:kern w:val="0"/>
        <w:position w:val="0"/>
        <w:highlight w:val="none"/>
        <w:vertAlign w:val="baseline"/>
      </w:rPr>
    </w:lvl>
    <w:lvl w:ilvl="1" w:tplc="94560CB6">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1B724218">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04E04E3E">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FA44B330">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A4EEA82E">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9B6C1DB6">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3176C682">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DFB6D744">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252" w15:restartNumberingAfterBreak="0">
    <w:nsid w:val="391D4885"/>
    <w:multiLevelType w:val="hybridMultilevel"/>
    <w:tmpl w:val="C3BA6E1A"/>
    <w:lvl w:ilvl="0" w:tplc="5B3CA400">
      <w:start w:val="1"/>
      <w:numFmt w:val="low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39390CF1"/>
    <w:multiLevelType w:val="hybridMultilevel"/>
    <w:tmpl w:val="715AF98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393C7C06"/>
    <w:multiLevelType w:val="hybridMultilevel"/>
    <w:tmpl w:val="8D0472DA"/>
    <w:lvl w:ilvl="0" w:tplc="3BF0CBC4">
      <w:start w:val="1"/>
      <w:numFmt w:val="upperLetter"/>
      <w:lvlText w:val="%1."/>
      <w:lvlJc w:val="left"/>
      <w:pPr>
        <w:ind w:left="720" w:hanging="360"/>
      </w:pPr>
      <w:rPr>
        <w:rFonts w:ascii="Times New Roman" w:hAnsi="Times New Roman" w:cs="Times New Roman" w:hint="default"/>
        <w:b/>
      </w:rPr>
    </w:lvl>
    <w:lvl w:ilvl="1" w:tplc="7D78C81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396D53C5"/>
    <w:multiLevelType w:val="hybridMultilevel"/>
    <w:tmpl w:val="D3BA1C36"/>
    <w:styleLink w:val="ImportedStyle47"/>
    <w:lvl w:ilvl="0" w:tplc="8FCAA1DA">
      <w:start w:val="1"/>
      <w:numFmt w:val="low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2FE787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CFC680A6">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F5B85A6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B703B1C">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315AD60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BC5CB27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9DEE27D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4A18F2F2">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256" w15:restartNumberingAfterBreak="0">
    <w:nsid w:val="3A9536CA"/>
    <w:multiLevelType w:val="hybridMultilevel"/>
    <w:tmpl w:val="4F909A1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3AA33C8C"/>
    <w:multiLevelType w:val="hybridMultilevel"/>
    <w:tmpl w:val="FF121744"/>
    <w:styleLink w:val="ImportedStyle782311"/>
    <w:lvl w:ilvl="0" w:tplc="E9F4D312">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90287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6271B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9CB4A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BAB60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6CED6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BAB23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B4296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CC201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8" w15:restartNumberingAfterBreak="0">
    <w:nsid w:val="3AD426BF"/>
    <w:multiLevelType w:val="hybridMultilevel"/>
    <w:tmpl w:val="730AA39A"/>
    <w:styleLink w:val="ImportedStyle8214"/>
    <w:lvl w:ilvl="0" w:tplc="FC586FB0">
      <w:start w:val="1"/>
      <w:numFmt w:val="bullet"/>
      <w:lvlText w:val="✓"/>
      <w:lvlJc w:val="left"/>
      <w:pPr>
        <w:ind w:left="11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2C783C72">
      <w:start w:val="1"/>
      <w:numFmt w:val="bullet"/>
      <w:lvlText w:val="o"/>
      <w:lvlJc w:val="left"/>
      <w:pPr>
        <w:ind w:left="1845" w:hanging="360"/>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2" w:tplc="4E661460">
      <w:start w:val="1"/>
      <w:numFmt w:val="bullet"/>
      <w:lvlText w:val="▪"/>
      <w:lvlJc w:val="left"/>
      <w:pPr>
        <w:ind w:left="256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5CC2360">
      <w:start w:val="1"/>
      <w:numFmt w:val="bullet"/>
      <w:lvlText w:val="•"/>
      <w:lvlJc w:val="left"/>
      <w:pPr>
        <w:ind w:left="328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A42845E4">
      <w:start w:val="1"/>
      <w:numFmt w:val="bullet"/>
      <w:lvlText w:val="o"/>
      <w:lvlJc w:val="left"/>
      <w:pPr>
        <w:ind w:left="4005" w:hanging="360"/>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5" w:tplc="A74A2A34">
      <w:start w:val="1"/>
      <w:numFmt w:val="bullet"/>
      <w:lvlText w:val="▪"/>
      <w:lvlJc w:val="left"/>
      <w:pPr>
        <w:ind w:left="472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132455A">
      <w:start w:val="1"/>
      <w:numFmt w:val="bullet"/>
      <w:lvlText w:val="•"/>
      <w:lvlJc w:val="left"/>
      <w:pPr>
        <w:ind w:left="544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0C08D774">
      <w:start w:val="1"/>
      <w:numFmt w:val="bullet"/>
      <w:lvlText w:val="o"/>
      <w:lvlJc w:val="left"/>
      <w:pPr>
        <w:ind w:left="6165" w:hanging="360"/>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8" w:tplc="1E46C048">
      <w:start w:val="1"/>
      <w:numFmt w:val="bullet"/>
      <w:lvlText w:val="▪"/>
      <w:lvlJc w:val="left"/>
      <w:pPr>
        <w:ind w:left="688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59" w15:restartNumberingAfterBreak="0">
    <w:nsid w:val="3AE519FF"/>
    <w:multiLevelType w:val="hybridMultilevel"/>
    <w:tmpl w:val="1D36F31C"/>
    <w:styleLink w:val="Stilimportat613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3B3D4FFE"/>
    <w:multiLevelType w:val="hybridMultilevel"/>
    <w:tmpl w:val="97D67E1A"/>
    <w:styleLink w:val="Stilimportat341111"/>
    <w:lvl w:ilvl="0" w:tplc="03F4FD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1" w15:restartNumberingAfterBreak="0">
    <w:nsid w:val="3B4A4295"/>
    <w:multiLevelType w:val="hybridMultilevel"/>
    <w:tmpl w:val="3EB288C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3C4A2B94"/>
    <w:multiLevelType w:val="hybridMultilevel"/>
    <w:tmpl w:val="7582669A"/>
    <w:styleLink w:val="ImportedStyle1311111"/>
    <w:lvl w:ilvl="0" w:tplc="0CF08D3C">
      <w:start w:val="1"/>
      <w:numFmt w:val="bullet"/>
      <w:lvlText w:val="-"/>
      <w:lvlJc w:val="left"/>
      <w:pPr>
        <w:ind w:left="960" w:hanging="360"/>
      </w:pPr>
      <w:rPr>
        <w:rFonts w:ascii="Courier New" w:hAnsi="Courier New"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63" w15:restartNumberingAfterBreak="0">
    <w:nsid w:val="3C6C4D09"/>
    <w:multiLevelType w:val="hybridMultilevel"/>
    <w:tmpl w:val="24DC7CEE"/>
    <w:lvl w:ilvl="0" w:tplc="0CF08D3C">
      <w:start w:val="1"/>
      <w:numFmt w:val="bullet"/>
      <w:lvlText w:val="-"/>
      <w:lvlJc w:val="left"/>
      <w:pPr>
        <w:ind w:left="1854" w:hanging="360"/>
      </w:pPr>
      <w:rPr>
        <w:rFonts w:ascii="Courier New" w:hAnsi="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64" w15:restartNumberingAfterBreak="0">
    <w:nsid w:val="3C9A25A2"/>
    <w:multiLevelType w:val="hybridMultilevel"/>
    <w:tmpl w:val="C7E2B42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3DB15E97"/>
    <w:multiLevelType w:val="hybridMultilevel"/>
    <w:tmpl w:val="05BA0350"/>
    <w:styleLink w:val="ImportedStyle8014"/>
    <w:lvl w:ilvl="0" w:tplc="70387B00">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17E4C06">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C52B03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890244C">
      <w:start w:val="1"/>
      <w:numFmt w:val="bullet"/>
      <w:lvlText w:val="·"/>
      <w:lvlJc w:val="left"/>
      <w:pPr>
        <w:ind w:left="36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56C7A9E">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B30C9F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4C614F0">
      <w:start w:val="1"/>
      <w:numFmt w:val="bullet"/>
      <w:lvlText w:val="·"/>
      <w:lvlJc w:val="left"/>
      <w:pPr>
        <w:ind w:left="57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2380A32">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9CE11F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66" w15:restartNumberingAfterBreak="0">
    <w:nsid w:val="3DF359F1"/>
    <w:multiLevelType w:val="hybridMultilevel"/>
    <w:tmpl w:val="69E267A0"/>
    <w:styleLink w:val="ImportedStyle341"/>
    <w:lvl w:ilvl="0" w:tplc="F6DE6D5A">
      <w:start w:val="1"/>
      <w:numFmt w:val="upperRoman"/>
      <w:lvlText w:val="%1."/>
      <w:lvlJc w:val="left"/>
      <w:pPr>
        <w:ind w:left="1115" w:hanging="720"/>
      </w:pPr>
      <w:rPr>
        <w:rFonts w:hAnsi="Arial Unicode MS"/>
        <w:b/>
        <w:bCs/>
        <w:caps w:val="0"/>
        <w:smallCaps w:val="0"/>
        <w:strike w:val="0"/>
        <w:dstrike w:val="0"/>
        <w:spacing w:val="0"/>
        <w:w w:val="100"/>
        <w:kern w:val="0"/>
        <w:position w:val="0"/>
        <w:highlight w:val="none"/>
        <w:vertAlign w:val="baseline"/>
      </w:rPr>
    </w:lvl>
    <w:lvl w:ilvl="1" w:tplc="A96065A0">
      <w:start w:val="1"/>
      <w:numFmt w:val="lowerLetter"/>
      <w:lvlText w:val="%2."/>
      <w:lvlJc w:val="left"/>
      <w:pPr>
        <w:ind w:left="1475" w:hanging="360"/>
      </w:pPr>
      <w:rPr>
        <w:rFonts w:hAnsi="Arial Unicode MS"/>
        <w:b/>
        <w:bCs/>
        <w:caps w:val="0"/>
        <w:smallCaps w:val="0"/>
        <w:strike w:val="0"/>
        <w:dstrike w:val="0"/>
        <w:spacing w:val="0"/>
        <w:w w:val="100"/>
        <w:kern w:val="0"/>
        <w:position w:val="0"/>
        <w:highlight w:val="none"/>
        <w:vertAlign w:val="baseline"/>
      </w:rPr>
    </w:lvl>
    <w:lvl w:ilvl="2" w:tplc="1F50A138">
      <w:start w:val="1"/>
      <w:numFmt w:val="lowerRoman"/>
      <w:lvlText w:val="%3."/>
      <w:lvlJc w:val="left"/>
      <w:pPr>
        <w:ind w:left="2195" w:hanging="313"/>
      </w:pPr>
      <w:rPr>
        <w:rFonts w:hAnsi="Arial Unicode MS"/>
        <w:b/>
        <w:bCs/>
        <w:caps w:val="0"/>
        <w:smallCaps w:val="0"/>
        <w:strike w:val="0"/>
        <w:dstrike w:val="0"/>
        <w:spacing w:val="0"/>
        <w:w w:val="100"/>
        <w:kern w:val="0"/>
        <w:position w:val="0"/>
        <w:highlight w:val="none"/>
        <w:vertAlign w:val="baseline"/>
      </w:rPr>
    </w:lvl>
    <w:lvl w:ilvl="3" w:tplc="8392022A">
      <w:start w:val="1"/>
      <w:numFmt w:val="decimal"/>
      <w:lvlText w:val="%4."/>
      <w:lvlJc w:val="left"/>
      <w:pPr>
        <w:ind w:left="2915" w:hanging="360"/>
      </w:pPr>
      <w:rPr>
        <w:rFonts w:hAnsi="Arial Unicode MS"/>
        <w:b/>
        <w:bCs/>
        <w:caps w:val="0"/>
        <w:smallCaps w:val="0"/>
        <w:strike w:val="0"/>
        <w:dstrike w:val="0"/>
        <w:spacing w:val="0"/>
        <w:w w:val="100"/>
        <w:kern w:val="0"/>
        <w:position w:val="0"/>
        <w:highlight w:val="none"/>
        <w:vertAlign w:val="baseline"/>
      </w:rPr>
    </w:lvl>
    <w:lvl w:ilvl="4" w:tplc="840C1E96">
      <w:start w:val="1"/>
      <w:numFmt w:val="lowerLetter"/>
      <w:lvlText w:val="%5."/>
      <w:lvlJc w:val="left"/>
      <w:pPr>
        <w:ind w:left="3635" w:hanging="360"/>
      </w:pPr>
      <w:rPr>
        <w:rFonts w:hAnsi="Arial Unicode MS"/>
        <w:b/>
        <w:bCs/>
        <w:caps w:val="0"/>
        <w:smallCaps w:val="0"/>
        <w:strike w:val="0"/>
        <w:dstrike w:val="0"/>
        <w:spacing w:val="0"/>
        <w:w w:val="100"/>
        <w:kern w:val="0"/>
        <w:position w:val="0"/>
        <w:highlight w:val="none"/>
        <w:vertAlign w:val="baseline"/>
      </w:rPr>
    </w:lvl>
    <w:lvl w:ilvl="5" w:tplc="D3F2692A">
      <w:start w:val="1"/>
      <w:numFmt w:val="lowerRoman"/>
      <w:lvlText w:val="%6."/>
      <w:lvlJc w:val="left"/>
      <w:pPr>
        <w:ind w:left="4355" w:hanging="313"/>
      </w:pPr>
      <w:rPr>
        <w:rFonts w:hAnsi="Arial Unicode MS"/>
        <w:b/>
        <w:bCs/>
        <w:caps w:val="0"/>
        <w:smallCaps w:val="0"/>
        <w:strike w:val="0"/>
        <w:dstrike w:val="0"/>
        <w:spacing w:val="0"/>
        <w:w w:val="100"/>
        <w:kern w:val="0"/>
        <w:position w:val="0"/>
        <w:highlight w:val="none"/>
        <w:vertAlign w:val="baseline"/>
      </w:rPr>
    </w:lvl>
    <w:lvl w:ilvl="6" w:tplc="FC8C3842">
      <w:start w:val="1"/>
      <w:numFmt w:val="decimal"/>
      <w:lvlText w:val="%7."/>
      <w:lvlJc w:val="left"/>
      <w:pPr>
        <w:ind w:left="5075" w:hanging="360"/>
      </w:pPr>
      <w:rPr>
        <w:rFonts w:hAnsi="Arial Unicode MS"/>
        <w:b/>
        <w:bCs/>
        <w:caps w:val="0"/>
        <w:smallCaps w:val="0"/>
        <w:strike w:val="0"/>
        <w:dstrike w:val="0"/>
        <w:spacing w:val="0"/>
        <w:w w:val="100"/>
        <w:kern w:val="0"/>
        <w:position w:val="0"/>
        <w:highlight w:val="none"/>
        <w:vertAlign w:val="baseline"/>
      </w:rPr>
    </w:lvl>
    <w:lvl w:ilvl="7" w:tplc="AE36C51A">
      <w:start w:val="1"/>
      <w:numFmt w:val="lowerLetter"/>
      <w:lvlText w:val="%8."/>
      <w:lvlJc w:val="left"/>
      <w:pPr>
        <w:ind w:left="5795" w:hanging="360"/>
      </w:pPr>
      <w:rPr>
        <w:rFonts w:hAnsi="Arial Unicode MS"/>
        <w:b/>
        <w:bCs/>
        <w:caps w:val="0"/>
        <w:smallCaps w:val="0"/>
        <w:strike w:val="0"/>
        <w:dstrike w:val="0"/>
        <w:spacing w:val="0"/>
        <w:w w:val="100"/>
        <w:kern w:val="0"/>
        <w:position w:val="0"/>
        <w:highlight w:val="none"/>
        <w:vertAlign w:val="baseline"/>
      </w:rPr>
    </w:lvl>
    <w:lvl w:ilvl="8" w:tplc="F20C64DE">
      <w:start w:val="1"/>
      <w:numFmt w:val="lowerRoman"/>
      <w:lvlText w:val="%9."/>
      <w:lvlJc w:val="left"/>
      <w:pPr>
        <w:ind w:left="6515" w:hanging="313"/>
      </w:pPr>
      <w:rPr>
        <w:rFonts w:hAnsi="Arial Unicode MS"/>
        <w:b/>
        <w:bCs/>
        <w:caps w:val="0"/>
        <w:smallCaps w:val="0"/>
        <w:strike w:val="0"/>
        <w:dstrike w:val="0"/>
        <w:spacing w:val="0"/>
        <w:w w:val="100"/>
        <w:kern w:val="0"/>
        <w:position w:val="0"/>
        <w:highlight w:val="none"/>
        <w:vertAlign w:val="baseline"/>
      </w:rPr>
    </w:lvl>
  </w:abstractNum>
  <w:abstractNum w:abstractNumId="267" w15:restartNumberingAfterBreak="0">
    <w:nsid w:val="3E2D7EAB"/>
    <w:multiLevelType w:val="hybridMultilevel"/>
    <w:tmpl w:val="84E6EB2C"/>
    <w:lvl w:ilvl="0" w:tplc="0CF08D3C">
      <w:start w:val="1"/>
      <w:numFmt w:val="bullet"/>
      <w:lvlText w:val="-"/>
      <w:lvlJc w:val="left"/>
      <w:pPr>
        <w:ind w:left="1854" w:hanging="360"/>
      </w:pPr>
      <w:rPr>
        <w:rFonts w:ascii="Courier New" w:hAnsi="Courier New"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68" w15:restartNumberingAfterBreak="0">
    <w:nsid w:val="3F0155A4"/>
    <w:multiLevelType w:val="multilevel"/>
    <w:tmpl w:val="FFFFFFFF"/>
    <w:styleLink w:val="Stilimportat7311111"/>
    <w:lvl w:ilvl="0">
      <w:numFmt w:val="bullet"/>
      <w:lvlText w:val="·"/>
      <w:lvlJc w:val="left"/>
      <w:pPr>
        <w:tabs>
          <w:tab w:val="num" w:pos="795"/>
        </w:tabs>
        <w:ind w:left="795" w:hanging="360"/>
      </w:pPr>
      <w:rPr>
        <w:rFonts w:ascii="Symbol" w:hAnsi="Symbol" w:cs="Symbol"/>
        <w:sz w:val="22"/>
        <w:szCs w:val="22"/>
      </w:rPr>
    </w:lvl>
    <w:lvl w:ilvl="1">
      <w:numFmt w:val="bullet"/>
      <w:lvlText w:val="o"/>
      <w:lvlJc w:val="left"/>
      <w:pPr>
        <w:tabs>
          <w:tab w:val="num" w:pos="1515"/>
        </w:tabs>
        <w:ind w:left="1515" w:hanging="360"/>
      </w:pPr>
      <w:rPr>
        <w:rFonts w:ascii="Courier New" w:hAnsi="Courier New" w:cs="Courier New"/>
        <w:sz w:val="24"/>
        <w:szCs w:val="24"/>
      </w:rPr>
    </w:lvl>
    <w:lvl w:ilvl="2">
      <w:numFmt w:val="bullet"/>
      <w:lvlText w:val="§"/>
      <w:lvlJc w:val="left"/>
      <w:pPr>
        <w:tabs>
          <w:tab w:val="num" w:pos="2235"/>
        </w:tabs>
        <w:ind w:left="2235" w:hanging="360"/>
      </w:pPr>
      <w:rPr>
        <w:rFonts w:ascii="Wingdings" w:hAnsi="Wingdings" w:cs="Wingdings"/>
        <w:sz w:val="24"/>
        <w:szCs w:val="24"/>
      </w:rPr>
    </w:lvl>
    <w:lvl w:ilvl="3">
      <w:numFmt w:val="bullet"/>
      <w:lvlText w:val="·"/>
      <w:lvlJc w:val="left"/>
      <w:pPr>
        <w:tabs>
          <w:tab w:val="num" w:pos="2955"/>
        </w:tabs>
        <w:ind w:left="2955" w:hanging="360"/>
      </w:pPr>
      <w:rPr>
        <w:rFonts w:ascii="Symbol" w:hAnsi="Symbol" w:cs="Symbol"/>
        <w:sz w:val="24"/>
        <w:szCs w:val="24"/>
      </w:rPr>
    </w:lvl>
    <w:lvl w:ilvl="4">
      <w:numFmt w:val="bullet"/>
      <w:lvlText w:val="o"/>
      <w:lvlJc w:val="left"/>
      <w:pPr>
        <w:tabs>
          <w:tab w:val="num" w:pos="3675"/>
        </w:tabs>
        <w:ind w:left="3675" w:hanging="360"/>
      </w:pPr>
      <w:rPr>
        <w:rFonts w:ascii="Courier New" w:hAnsi="Courier New" w:cs="Courier New"/>
        <w:sz w:val="24"/>
        <w:szCs w:val="24"/>
      </w:rPr>
    </w:lvl>
    <w:lvl w:ilvl="5">
      <w:numFmt w:val="bullet"/>
      <w:lvlText w:val="§"/>
      <w:lvlJc w:val="left"/>
      <w:pPr>
        <w:tabs>
          <w:tab w:val="num" w:pos="4395"/>
        </w:tabs>
        <w:ind w:left="4395" w:hanging="360"/>
      </w:pPr>
      <w:rPr>
        <w:rFonts w:ascii="Wingdings" w:hAnsi="Wingdings" w:cs="Wingdings"/>
        <w:sz w:val="24"/>
        <w:szCs w:val="24"/>
      </w:rPr>
    </w:lvl>
    <w:lvl w:ilvl="6">
      <w:numFmt w:val="bullet"/>
      <w:lvlText w:val="·"/>
      <w:lvlJc w:val="left"/>
      <w:pPr>
        <w:tabs>
          <w:tab w:val="num" w:pos="5115"/>
        </w:tabs>
        <w:ind w:left="5115" w:hanging="360"/>
      </w:pPr>
      <w:rPr>
        <w:rFonts w:ascii="Symbol" w:hAnsi="Symbol" w:cs="Symbol"/>
        <w:sz w:val="24"/>
        <w:szCs w:val="24"/>
      </w:rPr>
    </w:lvl>
    <w:lvl w:ilvl="7">
      <w:numFmt w:val="bullet"/>
      <w:lvlText w:val="o"/>
      <w:lvlJc w:val="left"/>
      <w:pPr>
        <w:tabs>
          <w:tab w:val="num" w:pos="5835"/>
        </w:tabs>
        <w:ind w:left="5835" w:hanging="360"/>
      </w:pPr>
      <w:rPr>
        <w:rFonts w:ascii="Courier New" w:hAnsi="Courier New" w:cs="Courier New"/>
        <w:sz w:val="24"/>
        <w:szCs w:val="24"/>
      </w:rPr>
    </w:lvl>
    <w:lvl w:ilvl="8">
      <w:numFmt w:val="bullet"/>
      <w:lvlText w:val="§"/>
      <w:lvlJc w:val="left"/>
      <w:pPr>
        <w:tabs>
          <w:tab w:val="num" w:pos="6555"/>
        </w:tabs>
        <w:ind w:left="6555" w:hanging="360"/>
      </w:pPr>
      <w:rPr>
        <w:rFonts w:ascii="Wingdings" w:hAnsi="Wingdings" w:cs="Wingdings"/>
        <w:sz w:val="24"/>
        <w:szCs w:val="24"/>
      </w:rPr>
    </w:lvl>
  </w:abstractNum>
  <w:abstractNum w:abstractNumId="269" w15:restartNumberingAfterBreak="0">
    <w:nsid w:val="3F973F56"/>
    <w:multiLevelType w:val="hybridMultilevel"/>
    <w:tmpl w:val="B5E0DE90"/>
    <w:lvl w:ilvl="0" w:tplc="FF6C573A">
      <w:start w:val="1"/>
      <w:numFmt w:val="bullet"/>
      <w:lvlText w:val="-"/>
      <w:lvlJc w:val="left"/>
      <w:pPr>
        <w:ind w:left="450" w:hanging="360"/>
      </w:pPr>
      <w:rPr>
        <w:rFonts w:ascii="Courier New" w:hAnsi="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3FCF1C5F"/>
    <w:multiLevelType w:val="hybridMultilevel"/>
    <w:tmpl w:val="5FE8DFEC"/>
    <w:lvl w:ilvl="0" w:tplc="E9F61410">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1" w15:restartNumberingAfterBreak="0">
    <w:nsid w:val="3FEB4FEF"/>
    <w:multiLevelType w:val="hybridMultilevel"/>
    <w:tmpl w:val="791E1904"/>
    <w:styleLink w:val="ImportedStyle104"/>
    <w:lvl w:ilvl="0" w:tplc="0366D1A6">
      <w:start w:val="1"/>
      <w:numFmt w:val="lowerLetter"/>
      <w:lvlText w:val="%1)"/>
      <w:lvlJc w:val="left"/>
      <w:pPr>
        <w:ind w:left="720" w:hanging="360"/>
      </w:pPr>
      <w:rPr>
        <w:rFonts w:hAnsi="Arial Unicode MS"/>
        <w:b/>
        <w:bCs/>
        <w:i/>
        <w:iCs/>
        <w:caps w:val="0"/>
        <w:smallCaps w:val="0"/>
        <w:strike w:val="0"/>
        <w:dstrike w:val="0"/>
        <w:spacing w:val="0"/>
        <w:w w:val="100"/>
        <w:kern w:val="0"/>
        <w:position w:val="0"/>
        <w:highlight w:val="none"/>
        <w:vertAlign w:val="baseline"/>
      </w:rPr>
    </w:lvl>
    <w:lvl w:ilvl="1" w:tplc="49FCAA70">
      <w:start w:val="1"/>
      <w:numFmt w:val="lowerLetter"/>
      <w:lvlText w:val="%2."/>
      <w:lvlJc w:val="left"/>
      <w:pPr>
        <w:ind w:left="1440" w:hanging="360"/>
      </w:pPr>
      <w:rPr>
        <w:rFonts w:hAnsi="Arial Unicode MS"/>
        <w:b/>
        <w:bCs/>
        <w:i/>
        <w:iCs/>
        <w:caps w:val="0"/>
        <w:smallCaps w:val="0"/>
        <w:strike w:val="0"/>
        <w:dstrike w:val="0"/>
        <w:spacing w:val="0"/>
        <w:w w:val="100"/>
        <w:kern w:val="0"/>
        <w:position w:val="0"/>
        <w:highlight w:val="none"/>
        <w:vertAlign w:val="baseline"/>
      </w:rPr>
    </w:lvl>
    <w:lvl w:ilvl="2" w:tplc="F68E547A">
      <w:start w:val="1"/>
      <w:numFmt w:val="lowerRoman"/>
      <w:lvlText w:val="%3."/>
      <w:lvlJc w:val="left"/>
      <w:pPr>
        <w:ind w:left="2160" w:hanging="313"/>
      </w:pPr>
      <w:rPr>
        <w:rFonts w:hAnsi="Arial Unicode MS"/>
        <w:b/>
        <w:bCs/>
        <w:i/>
        <w:iCs/>
        <w:caps w:val="0"/>
        <w:smallCaps w:val="0"/>
        <w:strike w:val="0"/>
        <w:dstrike w:val="0"/>
        <w:spacing w:val="0"/>
        <w:w w:val="100"/>
        <w:kern w:val="0"/>
        <w:position w:val="0"/>
        <w:highlight w:val="none"/>
        <w:vertAlign w:val="baseline"/>
      </w:rPr>
    </w:lvl>
    <w:lvl w:ilvl="3" w:tplc="567C67CC">
      <w:start w:val="1"/>
      <w:numFmt w:val="decimal"/>
      <w:lvlText w:val="%4."/>
      <w:lvlJc w:val="left"/>
      <w:pPr>
        <w:ind w:left="2880" w:hanging="360"/>
      </w:pPr>
      <w:rPr>
        <w:rFonts w:hAnsi="Arial Unicode MS"/>
        <w:b/>
        <w:bCs/>
        <w:i/>
        <w:iCs/>
        <w:caps w:val="0"/>
        <w:smallCaps w:val="0"/>
        <w:strike w:val="0"/>
        <w:dstrike w:val="0"/>
        <w:spacing w:val="0"/>
        <w:w w:val="100"/>
        <w:kern w:val="0"/>
        <w:position w:val="0"/>
        <w:highlight w:val="none"/>
        <w:vertAlign w:val="baseline"/>
      </w:rPr>
    </w:lvl>
    <w:lvl w:ilvl="4" w:tplc="6E981748">
      <w:start w:val="1"/>
      <w:numFmt w:val="lowerLetter"/>
      <w:lvlText w:val="%5."/>
      <w:lvlJc w:val="left"/>
      <w:pPr>
        <w:ind w:left="3600" w:hanging="360"/>
      </w:pPr>
      <w:rPr>
        <w:rFonts w:hAnsi="Arial Unicode MS"/>
        <w:b/>
        <w:bCs/>
        <w:i/>
        <w:iCs/>
        <w:caps w:val="0"/>
        <w:smallCaps w:val="0"/>
        <w:strike w:val="0"/>
        <w:dstrike w:val="0"/>
        <w:spacing w:val="0"/>
        <w:w w:val="100"/>
        <w:kern w:val="0"/>
        <w:position w:val="0"/>
        <w:highlight w:val="none"/>
        <w:vertAlign w:val="baseline"/>
      </w:rPr>
    </w:lvl>
    <w:lvl w:ilvl="5" w:tplc="6F78C046">
      <w:start w:val="1"/>
      <w:numFmt w:val="lowerRoman"/>
      <w:lvlText w:val="%6."/>
      <w:lvlJc w:val="left"/>
      <w:pPr>
        <w:ind w:left="4320" w:hanging="313"/>
      </w:pPr>
      <w:rPr>
        <w:rFonts w:hAnsi="Arial Unicode MS"/>
        <w:b/>
        <w:bCs/>
        <w:i/>
        <w:iCs/>
        <w:caps w:val="0"/>
        <w:smallCaps w:val="0"/>
        <w:strike w:val="0"/>
        <w:dstrike w:val="0"/>
        <w:spacing w:val="0"/>
        <w:w w:val="100"/>
        <w:kern w:val="0"/>
        <w:position w:val="0"/>
        <w:highlight w:val="none"/>
        <w:vertAlign w:val="baseline"/>
      </w:rPr>
    </w:lvl>
    <w:lvl w:ilvl="6" w:tplc="F00225B2">
      <w:start w:val="1"/>
      <w:numFmt w:val="decimal"/>
      <w:lvlText w:val="%7."/>
      <w:lvlJc w:val="left"/>
      <w:pPr>
        <w:ind w:left="5040" w:hanging="360"/>
      </w:pPr>
      <w:rPr>
        <w:rFonts w:hAnsi="Arial Unicode MS"/>
        <w:b/>
        <w:bCs/>
        <w:i/>
        <w:iCs/>
        <w:caps w:val="0"/>
        <w:smallCaps w:val="0"/>
        <w:strike w:val="0"/>
        <w:dstrike w:val="0"/>
        <w:spacing w:val="0"/>
        <w:w w:val="100"/>
        <w:kern w:val="0"/>
        <w:position w:val="0"/>
        <w:highlight w:val="none"/>
        <w:vertAlign w:val="baseline"/>
      </w:rPr>
    </w:lvl>
    <w:lvl w:ilvl="7" w:tplc="A02091CC">
      <w:start w:val="1"/>
      <w:numFmt w:val="lowerLetter"/>
      <w:lvlText w:val="%8."/>
      <w:lvlJc w:val="left"/>
      <w:pPr>
        <w:ind w:left="5760" w:hanging="360"/>
      </w:pPr>
      <w:rPr>
        <w:rFonts w:hAnsi="Arial Unicode MS"/>
        <w:b/>
        <w:bCs/>
        <w:i/>
        <w:iCs/>
        <w:caps w:val="0"/>
        <w:smallCaps w:val="0"/>
        <w:strike w:val="0"/>
        <w:dstrike w:val="0"/>
        <w:spacing w:val="0"/>
        <w:w w:val="100"/>
        <w:kern w:val="0"/>
        <w:position w:val="0"/>
        <w:highlight w:val="none"/>
        <w:vertAlign w:val="baseline"/>
      </w:rPr>
    </w:lvl>
    <w:lvl w:ilvl="8" w:tplc="D24C6944">
      <w:start w:val="1"/>
      <w:numFmt w:val="lowerRoman"/>
      <w:lvlText w:val="%9."/>
      <w:lvlJc w:val="left"/>
      <w:pPr>
        <w:ind w:left="6480" w:hanging="313"/>
      </w:pPr>
      <w:rPr>
        <w:rFonts w:hAnsi="Arial Unicode MS"/>
        <w:b/>
        <w:bCs/>
        <w:i/>
        <w:iCs/>
        <w:caps w:val="0"/>
        <w:smallCaps w:val="0"/>
        <w:strike w:val="0"/>
        <w:dstrike w:val="0"/>
        <w:spacing w:val="0"/>
        <w:w w:val="100"/>
        <w:kern w:val="0"/>
        <w:position w:val="0"/>
        <w:highlight w:val="none"/>
        <w:vertAlign w:val="baseline"/>
      </w:rPr>
    </w:lvl>
  </w:abstractNum>
  <w:abstractNum w:abstractNumId="272" w15:restartNumberingAfterBreak="0">
    <w:nsid w:val="400C3B09"/>
    <w:multiLevelType w:val="hybridMultilevel"/>
    <w:tmpl w:val="2554571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4011119E"/>
    <w:multiLevelType w:val="multilevel"/>
    <w:tmpl w:val="33D60876"/>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404B4BAB"/>
    <w:multiLevelType w:val="hybridMultilevel"/>
    <w:tmpl w:val="5BF68974"/>
    <w:styleLink w:val="ImportedStyle75"/>
    <w:lvl w:ilvl="0" w:tplc="B7048F7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6CED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F86F3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236D2D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E908E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9D8C9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E2C289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0E803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08A0C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75" w15:restartNumberingAfterBreak="0">
    <w:nsid w:val="40831DE5"/>
    <w:multiLevelType w:val="hybridMultilevel"/>
    <w:tmpl w:val="C6F07262"/>
    <w:lvl w:ilvl="0" w:tplc="A2FC444E">
      <w:start w:val="1"/>
      <w:numFmt w:val="decimal"/>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409A07A8"/>
    <w:multiLevelType w:val="hybridMultilevel"/>
    <w:tmpl w:val="B42C87A0"/>
    <w:styleLink w:val="Stilimportat14111"/>
    <w:lvl w:ilvl="0" w:tplc="6DE8DCF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7" w15:restartNumberingAfterBreak="0">
    <w:nsid w:val="40C918ED"/>
    <w:multiLevelType w:val="hybridMultilevel"/>
    <w:tmpl w:val="0484A4C8"/>
    <w:styleLink w:val="ImportedStyle720"/>
    <w:lvl w:ilvl="0" w:tplc="1A044C18">
      <w:start w:val="1"/>
      <w:numFmt w:val="bullet"/>
      <w:lvlText w:val="•"/>
      <w:lvlJc w:val="left"/>
      <w:pPr>
        <w:tabs>
          <w:tab w:val="left" w:pos="1250"/>
        </w:tabs>
        <w:ind w:left="281" w:hanging="281"/>
      </w:pPr>
      <w:rPr>
        <w:rFonts w:hAnsi="Arial Unicode MS"/>
        <w:i/>
        <w:iCs/>
        <w:caps w:val="0"/>
        <w:smallCaps w:val="0"/>
        <w:strike w:val="0"/>
        <w:dstrike w:val="0"/>
        <w:spacing w:val="0"/>
        <w:w w:val="100"/>
        <w:kern w:val="0"/>
        <w:position w:val="0"/>
        <w:highlight w:val="none"/>
        <w:vertAlign w:val="baseline"/>
      </w:rPr>
    </w:lvl>
    <w:lvl w:ilvl="1" w:tplc="83AAB50A">
      <w:start w:val="1"/>
      <w:numFmt w:val="bullet"/>
      <w:lvlText w:val="·"/>
      <w:lvlJc w:val="left"/>
      <w:pPr>
        <w:tabs>
          <w:tab w:val="left" w:pos="1250"/>
        </w:tabs>
        <w:ind w:left="1249"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B77EDB4C">
      <w:start w:val="1"/>
      <w:numFmt w:val="bullet"/>
      <w:lvlText w:val="·"/>
      <w:lvlJc w:val="left"/>
      <w:pPr>
        <w:tabs>
          <w:tab w:val="left" w:pos="1250"/>
        </w:tabs>
        <w:ind w:left="2167"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8F02A2B4">
      <w:start w:val="1"/>
      <w:numFmt w:val="bullet"/>
      <w:lvlText w:val="·"/>
      <w:lvlJc w:val="left"/>
      <w:pPr>
        <w:tabs>
          <w:tab w:val="left" w:pos="1250"/>
        </w:tabs>
        <w:ind w:left="3094"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CE2B0DA">
      <w:start w:val="1"/>
      <w:numFmt w:val="bullet"/>
      <w:lvlText w:val="·"/>
      <w:lvlJc w:val="left"/>
      <w:pPr>
        <w:tabs>
          <w:tab w:val="left" w:pos="1250"/>
        </w:tabs>
        <w:ind w:left="4022"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1A4646C2">
      <w:start w:val="1"/>
      <w:numFmt w:val="bullet"/>
      <w:lvlText w:val="·"/>
      <w:lvlJc w:val="left"/>
      <w:pPr>
        <w:tabs>
          <w:tab w:val="left" w:pos="1250"/>
        </w:tabs>
        <w:ind w:left="4949"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EDAA261C">
      <w:start w:val="1"/>
      <w:numFmt w:val="bullet"/>
      <w:lvlText w:val="·"/>
      <w:lvlJc w:val="left"/>
      <w:pPr>
        <w:tabs>
          <w:tab w:val="left" w:pos="1250"/>
        </w:tabs>
        <w:ind w:left="5876"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7EA1342">
      <w:start w:val="1"/>
      <w:numFmt w:val="bullet"/>
      <w:lvlText w:val="·"/>
      <w:lvlJc w:val="left"/>
      <w:pPr>
        <w:tabs>
          <w:tab w:val="left" w:pos="1250"/>
        </w:tabs>
        <w:ind w:left="6804"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10AAC3C8">
      <w:start w:val="1"/>
      <w:numFmt w:val="bullet"/>
      <w:lvlText w:val="·"/>
      <w:lvlJc w:val="left"/>
      <w:pPr>
        <w:tabs>
          <w:tab w:val="left" w:pos="1250"/>
        </w:tabs>
        <w:ind w:left="7731" w:hanging="281"/>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278" w15:restartNumberingAfterBreak="0">
    <w:nsid w:val="40EC6AA5"/>
    <w:multiLevelType w:val="hybridMultilevel"/>
    <w:tmpl w:val="23909D4E"/>
    <w:styleLink w:val="Stilimportat1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41021A24"/>
    <w:multiLevelType w:val="hybridMultilevel"/>
    <w:tmpl w:val="2E9C6672"/>
    <w:lvl w:ilvl="0" w:tplc="0CF08D3C">
      <w:start w:val="1"/>
      <w:numFmt w:val="bullet"/>
      <w:lvlText w:val="-"/>
      <w:lvlJc w:val="left"/>
      <w:pPr>
        <w:ind w:left="720" w:hanging="360"/>
      </w:pPr>
      <w:rPr>
        <w:rFonts w:ascii="Courier New" w:hAnsi="Courier New"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4125679F"/>
    <w:multiLevelType w:val="hybridMultilevel"/>
    <w:tmpl w:val="3738C8FC"/>
    <w:styleLink w:val="Stilimportat7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41257468"/>
    <w:multiLevelType w:val="hybridMultilevel"/>
    <w:tmpl w:val="2A5C9268"/>
    <w:styleLink w:val="ImportedStyle102"/>
    <w:lvl w:ilvl="0" w:tplc="3D404784">
      <w:start w:val="1"/>
      <w:numFmt w:val="upperRoman"/>
      <w:lvlText w:val="%1."/>
      <w:lvlJc w:val="left"/>
      <w:pPr>
        <w:ind w:left="720" w:hanging="360"/>
      </w:pPr>
      <w:rPr>
        <w:rFonts w:ascii="Arial" w:eastAsia="Arial" w:hAnsi="Arial" w:cs="Arial"/>
        <w:b/>
        <w:bCs/>
        <w:i w:val="0"/>
        <w:iCs w:val="0"/>
        <w:caps w:val="0"/>
        <w:smallCaps w:val="0"/>
        <w:strike w:val="0"/>
        <w:dstrike w:val="0"/>
        <w:color w:val="000000"/>
        <w:spacing w:val="0"/>
        <w:w w:val="100"/>
        <w:kern w:val="0"/>
        <w:position w:val="0"/>
        <w:highlight w:val="none"/>
        <w:vertAlign w:val="baseline"/>
      </w:rPr>
    </w:lvl>
    <w:lvl w:ilvl="1" w:tplc="03F8AAC2">
      <w:start w:val="1"/>
      <w:numFmt w:val="lowerLetter"/>
      <w:lvlText w:val="%2)"/>
      <w:lvlJc w:val="left"/>
      <w:pPr>
        <w:ind w:left="567" w:hanging="360"/>
      </w:pPr>
      <w:rPr>
        <w:rFonts w:hAnsi="Arial Unicode MS"/>
        <w:caps w:val="0"/>
        <w:smallCaps w:val="0"/>
        <w:strike w:val="0"/>
        <w:dstrike w:val="0"/>
        <w:color w:val="000000"/>
        <w:spacing w:val="0"/>
        <w:w w:val="100"/>
        <w:kern w:val="0"/>
        <w:position w:val="0"/>
        <w:highlight w:val="none"/>
        <w:vertAlign w:val="baseline"/>
      </w:rPr>
    </w:lvl>
    <w:lvl w:ilvl="2" w:tplc="5EC053BC">
      <w:start w:val="1"/>
      <w:numFmt w:val="lowerRoman"/>
      <w:lvlText w:val="%3."/>
      <w:lvlJc w:val="left"/>
      <w:pPr>
        <w:ind w:left="1287" w:hanging="284"/>
      </w:pPr>
      <w:rPr>
        <w:rFonts w:hAnsi="Arial Unicode MS"/>
        <w:caps w:val="0"/>
        <w:smallCaps w:val="0"/>
        <w:strike w:val="0"/>
        <w:dstrike w:val="0"/>
        <w:color w:val="000000"/>
        <w:spacing w:val="0"/>
        <w:w w:val="100"/>
        <w:kern w:val="0"/>
        <w:position w:val="0"/>
        <w:highlight w:val="none"/>
        <w:vertAlign w:val="baseline"/>
      </w:rPr>
    </w:lvl>
    <w:lvl w:ilvl="3" w:tplc="C938180C">
      <w:start w:val="1"/>
      <w:numFmt w:val="decimal"/>
      <w:lvlText w:val="%4."/>
      <w:lvlJc w:val="left"/>
      <w:pPr>
        <w:ind w:left="2007" w:hanging="360"/>
      </w:pPr>
      <w:rPr>
        <w:rFonts w:hAnsi="Arial Unicode MS"/>
        <w:caps w:val="0"/>
        <w:smallCaps w:val="0"/>
        <w:strike w:val="0"/>
        <w:dstrike w:val="0"/>
        <w:color w:val="000000"/>
        <w:spacing w:val="0"/>
        <w:w w:val="100"/>
        <w:kern w:val="0"/>
        <w:position w:val="0"/>
        <w:highlight w:val="none"/>
        <w:vertAlign w:val="baseline"/>
      </w:rPr>
    </w:lvl>
    <w:lvl w:ilvl="4" w:tplc="CD2E10A2">
      <w:start w:val="1"/>
      <w:numFmt w:val="lowerLetter"/>
      <w:lvlText w:val="%5."/>
      <w:lvlJc w:val="left"/>
      <w:pPr>
        <w:ind w:left="2727" w:hanging="360"/>
      </w:pPr>
      <w:rPr>
        <w:rFonts w:hAnsi="Arial Unicode MS"/>
        <w:caps w:val="0"/>
        <w:smallCaps w:val="0"/>
        <w:strike w:val="0"/>
        <w:dstrike w:val="0"/>
        <w:color w:val="000000"/>
        <w:spacing w:val="0"/>
        <w:w w:val="100"/>
        <w:kern w:val="0"/>
        <w:position w:val="0"/>
        <w:highlight w:val="none"/>
        <w:vertAlign w:val="baseline"/>
      </w:rPr>
    </w:lvl>
    <w:lvl w:ilvl="5" w:tplc="52561468">
      <w:start w:val="1"/>
      <w:numFmt w:val="lowerRoman"/>
      <w:lvlText w:val="%6."/>
      <w:lvlJc w:val="left"/>
      <w:pPr>
        <w:ind w:left="3447" w:hanging="284"/>
      </w:pPr>
      <w:rPr>
        <w:rFonts w:hAnsi="Arial Unicode MS"/>
        <w:caps w:val="0"/>
        <w:smallCaps w:val="0"/>
        <w:strike w:val="0"/>
        <w:dstrike w:val="0"/>
        <w:color w:val="000000"/>
        <w:spacing w:val="0"/>
        <w:w w:val="100"/>
        <w:kern w:val="0"/>
        <w:position w:val="0"/>
        <w:highlight w:val="none"/>
        <w:vertAlign w:val="baseline"/>
      </w:rPr>
    </w:lvl>
    <w:lvl w:ilvl="6" w:tplc="4D204FD8">
      <w:start w:val="1"/>
      <w:numFmt w:val="decimal"/>
      <w:lvlText w:val="%7."/>
      <w:lvlJc w:val="left"/>
      <w:pPr>
        <w:ind w:left="4167" w:hanging="360"/>
      </w:pPr>
      <w:rPr>
        <w:rFonts w:hAnsi="Arial Unicode MS"/>
        <w:caps w:val="0"/>
        <w:smallCaps w:val="0"/>
        <w:strike w:val="0"/>
        <w:dstrike w:val="0"/>
        <w:color w:val="000000"/>
        <w:spacing w:val="0"/>
        <w:w w:val="100"/>
        <w:kern w:val="0"/>
        <w:position w:val="0"/>
        <w:highlight w:val="none"/>
        <w:vertAlign w:val="baseline"/>
      </w:rPr>
    </w:lvl>
    <w:lvl w:ilvl="7" w:tplc="8A5ECF62">
      <w:start w:val="1"/>
      <w:numFmt w:val="lowerLetter"/>
      <w:lvlText w:val="%8."/>
      <w:lvlJc w:val="left"/>
      <w:pPr>
        <w:ind w:left="4887" w:hanging="360"/>
      </w:pPr>
      <w:rPr>
        <w:rFonts w:hAnsi="Arial Unicode MS"/>
        <w:caps w:val="0"/>
        <w:smallCaps w:val="0"/>
        <w:strike w:val="0"/>
        <w:dstrike w:val="0"/>
        <w:color w:val="000000"/>
        <w:spacing w:val="0"/>
        <w:w w:val="100"/>
        <w:kern w:val="0"/>
        <w:position w:val="0"/>
        <w:highlight w:val="none"/>
        <w:vertAlign w:val="baseline"/>
      </w:rPr>
    </w:lvl>
    <w:lvl w:ilvl="8" w:tplc="724AFDC4">
      <w:start w:val="1"/>
      <w:numFmt w:val="lowerRoman"/>
      <w:lvlText w:val="%9."/>
      <w:lvlJc w:val="left"/>
      <w:pPr>
        <w:ind w:left="5607" w:hanging="284"/>
      </w:pPr>
      <w:rPr>
        <w:rFonts w:hAnsi="Arial Unicode MS"/>
        <w:caps w:val="0"/>
        <w:smallCaps w:val="0"/>
        <w:strike w:val="0"/>
        <w:dstrike w:val="0"/>
        <w:color w:val="000000"/>
        <w:spacing w:val="0"/>
        <w:w w:val="100"/>
        <w:kern w:val="0"/>
        <w:position w:val="0"/>
        <w:highlight w:val="none"/>
        <w:vertAlign w:val="baseline"/>
      </w:rPr>
    </w:lvl>
  </w:abstractNum>
  <w:abstractNum w:abstractNumId="282" w15:restartNumberingAfterBreak="0">
    <w:nsid w:val="412862D2"/>
    <w:multiLevelType w:val="hybridMultilevel"/>
    <w:tmpl w:val="9D00B02C"/>
    <w:styleLink w:val="ImportedStyle33"/>
    <w:lvl w:ilvl="0" w:tplc="08807B4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F0031C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620C3D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2C6092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32B7E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AC205A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7FCCE7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86835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8E9AD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3" w15:restartNumberingAfterBreak="0">
    <w:nsid w:val="414F3EF6"/>
    <w:multiLevelType w:val="hybridMultilevel"/>
    <w:tmpl w:val="32428B2E"/>
    <w:styleLink w:val="ImportedStyle8322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41D41E06"/>
    <w:multiLevelType w:val="hybridMultilevel"/>
    <w:tmpl w:val="24C60546"/>
    <w:styleLink w:val="ImportedStyle161"/>
    <w:lvl w:ilvl="0" w:tplc="C5A26C6C">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E5E4127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B7D2657E">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03DED154">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1E2817C">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11FEC0AA">
      <w:start w:val="1"/>
      <w:numFmt w:val="bullet"/>
      <w:lvlText w:val="-"/>
      <w:lvlJc w:val="left"/>
      <w:pPr>
        <w:ind w:left="21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E3A6E2A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752EC0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2A0EC312">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285" w15:restartNumberingAfterBreak="0">
    <w:nsid w:val="42661199"/>
    <w:multiLevelType w:val="hybridMultilevel"/>
    <w:tmpl w:val="99FC0114"/>
    <w:lvl w:ilvl="0" w:tplc="E9F61410">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86" w15:restartNumberingAfterBreak="0">
    <w:nsid w:val="42700CE4"/>
    <w:multiLevelType w:val="hybridMultilevel"/>
    <w:tmpl w:val="60786646"/>
    <w:styleLink w:val="ImportedStyle200"/>
    <w:lvl w:ilvl="0" w:tplc="E250C9D4">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4F4A5FE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F4B6967E">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F6DAD5E6">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572823B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F025DE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6D7456C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A93C13E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C41AC00A">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287" w15:restartNumberingAfterBreak="0">
    <w:nsid w:val="43C5129D"/>
    <w:multiLevelType w:val="hybridMultilevel"/>
    <w:tmpl w:val="71C879C0"/>
    <w:styleLink w:val="Stilimportat4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43D8098D"/>
    <w:multiLevelType w:val="hybridMultilevel"/>
    <w:tmpl w:val="17AA42F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440C3BB4"/>
    <w:multiLevelType w:val="hybridMultilevel"/>
    <w:tmpl w:val="699C05B4"/>
    <w:styleLink w:val="Stilimportat7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44441A24"/>
    <w:multiLevelType w:val="hybridMultilevel"/>
    <w:tmpl w:val="38A8CD9C"/>
    <w:styleLink w:val="ImportedStyle56"/>
    <w:lvl w:ilvl="0" w:tplc="5E00BBEC">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FAFA018A">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6CDA4AA2">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7AA8EB7C">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A7A2649A">
      <w:start w:val="1"/>
      <w:numFmt w:val="bullet"/>
      <w:lvlText w:val="-"/>
      <w:lvlJc w:val="left"/>
      <w:pPr>
        <w:ind w:left="32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D2BAAE62">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94F85C5A">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84761BD4">
      <w:start w:val="1"/>
      <w:numFmt w:val="bullet"/>
      <w:lvlText w:val="-"/>
      <w:lvlJc w:val="left"/>
      <w:pPr>
        <w:ind w:left="54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E57A3042">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291" w15:restartNumberingAfterBreak="0">
    <w:nsid w:val="44541AFA"/>
    <w:multiLevelType w:val="hybridMultilevel"/>
    <w:tmpl w:val="EDD6DAD8"/>
    <w:styleLink w:val="ImportedStyle11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2" w15:restartNumberingAfterBreak="0">
    <w:nsid w:val="445832E3"/>
    <w:multiLevelType w:val="hybridMultilevel"/>
    <w:tmpl w:val="E8DA7EB8"/>
    <w:styleLink w:val="Stilimportat5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44D15AD8"/>
    <w:multiLevelType w:val="hybridMultilevel"/>
    <w:tmpl w:val="9C447F0A"/>
    <w:styleLink w:val="ImportedStyle64"/>
    <w:lvl w:ilvl="0" w:tplc="261A3124">
      <w:start w:val="1"/>
      <w:numFmt w:val="bullet"/>
      <w:lvlText w:val="·"/>
      <w:lvlJc w:val="left"/>
      <w:pPr>
        <w:ind w:left="175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C3AA27C">
      <w:start w:val="1"/>
      <w:numFmt w:val="bullet"/>
      <w:lvlText w:val="o"/>
      <w:lvlJc w:val="left"/>
      <w:pPr>
        <w:ind w:left="247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338B2A0">
      <w:start w:val="1"/>
      <w:numFmt w:val="bullet"/>
      <w:lvlText w:val="▪"/>
      <w:lvlJc w:val="left"/>
      <w:pPr>
        <w:ind w:left="319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7123AAE">
      <w:start w:val="1"/>
      <w:numFmt w:val="bullet"/>
      <w:lvlText w:val="·"/>
      <w:lvlJc w:val="left"/>
      <w:pPr>
        <w:ind w:left="391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5F450D8">
      <w:start w:val="1"/>
      <w:numFmt w:val="bullet"/>
      <w:lvlText w:val="o"/>
      <w:lvlJc w:val="left"/>
      <w:pPr>
        <w:ind w:left="463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BBA0074">
      <w:start w:val="1"/>
      <w:numFmt w:val="bullet"/>
      <w:lvlText w:val="▪"/>
      <w:lvlJc w:val="left"/>
      <w:pPr>
        <w:ind w:left="535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9AE6B9C">
      <w:start w:val="1"/>
      <w:numFmt w:val="bullet"/>
      <w:lvlText w:val="·"/>
      <w:lvlJc w:val="left"/>
      <w:pPr>
        <w:ind w:left="6075"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7505E16">
      <w:start w:val="1"/>
      <w:numFmt w:val="bullet"/>
      <w:lvlText w:val="o"/>
      <w:lvlJc w:val="left"/>
      <w:pPr>
        <w:ind w:left="679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0F83F46">
      <w:start w:val="1"/>
      <w:numFmt w:val="bullet"/>
      <w:lvlText w:val="▪"/>
      <w:lvlJc w:val="left"/>
      <w:pPr>
        <w:ind w:left="7515"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94" w15:restartNumberingAfterBreak="0">
    <w:nsid w:val="4580068B"/>
    <w:multiLevelType w:val="hybridMultilevel"/>
    <w:tmpl w:val="422C1834"/>
    <w:lvl w:ilvl="0" w:tplc="E9F61410">
      <w:start w:val="1"/>
      <w:numFmt w:val="bullet"/>
      <w:lvlText w:val=""/>
      <w:lvlJc w:val="left"/>
      <w:pPr>
        <w:tabs>
          <w:tab w:val="num" w:pos="765"/>
        </w:tabs>
        <w:ind w:left="765" w:hanging="34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5" w15:restartNumberingAfterBreak="0">
    <w:nsid w:val="45BB510E"/>
    <w:multiLevelType w:val="hybridMultilevel"/>
    <w:tmpl w:val="7D743B8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15:restartNumberingAfterBreak="0">
    <w:nsid w:val="45F34D06"/>
    <w:multiLevelType w:val="hybridMultilevel"/>
    <w:tmpl w:val="4420E0A2"/>
    <w:styleLink w:val="ImportedStyle46"/>
    <w:lvl w:ilvl="0" w:tplc="23CA6A56">
      <w:start w:val="1"/>
      <w:numFmt w:val="upperRoman"/>
      <w:lvlText w:val="%1."/>
      <w:lvlJc w:val="left"/>
      <w:pPr>
        <w:ind w:left="1115" w:hanging="720"/>
      </w:pPr>
      <w:rPr>
        <w:rFonts w:hAnsi="Arial Unicode MS"/>
        <w:caps w:val="0"/>
        <w:smallCaps w:val="0"/>
        <w:strike w:val="0"/>
        <w:dstrike w:val="0"/>
        <w:spacing w:val="0"/>
        <w:w w:val="100"/>
        <w:kern w:val="0"/>
        <w:position w:val="0"/>
        <w:highlight w:val="none"/>
        <w:vertAlign w:val="baseline"/>
      </w:rPr>
    </w:lvl>
    <w:lvl w:ilvl="1" w:tplc="D56C4620">
      <w:start w:val="1"/>
      <w:numFmt w:val="lowerLetter"/>
      <w:lvlText w:val="%2."/>
      <w:lvlJc w:val="left"/>
      <w:pPr>
        <w:ind w:left="1475" w:hanging="360"/>
      </w:pPr>
      <w:rPr>
        <w:rFonts w:hAnsi="Arial Unicode MS"/>
        <w:caps w:val="0"/>
        <w:smallCaps w:val="0"/>
        <w:strike w:val="0"/>
        <w:dstrike w:val="0"/>
        <w:spacing w:val="0"/>
        <w:w w:val="100"/>
        <w:kern w:val="0"/>
        <w:position w:val="0"/>
        <w:highlight w:val="none"/>
        <w:vertAlign w:val="baseline"/>
      </w:rPr>
    </w:lvl>
    <w:lvl w:ilvl="2" w:tplc="AE2A1F24">
      <w:start w:val="1"/>
      <w:numFmt w:val="lowerRoman"/>
      <w:lvlText w:val="%3."/>
      <w:lvlJc w:val="left"/>
      <w:pPr>
        <w:ind w:left="2195" w:hanging="313"/>
      </w:pPr>
      <w:rPr>
        <w:rFonts w:hAnsi="Arial Unicode MS"/>
        <w:caps w:val="0"/>
        <w:smallCaps w:val="0"/>
        <w:strike w:val="0"/>
        <w:dstrike w:val="0"/>
        <w:spacing w:val="0"/>
        <w:w w:val="100"/>
        <w:kern w:val="0"/>
        <w:position w:val="0"/>
        <w:highlight w:val="none"/>
        <w:vertAlign w:val="baseline"/>
      </w:rPr>
    </w:lvl>
    <w:lvl w:ilvl="3" w:tplc="2ACAF85E">
      <w:start w:val="1"/>
      <w:numFmt w:val="decimal"/>
      <w:lvlText w:val="%4."/>
      <w:lvlJc w:val="left"/>
      <w:pPr>
        <w:ind w:left="2915" w:hanging="360"/>
      </w:pPr>
      <w:rPr>
        <w:rFonts w:hAnsi="Arial Unicode MS"/>
        <w:caps w:val="0"/>
        <w:smallCaps w:val="0"/>
        <w:strike w:val="0"/>
        <w:dstrike w:val="0"/>
        <w:spacing w:val="0"/>
        <w:w w:val="100"/>
        <w:kern w:val="0"/>
        <w:position w:val="0"/>
        <w:highlight w:val="none"/>
        <w:vertAlign w:val="baseline"/>
      </w:rPr>
    </w:lvl>
    <w:lvl w:ilvl="4" w:tplc="EE92FA6A">
      <w:start w:val="1"/>
      <w:numFmt w:val="lowerLetter"/>
      <w:lvlText w:val="%5."/>
      <w:lvlJc w:val="left"/>
      <w:pPr>
        <w:ind w:left="3635" w:hanging="360"/>
      </w:pPr>
      <w:rPr>
        <w:rFonts w:hAnsi="Arial Unicode MS"/>
        <w:caps w:val="0"/>
        <w:smallCaps w:val="0"/>
        <w:strike w:val="0"/>
        <w:dstrike w:val="0"/>
        <w:spacing w:val="0"/>
        <w:w w:val="100"/>
        <w:kern w:val="0"/>
        <w:position w:val="0"/>
        <w:highlight w:val="none"/>
        <w:vertAlign w:val="baseline"/>
      </w:rPr>
    </w:lvl>
    <w:lvl w:ilvl="5" w:tplc="735CEFF8">
      <w:start w:val="1"/>
      <w:numFmt w:val="lowerRoman"/>
      <w:lvlText w:val="%6."/>
      <w:lvlJc w:val="left"/>
      <w:pPr>
        <w:ind w:left="4355" w:hanging="313"/>
      </w:pPr>
      <w:rPr>
        <w:rFonts w:hAnsi="Arial Unicode MS"/>
        <w:caps w:val="0"/>
        <w:smallCaps w:val="0"/>
        <w:strike w:val="0"/>
        <w:dstrike w:val="0"/>
        <w:spacing w:val="0"/>
        <w:w w:val="100"/>
        <w:kern w:val="0"/>
        <w:position w:val="0"/>
        <w:highlight w:val="none"/>
        <w:vertAlign w:val="baseline"/>
      </w:rPr>
    </w:lvl>
    <w:lvl w:ilvl="6" w:tplc="C1C8BED6">
      <w:start w:val="1"/>
      <w:numFmt w:val="decimal"/>
      <w:lvlText w:val="%7."/>
      <w:lvlJc w:val="left"/>
      <w:pPr>
        <w:ind w:left="5075" w:hanging="360"/>
      </w:pPr>
      <w:rPr>
        <w:rFonts w:hAnsi="Arial Unicode MS"/>
        <w:caps w:val="0"/>
        <w:smallCaps w:val="0"/>
        <w:strike w:val="0"/>
        <w:dstrike w:val="0"/>
        <w:spacing w:val="0"/>
        <w:w w:val="100"/>
        <w:kern w:val="0"/>
        <w:position w:val="0"/>
        <w:highlight w:val="none"/>
        <w:vertAlign w:val="baseline"/>
      </w:rPr>
    </w:lvl>
    <w:lvl w:ilvl="7" w:tplc="9B42B2BE">
      <w:start w:val="1"/>
      <w:numFmt w:val="lowerLetter"/>
      <w:lvlText w:val="%8."/>
      <w:lvlJc w:val="left"/>
      <w:pPr>
        <w:ind w:left="5795" w:hanging="360"/>
      </w:pPr>
      <w:rPr>
        <w:rFonts w:hAnsi="Arial Unicode MS"/>
        <w:caps w:val="0"/>
        <w:smallCaps w:val="0"/>
        <w:strike w:val="0"/>
        <w:dstrike w:val="0"/>
        <w:spacing w:val="0"/>
        <w:w w:val="100"/>
        <w:kern w:val="0"/>
        <w:position w:val="0"/>
        <w:highlight w:val="none"/>
        <w:vertAlign w:val="baseline"/>
      </w:rPr>
    </w:lvl>
    <w:lvl w:ilvl="8" w:tplc="DB0260F0">
      <w:start w:val="1"/>
      <w:numFmt w:val="lowerRoman"/>
      <w:lvlText w:val="%9."/>
      <w:lvlJc w:val="left"/>
      <w:pPr>
        <w:ind w:left="6515" w:hanging="313"/>
      </w:pPr>
      <w:rPr>
        <w:rFonts w:hAnsi="Arial Unicode MS"/>
        <w:caps w:val="0"/>
        <w:smallCaps w:val="0"/>
        <w:strike w:val="0"/>
        <w:dstrike w:val="0"/>
        <w:spacing w:val="0"/>
        <w:w w:val="100"/>
        <w:kern w:val="0"/>
        <w:position w:val="0"/>
        <w:highlight w:val="none"/>
        <w:vertAlign w:val="baseline"/>
      </w:rPr>
    </w:lvl>
  </w:abstractNum>
  <w:abstractNum w:abstractNumId="297" w15:restartNumberingAfterBreak="0">
    <w:nsid w:val="46271BF8"/>
    <w:multiLevelType w:val="multilevel"/>
    <w:tmpl w:val="F22C38C8"/>
    <w:styleLink w:val="ImportedStyle83241"/>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98" w15:restartNumberingAfterBreak="0">
    <w:nsid w:val="463C3F24"/>
    <w:multiLevelType w:val="hybridMultilevel"/>
    <w:tmpl w:val="ECA649C0"/>
    <w:styleLink w:val="ImportedStyle80"/>
    <w:lvl w:ilvl="0" w:tplc="B1BAB5D2">
      <w:start w:val="1"/>
      <w:numFmt w:val="bullet"/>
      <w:lvlText w:val="-"/>
      <w:lvlJc w:val="left"/>
      <w:pPr>
        <w:ind w:left="70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B5A28230">
      <w:start w:val="1"/>
      <w:numFmt w:val="bullet"/>
      <w:lvlText w:val="o"/>
      <w:lvlJc w:val="left"/>
      <w:pPr>
        <w:ind w:left="142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0D3E7100">
      <w:start w:val="1"/>
      <w:numFmt w:val="bullet"/>
      <w:lvlText w:val="▪"/>
      <w:lvlJc w:val="left"/>
      <w:pPr>
        <w:ind w:left="214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A67EE43C">
      <w:start w:val="1"/>
      <w:numFmt w:val="bullet"/>
      <w:lvlText w:val="•"/>
      <w:lvlJc w:val="left"/>
      <w:pPr>
        <w:ind w:left="286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4D8C5D92">
      <w:start w:val="1"/>
      <w:numFmt w:val="bullet"/>
      <w:lvlText w:val="o"/>
      <w:lvlJc w:val="left"/>
      <w:pPr>
        <w:ind w:left="358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3C7E390C">
      <w:start w:val="1"/>
      <w:numFmt w:val="bullet"/>
      <w:lvlText w:val="▪"/>
      <w:lvlJc w:val="left"/>
      <w:pPr>
        <w:ind w:left="430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F738D24E">
      <w:start w:val="1"/>
      <w:numFmt w:val="bullet"/>
      <w:lvlText w:val="•"/>
      <w:lvlJc w:val="left"/>
      <w:pPr>
        <w:ind w:left="502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70341660">
      <w:start w:val="1"/>
      <w:numFmt w:val="bullet"/>
      <w:lvlText w:val="o"/>
      <w:lvlJc w:val="left"/>
      <w:pPr>
        <w:ind w:left="574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AACCDAD0">
      <w:start w:val="1"/>
      <w:numFmt w:val="bullet"/>
      <w:lvlText w:val="▪"/>
      <w:lvlJc w:val="left"/>
      <w:pPr>
        <w:ind w:left="6469"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299" w15:restartNumberingAfterBreak="0">
    <w:nsid w:val="464223FA"/>
    <w:multiLevelType w:val="hybridMultilevel"/>
    <w:tmpl w:val="97FE97D4"/>
    <w:styleLink w:val="Stilimportat41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0" w15:restartNumberingAfterBreak="0">
    <w:nsid w:val="46CE7ECF"/>
    <w:multiLevelType w:val="hybridMultilevel"/>
    <w:tmpl w:val="DB5E1E6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47025554"/>
    <w:multiLevelType w:val="multilevel"/>
    <w:tmpl w:val="30744F76"/>
    <w:styleLink w:val="Stilimportat11111111"/>
    <w:lvl w:ilvl="0">
      <w:start w:val="1"/>
      <w:numFmt w:val="bullet"/>
      <w:lvlText w:val="-"/>
      <w:lvlJc w:val="left"/>
      <w:pPr>
        <w:tabs>
          <w:tab w:val="num" w:pos="0"/>
        </w:tabs>
        <w:ind w:left="0" w:firstLine="0"/>
      </w:pPr>
      <w:rPr>
        <w:rFonts w:ascii="Courier New" w:hAnsi="Courier New" w:hint="default"/>
      </w:rPr>
    </w:lvl>
    <w:lvl w:ilvl="1">
      <w:start w:val="1"/>
      <w:numFmt w:val="bullet"/>
      <w:lvlText w:val="-"/>
      <w:lvlJc w:val="left"/>
      <w:pPr>
        <w:tabs>
          <w:tab w:val="num" w:pos="1080"/>
        </w:tabs>
        <w:ind w:left="1080" w:hanging="360"/>
      </w:pPr>
      <w:rPr>
        <w:rFonts w:ascii="Courier New" w:hAnsi="Courier New" w:hint="default"/>
      </w:rPr>
    </w:lvl>
    <w:lvl w:ilvl="2">
      <w:start w:val="1"/>
      <w:numFmt w:val="bullet"/>
      <w:lvlText w:val="-"/>
      <w:lvlJc w:val="left"/>
      <w:pPr>
        <w:tabs>
          <w:tab w:val="num" w:pos="1440"/>
        </w:tabs>
        <w:ind w:left="1440" w:hanging="360"/>
      </w:pPr>
      <w:rPr>
        <w:rFonts w:ascii="Courier New" w:hAnsi="Courier New" w:hint="default"/>
      </w:rPr>
    </w:lvl>
    <w:lvl w:ilvl="3">
      <w:start w:val="1"/>
      <w:numFmt w:val="bullet"/>
      <w:lvlText w:val="-"/>
      <w:lvlJc w:val="left"/>
      <w:pPr>
        <w:tabs>
          <w:tab w:val="num" w:pos="1800"/>
        </w:tabs>
        <w:ind w:left="1800" w:hanging="360"/>
      </w:pPr>
      <w:rPr>
        <w:rFonts w:ascii="Courier New" w:hAnsi="Courier New" w:hint="default"/>
      </w:rPr>
    </w:lvl>
    <w:lvl w:ilvl="4">
      <w:start w:val="1"/>
      <w:numFmt w:val="bullet"/>
      <w:lvlText w:val="-"/>
      <w:lvlJc w:val="left"/>
      <w:pPr>
        <w:tabs>
          <w:tab w:val="num" w:pos="2160"/>
        </w:tabs>
        <w:ind w:left="2160" w:hanging="360"/>
      </w:pPr>
      <w:rPr>
        <w:rFonts w:ascii="Courier New" w:hAnsi="Courier New"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302" w15:restartNumberingAfterBreak="0">
    <w:nsid w:val="47152980"/>
    <w:multiLevelType w:val="hybridMultilevel"/>
    <w:tmpl w:val="C17C6CF8"/>
    <w:styleLink w:val="ImportedStyle1151111111"/>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47B52F8E"/>
    <w:multiLevelType w:val="hybridMultilevel"/>
    <w:tmpl w:val="1A9C4AC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47EE2DA6"/>
    <w:multiLevelType w:val="hybridMultilevel"/>
    <w:tmpl w:val="E828E51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47EF56E3"/>
    <w:multiLevelType w:val="hybridMultilevel"/>
    <w:tmpl w:val="FFBC719E"/>
    <w:lvl w:ilvl="0" w:tplc="2C0051C4">
      <w:numFmt w:val="bullet"/>
      <w:lvlText w:val="-"/>
      <w:lvlJc w:val="left"/>
      <w:pPr>
        <w:ind w:left="1249" w:hanging="425"/>
      </w:pPr>
      <w:rPr>
        <w:rFonts w:ascii="Courier New" w:eastAsia="Courier New" w:hAnsi="Courier New" w:cs="Courier New" w:hint="default"/>
        <w:b w:val="0"/>
        <w:bCs w:val="0"/>
        <w:i w:val="0"/>
        <w:iCs w:val="0"/>
        <w:w w:val="100"/>
        <w:sz w:val="24"/>
        <w:szCs w:val="24"/>
      </w:rPr>
    </w:lvl>
    <w:lvl w:ilvl="1" w:tplc="5FE8D760">
      <w:numFmt w:val="bullet"/>
      <w:lvlText w:val="•"/>
      <w:lvlJc w:val="left"/>
      <w:pPr>
        <w:ind w:left="2080" w:hanging="425"/>
      </w:pPr>
      <w:rPr>
        <w:rFonts w:hint="default"/>
      </w:rPr>
    </w:lvl>
    <w:lvl w:ilvl="2" w:tplc="3582324C">
      <w:numFmt w:val="bullet"/>
      <w:lvlText w:val="•"/>
      <w:lvlJc w:val="left"/>
      <w:pPr>
        <w:ind w:left="2920" w:hanging="425"/>
      </w:pPr>
      <w:rPr>
        <w:rFonts w:hint="default"/>
      </w:rPr>
    </w:lvl>
    <w:lvl w:ilvl="3" w:tplc="1D9A043A">
      <w:numFmt w:val="bullet"/>
      <w:lvlText w:val="•"/>
      <w:lvlJc w:val="left"/>
      <w:pPr>
        <w:ind w:left="3760" w:hanging="425"/>
      </w:pPr>
      <w:rPr>
        <w:rFonts w:hint="default"/>
      </w:rPr>
    </w:lvl>
    <w:lvl w:ilvl="4" w:tplc="74707B50">
      <w:numFmt w:val="bullet"/>
      <w:lvlText w:val="•"/>
      <w:lvlJc w:val="left"/>
      <w:pPr>
        <w:ind w:left="4600" w:hanging="425"/>
      </w:pPr>
      <w:rPr>
        <w:rFonts w:hint="default"/>
      </w:rPr>
    </w:lvl>
    <w:lvl w:ilvl="5" w:tplc="1250D94A">
      <w:numFmt w:val="bullet"/>
      <w:lvlText w:val="•"/>
      <w:lvlJc w:val="left"/>
      <w:pPr>
        <w:ind w:left="5440" w:hanging="425"/>
      </w:pPr>
      <w:rPr>
        <w:rFonts w:hint="default"/>
      </w:rPr>
    </w:lvl>
    <w:lvl w:ilvl="6" w:tplc="68A2A9DC">
      <w:numFmt w:val="bullet"/>
      <w:lvlText w:val="•"/>
      <w:lvlJc w:val="left"/>
      <w:pPr>
        <w:ind w:left="6280" w:hanging="425"/>
      </w:pPr>
      <w:rPr>
        <w:rFonts w:hint="default"/>
      </w:rPr>
    </w:lvl>
    <w:lvl w:ilvl="7" w:tplc="EC96C43E">
      <w:numFmt w:val="bullet"/>
      <w:lvlText w:val="•"/>
      <w:lvlJc w:val="left"/>
      <w:pPr>
        <w:ind w:left="7120" w:hanging="425"/>
      </w:pPr>
      <w:rPr>
        <w:rFonts w:hint="default"/>
      </w:rPr>
    </w:lvl>
    <w:lvl w:ilvl="8" w:tplc="FDF2C49C">
      <w:numFmt w:val="bullet"/>
      <w:lvlText w:val="•"/>
      <w:lvlJc w:val="left"/>
      <w:pPr>
        <w:ind w:left="7960" w:hanging="425"/>
      </w:pPr>
      <w:rPr>
        <w:rFonts w:hint="default"/>
      </w:rPr>
    </w:lvl>
  </w:abstractNum>
  <w:abstractNum w:abstractNumId="306" w15:restartNumberingAfterBreak="0">
    <w:nsid w:val="47FCE550"/>
    <w:multiLevelType w:val="multilevel"/>
    <w:tmpl w:val="FFFFFFFF"/>
    <w:styleLink w:val="Stilimportat53111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307" w15:restartNumberingAfterBreak="0">
    <w:nsid w:val="488B3BA2"/>
    <w:multiLevelType w:val="hybridMultilevel"/>
    <w:tmpl w:val="E9BC973C"/>
    <w:lvl w:ilvl="0" w:tplc="0418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8" w15:restartNumberingAfterBreak="0">
    <w:nsid w:val="488D7EC3"/>
    <w:multiLevelType w:val="hybridMultilevel"/>
    <w:tmpl w:val="B30E91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15:restartNumberingAfterBreak="0">
    <w:nsid w:val="48B21D0A"/>
    <w:multiLevelType w:val="hybridMultilevel"/>
    <w:tmpl w:val="88AA41B0"/>
    <w:styleLink w:val="Stilimportat2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48DD79D2"/>
    <w:multiLevelType w:val="hybridMultilevel"/>
    <w:tmpl w:val="6AB88836"/>
    <w:styleLink w:val="Stilimportat4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48FF11FD"/>
    <w:multiLevelType w:val="hybridMultilevel"/>
    <w:tmpl w:val="784EB702"/>
    <w:styleLink w:val="ImportedStyle2522"/>
    <w:lvl w:ilvl="0" w:tplc="3E88685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D086B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87CF3DC">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AC33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4D3E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7A8D2A">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7A4AF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328B9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FE09C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2" w15:restartNumberingAfterBreak="0">
    <w:nsid w:val="493246CC"/>
    <w:multiLevelType w:val="hybridMultilevel"/>
    <w:tmpl w:val="7AF47EA8"/>
    <w:styleLink w:val="ImportedStyle351"/>
    <w:lvl w:ilvl="0" w:tplc="854A022A">
      <w:start w:val="1"/>
      <w:numFmt w:val="bullet"/>
      <w:lvlText w:val="-"/>
      <w:lvlJc w:val="left"/>
      <w:pPr>
        <w:ind w:left="56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3CC80F50">
      <w:start w:val="1"/>
      <w:numFmt w:val="bullet"/>
      <w:lvlText w:val="o"/>
      <w:lvlJc w:val="left"/>
      <w:pPr>
        <w:ind w:left="128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BAD28B24">
      <w:start w:val="1"/>
      <w:numFmt w:val="bullet"/>
      <w:lvlText w:val="▪"/>
      <w:lvlJc w:val="left"/>
      <w:pPr>
        <w:ind w:left="20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50D0AB0A">
      <w:start w:val="1"/>
      <w:numFmt w:val="bullet"/>
      <w:lvlText w:val="•"/>
      <w:lvlJc w:val="left"/>
      <w:pPr>
        <w:ind w:left="272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4C8E3CCE">
      <w:start w:val="1"/>
      <w:numFmt w:val="bullet"/>
      <w:lvlText w:val="o"/>
      <w:lvlJc w:val="left"/>
      <w:pPr>
        <w:ind w:left="344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5EAA322">
      <w:start w:val="1"/>
      <w:numFmt w:val="bullet"/>
      <w:lvlText w:val="▪"/>
      <w:lvlJc w:val="left"/>
      <w:pPr>
        <w:ind w:left="416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D08AE3EC">
      <w:start w:val="1"/>
      <w:numFmt w:val="bullet"/>
      <w:lvlText w:val="•"/>
      <w:lvlJc w:val="left"/>
      <w:pPr>
        <w:ind w:left="488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5284FB8C">
      <w:start w:val="1"/>
      <w:numFmt w:val="bullet"/>
      <w:lvlText w:val="o"/>
      <w:lvlJc w:val="left"/>
      <w:pPr>
        <w:ind w:left="56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8A2372A">
      <w:start w:val="1"/>
      <w:numFmt w:val="bullet"/>
      <w:lvlText w:val="▪"/>
      <w:lvlJc w:val="left"/>
      <w:pPr>
        <w:ind w:left="632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313" w15:restartNumberingAfterBreak="0">
    <w:nsid w:val="495D3FAF"/>
    <w:multiLevelType w:val="hybridMultilevel"/>
    <w:tmpl w:val="A4E4502E"/>
    <w:styleLink w:val="ImportedStyle21111111"/>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49C54BEA"/>
    <w:multiLevelType w:val="hybridMultilevel"/>
    <w:tmpl w:val="C646F75C"/>
    <w:styleLink w:val="Stilimportat432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49E5224B"/>
    <w:multiLevelType w:val="multilevel"/>
    <w:tmpl w:val="645EDDBA"/>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4A3212AF"/>
    <w:multiLevelType w:val="hybridMultilevel"/>
    <w:tmpl w:val="F886AF76"/>
    <w:styleLink w:val="Stilimportat2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4A3B06DB"/>
    <w:multiLevelType w:val="hybridMultilevel"/>
    <w:tmpl w:val="41D63120"/>
    <w:styleLink w:val="ImportedStyle33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4A8F1A7B"/>
    <w:multiLevelType w:val="hybridMultilevel"/>
    <w:tmpl w:val="4606E9FC"/>
    <w:styleLink w:val="ImportedStyle78511"/>
    <w:lvl w:ilvl="0" w:tplc="17A0DD98">
      <w:start w:val="1"/>
      <w:numFmt w:val="bullet"/>
      <w:lvlText w:val="-"/>
      <w:lvlJc w:val="left"/>
      <w:pPr>
        <w:ind w:left="75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B74C6D24">
      <w:start w:val="1"/>
      <w:numFmt w:val="bullet"/>
      <w:lvlText w:val="o"/>
      <w:lvlJc w:val="left"/>
      <w:pPr>
        <w:ind w:left="147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77B6E19C">
      <w:start w:val="1"/>
      <w:numFmt w:val="bullet"/>
      <w:lvlText w:val="▪"/>
      <w:lvlJc w:val="left"/>
      <w:pPr>
        <w:ind w:left="219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DC60D4B4">
      <w:start w:val="1"/>
      <w:numFmt w:val="bullet"/>
      <w:lvlText w:val="•"/>
      <w:lvlJc w:val="left"/>
      <w:pPr>
        <w:ind w:left="291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8CF407E2">
      <w:start w:val="1"/>
      <w:numFmt w:val="bullet"/>
      <w:lvlText w:val="o"/>
      <w:lvlJc w:val="left"/>
      <w:pPr>
        <w:ind w:left="363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E93EB28A">
      <w:start w:val="1"/>
      <w:numFmt w:val="bullet"/>
      <w:lvlText w:val="▪"/>
      <w:lvlJc w:val="left"/>
      <w:pPr>
        <w:ind w:left="435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D5FA8864">
      <w:start w:val="1"/>
      <w:numFmt w:val="bullet"/>
      <w:lvlText w:val="•"/>
      <w:lvlJc w:val="left"/>
      <w:pPr>
        <w:ind w:left="507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C41270F4">
      <w:start w:val="1"/>
      <w:numFmt w:val="bullet"/>
      <w:lvlText w:val="o"/>
      <w:lvlJc w:val="left"/>
      <w:pPr>
        <w:ind w:left="579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CFD0F7D4">
      <w:start w:val="1"/>
      <w:numFmt w:val="bullet"/>
      <w:lvlText w:val="▪"/>
      <w:lvlJc w:val="left"/>
      <w:pPr>
        <w:ind w:left="651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319" w15:restartNumberingAfterBreak="0">
    <w:nsid w:val="4AA9748C"/>
    <w:multiLevelType w:val="hybridMultilevel"/>
    <w:tmpl w:val="0F582404"/>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4B1062E0"/>
    <w:multiLevelType w:val="hybridMultilevel"/>
    <w:tmpl w:val="D132FF9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4B413AEA"/>
    <w:multiLevelType w:val="hybridMultilevel"/>
    <w:tmpl w:val="A41EAA52"/>
    <w:styleLink w:val="Stilimportat53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2" w15:restartNumberingAfterBreak="0">
    <w:nsid w:val="4CAF2C53"/>
    <w:multiLevelType w:val="hybridMultilevel"/>
    <w:tmpl w:val="4286874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4CED7104"/>
    <w:multiLevelType w:val="hybridMultilevel"/>
    <w:tmpl w:val="FB1E4888"/>
    <w:styleLink w:val="ImportedStyle23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4D600ECB"/>
    <w:multiLevelType w:val="hybridMultilevel"/>
    <w:tmpl w:val="67E89E1E"/>
    <w:styleLink w:val="ImportedStyle560"/>
    <w:lvl w:ilvl="0" w:tplc="7BC244EC">
      <w:start w:val="1"/>
      <w:numFmt w:val="decimal"/>
      <w:lvlText w:val="%1."/>
      <w:lvlJc w:val="left"/>
      <w:pPr>
        <w:ind w:left="360" w:hanging="360"/>
      </w:pPr>
      <w:rPr>
        <w:rFonts w:hAnsi="Arial Unicode MS"/>
        <w:b/>
        <w:bCs/>
        <w:i/>
        <w:iCs/>
        <w:caps w:val="0"/>
        <w:smallCaps w:val="0"/>
        <w:strike w:val="0"/>
        <w:dstrike w:val="0"/>
        <w:spacing w:val="0"/>
        <w:w w:val="100"/>
        <w:kern w:val="0"/>
        <w:position w:val="0"/>
        <w:highlight w:val="none"/>
        <w:vertAlign w:val="baseline"/>
      </w:rPr>
    </w:lvl>
    <w:lvl w:ilvl="1" w:tplc="84E4BF3A">
      <w:start w:val="1"/>
      <w:numFmt w:val="decimal"/>
      <w:lvlText w:val="%2."/>
      <w:lvlJc w:val="left"/>
      <w:pPr>
        <w:ind w:left="1170" w:hanging="360"/>
      </w:pPr>
      <w:rPr>
        <w:rFonts w:hAnsi="Arial Unicode MS"/>
        <w:b/>
        <w:bCs/>
        <w:i/>
        <w:iCs/>
        <w:caps w:val="0"/>
        <w:smallCaps w:val="0"/>
        <w:strike w:val="0"/>
        <w:dstrike w:val="0"/>
        <w:spacing w:val="0"/>
        <w:w w:val="100"/>
        <w:kern w:val="0"/>
        <w:position w:val="0"/>
        <w:highlight w:val="none"/>
        <w:vertAlign w:val="baseline"/>
      </w:rPr>
    </w:lvl>
    <w:lvl w:ilvl="2" w:tplc="CC10085C">
      <w:start w:val="1"/>
      <w:numFmt w:val="lowerLetter"/>
      <w:lvlText w:val="%3)"/>
      <w:lvlJc w:val="left"/>
      <w:pPr>
        <w:ind w:left="710" w:hanging="360"/>
      </w:pPr>
      <w:rPr>
        <w:rFonts w:hAnsi="Arial Unicode MS"/>
        <w:b/>
        <w:bCs/>
        <w:i/>
        <w:iCs/>
        <w:caps w:val="0"/>
        <w:smallCaps w:val="0"/>
        <w:strike w:val="0"/>
        <w:dstrike w:val="0"/>
        <w:spacing w:val="0"/>
        <w:w w:val="100"/>
        <w:kern w:val="0"/>
        <w:position w:val="0"/>
        <w:highlight w:val="none"/>
        <w:vertAlign w:val="baseline"/>
      </w:rPr>
    </w:lvl>
    <w:lvl w:ilvl="3" w:tplc="FD009676">
      <w:start w:val="1"/>
      <w:numFmt w:val="decimal"/>
      <w:lvlText w:val="%4."/>
      <w:lvlJc w:val="left"/>
      <w:pPr>
        <w:ind w:left="1250" w:hanging="360"/>
      </w:pPr>
      <w:rPr>
        <w:rFonts w:hAnsi="Arial Unicode MS"/>
        <w:b/>
        <w:bCs/>
        <w:i/>
        <w:iCs/>
        <w:caps w:val="0"/>
        <w:smallCaps w:val="0"/>
        <w:strike w:val="0"/>
        <w:dstrike w:val="0"/>
        <w:spacing w:val="0"/>
        <w:w w:val="100"/>
        <w:kern w:val="0"/>
        <w:position w:val="0"/>
        <w:highlight w:val="none"/>
        <w:vertAlign w:val="baseline"/>
      </w:rPr>
    </w:lvl>
    <w:lvl w:ilvl="4" w:tplc="9FB204F0">
      <w:start w:val="1"/>
      <w:numFmt w:val="lowerLetter"/>
      <w:lvlText w:val="%5."/>
      <w:lvlJc w:val="left"/>
      <w:pPr>
        <w:ind w:left="1970" w:hanging="360"/>
      </w:pPr>
      <w:rPr>
        <w:rFonts w:hAnsi="Arial Unicode MS"/>
        <w:b/>
        <w:bCs/>
        <w:i/>
        <w:iCs/>
        <w:caps w:val="0"/>
        <w:smallCaps w:val="0"/>
        <w:strike w:val="0"/>
        <w:dstrike w:val="0"/>
        <w:spacing w:val="0"/>
        <w:w w:val="100"/>
        <w:kern w:val="0"/>
        <w:position w:val="0"/>
        <w:highlight w:val="none"/>
        <w:vertAlign w:val="baseline"/>
      </w:rPr>
    </w:lvl>
    <w:lvl w:ilvl="5" w:tplc="CC44F1BC">
      <w:start w:val="1"/>
      <w:numFmt w:val="lowerRoman"/>
      <w:lvlText w:val="%6."/>
      <w:lvlJc w:val="left"/>
      <w:pPr>
        <w:ind w:left="2690" w:hanging="313"/>
      </w:pPr>
      <w:rPr>
        <w:rFonts w:hAnsi="Arial Unicode MS"/>
        <w:b/>
        <w:bCs/>
        <w:i/>
        <w:iCs/>
        <w:caps w:val="0"/>
        <w:smallCaps w:val="0"/>
        <w:strike w:val="0"/>
        <w:dstrike w:val="0"/>
        <w:spacing w:val="0"/>
        <w:w w:val="100"/>
        <w:kern w:val="0"/>
        <w:position w:val="0"/>
        <w:highlight w:val="none"/>
        <w:vertAlign w:val="baseline"/>
      </w:rPr>
    </w:lvl>
    <w:lvl w:ilvl="6" w:tplc="5C1E4566">
      <w:start w:val="1"/>
      <w:numFmt w:val="decimal"/>
      <w:lvlText w:val="%7."/>
      <w:lvlJc w:val="left"/>
      <w:pPr>
        <w:ind w:left="3410" w:hanging="360"/>
      </w:pPr>
      <w:rPr>
        <w:rFonts w:hAnsi="Arial Unicode MS"/>
        <w:b/>
        <w:bCs/>
        <w:i/>
        <w:iCs/>
        <w:caps w:val="0"/>
        <w:smallCaps w:val="0"/>
        <w:strike w:val="0"/>
        <w:dstrike w:val="0"/>
        <w:spacing w:val="0"/>
        <w:w w:val="100"/>
        <w:kern w:val="0"/>
        <w:position w:val="0"/>
        <w:highlight w:val="none"/>
        <w:vertAlign w:val="baseline"/>
      </w:rPr>
    </w:lvl>
    <w:lvl w:ilvl="7" w:tplc="ED9ADDAC">
      <w:start w:val="1"/>
      <w:numFmt w:val="lowerLetter"/>
      <w:lvlText w:val="%8."/>
      <w:lvlJc w:val="left"/>
      <w:pPr>
        <w:ind w:left="4130" w:hanging="360"/>
      </w:pPr>
      <w:rPr>
        <w:rFonts w:hAnsi="Arial Unicode MS"/>
        <w:b/>
        <w:bCs/>
        <w:i/>
        <w:iCs/>
        <w:caps w:val="0"/>
        <w:smallCaps w:val="0"/>
        <w:strike w:val="0"/>
        <w:dstrike w:val="0"/>
        <w:spacing w:val="0"/>
        <w:w w:val="100"/>
        <w:kern w:val="0"/>
        <w:position w:val="0"/>
        <w:highlight w:val="none"/>
        <w:vertAlign w:val="baseline"/>
      </w:rPr>
    </w:lvl>
    <w:lvl w:ilvl="8" w:tplc="AD180C7C">
      <w:start w:val="1"/>
      <w:numFmt w:val="lowerRoman"/>
      <w:lvlText w:val="%9."/>
      <w:lvlJc w:val="left"/>
      <w:pPr>
        <w:ind w:left="4850" w:hanging="313"/>
      </w:pPr>
      <w:rPr>
        <w:rFonts w:hAnsi="Arial Unicode MS"/>
        <w:b/>
        <w:bCs/>
        <w:i/>
        <w:iCs/>
        <w:caps w:val="0"/>
        <w:smallCaps w:val="0"/>
        <w:strike w:val="0"/>
        <w:dstrike w:val="0"/>
        <w:spacing w:val="0"/>
        <w:w w:val="100"/>
        <w:kern w:val="0"/>
        <w:position w:val="0"/>
        <w:highlight w:val="none"/>
        <w:vertAlign w:val="baseline"/>
      </w:rPr>
    </w:lvl>
  </w:abstractNum>
  <w:abstractNum w:abstractNumId="325" w15:restartNumberingAfterBreak="0">
    <w:nsid w:val="4D7E1096"/>
    <w:multiLevelType w:val="hybridMultilevel"/>
    <w:tmpl w:val="EAE62F74"/>
    <w:styleLink w:val="ImportedStyle11411211"/>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4E572C55"/>
    <w:multiLevelType w:val="hybridMultilevel"/>
    <w:tmpl w:val="1628484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4E891DC2"/>
    <w:multiLevelType w:val="hybridMultilevel"/>
    <w:tmpl w:val="F98C1468"/>
    <w:lvl w:ilvl="0" w:tplc="C4EE93FE">
      <w:start w:val="1"/>
      <w:numFmt w:val="upperRoman"/>
      <w:lvlText w:val="%1."/>
      <w:lvlJc w:val="left"/>
      <w:pPr>
        <w:ind w:left="780" w:hanging="720"/>
      </w:pPr>
      <w:rPr>
        <w:rFonts w:hint="default"/>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328" w15:restartNumberingAfterBreak="0">
    <w:nsid w:val="4F2E6191"/>
    <w:multiLevelType w:val="hybridMultilevel"/>
    <w:tmpl w:val="61FA19E8"/>
    <w:lvl w:ilvl="0" w:tplc="0CF08D3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9" w15:restartNumberingAfterBreak="0">
    <w:nsid w:val="4F8D0B2B"/>
    <w:multiLevelType w:val="hybridMultilevel"/>
    <w:tmpl w:val="F0CEAC74"/>
    <w:styleLink w:val="ImportedStyle23211"/>
    <w:lvl w:ilvl="0" w:tplc="0CF08D3C">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0" w15:restartNumberingAfterBreak="0">
    <w:nsid w:val="4FD8500E"/>
    <w:multiLevelType w:val="hybridMultilevel"/>
    <w:tmpl w:val="DD00E4EE"/>
    <w:styleLink w:val="ImportedStyle801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50313C87"/>
    <w:multiLevelType w:val="hybridMultilevel"/>
    <w:tmpl w:val="0B5E890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505F0127"/>
    <w:multiLevelType w:val="hybridMultilevel"/>
    <w:tmpl w:val="7E9ED24E"/>
    <w:styleLink w:val="Stilimportat5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507F5121"/>
    <w:multiLevelType w:val="hybridMultilevel"/>
    <w:tmpl w:val="2D9634F2"/>
    <w:styleLink w:val="Stilimportat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5097757B"/>
    <w:multiLevelType w:val="hybridMultilevel"/>
    <w:tmpl w:val="99165AE6"/>
    <w:styleLink w:val="ImportedStyle105"/>
    <w:lvl w:ilvl="0" w:tplc="A2668EB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D766852">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93CA450C">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5E58B410">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D14311A">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4364BE64">
      <w:start w:val="1"/>
      <w:numFmt w:val="bullet"/>
      <w:lvlText w:val="-"/>
      <w:lvlJc w:val="left"/>
      <w:pPr>
        <w:ind w:left="39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A594D24E">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63A8C0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A140B76C">
      <w:start w:val="1"/>
      <w:numFmt w:val="bullet"/>
      <w:lvlText w:val="-"/>
      <w:lvlJc w:val="left"/>
      <w:pPr>
        <w:ind w:left="61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335" w15:restartNumberingAfterBreak="0">
    <w:nsid w:val="50AC1662"/>
    <w:multiLevelType w:val="hybridMultilevel"/>
    <w:tmpl w:val="DB9EDC28"/>
    <w:styleLink w:val="ImportedStyle333"/>
    <w:lvl w:ilvl="0" w:tplc="69044ACC">
      <w:start w:val="1"/>
      <w:numFmt w:val="bullet"/>
      <w:lvlText w:val="-"/>
      <w:lvlJc w:val="left"/>
      <w:pPr>
        <w:ind w:left="42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1" w:tplc="C340071A">
      <w:start w:val="1"/>
      <w:numFmt w:val="bullet"/>
      <w:lvlText w:val="o"/>
      <w:lvlJc w:val="left"/>
      <w:pPr>
        <w:ind w:left="114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2" w:tplc="DC5AF100">
      <w:start w:val="1"/>
      <w:numFmt w:val="bullet"/>
      <w:lvlText w:val="▪"/>
      <w:lvlJc w:val="left"/>
      <w:pPr>
        <w:ind w:left="186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3" w:tplc="46325B24">
      <w:start w:val="1"/>
      <w:numFmt w:val="bullet"/>
      <w:lvlText w:val="•"/>
      <w:lvlJc w:val="left"/>
      <w:pPr>
        <w:ind w:left="258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4" w:tplc="DAAEDD30">
      <w:start w:val="1"/>
      <w:numFmt w:val="bullet"/>
      <w:lvlText w:val="o"/>
      <w:lvlJc w:val="left"/>
      <w:pPr>
        <w:ind w:left="330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5" w:tplc="01A43B58">
      <w:start w:val="1"/>
      <w:numFmt w:val="bullet"/>
      <w:lvlText w:val="▪"/>
      <w:lvlJc w:val="left"/>
      <w:pPr>
        <w:ind w:left="402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6" w:tplc="1594370C">
      <w:start w:val="1"/>
      <w:numFmt w:val="bullet"/>
      <w:lvlText w:val="•"/>
      <w:lvlJc w:val="left"/>
      <w:pPr>
        <w:ind w:left="474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7" w:tplc="19204F1E">
      <w:start w:val="1"/>
      <w:numFmt w:val="bullet"/>
      <w:lvlText w:val="o"/>
      <w:lvlJc w:val="left"/>
      <w:pPr>
        <w:ind w:left="546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lvl w:ilvl="8" w:tplc="A404B740">
      <w:start w:val="1"/>
      <w:numFmt w:val="bullet"/>
      <w:lvlText w:val="▪"/>
      <w:lvlJc w:val="left"/>
      <w:pPr>
        <w:ind w:left="6186" w:hanging="426"/>
      </w:pPr>
      <w:rPr>
        <w:rFonts w:ascii="Trebuchet MS" w:eastAsia="Trebuchet MS" w:hAnsi="Trebuchet MS" w:cs="Trebuchet MS"/>
        <w:b w:val="0"/>
        <w:bCs w:val="0"/>
        <w:i w:val="0"/>
        <w:iCs w:val="0"/>
        <w:caps w:val="0"/>
        <w:smallCaps w:val="0"/>
        <w:strike w:val="0"/>
        <w:dstrike w:val="0"/>
        <w:spacing w:val="0"/>
        <w:w w:val="100"/>
        <w:kern w:val="0"/>
        <w:position w:val="0"/>
        <w:highlight w:val="none"/>
        <w:vertAlign w:val="baseline"/>
      </w:rPr>
    </w:lvl>
  </w:abstractNum>
  <w:abstractNum w:abstractNumId="336" w15:restartNumberingAfterBreak="0">
    <w:nsid w:val="50CA2E99"/>
    <w:multiLevelType w:val="hybridMultilevel"/>
    <w:tmpl w:val="D20CA9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7" w15:restartNumberingAfterBreak="0">
    <w:nsid w:val="510F7108"/>
    <w:multiLevelType w:val="hybridMultilevel"/>
    <w:tmpl w:val="3C1C4C32"/>
    <w:styleLink w:val="ImportedStyle411"/>
    <w:lvl w:ilvl="0" w:tplc="8C0073A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971469E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D638C15A">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1592E85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1A92951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9A38D9AC">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5CF46D5A">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CD09B2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A8AAF53E">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338" w15:restartNumberingAfterBreak="0">
    <w:nsid w:val="512965AD"/>
    <w:multiLevelType w:val="hybridMultilevel"/>
    <w:tmpl w:val="BE3A4E1A"/>
    <w:lvl w:ilvl="0" w:tplc="0CF08D3C">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9" w15:restartNumberingAfterBreak="0">
    <w:nsid w:val="525D74DF"/>
    <w:multiLevelType w:val="hybridMultilevel"/>
    <w:tmpl w:val="D9D4371C"/>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526704D9"/>
    <w:multiLevelType w:val="hybridMultilevel"/>
    <w:tmpl w:val="42763DE0"/>
    <w:styleLink w:val="ImportedStyle4411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15:restartNumberingAfterBreak="0">
    <w:nsid w:val="5296789D"/>
    <w:multiLevelType w:val="hybridMultilevel"/>
    <w:tmpl w:val="DEF02B5E"/>
    <w:styleLink w:val="Stilimportat6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529C0125"/>
    <w:multiLevelType w:val="hybridMultilevel"/>
    <w:tmpl w:val="0EF04A70"/>
    <w:styleLink w:val="ImportedStyle28"/>
    <w:lvl w:ilvl="0" w:tplc="08342168">
      <w:start w:val="1"/>
      <w:numFmt w:val="bullet"/>
      <w:lvlText w:val="·"/>
      <w:lvlJc w:val="left"/>
      <w:pPr>
        <w:tabs>
          <w:tab w:val="num" w:pos="709"/>
        </w:tabs>
        <w:ind w:left="872" w:hanging="446"/>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CC429C6">
      <w:start w:val="1"/>
      <w:numFmt w:val="bullet"/>
      <w:lvlText w:val="o"/>
      <w:lvlJc w:val="left"/>
      <w:pPr>
        <w:tabs>
          <w:tab w:val="left" w:pos="709"/>
          <w:tab w:val="num" w:pos="1600"/>
        </w:tabs>
        <w:ind w:left="176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5928254">
      <w:start w:val="1"/>
      <w:numFmt w:val="bullet"/>
      <w:lvlText w:val="▪"/>
      <w:lvlJc w:val="left"/>
      <w:pPr>
        <w:tabs>
          <w:tab w:val="left" w:pos="709"/>
          <w:tab w:val="num" w:pos="2320"/>
        </w:tabs>
        <w:ind w:left="248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F6ABE1E">
      <w:start w:val="1"/>
      <w:numFmt w:val="bullet"/>
      <w:lvlText w:val="·"/>
      <w:lvlJc w:val="left"/>
      <w:pPr>
        <w:tabs>
          <w:tab w:val="left" w:pos="709"/>
          <w:tab w:val="num" w:pos="3040"/>
        </w:tabs>
        <w:ind w:left="3203" w:hanging="60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83A86E8">
      <w:start w:val="1"/>
      <w:numFmt w:val="bullet"/>
      <w:lvlText w:val="o"/>
      <w:lvlJc w:val="left"/>
      <w:pPr>
        <w:tabs>
          <w:tab w:val="left" w:pos="709"/>
          <w:tab w:val="num" w:pos="3760"/>
        </w:tabs>
        <w:ind w:left="392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05ECC64">
      <w:start w:val="1"/>
      <w:numFmt w:val="bullet"/>
      <w:lvlText w:val="▪"/>
      <w:lvlJc w:val="left"/>
      <w:pPr>
        <w:tabs>
          <w:tab w:val="left" w:pos="709"/>
          <w:tab w:val="num" w:pos="4480"/>
        </w:tabs>
        <w:ind w:left="464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D7C1E18">
      <w:start w:val="1"/>
      <w:numFmt w:val="bullet"/>
      <w:lvlText w:val="·"/>
      <w:lvlJc w:val="left"/>
      <w:pPr>
        <w:tabs>
          <w:tab w:val="left" w:pos="709"/>
          <w:tab w:val="num" w:pos="5200"/>
        </w:tabs>
        <w:ind w:left="5363" w:hanging="60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2FA8F22">
      <w:start w:val="1"/>
      <w:numFmt w:val="bullet"/>
      <w:lvlText w:val="o"/>
      <w:lvlJc w:val="left"/>
      <w:pPr>
        <w:tabs>
          <w:tab w:val="left" w:pos="709"/>
          <w:tab w:val="num" w:pos="5920"/>
        </w:tabs>
        <w:ind w:left="608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F52A768">
      <w:start w:val="1"/>
      <w:numFmt w:val="bullet"/>
      <w:lvlText w:val="▪"/>
      <w:lvlJc w:val="left"/>
      <w:pPr>
        <w:tabs>
          <w:tab w:val="left" w:pos="709"/>
          <w:tab w:val="num" w:pos="6640"/>
        </w:tabs>
        <w:ind w:left="6803" w:hanging="60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43" w15:restartNumberingAfterBreak="0">
    <w:nsid w:val="529F76E1"/>
    <w:multiLevelType w:val="hybridMultilevel"/>
    <w:tmpl w:val="B394B21A"/>
    <w:styleLink w:val="ImportedStyle49"/>
    <w:lvl w:ilvl="0" w:tplc="191A38D4">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7BE6A0F6">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6D7205A0">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1E84057C">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E7460FF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2AA6B14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FF60C6B0">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0C3A602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01440FB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344" w15:restartNumberingAfterBreak="0">
    <w:nsid w:val="530A71B9"/>
    <w:multiLevelType w:val="hybridMultilevel"/>
    <w:tmpl w:val="4838D886"/>
    <w:lvl w:ilvl="0" w:tplc="4BEC0B9C">
      <w:start w:val="1"/>
      <w:numFmt w:val="lowerLetter"/>
      <w:lvlText w:val="%1)"/>
      <w:lvlJc w:val="left"/>
      <w:pPr>
        <w:ind w:left="1287" w:hanging="360"/>
      </w:pPr>
      <w:rPr>
        <w:rFonts w:asciiTheme="minorHAnsi" w:eastAsiaTheme="minorHAnsi" w:hAnsiTheme="minorHAnsi" w:cstheme="minorBidi"/>
      </w:rPr>
    </w:lvl>
    <w:lvl w:ilvl="1" w:tplc="04090019" w:tentative="1">
      <w:start w:val="1"/>
      <w:numFmt w:val="lowerLetter"/>
      <w:lvlText w:val="%2."/>
      <w:lvlJc w:val="left"/>
      <w:pPr>
        <w:ind w:left="2007" w:hanging="360"/>
      </w:pPr>
    </w:lvl>
    <w:lvl w:ilvl="2" w:tplc="04090017">
      <w:start w:val="1"/>
      <w:numFmt w:val="lowerLetter"/>
      <w:lvlText w:val="%3)"/>
      <w:lvlJc w:val="lef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5" w15:restartNumberingAfterBreak="0">
    <w:nsid w:val="54242AD6"/>
    <w:multiLevelType w:val="hybridMultilevel"/>
    <w:tmpl w:val="01C2BB8E"/>
    <w:styleLink w:val="ImportedStyle1156212"/>
    <w:lvl w:ilvl="0" w:tplc="CD5A927A">
      <w:start w:val="1"/>
      <w:numFmt w:val="lowerLetter"/>
      <w:lvlText w:val="%1."/>
      <w:lvlJc w:val="left"/>
      <w:pPr>
        <w:ind w:left="1800" w:hanging="360"/>
      </w:pPr>
      <w:rPr>
        <w:rFonts w:hAnsi="Arial Unicode MS"/>
        <w:caps w:val="0"/>
        <w:smallCaps w:val="0"/>
        <w:strike w:val="0"/>
        <w:dstrike w:val="0"/>
        <w:spacing w:val="0"/>
        <w:w w:val="100"/>
        <w:kern w:val="0"/>
        <w:position w:val="0"/>
        <w:highlight w:val="none"/>
        <w:vertAlign w:val="baseline"/>
      </w:rPr>
    </w:lvl>
    <w:lvl w:ilvl="1" w:tplc="CA3852D8">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952AF6EE">
      <w:start w:val="1"/>
      <w:numFmt w:val="lowerLetter"/>
      <w:lvlText w:val="%3."/>
      <w:lvlJc w:val="left"/>
      <w:pPr>
        <w:ind w:left="1800" w:hanging="360"/>
      </w:pPr>
      <w:rPr>
        <w:rFonts w:hAnsi="Arial Unicode MS"/>
        <w:caps w:val="0"/>
        <w:smallCaps w:val="0"/>
        <w:strike w:val="0"/>
        <w:dstrike w:val="0"/>
        <w:spacing w:val="0"/>
        <w:w w:val="100"/>
        <w:kern w:val="0"/>
        <w:position w:val="0"/>
        <w:highlight w:val="none"/>
        <w:vertAlign w:val="baseline"/>
      </w:rPr>
    </w:lvl>
    <w:lvl w:ilvl="3" w:tplc="B7C6BBE8">
      <w:start w:val="1"/>
      <w:numFmt w:val="lowerLetter"/>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5F3CDB4C">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B13CC45C">
      <w:start w:val="1"/>
      <w:numFmt w:val="lowerLetter"/>
      <w:lvlText w:val="%6."/>
      <w:lvlJc w:val="left"/>
      <w:pPr>
        <w:ind w:left="3960" w:hanging="360"/>
      </w:pPr>
      <w:rPr>
        <w:rFonts w:hAnsi="Arial Unicode MS"/>
        <w:caps w:val="0"/>
        <w:smallCaps w:val="0"/>
        <w:strike w:val="0"/>
        <w:dstrike w:val="0"/>
        <w:spacing w:val="0"/>
        <w:w w:val="100"/>
        <w:kern w:val="0"/>
        <w:position w:val="0"/>
        <w:highlight w:val="none"/>
        <w:vertAlign w:val="baseline"/>
      </w:rPr>
    </w:lvl>
    <w:lvl w:ilvl="6" w:tplc="B6184956">
      <w:start w:val="1"/>
      <w:numFmt w:val="lowerLetter"/>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F27C3A22">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88DCD44E">
      <w:start w:val="1"/>
      <w:numFmt w:val="lowerLetter"/>
      <w:lvlText w:val="%9."/>
      <w:lvlJc w:val="left"/>
      <w:pPr>
        <w:ind w:left="6120" w:hanging="360"/>
      </w:pPr>
      <w:rPr>
        <w:rFonts w:hAnsi="Arial Unicode MS"/>
        <w:caps w:val="0"/>
        <w:smallCaps w:val="0"/>
        <w:strike w:val="0"/>
        <w:dstrike w:val="0"/>
        <w:spacing w:val="0"/>
        <w:w w:val="100"/>
        <w:kern w:val="0"/>
        <w:position w:val="0"/>
        <w:highlight w:val="none"/>
        <w:vertAlign w:val="baseline"/>
      </w:rPr>
    </w:lvl>
  </w:abstractNum>
  <w:abstractNum w:abstractNumId="346" w15:restartNumberingAfterBreak="0">
    <w:nsid w:val="54465228"/>
    <w:multiLevelType w:val="hybridMultilevel"/>
    <w:tmpl w:val="0C44F52E"/>
    <w:lvl w:ilvl="0" w:tplc="E9F614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7" w15:restartNumberingAfterBreak="0">
    <w:nsid w:val="54503B75"/>
    <w:multiLevelType w:val="hybridMultilevel"/>
    <w:tmpl w:val="768A23A2"/>
    <w:styleLink w:val="ImportedStyle78014"/>
    <w:lvl w:ilvl="0" w:tplc="508A231E">
      <w:start w:val="1"/>
      <w:numFmt w:val="bullet"/>
      <w:lvlText w:val="·"/>
      <w:lvlJc w:val="left"/>
      <w:pPr>
        <w:ind w:left="13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060C2A6">
      <w:start w:val="1"/>
      <w:numFmt w:val="bullet"/>
      <w:lvlText w:val="o"/>
      <w:lvlJc w:val="left"/>
      <w:pPr>
        <w:ind w:left="21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5CA1FF6">
      <w:start w:val="1"/>
      <w:numFmt w:val="bullet"/>
      <w:lvlText w:val="▪"/>
      <w:lvlJc w:val="left"/>
      <w:pPr>
        <w:ind w:left="28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258A740">
      <w:start w:val="1"/>
      <w:numFmt w:val="bullet"/>
      <w:lvlText w:val="·"/>
      <w:lvlJc w:val="left"/>
      <w:pPr>
        <w:ind w:left="35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F682C10">
      <w:start w:val="1"/>
      <w:numFmt w:val="bullet"/>
      <w:lvlText w:val="o"/>
      <w:lvlJc w:val="left"/>
      <w:pPr>
        <w:ind w:left="42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ABC0952">
      <w:start w:val="1"/>
      <w:numFmt w:val="bullet"/>
      <w:lvlText w:val="▪"/>
      <w:lvlJc w:val="left"/>
      <w:pPr>
        <w:ind w:left="49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EC27914">
      <w:start w:val="1"/>
      <w:numFmt w:val="bullet"/>
      <w:lvlText w:val="·"/>
      <w:lvlJc w:val="left"/>
      <w:pPr>
        <w:ind w:left="57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59EC200">
      <w:start w:val="1"/>
      <w:numFmt w:val="bullet"/>
      <w:lvlText w:val="o"/>
      <w:lvlJc w:val="left"/>
      <w:pPr>
        <w:ind w:left="64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440DBC8">
      <w:start w:val="1"/>
      <w:numFmt w:val="bullet"/>
      <w:lvlText w:val="▪"/>
      <w:lvlJc w:val="left"/>
      <w:pPr>
        <w:ind w:left="71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48" w15:restartNumberingAfterBreak="0">
    <w:nsid w:val="54882C5A"/>
    <w:multiLevelType w:val="hybridMultilevel"/>
    <w:tmpl w:val="4F4A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54992B57"/>
    <w:multiLevelType w:val="hybridMultilevel"/>
    <w:tmpl w:val="B4F8008A"/>
    <w:styleLink w:val="ImportedStyle261"/>
    <w:lvl w:ilvl="0" w:tplc="03FADBC6">
      <w:start w:val="1"/>
      <w:numFmt w:val="bullet"/>
      <w:lvlText w:val="·"/>
      <w:lvlJc w:val="left"/>
      <w:pPr>
        <w:ind w:left="83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C629260">
      <w:start w:val="1"/>
      <w:numFmt w:val="bullet"/>
      <w:lvlText w:val="o"/>
      <w:lvlJc w:val="left"/>
      <w:pPr>
        <w:ind w:left="155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A5E8C04">
      <w:start w:val="1"/>
      <w:numFmt w:val="bullet"/>
      <w:lvlText w:val="▪"/>
      <w:lvlJc w:val="left"/>
      <w:pPr>
        <w:ind w:left="22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AF2C638">
      <w:start w:val="1"/>
      <w:numFmt w:val="bullet"/>
      <w:lvlText w:val="·"/>
      <w:lvlJc w:val="left"/>
      <w:pPr>
        <w:ind w:left="299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5C48D1E">
      <w:start w:val="1"/>
      <w:numFmt w:val="bullet"/>
      <w:lvlText w:val="o"/>
      <w:lvlJc w:val="left"/>
      <w:pPr>
        <w:ind w:left="371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7DC4DB0">
      <w:start w:val="1"/>
      <w:numFmt w:val="bullet"/>
      <w:lvlText w:val="▪"/>
      <w:lvlJc w:val="left"/>
      <w:pPr>
        <w:ind w:left="443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A16106E">
      <w:start w:val="1"/>
      <w:numFmt w:val="bullet"/>
      <w:lvlText w:val="·"/>
      <w:lvlJc w:val="left"/>
      <w:pPr>
        <w:ind w:left="515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BA0FAC2">
      <w:start w:val="1"/>
      <w:numFmt w:val="bullet"/>
      <w:lvlText w:val="o"/>
      <w:lvlJc w:val="left"/>
      <w:pPr>
        <w:ind w:left="587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DF48290">
      <w:start w:val="1"/>
      <w:numFmt w:val="bullet"/>
      <w:lvlText w:val="▪"/>
      <w:lvlJc w:val="left"/>
      <w:pPr>
        <w:ind w:left="659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50" w15:restartNumberingAfterBreak="0">
    <w:nsid w:val="54AD3E8B"/>
    <w:multiLevelType w:val="hybridMultilevel"/>
    <w:tmpl w:val="309E9820"/>
    <w:lvl w:ilvl="0" w:tplc="E9F61410">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54DF2D02"/>
    <w:multiLevelType w:val="hybridMultilevel"/>
    <w:tmpl w:val="DE16A6D6"/>
    <w:styleLink w:val="Stilimportat24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55584D6F"/>
    <w:multiLevelType w:val="hybridMultilevel"/>
    <w:tmpl w:val="C1C05534"/>
    <w:styleLink w:val="Stilimportat112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55777533"/>
    <w:multiLevelType w:val="hybridMultilevel"/>
    <w:tmpl w:val="CC4C20C6"/>
    <w:styleLink w:val="ImportedStyle90"/>
    <w:lvl w:ilvl="0" w:tplc="91EA2B0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912AC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BACED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ADC813A">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3D4A4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BCEA0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7ECCEC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D4874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F2A19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54" w15:restartNumberingAfterBreak="0">
    <w:nsid w:val="55847575"/>
    <w:multiLevelType w:val="hybridMultilevel"/>
    <w:tmpl w:val="A0DEFD8C"/>
    <w:styleLink w:val="ImportedStyle98"/>
    <w:lvl w:ilvl="0" w:tplc="994C9352">
      <w:start w:val="1"/>
      <w:numFmt w:val="bullet"/>
      <w:lvlText w:val="·"/>
      <w:lvlJc w:val="left"/>
      <w:pPr>
        <w:tabs>
          <w:tab w:val="num" w:pos="892"/>
        </w:tabs>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83C613E">
      <w:start w:val="1"/>
      <w:numFmt w:val="bullet"/>
      <w:lvlText w:val="o"/>
      <w:lvlJc w:val="left"/>
      <w:pPr>
        <w:tabs>
          <w:tab w:val="left" w:pos="892"/>
          <w:tab w:val="num" w:pos="1800"/>
        </w:tabs>
        <w:ind w:left="198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12E669E">
      <w:start w:val="1"/>
      <w:numFmt w:val="bullet"/>
      <w:lvlText w:val="▪"/>
      <w:lvlJc w:val="left"/>
      <w:pPr>
        <w:tabs>
          <w:tab w:val="left" w:pos="892"/>
          <w:tab w:val="num" w:pos="2520"/>
        </w:tabs>
        <w:ind w:left="270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33A9606">
      <w:start w:val="1"/>
      <w:numFmt w:val="bullet"/>
      <w:lvlText w:val="·"/>
      <w:lvlJc w:val="left"/>
      <w:pPr>
        <w:tabs>
          <w:tab w:val="left" w:pos="892"/>
          <w:tab w:val="num" w:pos="3240"/>
        </w:tabs>
        <w:ind w:left="3428" w:hanging="54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A44EFEC">
      <w:start w:val="1"/>
      <w:numFmt w:val="bullet"/>
      <w:lvlText w:val="o"/>
      <w:lvlJc w:val="left"/>
      <w:pPr>
        <w:tabs>
          <w:tab w:val="left" w:pos="892"/>
          <w:tab w:val="num" w:pos="3960"/>
        </w:tabs>
        <w:ind w:left="414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9E0E566">
      <w:start w:val="1"/>
      <w:numFmt w:val="bullet"/>
      <w:lvlText w:val="▪"/>
      <w:lvlJc w:val="left"/>
      <w:pPr>
        <w:tabs>
          <w:tab w:val="left" w:pos="892"/>
          <w:tab w:val="num" w:pos="4680"/>
        </w:tabs>
        <w:ind w:left="486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1DA3194">
      <w:start w:val="1"/>
      <w:numFmt w:val="bullet"/>
      <w:lvlText w:val="·"/>
      <w:lvlJc w:val="left"/>
      <w:pPr>
        <w:tabs>
          <w:tab w:val="left" w:pos="892"/>
          <w:tab w:val="num" w:pos="5400"/>
        </w:tabs>
        <w:ind w:left="5588" w:hanging="548"/>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A408722">
      <w:start w:val="1"/>
      <w:numFmt w:val="bullet"/>
      <w:lvlText w:val="o"/>
      <w:lvlJc w:val="left"/>
      <w:pPr>
        <w:tabs>
          <w:tab w:val="left" w:pos="892"/>
          <w:tab w:val="num" w:pos="6120"/>
        </w:tabs>
        <w:ind w:left="630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37220C8">
      <w:start w:val="1"/>
      <w:numFmt w:val="bullet"/>
      <w:lvlText w:val="▪"/>
      <w:lvlJc w:val="left"/>
      <w:pPr>
        <w:tabs>
          <w:tab w:val="left" w:pos="892"/>
          <w:tab w:val="num" w:pos="6840"/>
        </w:tabs>
        <w:ind w:left="7028" w:hanging="548"/>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55" w15:restartNumberingAfterBreak="0">
    <w:nsid w:val="5594554B"/>
    <w:multiLevelType w:val="hybridMultilevel"/>
    <w:tmpl w:val="7F2C23E4"/>
    <w:styleLink w:val="Stilimportat6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5C4141D"/>
    <w:multiLevelType w:val="hybridMultilevel"/>
    <w:tmpl w:val="C3263C66"/>
    <w:styleLink w:val="ImportedStyle11653"/>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7" w15:restartNumberingAfterBreak="0">
    <w:nsid w:val="56263A73"/>
    <w:multiLevelType w:val="hybridMultilevel"/>
    <w:tmpl w:val="5CF8F44E"/>
    <w:styleLink w:val="Stilimportat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56346031"/>
    <w:multiLevelType w:val="hybridMultilevel"/>
    <w:tmpl w:val="E144ABAC"/>
    <w:styleLink w:val="Stilimportat43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56361141"/>
    <w:multiLevelType w:val="hybridMultilevel"/>
    <w:tmpl w:val="E46ED88A"/>
    <w:styleLink w:val="Stilimportat31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0" w15:restartNumberingAfterBreak="0">
    <w:nsid w:val="5653683D"/>
    <w:multiLevelType w:val="hybridMultilevel"/>
    <w:tmpl w:val="97A04DDC"/>
    <w:styleLink w:val="ImportedStyle1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569013AC"/>
    <w:multiLevelType w:val="hybridMultilevel"/>
    <w:tmpl w:val="CBC4A742"/>
    <w:styleLink w:val="Stilimportat6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56C643DD"/>
    <w:multiLevelType w:val="hybridMultilevel"/>
    <w:tmpl w:val="7B20110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56ED002D"/>
    <w:multiLevelType w:val="hybridMultilevel"/>
    <w:tmpl w:val="AC5601B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5702246E"/>
    <w:multiLevelType w:val="hybridMultilevel"/>
    <w:tmpl w:val="86561054"/>
    <w:styleLink w:val="ImportedStyle1221"/>
    <w:lvl w:ilvl="0" w:tplc="BC86F858">
      <w:start w:val="1"/>
      <w:numFmt w:val="lowerLetter"/>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DA5EFF48">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0720CC3C">
      <w:start w:val="1"/>
      <w:numFmt w:val="lowerRoman"/>
      <w:lvlText w:val="%3."/>
      <w:lvlJc w:val="left"/>
      <w:pPr>
        <w:ind w:left="1800" w:hanging="313"/>
      </w:pPr>
      <w:rPr>
        <w:rFonts w:hAnsi="Arial Unicode MS"/>
        <w:caps w:val="0"/>
        <w:smallCaps w:val="0"/>
        <w:strike w:val="0"/>
        <w:dstrike w:val="0"/>
        <w:spacing w:val="0"/>
        <w:w w:val="100"/>
        <w:kern w:val="0"/>
        <w:position w:val="0"/>
        <w:highlight w:val="none"/>
        <w:vertAlign w:val="baseline"/>
      </w:rPr>
    </w:lvl>
    <w:lvl w:ilvl="3" w:tplc="B29449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44A25B44">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CE4246F2">
      <w:start w:val="1"/>
      <w:numFmt w:val="lowerRoman"/>
      <w:lvlText w:val="%6."/>
      <w:lvlJc w:val="left"/>
      <w:pPr>
        <w:ind w:left="3960" w:hanging="313"/>
      </w:pPr>
      <w:rPr>
        <w:rFonts w:hAnsi="Arial Unicode MS"/>
        <w:caps w:val="0"/>
        <w:smallCaps w:val="0"/>
        <w:strike w:val="0"/>
        <w:dstrike w:val="0"/>
        <w:spacing w:val="0"/>
        <w:w w:val="100"/>
        <w:kern w:val="0"/>
        <w:position w:val="0"/>
        <w:highlight w:val="none"/>
        <w:vertAlign w:val="baseline"/>
      </w:rPr>
    </w:lvl>
    <w:lvl w:ilvl="6" w:tplc="39B2CC32">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1F14ACF0">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06761660">
      <w:start w:val="1"/>
      <w:numFmt w:val="lowerRoman"/>
      <w:lvlText w:val="%9."/>
      <w:lvlJc w:val="left"/>
      <w:pPr>
        <w:ind w:left="6120" w:hanging="313"/>
      </w:pPr>
      <w:rPr>
        <w:rFonts w:hAnsi="Arial Unicode MS"/>
        <w:caps w:val="0"/>
        <w:smallCaps w:val="0"/>
        <w:strike w:val="0"/>
        <w:dstrike w:val="0"/>
        <w:spacing w:val="0"/>
        <w:w w:val="100"/>
        <w:kern w:val="0"/>
        <w:position w:val="0"/>
        <w:highlight w:val="none"/>
        <w:vertAlign w:val="baseline"/>
      </w:rPr>
    </w:lvl>
  </w:abstractNum>
  <w:abstractNum w:abstractNumId="365" w15:restartNumberingAfterBreak="0">
    <w:nsid w:val="578E2D85"/>
    <w:multiLevelType w:val="hybridMultilevel"/>
    <w:tmpl w:val="27F0757C"/>
    <w:lvl w:ilvl="0" w:tplc="04090003">
      <w:start w:val="1"/>
      <w:numFmt w:val="bullet"/>
      <w:lvlText w:val="o"/>
      <w:lvlJc w:val="left"/>
      <w:pPr>
        <w:ind w:left="1710" w:hanging="360"/>
      </w:pPr>
      <w:rPr>
        <w:rFonts w:ascii="Courier New" w:hAnsi="Courier New" w:cs="Courier New"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66" w15:restartNumberingAfterBreak="0">
    <w:nsid w:val="57A051A6"/>
    <w:multiLevelType w:val="hybridMultilevel"/>
    <w:tmpl w:val="486E12E6"/>
    <w:styleLink w:val="ImportedStyle31"/>
    <w:lvl w:ilvl="0" w:tplc="45A058D4">
      <w:start w:val="1"/>
      <w:numFmt w:val="bullet"/>
      <w:lvlText w:val="▪"/>
      <w:lvlJc w:val="left"/>
      <w:pPr>
        <w:tabs>
          <w:tab w:val="left" w:pos="892"/>
        </w:tabs>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2CD41A3C">
      <w:start w:val="1"/>
      <w:numFmt w:val="lowerLetter"/>
      <w:lvlText w:val="%2."/>
      <w:lvlJc w:val="left"/>
      <w:pPr>
        <w:tabs>
          <w:tab w:val="left" w:pos="892"/>
        </w:tabs>
        <w:ind w:left="1800" w:hanging="360"/>
      </w:pPr>
      <w:rPr>
        <w:rFonts w:hAnsi="Arial Unicode MS"/>
        <w:caps w:val="0"/>
        <w:smallCaps w:val="0"/>
        <w:strike w:val="0"/>
        <w:dstrike w:val="0"/>
        <w:color w:val="000000"/>
        <w:spacing w:val="0"/>
        <w:w w:val="100"/>
        <w:kern w:val="0"/>
        <w:position w:val="0"/>
        <w:highlight w:val="none"/>
        <w:vertAlign w:val="baseline"/>
      </w:rPr>
    </w:lvl>
    <w:lvl w:ilvl="2" w:tplc="C43A9E16">
      <w:start w:val="1"/>
      <w:numFmt w:val="lowerRoman"/>
      <w:lvlText w:val="%3."/>
      <w:lvlJc w:val="left"/>
      <w:pPr>
        <w:tabs>
          <w:tab w:val="left" w:pos="892"/>
        </w:tabs>
        <w:ind w:left="2520" w:hanging="276"/>
      </w:pPr>
      <w:rPr>
        <w:rFonts w:hAnsi="Arial Unicode MS"/>
        <w:caps w:val="0"/>
        <w:smallCaps w:val="0"/>
        <w:strike w:val="0"/>
        <w:dstrike w:val="0"/>
        <w:color w:val="000000"/>
        <w:spacing w:val="0"/>
        <w:w w:val="100"/>
        <w:kern w:val="0"/>
        <w:position w:val="0"/>
        <w:highlight w:val="none"/>
        <w:vertAlign w:val="baseline"/>
      </w:rPr>
    </w:lvl>
    <w:lvl w:ilvl="3" w:tplc="6324EF7C">
      <w:start w:val="1"/>
      <w:numFmt w:val="decimal"/>
      <w:lvlText w:val="%4."/>
      <w:lvlJc w:val="left"/>
      <w:pPr>
        <w:tabs>
          <w:tab w:val="left" w:pos="892"/>
        </w:tabs>
        <w:ind w:left="3240" w:hanging="360"/>
      </w:pPr>
      <w:rPr>
        <w:rFonts w:hAnsi="Arial Unicode MS"/>
        <w:caps w:val="0"/>
        <w:smallCaps w:val="0"/>
        <w:strike w:val="0"/>
        <w:dstrike w:val="0"/>
        <w:color w:val="000000"/>
        <w:spacing w:val="0"/>
        <w:w w:val="100"/>
        <w:kern w:val="0"/>
        <w:position w:val="0"/>
        <w:highlight w:val="none"/>
        <w:vertAlign w:val="baseline"/>
      </w:rPr>
    </w:lvl>
    <w:lvl w:ilvl="4" w:tplc="F1947ADE">
      <w:start w:val="1"/>
      <w:numFmt w:val="lowerLetter"/>
      <w:lvlText w:val="%5."/>
      <w:lvlJc w:val="left"/>
      <w:pPr>
        <w:tabs>
          <w:tab w:val="left" w:pos="892"/>
        </w:tabs>
        <w:ind w:left="3960" w:hanging="360"/>
      </w:pPr>
      <w:rPr>
        <w:rFonts w:hAnsi="Arial Unicode MS"/>
        <w:caps w:val="0"/>
        <w:smallCaps w:val="0"/>
        <w:strike w:val="0"/>
        <w:dstrike w:val="0"/>
        <w:color w:val="000000"/>
        <w:spacing w:val="0"/>
        <w:w w:val="100"/>
        <w:kern w:val="0"/>
        <w:position w:val="0"/>
        <w:highlight w:val="none"/>
        <w:vertAlign w:val="baseline"/>
      </w:rPr>
    </w:lvl>
    <w:lvl w:ilvl="5" w:tplc="34AE570A">
      <w:start w:val="1"/>
      <w:numFmt w:val="lowerRoman"/>
      <w:lvlText w:val="%6."/>
      <w:lvlJc w:val="left"/>
      <w:pPr>
        <w:tabs>
          <w:tab w:val="left" w:pos="892"/>
        </w:tabs>
        <w:ind w:left="4680" w:hanging="276"/>
      </w:pPr>
      <w:rPr>
        <w:rFonts w:hAnsi="Arial Unicode MS"/>
        <w:caps w:val="0"/>
        <w:smallCaps w:val="0"/>
        <w:strike w:val="0"/>
        <w:dstrike w:val="0"/>
        <w:color w:val="000000"/>
        <w:spacing w:val="0"/>
        <w:w w:val="100"/>
        <w:kern w:val="0"/>
        <w:position w:val="0"/>
        <w:highlight w:val="none"/>
        <w:vertAlign w:val="baseline"/>
      </w:rPr>
    </w:lvl>
    <w:lvl w:ilvl="6" w:tplc="77BE15CE">
      <w:start w:val="1"/>
      <w:numFmt w:val="decimal"/>
      <w:lvlText w:val="%7."/>
      <w:lvlJc w:val="left"/>
      <w:pPr>
        <w:tabs>
          <w:tab w:val="left" w:pos="892"/>
        </w:tabs>
        <w:ind w:left="5400" w:hanging="360"/>
      </w:pPr>
      <w:rPr>
        <w:rFonts w:hAnsi="Arial Unicode MS"/>
        <w:caps w:val="0"/>
        <w:smallCaps w:val="0"/>
        <w:strike w:val="0"/>
        <w:dstrike w:val="0"/>
        <w:color w:val="000000"/>
        <w:spacing w:val="0"/>
        <w:w w:val="100"/>
        <w:kern w:val="0"/>
        <w:position w:val="0"/>
        <w:highlight w:val="none"/>
        <w:vertAlign w:val="baseline"/>
      </w:rPr>
    </w:lvl>
    <w:lvl w:ilvl="7" w:tplc="C8028DE6">
      <w:start w:val="1"/>
      <w:numFmt w:val="lowerLetter"/>
      <w:lvlText w:val="%8."/>
      <w:lvlJc w:val="left"/>
      <w:pPr>
        <w:tabs>
          <w:tab w:val="left" w:pos="892"/>
        </w:tabs>
        <w:ind w:left="6120" w:hanging="360"/>
      </w:pPr>
      <w:rPr>
        <w:rFonts w:hAnsi="Arial Unicode MS"/>
        <w:caps w:val="0"/>
        <w:smallCaps w:val="0"/>
        <w:strike w:val="0"/>
        <w:dstrike w:val="0"/>
        <w:color w:val="000000"/>
        <w:spacing w:val="0"/>
        <w:w w:val="100"/>
        <w:kern w:val="0"/>
        <w:position w:val="0"/>
        <w:highlight w:val="none"/>
        <w:vertAlign w:val="baseline"/>
      </w:rPr>
    </w:lvl>
    <w:lvl w:ilvl="8" w:tplc="5298FE06">
      <w:start w:val="1"/>
      <w:numFmt w:val="lowerRoman"/>
      <w:lvlText w:val="%9."/>
      <w:lvlJc w:val="left"/>
      <w:pPr>
        <w:tabs>
          <w:tab w:val="left" w:pos="892"/>
        </w:tabs>
        <w:ind w:left="6840" w:hanging="276"/>
      </w:pPr>
      <w:rPr>
        <w:rFonts w:hAnsi="Arial Unicode MS"/>
        <w:caps w:val="0"/>
        <w:smallCaps w:val="0"/>
        <w:strike w:val="0"/>
        <w:dstrike w:val="0"/>
        <w:color w:val="000000"/>
        <w:spacing w:val="0"/>
        <w:w w:val="100"/>
        <w:kern w:val="0"/>
        <w:position w:val="0"/>
        <w:highlight w:val="none"/>
        <w:vertAlign w:val="baseline"/>
      </w:rPr>
    </w:lvl>
  </w:abstractNum>
  <w:abstractNum w:abstractNumId="367" w15:restartNumberingAfterBreak="0">
    <w:nsid w:val="5885420A"/>
    <w:multiLevelType w:val="hybridMultilevel"/>
    <w:tmpl w:val="8514EDA4"/>
    <w:styleLink w:val="ImportedStyle782211"/>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588E03D1"/>
    <w:multiLevelType w:val="hybridMultilevel"/>
    <w:tmpl w:val="49EC4D7A"/>
    <w:styleLink w:val="ImportedStyle361"/>
    <w:lvl w:ilvl="0" w:tplc="B0E4B5B2">
      <w:start w:val="1"/>
      <w:numFmt w:val="bullet"/>
      <w:lvlText w:val="-"/>
      <w:lvlJc w:val="left"/>
      <w:pPr>
        <w:ind w:left="56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07746EA0">
      <w:start w:val="1"/>
      <w:numFmt w:val="bullet"/>
      <w:lvlText w:val="o"/>
      <w:lvlJc w:val="left"/>
      <w:pPr>
        <w:ind w:left="128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8D28DA74">
      <w:start w:val="1"/>
      <w:numFmt w:val="bullet"/>
      <w:lvlText w:val="▪"/>
      <w:lvlJc w:val="left"/>
      <w:pPr>
        <w:ind w:left="20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1AEAD882">
      <w:start w:val="1"/>
      <w:numFmt w:val="bullet"/>
      <w:lvlText w:val="•"/>
      <w:lvlJc w:val="left"/>
      <w:pPr>
        <w:ind w:left="272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6EB6ADD0">
      <w:start w:val="1"/>
      <w:numFmt w:val="bullet"/>
      <w:lvlText w:val="o"/>
      <w:lvlJc w:val="left"/>
      <w:pPr>
        <w:ind w:left="344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7A98B1B2">
      <w:start w:val="1"/>
      <w:numFmt w:val="bullet"/>
      <w:lvlText w:val="▪"/>
      <w:lvlJc w:val="left"/>
      <w:pPr>
        <w:ind w:left="416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C38A0A2">
      <w:start w:val="1"/>
      <w:numFmt w:val="bullet"/>
      <w:lvlText w:val="•"/>
      <w:lvlJc w:val="left"/>
      <w:pPr>
        <w:ind w:left="4887" w:hanging="141"/>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187A8004">
      <w:start w:val="1"/>
      <w:numFmt w:val="bullet"/>
      <w:lvlText w:val="o"/>
      <w:lvlJc w:val="left"/>
      <w:pPr>
        <w:ind w:left="560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B8AC510A">
      <w:start w:val="1"/>
      <w:numFmt w:val="bullet"/>
      <w:lvlText w:val="▪"/>
      <w:lvlJc w:val="left"/>
      <w:pPr>
        <w:ind w:left="6327" w:hanging="294"/>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369" w15:restartNumberingAfterBreak="0">
    <w:nsid w:val="58F02C3F"/>
    <w:multiLevelType w:val="hybridMultilevel"/>
    <w:tmpl w:val="5ECC4BCC"/>
    <w:styleLink w:val="ImportedStyle44111"/>
    <w:lvl w:ilvl="0" w:tplc="93CEC9B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0" w15:restartNumberingAfterBreak="0">
    <w:nsid w:val="58F0376E"/>
    <w:multiLevelType w:val="hybridMultilevel"/>
    <w:tmpl w:val="7D22ECA6"/>
    <w:lvl w:ilvl="0" w:tplc="E9F614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1" w15:restartNumberingAfterBreak="0">
    <w:nsid w:val="59124D17"/>
    <w:multiLevelType w:val="hybridMultilevel"/>
    <w:tmpl w:val="8326DE8C"/>
    <w:styleLink w:val="Stilimportat2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59735677"/>
    <w:multiLevelType w:val="hybridMultilevel"/>
    <w:tmpl w:val="EE9ECA6E"/>
    <w:styleLink w:val="Stilimportat74111"/>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59C408B6"/>
    <w:multiLevelType w:val="hybridMultilevel"/>
    <w:tmpl w:val="DA1AB3D4"/>
    <w:styleLink w:val="Stilimportat5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5A1A62E3"/>
    <w:multiLevelType w:val="hybridMultilevel"/>
    <w:tmpl w:val="4636F7E0"/>
    <w:lvl w:ilvl="0" w:tplc="E9F614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5A401F88"/>
    <w:multiLevelType w:val="hybridMultilevel"/>
    <w:tmpl w:val="1E088808"/>
    <w:styleLink w:val="ImportedStyle833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6" w15:restartNumberingAfterBreak="0">
    <w:nsid w:val="5A82049C"/>
    <w:multiLevelType w:val="hybridMultilevel"/>
    <w:tmpl w:val="1D62A61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7" w15:restartNumberingAfterBreak="0">
    <w:nsid w:val="5A82679A"/>
    <w:multiLevelType w:val="hybridMultilevel"/>
    <w:tmpl w:val="526C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5AE130D7"/>
    <w:multiLevelType w:val="hybridMultilevel"/>
    <w:tmpl w:val="D06683E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5B2E3408"/>
    <w:multiLevelType w:val="hybridMultilevel"/>
    <w:tmpl w:val="ABB82D1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5B657557"/>
    <w:multiLevelType w:val="hybridMultilevel"/>
    <w:tmpl w:val="AE42890C"/>
    <w:styleLink w:val="ImportedStyle39"/>
    <w:lvl w:ilvl="0" w:tplc="2F180DD6">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DE0853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EB2E5B6">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17893C0">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1E85148">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6BC7D9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7E6F75C">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A1268B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75E9D2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81" w15:restartNumberingAfterBreak="0">
    <w:nsid w:val="5BAE6A4A"/>
    <w:multiLevelType w:val="hybridMultilevel"/>
    <w:tmpl w:val="E54AE6F4"/>
    <w:styleLink w:val="Stilimportat3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5BE11766"/>
    <w:multiLevelType w:val="hybridMultilevel"/>
    <w:tmpl w:val="B81C8372"/>
    <w:lvl w:ilvl="0" w:tplc="E9F614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3" w15:restartNumberingAfterBreak="0">
    <w:nsid w:val="5BF64065"/>
    <w:multiLevelType w:val="hybridMultilevel"/>
    <w:tmpl w:val="229AC00E"/>
    <w:styleLink w:val="ImportedStyle99"/>
    <w:lvl w:ilvl="0" w:tplc="8608636E">
      <w:start w:val="1"/>
      <w:numFmt w:val="decimal"/>
      <w:lvlText w:val="%1."/>
      <w:lvlJc w:val="left"/>
      <w:pPr>
        <w:tabs>
          <w:tab w:val="left" w:pos="837"/>
        </w:tabs>
        <w:ind w:left="720" w:hanging="360"/>
      </w:pPr>
      <w:rPr>
        <w:rFonts w:hAnsi="Arial Unicode MS"/>
        <w:caps w:val="0"/>
        <w:smallCaps w:val="0"/>
        <w:strike w:val="0"/>
        <w:dstrike w:val="0"/>
        <w:spacing w:val="0"/>
        <w:w w:val="100"/>
        <w:kern w:val="0"/>
        <w:position w:val="0"/>
        <w:highlight w:val="none"/>
        <w:vertAlign w:val="baseline"/>
      </w:rPr>
    </w:lvl>
    <w:lvl w:ilvl="1" w:tplc="C9E29AB8">
      <w:start w:val="1"/>
      <w:numFmt w:val="lowerLetter"/>
      <w:lvlText w:val="%2."/>
      <w:lvlJc w:val="left"/>
      <w:pPr>
        <w:tabs>
          <w:tab w:val="left" w:pos="837"/>
        </w:tabs>
        <w:ind w:left="1440" w:hanging="360"/>
      </w:pPr>
      <w:rPr>
        <w:rFonts w:hAnsi="Arial Unicode MS"/>
        <w:caps w:val="0"/>
        <w:smallCaps w:val="0"/>
        <w:strike w:val="0"/>
        <w:dstrike w:val="0"/>
        <w:spacing w:val="0"/>
        <w:w w:val="100"/>
        <w:kern w:val="0"/>
        <w:position w:val="0"/>
        <w:highlight w:val="none"/>
        <w:vertAlign w:val="baseline"/>
      </w:rPr>
    </w:lvl>
    <w:lvl w:ilvl="2" w:tplc="015EE11E">
      <w:start w:val="1"/>
      <w:numFmt w:val="lowerRoman"/>
      <w:lvlText w:val="%3."/>
      <w:lvlJc w:val="left"/>
      <w:pPr>
        <w:tabs>
          <w:tab w:val="left" w:pos="837"/>
        </w:tabs>
        <w:ind w:left="2160" w:hanging="302"/>
      </w:pPr>
      <w:rPr>
        <w:rFonts w:hAnsi="Arial Unicode MS"/>
        <w:caps w:val="0"/>
        <w:smallCaps w:val="0"/>
        <w:strike w:val="0"/>
        <w:dstrike w:val="0"/>
        <w:spacing w:val="0"/>
        <w:w w:val="100"/>
        <w:kern w:val="0"/>
        <w:position w:val="0"/>
        <w:highlight w:val="none"/>
        <w:vertAlign w:val="baseline"/>
      </w:rPr>
    </w:lvl>
    <w:lvl w:ilvl="3" w:tplc="C7186EAC">
      <w:start w:val="1"/>
      <w:numFmt w:val="decimal"/>
      <w:lvlText w:val="%4."/>
      <w:lvlJc w:val="left"/>
      <w:pPr>
        <w:tabs>
          <w:tab w:val="left" w:pos="837"/>
        </w:tabs>
        <w:ind w:left="2880" w:hanging="360"/>
      </w:pPr>
      <w:rPr>
        <w:rFonts w:hAnsi="Arial Unicode MS"/>
        <w:caps w:val="0"/>
        <w:smallCaps w:val="0"/>
        <w:strike w:val="0"/>
        <w:dstrike w:val="0"/>
        <w:spacing w:val="0"/>
        <w:w w:val="100"/>
        <w:kern w:val="0"/>
        <w:position w:val="0"/>
        <w:highlight w:val="none"/>
        <w:vertAlign w:val="baseline"/>
      </w:rPr>
    </w:lvl>
    <w:lvl w:ilvl="4" w:tplc="3280BFB0">
      <w:start w:val="1"/>
      <w:numFmt w:val="lowerLetter"/>
      <w:lvlText w:val="%5."/>
      <w:lvlJc w:val="left"/>
      <w:pPr>
        <w:tabs>
          <w:tab w:val="left" w:pos="837"/>
        </w:tabs>
        <w:ind w:left="3600" w:hanging="360"/>
      </w:pPr>
      <w:rPr>
        <w:rFonts w:hAnsi="Arial Unicode MS"/>
        <w:caps w:val="0"/>
        <w:smallCaps w:val="0"/>
        <w:strike w:val="0"/>
        <w:dstrike w:val="0"/>
        <w:spacing w:val="0"/>
        <w:w w:val="100"/>
        <w:kern w:val="0"/>
        <w:position w:val="0"/>
        <w:highlight w:val="none"/>
        <w:vertAlign w:val="baseline"/>
      </w:rPr>
    </w:lvl>
    <w:lvl w:ilvl="5" w:tplc="5A26F9C6">
      <w:start w:val="1"/>
      <w:numFmt w:val="lowerRoman"/>
      <w:lvlText w:val="%6."/>
      <w:lvlJc w:val="left"/>
      <w:pPr>
        <w:tabs>
          <w:tab w:val="left" w:pos="837"/>
        </w:tabs>
        <w:ind w:left="4320" w:hanging="302"/>
      </w:pPr>
      <w:rPr>
        <w:rFonts w:hAnsi="Arial Unicode MS"/>
        <w:caps w:val="0"/>
        <w:smallCaps w:val="0"/>
        <w:strike w:val="0"/>
        <w:dstrike w:val="0"/>
        <w:spacing w:val="0"/>
        <w:w w:val="100"/>
        <w:kern w:val="0"/>
        <w:position w:val="0"/>
        <w:highlight w:val="none"/>
        <w:vertAlign w:val="baseline"/>
      </w:rPr>
    </w:lvl>
    <w:lvl w:ilvl="6" w:tplc="B3D0A8E2">
      <w:start w:val="1"/>
      <w:numFmt w:val="decimal"/>
      <w:lvlText w:val="%7."/>
      <w:lvlJc w:val="left"/>
      <w:pPr>
        <w:tabs>
          <w:tab w:val="left" w:pos="837"/>
        </w:tabs>
        <w:ind w:left="5040" w:hanging="360"/>
      </w:pPr>
      <w:rPr>
        <w:rFonts w:hAnsi="Arial Unicode MS"/>
        <w:caps w:val="0"/>
        <w:smallCaps w:val="0"/>
        <w:strike w:val="0"/>
        <w:dstrike w:val="0"/>
        <w:spacing w:val="0"/>
        <w:w w:val="100"/>
        <w:kern w:val="0"/>
        <w:position w:val="0"/>
        <w:highlight w:val="none"/>
        <w:vertAlign w:val="baseline"/>
      </w:rPr>
    </w:lvl>
    <w:lvl w:ilvl="7" w:tplc="5F34CAE2">
      <w:start w:val="1"/>
      <w:numFmt w:val="lowerLetter"/>
      <w:lvlText w:val="%8."/>
      <w:lvlJc w:val="left"/>
      <w:pPr>
        <w:tabs>
          <w:tab w:val="left" w:pos="837"/>
        </w:tabs>
        <w:ind w:left="5760" w:hanging="360"/>
      </w:pPr>
      <w:rPr>
        <w:rFonts w:hAnsi="Arial Unicode MS"/>
        <w:caps w:val="0"/>
        <w:smallCaps w:val="0"/>
        <w:strike w:val="0"/>
        <w:dstrike w:val="0"/>
        <w:spacing w:val="0"/>
        <w:w w:val="100"/>
        <w:kern w:val="0"/>
        <w:position w:val="0"/>
        <w:highlight w:val="none"/>
        <w:vertAlign w:val="baseline"/>
      </w:rPr>
    </w:lvl>
    <w:lvl w:ilvl="8" w:tplc="C3787768">
      <w:start w:val="1"/>
      <w:numFmt w:val="lowerRoman"/>
      <w:lvlText w:val="%9."/>
      <w:lvlJc w:val="left"/>
      <w:pPr>
        <w:tabs>
          <w:tab w:val="left" w:pos="837"/>
        </w:tabs>
        <w:ind w:left="6480" w:hanging="302"/>
      </w:pPr>
      <w:rPr>
        <w:rFonts w:hAnsi="Arial Unicode MS"/>
        <w:caps w:val="0"/>
        <w:smallCaps w:val="0"/>
        <w:strike w:val="0"/>
        <w:dstrike w:val="0"/>
        <w:spacing w:val="0"/>
        <w:w w:val="100"/>
        <w:kern w:val="0"/>
        <w:position w:val="0"/>
        <w:highlight w:val="none"/>
        <w:vertAlign w:val="baseline"/>
      </w:rPr>
    </w:lvl>
  </w:abstractNum>
  <w:abstractNum w:abstractNumId="384" w15:restartNumberingAfterBreak="0">
    <w:nsid w:val="5C630FBB"/>
    <w:multiLevelType w:val="hybridMultilevel"/>
    <w:tmpl w:val="CB82D6C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5" w15:restartNumberingAfterBreak="0">
    <w:nsid w:val="5CDE6F33"/>
    <w:multiLevelType w:val="hybridMultilevel"/>
    <w:tmpl w:val="9288DF68"/>
    <w:styleLink w:val="ImportedStyle93"/>
    <w:lvl w:ilvl="0" w:tplc="3B2A45F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BF86C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D8E8BB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B026A8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48C7A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A72D3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220D41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434E7C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D58BFF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86" w15:restartNumberingAfterBreak="0">
    <w:nsid w:val="5CEF7DA3"/>
    <w:multiLevelType w:val="hybridMultilevel"/>
    <w:tmpl w:val="15803D94"/>
    <w:styleLink w:val="Stilimportat4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5D584423"/>
    <w:multiLevelType w:val="hybridMultilevel"/>
    <w:tmpl w:val="889099F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5D960EBB"/>
    <w:multiLevelType w:val="hybridMultilevel"/>
    <w:tmpl w:val="ECA4169E"/>
    <w:styleLink w:val="ImportedStyle83112111"/>
    <w:lvl w:ilvl="0" w:tplc="CF0A3E7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5DDF0A2B"/>
    <w:multiLevelType w:val="hybridMultilevel"/>
    <w:tmpl w:val="ABD20BB6"/>
    <w:styleLink w:val="ImportedStyle57"/>
    <w:lvl w:ilvl="0" w:tplc="8B8E34B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6924D30">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222D38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9D4986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7B60854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EC8C7D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24CD60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4B04712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6E6635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90" w15:restartNumberingAfterBreak="0">
    <w:nsid w:val="5E1E6851"/>
    <w:multiLevelType w:val="hybridMultilevel"/>
    <w:tmpl w:val="730856D2"/>
    <w:lvl w:ilvl="0" w:tplc="0CF08D3C">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1" w15:restartNumberingAfterBreak="0">
    <w:nsid w:val="5E2045AE"/>
    <w:multiLevelType w:val="hybridMultilevel"/>
    <w:tmpl w:val="8DB2566A"/>
    <w:styleLink w:val="Stilimportat21211"/>
    <w:lvl w:ilvl="0" w:tplc="0CF08D3C">
      <w:start w:val="1"/>
      <w:numFmt w:val="bullet"/>
      <w:lvlText w:val="-"/>
      <w:lvlJc w:val="left"/>
      <w:pPr>
        <w:ind w:left="960" w:hanging="360"/>
      </w:pPr>
      <w:rPr>
        <w:rFonts w:ascii="Courier New" w:hAnsi="Courier New"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92" w15:restartNumberingAfterBreak="0">
    <w:nsid w:val="5E34418B"/>
    <w:multiLevelType w:val="hybridMultilevel"/>
    <w:tmpl w:val="7E40CB50"/>
    <w:styleLink w:val="ImportedStyle66"/>
    <w:lvl w:ilvl="0" w:tplc="553EC79E">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847CFD4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8EC7C50">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A022DDF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035C6180">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F5289DAA">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2970384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6DEEBAE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C466129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393" w15:restartNumberingAfterBreak="0">
    <w:nsid w:val="5E553F7E"/>
    <w:multiLevelType w:val="hybridMultilevel"/>
    <w:tmpl w:val="1DA2541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5E6C2C9D"/>
    <w:multiLevelType w:val="hybridMultilevel"/>
    <w:tmpl w:val="887A486E"/>
    <w:styleLink w:val="Stilimportat2141"/>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5" w15:restartNumberingAfterBreak="0">
    <w:nsid w:val="5E8E3A68"/>
    <w:multiLevelType w:val="hybridMultilevel"/>
    <w:tmpl w:val="8078FCB4"/>
    <w:styleLink w:val="ImportedStyle821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5F340B71"/>
    <w:multiLevelType w:val="hybridMultilevel"/>
    <w:tmpl w:val="213AF964"/>
    <w:styleLink w:val="Stilimportat61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7" w15:restartNumberingAfterBreak="0">
    <w:nsid w:val="5F9D58BF"/>
    <w:multiLevelType w:val="hybridMultilevel"/>
    <w:tmpl w:val="D93C9574"/>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5FF33AE0"/>
    <w:multiLevelType w:val="hybridMultilevel"/>
    <w:tmpl w:val="CCA8ED74"/>
    <w:styleLink w:val="ImportedStyle19"/>
    <w:lvl w:ilvl="0" w:tplc="34BA29A2">
      <w:start w:val="1"/>
      <w:numFmt w:val="lowerLetter"/>
      <w:lvlText w:val="%1)"/>
      <w:lvlJc w:val="left"/>
      <w:pPr>
        <w:ind w:left="1111" w:hanging="360"/>
      </w:pPr>
      <w:rPr>
        <w:rFonts w:hAnsi="Arial Unicode MS"/>
        <w:b/>
        <w:bCs/>
        <w:i/>
        <w:iCs/>
        <w:caps w:val="0"/>
        <w:smallCaps w:val="0"/>
        <w:strike w:val="0"/>
        <w:dstrike w:val="0"/>
        <w:spacing w:val="0"/>
        <w:w w:val="100"/>
        <w:kern w:val="0"/>
        <w:position w:val="0"/>
        <w:highlight w:val="none"/>
        <w:vertAlign w:val="baseline"/>
      </w:rPr>
    </w:lvl>
    <w:lvl w:ilvl="1" w:tplc="813C3916">
      <w:start w:val="1"/>
      <w:numFmt w:val="lowerLetter"/>
      <w:lvlText w:val="%2."/>
      <w:lvlJc w:val="left"/>
      <w:pPr>
        <w:ind w:left="1831" w:hanging="360"/>
      </w:pPr>
      <w:rPr>
        <w:rFonts w:hAnsi="Arial Unicode MS"/>
        <w:b/>
        <w:bCs/>
        <w:i/>
        <w:iCs/>
        <w:caps w:val="0"/>
        <w:smallCaps w:val="0"/>
        <w:strike w:val="0"/>
        <w:dstrike w:val="0"/>
        <w:spacing w:val="0"/>
        <w:w w:val="100"/>
        <w:kern w:val="0"/>
        <w:position w:val="0"/>
        <w:highlight w:val="none"/>
        <w:vertAlign w:val="baseline"/>
      </w:rPr>
    </w:lvl>
    <w:lvl w:ilvl="2" w:tplc="7FDC872E">
      <w:start w:val="1"/>
      <w:numFmt w:val="lowerRoman"/>
      <w:lvlText w:val="%3."/>
      <w:lvlJc w:val="left"/>
      <w:pPr>
        <w:ind w:left="2551" w:hanging="313"/>
      </w:pPr>
      <w:rPr>
        <w:rFonts w:hAnsi="Arial Unicode MS"/>
        <w:b/>
        <w:bCs/>
        <w:i/>
        <w:iCs/>
        <w:caps w:val="0"/>
        <w:smallCaps w:val="0"/>
        <w:strike w:val="0"/>
        <w:dstrike w:val="0"/>
        <w:spacing w:val="0"/>
        <w:w w:val="100"/>
        <w:kern w:val="0"/>
        <w:position w:val="0"/>
        <w:highlight w:val="none"/>
        <w:vertAlign w:val="baseline"/>
      </w:rPr>
    </w:lvl>
    <w:lvl w:ilvl="3" w:tplc="8D50A0B6">
      <w:start w:val="1"/>
      <w:numFmt w:val="decimal"/>
      <w:lvlText w:val="%4."/>
      <w:lvlJc w:val="left"/>
      <w:pPr>
        <w:ind w:left="3271" w:hanging="360"/>
      </w:pPr>
      <w:rPr>
        <w:rFonts w:hAnsi="Arial Unicode MS"/>
        <w:b/>
        <w:bCs/>
        <w:i/>
        <w:iCs/>
        <w:caps w:val="0"/>
        <w:smallCaps w:val="0"/>
        <w:strike w:val="0"/>
        <w:dstrike w:val="0"/>
        <w:spacing w:val="0"/>
        <w:w w:val="100"/>
        <w:kern w:val="0"/>
        <w:position w:val="0"/>
        <w:highlight w:val="none"/>
        <w:vertAlign w:val="baseline"/>
      </w:rPr>
    </w:lvl>
    <w:lvl w:ilvl="4" w:tplc="EE48E732">
      <w:start w:val="1"/>
      <w:numFmt w:val="lowerLetter"/>
      <w:lvlText w:val="%5."/>
      <w:lvlJc w:val="left"/>
      <w:pPr>
        <w:ind w:left="3991" w:hanging="360"/>
      </w:pPr>
      <w:rPr>
        <w:rFonts w:hAnsi="Arial Unicode MS"/>
        <w:b/>
        <w:bCs/>
        <w:i/>
        <w:iCs/>
        <w:caps w:val="0"/>
        <w:smallCaps w:val="0"/>
        <w:strike w:val="0"/>
        <w:dstrike w:val="0"/>
        <w:spacing w:val="0"/>
        <w:w w:val="100"/>
        <w:kern w:val="0"/>
        <w:position w:val="0"/>
        <w:highlight w:val="none"/>
        <w:vertAlign w:val="baseline"/>
      </w:rPr>
    </w:lvl>
    <w:lvl w:ilvl="5" w:tplc="196EE3F4">
      <w:start w:val="1"/>
      <w:numFmt w:val="lowerRoman"/>
      <w:lvlText w:val="%6."/>
      <w:lvlJc w:val="left"/>
      <w:pPr>
        <w:ind w:left="4711" w:hanging="313"/>
      </w:pPr>
      <w:rPr>
        <w:rFonts w:hAnsi="Arial Unicode MS"/>
        <w:b/>
        <w:bCs/>
        <w:i/>
        <w:iCs/>
        <w:caps w:val="0"/>
        <w:smallCaps w:val="0"/>
        <w:strike w:val="0"/>
        <w:dstrike w:val="0"/>
        <w:spacing w:val="0"/>
        <w:w w:val="100"/>
        <w:kern w:val="0"/>
        <w:position w:val="0"/>
        <w:highlight w:val="none"/>
        <w:vertAlign w:val="baseline"/>
      </w:rPr>
    </w:lvl>
    <w:lvl w:ilvl="6" w:tplc="B6849BCE">
      <w:start w:val="1"/>
      <w:numFmt w:val="decimal"/>
      <w:lvlText w:val="%7."/>
      <w:lvlJc w:val="left"/>
      <w:pPr>
        <w:ind w:left="5431" w:hanging="360"/>
      </w:pPr>
      <w:rPr>
        <w:rFonts w:hAnsi="Arial Unicode MS"/>
        <w:b/>
        <w:bCs/>
        <w:i/>
        <w:iCs/>
        <w:caps w:val="0"/>
        <w:smallCaps w:val="0"/>
        <w:strike w:val="0"/>
        <w:dstrike w:val="0"/>
        <w:spacing w:val="0"/>
        <w:w w:val="100"/>
        <w:kern w:val="0"/>
        <w:position w:val="0"/>
        <w:highlight w:val="none"/>
        <w:vertAlign w:val="baseline"/>
      </w:rPr>
    </w:lvl>
    <w:lvl w:ilvl="7" w:tplc="99DE56A6">
      <w:start w:val="1"/>
      <w:numFmt w:val="lowerLetter"/>
      <w:lvlText w:val="%8."/>
      <w:lvlJc w:val="left"/>
      <w:pPr>
        <w:ind w:left="6151" w:hanging="360"/>
      </w:pPr>
      <w:rPr>
        <w:rFonts w:hAnsi="Arial Unicode MS"/>
        <w:b/>
        <w:bCs/>
        <w:i/>
        <w:iCs/>
        <w:caps w:val="0"/>
        <w:smallCaps w:val="0"/>
        <w:strike w:val="0"/>
        <w:dstrike w:val="0"/>
        <w:spacing w:val="0"/>
        <w:w w:val="100"/>
        <w:kern w:val="0"/>
        <w:position w:val="0"/>
        <w:highlight w:val="none"/>
        <w:vertAlign w:val="baseline"/>
      </w:rPr>
    </w:lvl>
    <w:lvl w:ilvl="8" w:tplc="A894BD52">
      <w:start w:val="1"/>
      <w:numFmt w:val="lowerRoman"/>
      <w:lvlText w:val="%9."/>
      <w:lvlJc w:val="left"/>
      <w:pPr>
        <w:ind w:left="6871" w:hanging="313"/>
      </w:pPr>
      <w:rPr>
        <w:rFonts w:hAnsi="Arial Unicode MS"/>
        <w:b/>
        <w:bCs/>
        <w:i/>
        <w:iCs/>
        <w:caps w:val="0"/>
        <w:smallCaps w:val="0"/>
        <w:strike w:val="0"/>
        <w:dstrike w:val="0"/>
        <w:spacing w:val="0"/>
        <w:w w:val="100"/>
        <w:kern w:val="0"/>
        <w:position w:val="0"/>
        <w:highlight w:val="none"/>
        <w:vertAlign w:val="baseline"/>
      </w:rPr>
    </w:lvl>
  </w:abstractNum>
  <w:abstractNum w:abstractNumId="399" w15:restartNumberingAfterBreak="0">
    <w:nsid w:val="60061E93"/>
    <w:multiLevelType w:val="hybridMultilevel"/>
    <w:tmpl w:val="53CC1B86"/>
    <w:styleLink w:val="Stilimportat6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60197A16"/>
    <w:multiLevelType w:val="hybridMultilevel"/>
    <w:tmpl w:val="C0504824"/>
    <w:styleLink w:val="ImportedStyle7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605E4F49"/>
    <w:multiLevelType w:val="hybridMultilevel"/>
    <w:tmpl w:val="ED964EFA"/>
    <w:styleLink w:val="ImportedStyle62"/>
    <w:lvl w:ilvl="0" w:tplc="5834515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F93C110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D236EC2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6BFC1E1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EC564718">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C736ED1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28A2402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3BD6073E">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184C8080">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02" w15:restartNumberingAfterBreak="0">
    <w:nsid w:val="60624970"/>
    <w:multiLevelType w:val="hybridMultilevel"/>
    <w:tmpl w:val="31588A4E"/>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607A02EF"/>
    <w:multiLevelType w:val="hybridMultilevel"/>
    <w:tmpl w:val="0948795A"/>
    <w:styleLink w:val="ImportedStyle1161211"/>
    <w:lvl w:ilvl="0" w:tplc="DA5A6FEA">
      <w:start w:val="1"/>
      <w:numFmt w:val="bullet"/>
      <w:lvlText w:val="o"/>
      <w:lvlJc w:val="left"/>
      <w:pPr>
        <w:ind w:left="19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6A01332">
      <w:start w:val="1"/>
      <w:numFmt w:val="bullet"/>
      <w:lvlText w:val="o"/>
      <w:lvlJc w:val="left"/>
      <w:pPr>
        <w:ind w:left="27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28BF7A">
      <w:start w:val="1"/>
      <w:numFmt w:val="bullet"/>
      <w:lvlText w:val="▪"/>
      <w:lvlJc w:val="left"/>
      <w:pPr>
        <w:ind w:left="34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96CBC0">
      <w:start w:val="1"/>
      <w:numFmt w:val="bullet"/>
      <w:lvlText w:val="•"/>
      <w:lvlJc w:val="left"/>
      <w:pPr>
        <w:ind w:left="41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9671AE">
      <w:start w:val="1"/>
      <w:numFmt w:val="bullet"/>
      <w:lvlText w:val="o"/>
      <w:lvlJc w:val="left"/>
      <w:pPr>
        <w:ind w:left="486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6A96F6">
      <w:start w:val="1"/>
      <w:numFmt w:val="bullet"/>
      <w:lvlText w:val="▪"/>
      <w:lvlJc w:val="left"/>
      <w:pPr>
        <w:ind w:left="558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594F740">
      <w:start w:val="1"/>
      <w:numFmt w:val="bullet"/>
      <w:lvlText w:val="•"/>
      <w:lvlJc w:val="left"/>
      <w:pPr>
        <w:ind w:left="630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82BF88">
      <w:start w:val="1"/>
      <w:numFmt w:val="bullet"/>
      <w:lvlText w:val="o"/>
      <w:lvlJc w:val="left"/>
      <w:pPr>
        <w:ind w:left="702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9EF960">
      <w:start w:val="1"/>
      <w:numFmt w:val="bullet"/>
      <w:lvlText w:val="▪"/>
      <w:lvlJc w:val="left"/>
      <w:pPr>
        <w:ind w:left="7745"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4" w15:restartNumberingAfterBreak="0">
    <w:nsid w:val="609573B9"/>
    <w:multiLevelType w:val="hybridMultilevel"/>
    <w:tmpl w:val="EDCA0BC8"/>
    <w:styleLink w:val="ImportedStyle80312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5" w15:restartNumberingAfterBreak="0">
    <w:nsid w:val="60BA7BE2"/>
    <w:multiLevelType w:val="hybridMultilevel"/>
    <w:tmpl w:val="DF569C76"/>
    <w:styleLink w:val="ImportedStyle1020"/>
    <w:lvl w:ilvl="0" w:tplc="00E22742">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6F5EDF3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0950ABDE">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E7068C92">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39B2E9D6">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D9E39C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4C8C24D6">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A0EAA588">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9BEFD8C">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406" w15:restartNumberingAfterBreak="0">
    <w:nsid w:val="615C552E"/>
    <w:multiLevelType w:val="hybridMultilevel"/>
    <w:tmpl w:val="2F486B0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616A638E"/>
    <w:multiLevelType w:val="hybridMultilevel"/>
    <w:tmpl w:val="F1A60DF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8" w15:restartNumberingAfterBreak="0">
    <w:nsid w:val="61B413FA"/>
    <w:multiLevelType w:val="hybridMultilevel"/>
    <w:tmpl w:val="3890461E"/>
    <w:styleLink w:val="Stilimportat64111"/>
    <w:lvl w:ilvl="0" w:tplc="76D438F0">
      <w:start w:val="1"/>
      <w:numFmt w:val="upperRoman"/>
      <w:lvlText w:val="%1."/>
      <w:lvlJc w:val="left"/>
      <w:pPr>
        <w:ind w:left="1080" w:hanging="720"/>
      </w:pPr>
      <w:rPr>
        <w:rFonts w:hint="default"/>
        <w:b/>
      </w:rPr>
    </w:lvl>
    <w:lvl w:ilvl="1" w:tplc="8258036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21B6565"/>
    <w:multiLevelType w:val="hybridMultilevel"/>
    <w:tmpl w:val="5A32A56A"/>
    <w:lvl w:ilvl="0" w:tplc="E9F61410">
      <w:start w:val="1"/>
      <w:numFmt w:val="bullet"/>
      <w:lvlText w:val=""/>
      <w:lvlJc w:val="left"/>
      <w:pPr>
        <w:ind w:left="720" w:hanging="360"/>
      </w:pPr>
      <w:rPr>
        <w:rFonts w:ascii="Symbol" w:hAnsi="Symbol" w:hint="default"/>
      </w:rPr>
    </w:lvl>
    <w:lvl w:ilvl="1" w:tplc="E9F614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62D3012A"/>
    <w:multiLevelType w:val="multilevel"/>
    <w:tmpl w:val="AEB2832A"/>
    <w:styleLink w:val="ImportedStyle82241"/>
    <w:lvl w:ilvl="0">
      <w:start w:val="1"/>
      <w:numFmt w:val="bullet"/>
      <w:lvlText w:val=""/>
      <w:lvlJc w:val="left"/>
      <w:pPr>
        <w:ind w:left="1080" w:hanging="360"/>
      </w:pPr>
      <w:rPr>
        <w:rFonts w:ascii="Symbol" w:hAnsi="Symbol" w:hint="default"/>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11" w15:restartNumberingAfterBreak="0">
    <w:nsid w:val="6303278B"/>
    <w:multiLevelType w:val="hybridMultilevel"/>
    <w:tmpl w:val="581C856E"/>
    <w:styleLink w:val="Stilimportat3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632A198C"/>
    <w:multiLevelType w:val="hybridMultilevel"/>
    <w:tmpl w:val="8E8E6162"/>
    <w:styleLink w:val="ImportedStyle116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3" w15:restartNumberingAfterBreak="0">
    <w:nsid w:val="63532E74"/>
    <w:multiLevelType w:val="hybridMultilevel"/>
    <w:tmpl w:val="760E8E5E"/>
    <w:styleLink w:val="ImportedStyle11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4" w15:restartNumberingAfterBreak="0">
    <w:nsid w:val="63644129"/>
    <w:multiLevelType w:val="hybridMultilevel"/>
    <w:tmpl w:val="1E40DCDA"/>
    <w:styleLink w:val="ImportedStyle11514"/>
    <w:lvl w:ilvl="0" w:tplc="56E04AF6">
      <w:start w:val="1"/>
      <w:numFmt w:val="bullet"/>
      <w:lvlText w:val="·"/>
      <w:lvlJc w:val="left"/>
      <w:pPr>
        <w:ind w:left="12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7166340">
      <w:start w:val="1"/>
      <w:numFmt w:val="bullet"/>
      <w:lvlText w:val="o"/>
      <w:lvlJc w:val="left"/>
      <w:pPr>
        <w:ind w:left="19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56A335A">
      <w:start w:val="1"/>
      <w:numFmt w:val="bullet"/>
      <w:lvlText w:val="▪"/>
      <w:lvlJc w:val="left"/>
      <w:pPr>
        <w:ind w:left="27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2906782">
      <w:start w:val="1"/>
      <w:numFmt w:val="bullet"/>
      <w:lvlText w:val="·"/>
      <w:lvlJc w:val="left"/>
      <w:pPr>
        <w:ind w:left="34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06EB56A">
      <w:start w:val="1"/>
      <w:numFmt w:val="bullet"/>
      <w:lvlText w:val="o"/>
      <w:lvlJc w:val="left"/>
      <w:pPr>
        <w:ind w:left="41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E840DC4">
      <w:start w:val="1"/>
      <w:numFmt w:val="bullet"/>
      <w:lvlText w:val="▪"/>
      <w:lvlJc w:val="left"/>
      <w:pPr>
        <w:ind w:left="48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FD81A1A">
      <w:start w:val="1"/>
      <w:numFmt w:val="bullet"/>
      <w:lvlText w:val="·"/>
      <w:lvlJc w:val="left"/>
      <w:pPr>
        <w:ind w:left="55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F84A430">
      <w:start w:val="1"/>
      <w:numFmt w:val="bullet"/>
      <w:lvlText w:val="o"/>
      <w:lvlJc w:val="left"/>
      <w:pPr>
        <w:ind w:left="63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C30C6E2">
      <w:start w:val="1"/>
      <w:numFmt w:val="bullet"/>
      <w:lvlText w:val="▪"/>
      <w:lvlJc w:val="left"/>
      <w:pPr>
        <w:ind w:left="70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15" w15:restartNumberingAfterBreak="0">
    <w:nsid w:val="638A6E08"/>
    <w:multiLevelType w:val="hybridMultilevel"/>
    <w:tmpl w:val="2E34D33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638B2853"/>
    <w:multiLevelType w:val="hybridMultilevel"/>
    <w:tmpl w:val="B6AC9754"/>
    <w:styleLink w:val="Stilimportat7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38C49BD"/>
    <w:multiLevelType w:val="hybridMultilevel"/>
    <w:tmpl w:val="2F9E1C74"/>
    <w:styleLink w:val="ImportedStyle65"/>
    <w:lvl w:ilvl="0" w:tplc="DF962F4A">
      <w:start w:val="1"/>
      <w:numFmt w:val="upp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A84335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F063C96">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AC8E755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8F866F3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6764088A">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10B2037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676AAB2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89145246">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418" w15:restartNumberingAfterBreak="0">
    <w:nsid w:val="63B73698"/>
    <w:multiLevelType w:val="hybridMultilevel"/>
    <w:tmpl w:val="4606DBFA"/>
    <w:styleLink w:val="Numbered"/>
    <w:lvl w:ilvl="0" w:tplc="80CA2806">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rPr>
    </w:lvl>
    <w:lvl w:ilvl="1" w:tplc="E48099F0">
      <w:start w:val="1"/>
      <w:numFmt w:val="decimal"/>
      <w:lvlText w:val="%2."/>
      <w:lvlJc w:val="left"/>
      <w:pPr>
        <w:ind w:left="1053" w:hanging="253"/>
      </w:pPr>
      <w:rPr>
        <w:rFonts w:hAnsi="Arial Unicode MS"/>
        <w:caps w:val="0"/>
        <w:smallCaps w:val="0"/>
        <w:strike w:val="0"/>
        <w:dstrike w:val="0"/>
        <w:color w:val="000000"/>
        <w:spacing w:val="0"/>
        <w:w w:val="100"/>
        <w:kern w:val="0"/>
        <w:position w:val="0"/>
        <w:highlight w:val="none"/>
        <w:vertAlign w:val="baseline"/>
      </w:rPr>
    </w:lvl>
    <w:lvl w:ilvl="2" w:tplc="2B222D0C">
      <w:start w:val="1"/>
      <w:numFmt w:val="decimal"/>
      <w:lvlText w:val="%3."/>
      <w:lvlJc w:val="left"/>
      <w:pPr>
        <w:ind w:left="1853" w:hanging="253"/>
      </w:pPr>
      <w:rPr>
        <w:rFonts w:hAnsi="Arial Unicode MS"/>
        <w:caps w:val="0"/>
        <w:smallCaps w:val="0"/>
        <w:strike w:val="0"/>
        <w:dstrike w:val="0"/>
        <w:color w:val="000000"/>
        <w:spacing w:val="0"/>
        <w:w w:val="100"/>
        <w:kern w:val="0"/>
        <w:position w:val="0"/>
        <w:highlight w:val="none"/>
        <w:vertAlign w:val="baseline"/>
      </w:rPr>
    </w:lvl>
    <w:lvl w:ilvl="3" w:tplc="8794B368">
      <w:start w:val="1"/>
      <w:numFmt w:val="decimal"/>
      <w:lvlText w:val="%4."/>
      <w:lvlJc w:val="left"/>
      <w:pPr>
        <w:ind w:left="2653" w:hanging="253"/>
      </w:pPr>
      <w:rPr>
        <w:rFonts w:hAnsi="Arial Unicode MS"/>
        <w:caps w:val="0"/>
        <w:smallCaps w:val="0"/>
        <w:strike w:val="0"/>
        <w:dstrike w:val="0"/>
        <w:color w:val="000000"/>
        <w:spacing w:val="0"/>
        <w:w w:val="100"/>
        <w:kern w:val="0"/>
        <w:position w:val="0"/>
        <w:highlight w:val="none"/>
        <w:vertAlign w:val="baseline"/>
      </w:rPr>
    </w:lvl>
    <w:lvl w:ilvl="4" w:tplc="3C66816A">
      <w:start w:val="1"/>
      <w:numFmt w:val="decimal"/>
      <w:lvlText w:val="%5."/>
      <w:lvlJc w:val="left"/>
      <w:pPr>
        <w:ind w:left="3453" w:hanging="253"/>
      </w:pPr>
      <w:rPr>
        <w:rFonts w:hAnsi="Arial Unicode MS"/>
        <w:caps w:val="0"/>
        <w:smallCaps w:val="0"/>
        <w:strike w:val="0"/>
        <w:dstrike w:val="0"/>
        <w:color w:val="000000"/>
        <w:spacing w:val="0"/>
        <w:w w:val="100"/>
        <w:kern w:val="0"/>
        <w:position w:val="0"/>
        <w:highlight w:val="none"/>
        <w:vertAlign w:val="baseline"/>
      </w:rPr>
    </w:lvl>
    <w:lvl w:ilvl="5" w:tplc="36C8F1E8">
      <w:start w:val="1"/>
      <w:numFmt w:val="decimal"/>
      <w:lvlText w:val="%6."/>
      <w:lvlJc w:val="left"/>
      <w:pPr>
        <w:ind w:left="4253" w:hanging="253"/>
      </w:pPr>
      <w:rPr>
        <w:rFonts w:hAnsi="Arial Unicode MS"/>
        <w:caps w:val="0"/>
        <w:smallCaps w:val="0"/>
        <w:strike w:val="0"/>
        <w:dstrike w:val="0"/>
        <w:color w:val="000000"/>
        <w:spacing w:val="0"/>
        <w:w w:val="100"/>
        <w:kern w:val="0"/>
        <w:position w:val="0"/>
        <w:highlight w:val="none"/>
        <w:vertAlign w:val="baseline"/>
      </w:rPr>
    </w:lvl>
    <w:lvl w:ilvl="6" w:tplc="D5F469EA">
      <w:start w:val="1"/>
      <w:numFmt w:val="decimal"/>
      <w:lvlText w:val="%7."/>
      <w:lvlJc w:val="left"/>
      <w:pPr>
        <w:ind w:left="5053" w:hanging="253"/>
      </w:pPr>
      <w:rPr>
        <w:rFonts w:hAnsi="Arial Unicode MS"/>
        <w:caps w:val="0"/>
        <w:smallCaps w:val="0"/>
        <w:strike w:val="0"/>
        <w:dstrike w:val="0"/>
        <w:color w:val="000000"/>
        <w:spacing w:val="0"/>
        <w:w w:val="100"/>
        <w:kern w:val="0"/>
        <w:position w:val="0"/>
        <w:highlight w:val="none"/>
        <w:vertAlign w:val="baseline"/>
      </w:rPr>
    </w:lvl>
    <w:lvl w:ilvl="7" w:tplc="BBDC878E">
      <w:start w:val="1"/>
      <w:numFmt w:val="decimal"/>
      <w:lvlText w:val="%8."/>
      <w:lvlJc w:val="left"/>
      <w:pPr>
        <w:ind w:left="5853" w:hanging="253"/>
      </w:pPr>
      <w:rPr>
        <w:rFonts w:hAnsi="Arial Unicode MS"/>
        <w:caps w:val="0"/>
        <w:smallCaps w:val="0"/>
        <w:strike w:val="0"/>
        <w:dstrike w:val="0"/>
        <w:color w:val="000000"/>
        <w:spacing w:val="0"/>
        <w:w w:val="100"/>
        <w:kern w:val="0"/>
        <w:position w:val="0"/>
        <w:highlight w:val="none"/>
        <w:vertAlign w:val="baseline"/>
      </w:rPr>
    </w:lvl>
    <w:lvl w:ilvl="8" w:tplc="FC3AD07E">
      <w:start w:val="1"/>
      <w:numFmt w:val="decimal"/>
      <w:lvlText w:val="%9."/>
      <w:lvlJc w:val="left"/>
      <w:pPr>
        <w:ind w:left="6653" w:hanging="253"/>
      </w:pPr>
      <w:rPr>
        <w:rFonts w:hAnsi="Arial Unicode MS"/>
        <w:caps w:val="0"/>
        <w:smallCaps w:val="0"/>
        <w:strike w:val="0"/>
        <w:dstrike w:val="0"/>
        <w:color w:val="000000"/>
        <w:spacing w:val="0"/>
        <w:w w:val="100"/>
        <w:kern w:val="0"/>
        <w:position w:val="0"/>
        <w:highlight w:val="none"/>
        <w:vertAlign w:val="baseline"/>
      </w:rPr>
    </w:lvl>
  </w:abstractNum>
  <w:abstractNum w:abstractNumId="419" w15:restartNumberingAfterBreak="0">
    <w:nsid w:val="63B90994"/>
    <w:multiLevelType w:val="hybridMultilevel"/>
    <w:tmpl w:val="67C67CA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0" w15:restartNumberingAfterBreak="0">
    <w:nsid w:val="63D22DA3"/>
    <w:multiLevelType w:val="hybridMultilevel"/>
    <w:tmpl w:val="F13650DA"/>
    <w:styleLink w:val="Stilimportat4411"/>
    <w:lvl w:ilvl="0" w:tplc="4A449DCA">
      <w:start w:val="7"/>
      <w:numFmt w:val="upperRoman"/>
      <w:lvlText w:val="%1."/>
      <w:lvlJc w:val="left"/>
      <w:pPr>
        <w:ind w:left="1080" w:hanging="720"/>
      </w:pPr>
      <w:rPr>
        <w:rFonts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1" w15:restartNumberingAfterBreak="0">
    <w:nsid w:val="640146AE"/>
    <w:multiLevelType w:val="hybridMultilevel"/>
    <w:tmpl w:val="69B486C0"/>
    <w:styleLink w:val="Stilimportat51111111"/>
    <w:lvl w:ilvl="0" w:tplc="0CF08D3C">
      <w:start w:val="1"/>
      <w:numFmt w:val="bullet"/>
      <w:lvlText w:val="-"/>
      <w:lvlJc w:val="left"/>
      <w:pPr>
        <w:ind w:left="720" w:hanging="360"/>
      </w:pPr>
      <w:rPr>
        <w:rFonts w:ascii="Courier New" w:hAnsi="Courier New"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2" w15:restartNumberingAfterBreak="0">
    <w:nsid w:val="643E5D2D"/>
    <w:multiLevelType w:val="hybridMultilevel"/>
    <w:tmpl w:val="A8A8C2FA"/>
    <w:styleLink w:val="ImportedStyle79"/>
    <w:lvl w:ilvl="0" w:tplc="7A8247B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D61C9AE4">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CBB80B6C">
      <w:start w:val="1"/>
      <w:numFmt w:val="lowerLetter"/>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7AB4DE46">
      <w:start w:val="1"/>
      <w:numFmt w:val="lowerLetter"/>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65247D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83FAB6D8">
      <w:start w:val="1"/>
      <w:numFmt w:val="lowerLetter"/>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1A20B82A">
      <w:start w:val="1"/>
      <w:numFmt w:val="lowerLetter"/>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66CAFC2">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2FA68416">
      <w:start w:val="1"/>
      <w:numFmt w:val="lowerLetter"/>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423" w15:restartNumberingAfterBreak="0">
    <w:nsid w:val="646DD312"/>
    <w:multiLevelType w:val="multilevel"/>
    <w:tmpl w:val="FFFFFFFF"/>
    <w:styleLink w:val="Stilimportat13111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424" w15:restartNumberingAfterBreak="0">
    <w:nsid w:val="64B240B7"/>
    <w:multiLevelType w:val="hybridMultilevel"/>
    <w:tmpl w:val="025CC46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5" w15:restartNumberingAfterBreak="0">
    <w:nsid w:val="650F496C"/>
    <w:multiLevelType w:val="hybridMultilevel"/>
    <w:tmpl w:val="E3248C58"/>
    <w:styleLink w:val="ImportedStyle106"/>
    <w:lvl w:ilvl="0" w:tplc="AFAC035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51CACFC">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AF7CDDC4">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5706183A">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3D664D2">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2DF0B7A0">
      <w:start w:val="1"/>
      <w:numFmt w:val="bullet"/>
      <w:lvlText w:val="-"/>
      <w:lvlJc w:val="left"/>
      <w:pPr>
        <w:ind w:left="39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05C2397A">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E720DBA">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1C487F72">
      <w:start w:val="1"/>
      <w:numFmt w:val="bullet"/>
      <w:lvlText w:val="-"/>
      <w:lvlJc w:val="left"/>
      <w:pPr>
        <w:ind w:left="61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426" w15:restartNumberingAfterBreak="0">
    <w:nsid w:val="654B3FD0"/>
    <w:multiLevelType w:val="hybridMultilevel"/>
    <w:tmpl w:val="80F808F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55778CA"/>
    <w:multiLevelType w:val="hybridMultilevel"/>
    <w:tmpl w:val="678A89EC"/>
    <w:lvl w:ilvl="0" w:tplc="0CF08D3C">
      <w:start w:val="1"/>
      <w:numFmt w:val="bullet"/>
      <w:lvlText w:val="-"/>
      <w:lvlJc w:val="left"/>
      <w:pPr>
        <w:ind w:left="720" w:hanging="360"/>
      </w:pPr>
      <w:rPr>
        <w:rFonts w:ascii="Courier New" w:hAnsi="Courier New" w:hint="default"/>
      </w:rPr>
    </w:lvl>
    <w:lvl w:ilvl="1" w:tplc="A510FDC6">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661505B7"/>
    <w:multiLevelType w:val="hybridMultilevel"/>
    <w:tmpl w:val="EE0E20B0"/>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665A59D1"/>
    <w:multiLevelType w:val="hybridMultilevel"/>
    <w:tmpl w:val="F0DE2456"/>
    <w:lvl w:ilvl="0" w:tplc="8BBE80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0" w15:restartNumberingAfterBreak="0">
    <w:nsid w:val="666E6748"/>
    <w:multiLevelType w:val="hybridMultilevel"/>
    <w:tmpl w:val="FD88F6E2"/>
    <w:styleLink w:val="ImportedStyle115611"/>
    <w:lvl w:ilvl="0" w:tplc="B39CD978">
      <w:start w:val="1"/>
      <w:numFmt w:val="upperRoman"/>
      <w:lvlText w:val="%1."/>
      <w:lvlJc w:val="left"/>
      <w:pPr>
        <w:ind w:left="1080" w:hanging="72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1" w15:restartNumberingAfterBreak="0">
    <w:nsid w:val="66A819E4"/>
    <w:multiLevelType w:val="hybridMultilevel"/>
    <w:tmpl w:val="D53C1962"/>
    <w:styleLink w:val="ImportedStyle83522"/>
    <w:lvl w:ilvl="0" w:tplc="4EE4D6CA">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C524B174">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1CB0174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62802D1A">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C386A51E">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01CE9F3A">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E76474F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E42C19D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9B9A0E5C">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32" w15:restartNumberingAfterBreak="0">
    <w:nsid w:val="670878E1"/>
    <w:multiLevelType w:val="hybridMultilevel"/>
    <w:tmpl w:val="C158F6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3" w15:restartNumberingAfterBreak="0">
    <w:nsid w:val="671D2213"/>
    <w:multiLevelType w:val="hybridMultilevel"/>
    <w:tmpl w:val="EBD4E108"/>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4" w15:restartNumberingAfterBreak="0">
    <w:nsid w:val="675C73C3"/>
    <w:multiLevelType w:val="hybridMultilevel"/>
    <w:tmpl w:val="B4AA6B1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5" w15:restartNumberingAfterBreak="0">
    <w:nsid w:val="675C79C6"/>
    <w:multiLevelType w:val="hybridMultilevel"/>
    <w:tmpl w:val="06E855F2"/>
    <w:styleLink w:val="Stilimportat14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6" w15:restartNumberingAfterBreak="0">
    <w:nsid w:val="67737DB9"/>
    <w:multiLevelType w:val="hybridMultilevel"/>
    <w:tmpl w:val="EC2616A0"/>
    <w:lvl w:ilvl="0" w:tplc="6270CC72">
      <w:start w:val="1"/>
      <w:numFmt w:val="lowerLetter"/>
      <w:lvlText w:val="%1."/>
      <w:lvlJc w:val="left"/>
      <w:pPr>
        <w:ind w:left="1393" w:hanging="284"/>
      </w:pPr>
      <w:rPr>
        <w:rFonts w:ascii="Times New Roman" w:eastAsia="Times New Roman" w:hAnsi="Times New Roman" w:cs="Times New Roman" w:hint="default"/>
        <w:b w:val="0"/>
        <w:bCs w:val="0"/>
        <w:i w:val="0"/>
        <w:iCs w:val="0"/>
        <w:spacing w:val="-1"/>
        <w:w w:val="100"/>
        <w:sz w:val="24"/>
        <w:szCs w:val="24"/>
      </w:rPr>
    </w:lvl>
    <w:lvl w:ilvl="1" w:tplc="AA920EB8">
      <w:numFmt w:val="bullet"/>
      <w:lvlText w:val="•"/>
      <w:lvlJc w:val="left"/>
      <w:pPr>
        <w:ind w:left="2224" w:hanging="284"/>
      </w:pPr>
      <w:rPr>
        <w:rFonts w:hint="default"/>
      </w:rPr>
    </w:lvl>
    <w:lvl w:ilvl="2" w:tplc="ED80CCF6">
      <w:numFmt w:val="bullet"/>
      <w:lvlText w:val="•"/>
      <w:lvlJc w:val="left"/>
      <w:pPr>
        <w:ind w:left="3048" w:hanging="284"/>
      </w:pPr>
      <w:rPr>
        <w:rFonts w:hint="default"/>
      </w:rPr>
    </w:lvl>
    <w:lvl w:ilvl="3" w:tplc="7FE4ABB0">
      <w:numFmt w:val="bullet"/>
      <w:lvlText w:val="•"/>
      <w:lvlJc w:val="left"/>
      <w:pPr>
        <w:ind w:left="3872" w:hanging="284"/>
      </w:pPr>
      <w:rPr>
        <w:rFonts w:hint="default"/>
      </w:rPr>
    </w:lvl>
    <w:lvl w:ilvl="4" w:tplc="F424C3C0">
      <w:numFmt w:val="bullet"/>
      <w:lvlText w:val="•"/>
      <w:lvlJc w:val="left"/>
      <w:pPr>
        <w:ind w:left="4696" w:hanging="284"/>
      </w:pPr>
      <w:rPr>
        <w:rFonts w:hint="default"/>
      </w:rPr>
    </w:lvl>
    <w:lvl w:ilvl="5" w:tplc="20D4B39A">
      <w:numFmt w:val="bullet"/>
      <w:lvlText w:val="•"/>
      <w:lvlJc w:val="left"/>
      <w:pPr>
        <w:ind w:left="5520" w:hanging="284"/>
      </w:pPr>
      <w:rPr>
        <w:rFonts w:hint="default"/>
      </w:rPr>
    </w:lvl>
    <w:lvl w:ilvl="6" w:tplc="964C83EE">
      <w:numFmt w:val="bullet"/>
      <w:lvlText w:val="•"/>
      <w:lvlJc w:val="left"/>
      <w:pPr>
        <w:ind w:left="6344" w:hanging="284"/>
      </w:pPr>
      <w:rPr>
        <w:rFonts w:hint="default"/>
      </w:rPr>
    </w:lvl>
    <w:lvl w:ilvl="7" w:tplc="ADB6B79C">
      <w:numFmt w:val="bullet"/>
      <w:lvlText w:val="•"/>
      <w:lvlJc w:val="left"/>
      <w:pPr>
        <w:ind w:left="7168" w:hanging="284"/>
      </w:pPr>
      <w:rPr>
        <w:rFonts w:hint="default"/>
      </w:rPr>
    </w:lvl>
    <w:lvl w:ilvl="8" w:tplc="607A9A70">
      <w:numFmt w:val="bullet"/>
      <w:lvlText w:val="•"/>
      <w:lvlJc w:val="left"/>
      <w:pPr>
        <w:ind w:left="7992" w:hanging="284"/>
      </w:pPr>
      <w:rPr>
        <w:rFonts w:hint="default"/>
      </w:rPr>
    </w:lvl>
  </w:abstractNum>
  <w:abstractNum w:abstractNumId="437" w15:restartNumberingAfterBreak="0">
    <w:nsid w:val="67807927"/>
    <w:multiLevelType w:val="hybridMultilevel"/>
    <w:tmpl w:val="395030F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8" w15:restartNumberingAfterBreak="0">
    <w:nsid w:val="67BC5923"/>
    <w:multiLevelType w:val="hybridMultilevel"/>
    <w:tmpl w:val="0128A93A"/>
    <w:styleLink w:val="ImportedStyle32211"/>
    <w:lvl w:ilvl="0" w:tplc="CB5E695C">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35A7AE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2CF1A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20567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1E5F8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E5B7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FAC3A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2A9DC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DC0AF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9" w15:restartNumberingAfterBreak="0">
    <w:nsid w:val="686F4090"/>
    <w:multiLevelType w:val="hybridMultilevel"/>
    <w:tmpl w:val="2424E0AE"/>
    <w:styleLink w:val="ImportedStyle8322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0" w15:restartNumberingAfterBreak="0">
    <w:nsid w:val="68892C8F"/>
    <w:multiLevelType w:val="hybridMultilevel"/>
    <w:tmpl w:val="37589FCA"/>
    <w:styleLink w:val="Stilimportat6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68B64AFA"/>
    <w:multiLevelType w:val="hybridMultilevel"/>
    <w:tmpl w:val="2902C072"/>
    <w:styleLink w:val="ImportedStyle91"/>
    <w:lvl w:ilvl="0" w:tplc="47502892">
      <w:start w:val="1"/>
      <w:numFmt w:val="upperRoman"/>
      <w:lvlText w:val="%1."/>
      <w:lvlJc w:val="left"/>
      <w:pPr>
        <w:ind w:left="1080" w:hanging="720"/>
      </w:pPr>
      <w:rPr>
        <w:rFonts w:hAnsi="Arial Unicode MS"/>
        <w:caps w:val="0"/>
        <w:smallCaps w:val="0"/>
        <w:strike w:val="0"/>
        <w:dstrike w:val="0"/>
        <w:spacing w:val="0"/>
        <w:w w:val="100"/>
        <w:kern w:val="0"/>
        <w:position w:val="0"/>
        <w:highlight w:val="none"/>
        <w:vertAlign w:val="baseline"/>
      </w:rPr>
    </w:lvl>
    <w:lvl w:ilvl="1" w:tplc="D9E01660">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BA7C9F14">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3072E5D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360E018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1048F700">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46D490E4">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155CCB9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FD740660">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442" w15:restartNumberingAfterBreak="0">
    <w:nsid w:val="68BF3473"/>
    <w:multiLevelType w:val="hybridMultilevel"/>
    <w:tmpl w:val="E1C4A000"/>
    <w:styleLink w:val="Stilimportat6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690B0938"/>
    <w:multiLevelType w:val="hybridMultilevel"/>
    <w:tmpl w:val="B3BE18AE"/>
    <w:lvl w:ilvl="0" w:tplc="E9F6141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4" w15:restartNumberingAfterBreak="0">
    <w:nsid w:val="691100D2"/>
    <w:multiLevelType w:val="hybridMultilevel"/>
    <w:tmpl w:val="2E2A7BE6"/>
    <w:styleLink w:val="ImportedStyle92"/>
    <w:lvl w:ilvl="0" w:tplc="CB503FC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63234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1225D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BB4B124">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22E1C6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8D6FE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F1001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14AFB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B204B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45" w15:restartNumberingAfterBreak="0">
    <w:nsid w:val="69901312"/>
    <w:multiLevelType w:val="hybridMultilevel"/>
    <w:tmpl w:val="B7C0F8B0"/>
    <w:styleLink w:val="ImportedStyle822111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6" w15:restartNumberingAfterBreak="0">
    <w:nsid w:val="699B2DDE"/>
    <w:multiLevelType w:val="hybridMultilevel"/>
    <w:tmpl w:val="B6C6430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7" w15:restartNumberingAfterBreak="0">
    <w:nsid w:val="6A5E6D0C"/>
    <w:multiLevelType w:val="hybridMultilevel"/>
    <w:tmpl w:val="67E42E18"/>
    <w:styleLink w:val="ImportedStyle60"/>
    <w:lvl w:ilvl="0" w:tplc="95F43BD8">
      <w:start w:val="1"/>
      <w:numFmt w:val="bullet"/>
      <w:lvlText w:val="•"/>
      <w:lvlJc w:val="left"/>
      <w:pPr>
        <w:tabs>
          <w:tab w:val="left" w:pos="903"/>
        </w:tabs>
        <w:ind w:left="284" w:hanging="284"/>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15D86488">
      <w:start w:val="1"/>
      <w:numFmt w:val="bullet"/>
      <w:lvlText w:val="•"/>
      <w:lvlJc w:val="left"/>
      <w:pPr>
        <w:tabs>
          <w:tab w:val="left" w:pos="903"/>
        </w:tabs>
        <w:ind w:left="1795" w:hanging="284"/>
      </w:pPr>
      <w:rPr>
        <w:rFonts w:hAnsi="Arial Unicode MS"/>
        <w:caps w:val="0"/>
        <w:smallCaps w:val="0"/>
        <w:strike w:val="0"/>
        <w:dstrike w:val="0"/>
        <w:spacing w:val="0"/>
        <w:w w:val="100"/>
        <w:kern w:val="0"/>
        <w:position w:val="0"/>
        <w:highlight w:val="none"/>
        <w:vertAlign w:val="baseline"/>
      </w:rPr>
    </w:lvl>
    <w:lvl w:ilvl="2" w:tplc="2B0E25D8">
      <w:start w:val="1"/>
      <w:numFmt w:val="bullet"/>
      <w:lvlText w:val="•"/>
      <w:lvlJc w:val="left"/>
      <w:pPr>
        <w:tabs>
          <w:tab w:val="left" w:pos="903"/>
        </w:tabs>
        <w:ind w:left="2687" w:hanging="284"/>
      </w:pPr>
      <w:rPr>
        <w:rFonts w:hAnsi="Arial Unicode MS"/>
        <w:caps w:val="0"/>
        <w:smallCaps w:val="0"/>
        <w:strike w:val="0"/>
        <w:dstrike w:val="0"/>
        <w:spacing w:val="0"/>
        <w:w w:val="100"/>
        <w:kern w:val="0"/>
        <w:position w:val="0"/>
        <w:highlight w:val="none"/>
        <w:vertAlign w:val="baseline"/>
      </w:rPr>
    </w:lvl>
    <w:lvl w:ilvl="3" w:tplc="17FA2B12">
      <w:start w:val="1"/>
      <w:numFmt w:val="bullet"/>
      <w:lvlText w:val="•"/>
      <w:lvlJc w:val="left"/>
      <w:pPr>
        <w:tabs>
          <w:tab w:val="left" w:pos="903"/>
        </w:tabs>
        <w:ind w:left="3579" w:hanging="284"/>
      </w:pPr>
      <w:rPr>
        <w:rFonts w:hAnsi="Arial Unicode MS"/>
        <w:caps w:val="0"/>
        <w:smallCaps w:val="0"/>
        <w:strike w:val="0"/>
        <w:dstrike w:val="0"/>
        <w:spacing w:val="0"/>
        <w:w w:val="100"/>
        <w:kern w:val="0"/>
        <w:position w:val="0"/>
        <w:highlight w:val="none"/>
        <w:vertAlign w:val="baseline"/>
      </w:rPr>
    </w:lvl>
    <w:lvl w:ilvl="4" w:tplc="9AFC3296">
      <w:start w:val="1"/>
      <w:numFmt w:val="bullet"/>
      <w:lvlText w:val="•"/>
      <w:lvlJc w:val="left"/>
      <w:pPr>
        <w:tabs>
          <w:tab w:val="left" w:pos="903"/>
        </w:tabs>
        <w:ind w:left="4472" w:hanging="284"/>
      </w:pPr>
      <w:rPr>
        <w:rFonts w:hAnsi="Arial Unicode MS"/>
        <w:caps w:val="0"/>
        <w:smallCaps w:val="0"/>
        <w:strike w:val="0"/>
        <w:dstrike w:val="0"/>
        <w:spacing w:val="0"/>
        <w:w w:val="100"/>
        <w:kern w:val="0"/>
        <w:position w:val="0"/>
        <w:highlight w:val="none"/>
        <w:vertAlign w:val="baseline"/>
      </w:rPr>
    </w:lvl>
    <w:lvl w:ilvl="5" w:tplc="2D44E384">
      <w:start w:val="1"/>
      <w:numFmt w:val="bullet"/>
      <w:lvlText w:val="•"/>
      <w:lvlJc w:val="left"/>
      <w:pPr>
        <w:tabs>
          <w:tab w:val="left" w:pos="903"/>
        </w:tabs>
        <w:ind w:left="5364" w:hanging="284"/>
      </w:pPr>
      <w:rPr>
        <w:rFonts w:hAnsi="Arial Unicode MS"/>
        <w:caps w:val="0"/>
        <w:smallCaps w:val="0"/>
        <w:strike w:val="0"/>
        <w:dstrike w:val="0"/>
        <w:spacing w:val="0"/>
        <w:w w:val="100"/>
        <w:kern w:val="0"/>
        <w:position w:val="0"/>
        <w:highlight w:val="none"/>
        <w:vertAlign w:val="baseline"/>
      </w:rPr>
    </w:lvl>
    <w:lvl w:ilvl="6" w:tplc="F79E1D2A">
      <w:start w:val="1"/>
      <w:numFmt w:val="bullet"/>
      <w:lvlText w:val="•"/>
      <w:lvlJc w:val="left"/>
      <w:pPr>
        <w:tabs>
          <w:tab w:val="left" w:pos="903"/>
        </w:tabs>
        <w:ind w:left="6257" w:hanging="284"/>
      </w:pPr>
      <w:rPr>
        <w:rFonts w:hAnsi="Arial Unicode MS"/>
        <w:caps w:val="0"/>
        <w:smallCaps w:val="0"/>
        <w:strike w:val="0"/>
        <w:dstrike w:val="0"/>
        <w:spacing w:val="0"/>
        <w:w w:val="100"/>
        <w:kern w:val="0"/>
        <w:position w:val="0"/>
        <w:highlight w:val="none"/>
        <w:vertAlign w:val="baseline"/>
      </w:rPr>
    </w:lvl>
    <w:lvl w:ilvl="7" w:tplc="5B50A084">
      <w:start w:val="1"/>
      <w:numFmt w:val="bullet"/>
      <w:lvlText w:val="•"/>
      <w:lvlJc w:val="left"/>
      <w:pPr>
        <w:tabs>
          <w:tab w:val="left" w:pos="903"/>
        </w:tabs>
        <w:ind w:left="7149" w:hanging="284"/>
      </w:pPr>
      <w:rPr>
        <w:rFonts w:hAnsi="Arial Unicode MS"/>
        <w:caps w:val="0"/>
        <w:smallCaps w:val="0"/>
        <w:strike w:val="0"/>
        <w:dstrike w:val="0"/>
        <w:spacing w:val="0"/>
        <w:w w:val="100"/>
        <w:kern w:val="0"/>
        <w:position w:val="0"/>
        <w:highlight w:val="none"/>
        <w:vertAlign w:val="baseline"/>
      </w:rPr>
    </w:lvl>
    <w:lvl w:ilvl="8" w:tplc="7C2C158E">
      <w:start w:val="1"/>
      <w:numFmt w:val="bullet"/>
      <w:lvlText w:val="•"/>
      <w:lvlJc w:val="left"/>
      <w:pPr>
        <w:tabs>
          <w:tab w:val="left" w:pos="903"/>
        </w:tabs>
        <w:ind w:left="8041" w:hanging="284"/>
      </w:pPr>
      <w:rPr>
        <w:rFonts w:hAnsi="Arial Unicode MS"/>
        <w:caps w:val="0"/>
        <w:smallCaps w:val="0"/>
        <w:strike w:val="0"/>
        <w:dstrike w:val="0"/>
        <w:spacing w:val="0"/>
        <w:w w:val="100"/>
        <w:kern w:val="0"/>
        <w:position w:val="0"/>
        <w:highlight w:val="none"/>
        <w:vertAlign w:val="baseline"/>
      </w:rPr>
    </w:lvl>
  </w:abstractNum>
  <w:abstractNum w:abstractNumId="448" w15:restartNumberingAfterBreak="0">
    <w:nsid w:val="6A632DA8"/>
    <w:multiLevelType w:val="hybridMultilevel"/>
    <w:tmpl w:val="90848E00"/>
    <w:styleLink w:val="ImportedStyle73"/>
    <w:lvl w:ilvl="0" w:tplc="127A12A2">
      <w:start w:val="1"/>
      <w:numFmt w:val="decimal"/>
      <w:lvlText w:val="%1)"/>
      <w:lvlJc w:val="left"/>
      <w:pPr>
        <w:tabs>
          <w:tab w:val="num" w:pos="498"/>
        </w:tabs>
        <w:ind w:left="28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0FF46C54">
      <w:start w:val="1"/>
      <w:numFmt w:val="decimal"/>
      <w:lvlText w:val="%2)"/>
      <w:lvlJc w:val="left"/>
      <w:pPr>
        <w:tabs>
          <w:tab w:val="left" w:pos="498"/>
          <w:tab w:val="num" w:pos="1218"/>
        </w:tabs>
        <w:ind w:left="100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2583304">
      <w:start w:val="1"/>
      <w:numFmt w:val="decimal"/>
      <w:lvlText w:val="%3)"/>
      <w:lvlJc w:val="left"/>
      <w:pPr>
        <w:tabs>
          <w:tab w:val="left" w:pos="498"/>
          <w:tab w:val="num" w:pos="1938"/>
        </w:tabs>
        <w:ind w:left="172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C540B0C">
      <w:start w:val="1"/>
      <w:numFmt w:val="decimal"/>
      <w:lvlText w:val="%4)"/>
      <w:lvlJc w:val="left"/>
      <w:pPr>
        <w:tabs>
          <w:tab w:val="left" w:pos="498"/>
          <w:tab w:val="num" w:pos="2658"/>
        </w:tabs>
        <w:ind w:left="244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5152314A">
      <w:start w:val="1"/>
      <w:numFmt w:val="decimal"/>
      <w:lvlText w:val="%5)"/>
      <w:lvlJc w:val="left"/>
      <w:pPr>
        <w:tabs>
          <w:tab w:val="left" w:pos="498"/>
          <w:tab w:val="num" w:pos="3378"/>
        </w:tabs>
        <w:ind w:left="316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3C82C03C">
      <w:start w:val="1"/>
      <w:numFmt w:val="decimal"/>
      <w:lvlText w:val="%6)"/>
      <w:lvlJc w:val="left"/>
      <w:pPr>
        <w:tabs>
          <w:tab w:val="left" w:pos="498"/>
          <w:tab w:val="num" w:pos="4098"/>
        </w:tabs>
        <w:ind w:left="388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4EC2ECD2">
      <w:start w:val="1"/>
      <w:numFmt w:val="decimal"/>
      <w:lvlText w:val="%7)"/>
      <w:lvlJc w:val="left"/>
      <w:pPr>
        <w:tabs>
          <w:tab w:val="left" w:pos="498"/>
          <w:tab w:val="num" w:pos="4818"/>
        </w:tabs>
        <w:ind w:left="460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DF8A6E34">
      <w:start w:val="1"/>
      <w:numFmt w:val="decimal"/>
      <w:lvlText w:val="%8)"/>
      <w:lvlJc w:val="left"/>
      <w:pPr>
        <w:tabs>
          <w:tab w:val="left" w:pos="498"/>
          <w:tab w:val="num" w:pos="5538"/>
        </w:tabs>
        <w:ind w:left="532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45CAC980">
      <w:start w:val="1"/>
      <w:numFmt w:val="decimal"/>
      <w:lvlText w:val="%9)"/>
      <w:lvlJc w:val="left"/>
      <w:pPr>
        <w:tabs>
          <w:tab w:val="left" w:pos="498"/>
          <w:tab w:val="num" w:pos="6258"/>
        </w:tabs>
        <w:ind w:left="6042" w:hanging="66"/>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449" w15:restartNumberingAfterBreak="0">
    <w:nsid w:val="6A8822F0"/>
    <w:multiLevelType w:val="hybridMultilevel"/>
    <w:tmpl w:val="2CA4F77C"/>
    <w:styleLink w:val="ImportedStyle17"/>
    <w:lvl w:ilvl="0" w:tplc="D08C31A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D7244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61A33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110E19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A96FE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A8E4D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F34E81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4EAE78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08C59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50" w15:restartNumberingAfterBreak="0">
    <w:nsid w:val="6A8B2D80"/>
    <w:multiLevelType w:val="hybridMultilevel"/>
    <w:tmpl w:val="A11C4C38"/>
    <w:styleLink w:val="ImportedStyle63"/>
    <w:lvl w:ilvl="0" w:tplc="6FFEE650">
      <w:start w:val="1"/>
      <w:numFmt w:val="bullet"/>
      <w:lvlText w:val="·"/>
      <w:lvlJc w:val="left"/>
      <w:pPr>
        <w:ind w:left="177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072D8DE">
      <w:start w:val="1"/>
      <w:numFmt w:val="bullet"/>
      <w:lvlText w:val="o"/>
      <w:lvlJc w:val="left"/>
      <w:pPr>
        <w:ind w:left="249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5EAD7B2">
      <w:start w:val="1"/>
      <w:numFmt w:val="bullet"/>
      <w:lvlText w:val="▪"/>
      <w:lvlJc w:val="left"/>
      <w:pPr>
        <w:ind w:left="32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5EC708C">
      <w:start w:val="1"/>
      <w:numFmt w:val="bullet"/>
      <w:lvlText w:val="·"/>
      <w:lvlJc w:val="left"/>
      <w:pPr>
        <w:ind w:left="393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9DCC994">
      <w:start w:val="1"/>
      <w:numFmt w:val="bullet"/>
      <w:lvlText w:val="o"/>
      <w:lvlJc w:val="left"/>
      <w:pPr>
        <w:ind w:left="465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BECD42C">
      <w:start w:val="1"/>
      <w:numFmt w:val="bullet"/>
      <w:lvlText w:val="▪"/>
      <w:lvlJc w:val="left"/>
      <w:pPr>
        <w:ind w:left="537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34035EC">
      <w:start w:val="1"/>
      <w:numFmt w:val="bullet"/>
      <w:lvlText w:val="·"/>
      <w:lvlJc w:val="left"/>
      <w:pPr>
        <w:ind w:left="609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884E122">
      <w:start w:val="1"/>
      <w:numFmt w:val="bullet"/>
      <w:lvlText w:val="o"/>
      <w:lvlJc w:val="left"/>
      <w:pPr>
        <w:ind w:left="681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F80A4A2">
      <w:start w:val="1"/>
      <w:numFmt w:val="bullet"/>
      <w:lvlText w:val="▪"/>
      <w:lvlJc w:val="left"/>
      <w:pPr>
        <w:ind w:left="753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51" w15:restartNumberingAfterBreak="0">
    <w:nsid w:val="6AB912C6"/>
    <w:multiLevelType w:val="hybridMultilevel"/>
    <w:tmpl w:val="C2EC5AB2"/>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2" w15:restartNumberingAfterBreak="0">
    <w:nsid w:val="6B05700F"/>
    <w:multiLevelType w:val="hybridMultilevel"/>
    <w:tmpl w:val="C144EDF6"/>
    <w:lvl w:ilvl="0" w:tplc="08180001">
      <w:start w:val="1"/>
      <w:numFmt w:val="bullet"/>
      <w:lvlText w:val=""/>
      <w:lvlJc w:val="left"/>
      <w:pPr>
        <w:ind w:left="720" w:hanging="360"/>
      </w:pPr>
      <w:rPr>
        <w:rFonts w:ascii="Symbol" w:hAnsi="Symbol" w:hint="default"/>
      </w:rPr>
    </w:lvl>
    <w:lvl w:ilvl="1" w:tplc="08180003" w:tentative="1">
      <w:start w:val="1"/>
      <w:numFmt w:val="bullet"/>
      <w:lvlText w:val="o"/>
      <w:lvlJc w:val="left"/>
      <w:pPr>
        <w:ind w:left="1440" w:hanging="360"/>
      </w:pPr>
      <w:rPr>
        <w:rFonts w:ascii="Courier New" w:hAnsi="Courier New" w:cs="Courier New" w:hint="default"/>
      </w:rPr>
    </w:lvl>
    <w:lvl w:ilvl="2" w:tplc="08180005">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453" w15:restartNumberingAfterBreak="0">
    <w:nsid w:val="6B822C4B"/>
    <w:multiLevelType w:val="multilevel"/>
    <w:tmpl w:val="9BDCBD7A"/>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4" w15:restartNumberingAfterBreak="0">
    <w:nsid w:val="6B9A31AD"/>
    <w:multiLevelType w:val="hybridMultilevel"/>
    <w:tmpl w:val="F06ABE3C"/>
    <w:styleLink w:val="ImportedStyle822111111"/>
    <w:lvl w:ilvl="0" w:tplc="82661AB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BC3F4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6A3940">
      <w:start w:val="1"/>
      <w:numFmt w:val="lowerRoman"/>
      <w:lvlText w:val="%3."/>
      <w:lvlJc w:val="left"/>
      <w:pPr>
        <w:ind w:left="21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C4A55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6E92E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76704E">
      <w:start w:val="1"/>
      <w:numFmt w:val="lowerRoman"/>
      <w:lvlText w:val="%6."/>
      <w:lvlJc w:val="left"/>
      <w:pPr>
        <w:ind w:left="43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A8DA1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42EE28">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3A4F72">
      <w:start w:val="1"/>
      <w:numFmt w:val="lowerRoman"/>
      <w:lvlText w:val="%9."/>
      <w:lvlJc w:val="left"/>
      <w:pPr>
        <w:ind w:left="648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5" w15:restartNumberingAfterBreak="0">
    <w:nsid w:val="6B9D3DE8"/>
    <w:multiLevelType w:val="hybridMultilevel"/>
    <w:tmpl w:val="78A038CA"/>
    <w:styleLink w:val="ImportedStyle3111111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15:restartNumberingAfterBreak="0">
    <w:nsid w:val="6BC52776"/>
    <w:multiLevelType w:val="hybridMultilevel"/>
    <w:tmpl w:val="323C942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6BF56EE3"/>
    <w:multiLevelType w:val="hybridMultilevel"/>
    <w:tmpl w:val="924CFAD0"/>
    <w:styleLink w:val="ImportedStyle89"/>
    <w:lvl w:ilvl="0" w:tplc="C9124456">
      <w:start w:val="1"/>
      <w:numFmt w:val="bullet"/>
      <w:lvlText w:val="·"/>
      <w:lvlJc w:val="left"/>
      <w:pPr>
        <w:ind w:left="78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87A1D4C">
      <w:start w:val="1"/>
      <w:numFmt w:val="bullet"/>
      <w:lvlText w:val="o"/>
      <w:lvlJc w:val="left"/>
      <w:pPr>
        <w:ind w:left="150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1888908">
      <w:start w:val="1"/>
      <w:numFmt w:val="bullet"/>
      <w:lvlText w:val="▪"/>
      <w:lvlJc w:val="left"/>
      <w:pPr>
        <w:ind w:left="22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A2AC0F2">
      <w:start w:val="1"/>
      <w:numFmt w:val="bullet"/>
      <w:lvlText w:val="·"/>
      <w:lvlJc w:val="left"/>
      <w:pPr>
        <w:ind w:left="294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B88D084">
      <w:start w:val="1"/>
      <w:numFmt w:val="bullet"/>
      <w:lvlText w:val="o"/>
      <w:lvlJc w:val="left"/>
      <w:pPr>
        <w:ind w:left="366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C740A8E">
      <w:start w:val="1"/>
      <w:numFmt w:val="bullet"/>
      <w:lvlText w:val="▪"/>
      <w:lvlJc w:val="left"/>
      <w:pPr>
        <w:ind w:left="438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18ACF6C">
      <w:start w:val="1"/>
      <w:numFmt w:val="bullet"/>
      <w:lvlText w:val="·"/>
      <w:lvlJc w:val="left"/>
      <w:pPr>
        <w:ind w:left="5106"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13A16FE">
      <w:start w:val="1"/>
      <w:numFmt w:val="bullet"/>
      <w:lvlText w:val="o"/>
      <w:lvlJc w:val="left"/>
      <w:pPr>
        <w:ind w:left="582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732F116">
      <w:start w:val="1"/>
      <w:numFmt w:val="bullet"/>
      <w:lvlText w:val="▪"/>
      <w:lvlJc w:val="left"/>
      <w:pPr>
        <w:ind w:left="6546"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58" w15:restartNumberingAfterBreak="0">
    <w:nsid w:val="6C2176A5"/>
    <w:multiLevelType w:val="hybridMultilevel"/>
    <w:tmpl w:val="ED068822"/>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9" w15:restartNumberingAfterBreak="0">
    <w:nsid w:val="6C2A4FB9"/>
    <w:multiLevelType w:val="hybridMultilevel"/>
    <w:tmpl w:val="0798C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6C3A38FA"/>
    <w:multiLevelType w:val="hybridMultilevel"/>
    <w:tmpl w:val="01AA412C"/>
    <w:styleLink w:val="ImportedStyle82522"/>
    <w:lvl w:ilvl="0" w:tplc="BA8637C8">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4B882E8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3022E44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5DDC56C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29ECCC9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05A62D2E">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BE902248">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66C056B6">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E1E6DDF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461" w15:restartNumberingAfterBreak="0">
    <w:nsid w:val="6C5A09C4"/>
    <w:multiLevelType w:val="hybridMultilevel"/>
    <w:tmpl w:val="CB041320"/>
    <w:lvl w:ilvl="0" w:tplc="2C0415B6">
      <w:start w:val="1"/>
      <w:numFmt w:val="decimal"/>
      <w:lvlText w:val="%1."/>
      <w:lvlJc w:val="left"/>
      <w:pPr>
        <w:tabs>
          <w:tab w:val="num" w:pos="861"/>
        </w:tabs>
        <w:ind w:left="861" w:hanging="360"/>
      </w:pPr>
      <w:rPr>
        <w:rFonts w:hint="default"/>
        <w:caps w:val="0"/>
        <w:strike w:val="0"/>
        <w:dstrike w:val="0"/>
        <w:vanish w:val="0"/>
        <w:color w:val="44546A"/>
        <w:sz w:val="22"/>
        <w:vertAlign w:val="baseline"/>
      </w:rPr>
    </w:lvl>
    <w:lvl w:ilvl="1" w:tplc="04090001">
      <w:start w:val="1"/>
      <w:numFmt w:val="bullet"/>
      <w:lvlText w:val=""/>
      <w:lvlJc w:val="left"/>
      <w:pPr>
        <w:ind w:left="1581" w:hanging="360"/>
      </w:pPr>
      <w:rPr>
        <w:rFonts w:ascii="Symbol" w:hAnsi="Symbol" w:hint="default"/>
      </w:r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462" w15:restartNumberingAfterBreak="0">
    <w:nsid w:val="6CA017EB"/>
    <w:multiLevelType w:val="hybridMultilevel"/>
    <w:tmpl w:val="6B82DA34"/>
    <w:styleLink w:val="Stilimportat33111"/>
    <w:lvl w:ilvl="0" w:tplc="0CF08D3C">
      <w:start w:val="1"/>
      <w:numFmt w:val="bullet"/>
      <w:lvlText w:val="-"/>
      <w:lvlJc w:val="left"/>
      <w:pPr>
        <w:ind w:left="840" w:hanging="360"/>
      </w:pPr>
      <w:rPr>
        <w:rFonts w:ascii="Courier New" w:hAnsi="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63" w15:restartNumberingAfterBreak="0">
    <w:nsid w:val="6CCE63A5"/>
    <w:multiLevelType w:val="hybridMultilevel"/>
    <w:tmpl w:val="E0AEFD56"/>
    <w:styleLink w:val="ImportedStyle7802211"/>
    <w:lvl w:ilvl="0" w:tplc="04090019">
      <w:start w:val="1"/>
      <w:numFmt w:val="lowerLetter"/>
      <w:lvlText w:val="%1."/>
      <w:lvlJc w:val="left"/>
      <w:pPr>
        <w:ind w:left="720" w:hanging="360"/>
      </w:pPr>
    </w:lvl>
    <w:lvl w:ilvl="1" w:tplc="65BA2A3C">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4" w15:restartNumberingAfterBreak="0">
    <w:nsid w:val="6D2871C4"/>
    <w:multiLevelType w:val="multilevel"/>
    <w:tmpl w:val="86389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6DC319FA"/>
    <w:multiLevelType w:val="hybridMultilevel"/>
    <w:tmpl w:val="692AF78A"/>
    <w:lvl w:ilvl="0" w:tplc="159C71E4">
      <w:start w:val="1"/>
      <w:numFmt w:val="upperRoman"/>
      <w:lvlText w:val="%1."/>
      <w:lvlJc w:val="left"/>
      <w:pPr>
        <w:ind w:left="330" w:hanging="214"/>
      </w:pPr>
      <w:rPr>
        <w:rFonts w:ascii="Times New Roman" w:eastAsia="Times New Roman" w:hAnsi="Times New Roman" w:cs="Times New Roman" w:hint="default"/>
        <w:b/>
        <w:bCs/>
        <w:i w:val="0"/>
        <w:iCs w:val="0"/>
        <w:w w:val="99"/>
        <w:sz w:val="24"/>
        <w:szCs w:val="24"/>
      </w:rPr>
    </w:lvl>
    <w:lvl w:ilvl="1" w:tplc="A95CA57A">
      <w:start w:val="1"/>
      <w:numFmt w:val="decimal"/>
      <w:lvlText w:val="%2."/>
      <w:lvlJc w:val="left"/>
      <w:pPr>
        <w:ind w:left="682" w:hanging="284"/>
      </w:pPr>
      <w:rPr>
        <w:rFonts w:ascii="Times New Roman" w:eastAsia="Times New Roman" w:hAnsi="Times New Roman" w:cs="Times New Roman" w:hint="default"/>
        <w:b w:val="0"/>
        <w:bCs w:val="0"/>
        <w:i w:val="0"/>
        <w:iCs w:val="0"/>
        <w:w w:val="100"/>
        <w:sz w:val="24"/>
        <w:szCs w:val="24"/>
      </w:rPr>
    </w:lvl>
    <w:lvl w:ilvl="2" w:tplc="D94E1F9E">
      <w:numFmt w:val="bullet"/>
      <w:lvlText w:val="•"/>
      <w:lvlJc w:val="left"/>
      <w:pPr>
        <w:ind w:left="1675" w:hanging="284"/>
      </w:pPr>
      <w:rPr>
        <w:rFonts w:hint="default"/>
      </w:rPr>
    </w:lvl>
    <w:lvl w:ilvl="3" w:tplc="52341342">
      <w:numFmt w:val="bullet"/>
      <w:lvlText w:val="•"/>
      <w:lvlJc w:val="left"/>
      <w:pPr>
        <w:ind w:left="2671" w:hanging="284"/>
      </w:pPr>
      <w:rPr>
        <w:rFonts w:hint="default"/>
      </w:rPr>
    </w:lvl>
    <w:lvl w:ilvl="4" w:tplc="4F46C81E">
      <w:numFmt w:val="bullet"/>
      <w:lvlText w:val="•"/>
      <w:lvlJc w:val="left"/>
      <w:pPr>
        <w:ind w:left="3666" w:hanging="284"/>
      </w:pPr>
      <w:rPr>
        <w:rFonts w:hint="default"/>
      </w:rPr>
    </w:lvl>
    <w:lvl w:ilvl="5" w:tplc="A4608AEE">
      <w:numFmt w:val="bullet"/>
      <w:lvlText w:val="•"/>
      <w:lvlJc w:val="left"/>
      <w:pPr>
        <w:ind w:left="4662" w:hanging="284"/>
      </w:pPr>
      <w:rPr>
        <w:rFonts w:hint="default"/>
      </w:rPr>
    </w:lvl>
    <w:lvl w:ilvl="6" w:tplc="2D3A5028">
      <w:numFmt w:val="bullet"/>
      <w:lvlText w:val="•"/>
      <w:lvlJc w:val="left"/>
      <w:pPr>
        <w:ind w:left="5657" w:hanging="284"/>
      </w:pPr>
      <w:rPr>
        <w:rFonts w:hint="default"/>
      </w:rPr>
    </w:lvl>
    <w:lvl w:ilvl="7" w:tplc="98768D66">
      <w:numFmt w:val="bullet"/>
      <w:lvlText w:val="•"/>
      <w:lvlJc w:val="left"/>
      <w:pPr>
        <w:ind w:left="6653" w:hanging="284"/>
      </w:pPr>
      <w:rPr>
        <w:rFonts w:hint="default"/>
      </w:rPr>
    </w:lvl>
    <w:lvl w:ilvl="8" w:tplc="23DCF974">
      <w:numFmt w:val="bullet"/>
      <w:lvlText w:val="•"/>
      <w:lvlJc w:val="left"/>
      <w:pPr>
        <w:ind w:left="7648" w:hanging="284"/>
      </w:pPr>
      <w:rPr>
        <w:rFonts w:hint="default"/>
      </w:rPr>
    </w:lvl>
  </w:abstractNum>
  <w:abstractNum w:abstractNumId="466" w15:restartNumberingAfterBreak="0">
    <w:nsid w:val="6DFB0578"/>
    <w:multiLevelType w:val="hybridMultilevel"/>
    <w:tmpl w:val="FFBA14D8"/>
    <w:styleLink w:val="ImportedStyle11563"/>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7" w15:restartNumberingAfterBreak="0">
    <w:nsid w:val="6DFC2D0A"/>
    <w:multiLevelType w:val="hybridMultilevel"/>
    <w:tmpl w:val="40DCA82C"/>
    <w:styleLink w:val="Stilimportat714"/>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6E1E3472"/>
    <w:multiLevelType w:val="hybridMultilevel"/>
    <w:tmpl w:val="6142A390"/>
    <w:styleLink w:val="ImportedStyle150"/>
    <w:lvl w:ilvl="0" w:tplc="4B86B602">
      <w:start w:val="1"/>
      <w:numFmt w:val="bullet"/>
      <w:lvlText w:val="−"/>
      <w:lvlJc w:val="left"/>
      <w:pPr>
        <w:ind w:left="360" w:hanging="360"/>
      </w:pPr>
      <w:rPr>
        <w:rFonts w:hAnsi="Arial Unicode MS"/>
        <w:caps w:val="0"/>
        <w:smallCaps w:val="0"/>
        <w:strike w:val="0"/>
        <w:dstrike w:val="0"/>
        <w:spacing w:val="0"/>
        <w:w w:val="100"/>
        <w:kern w:val="0"/>
        <w:position w:val="0"/>
        <w:highlight w:val="none"/>
        <w:vertAlign w:val="baseline"/>
      </w:rPr>
    </w:lvl>
    <w:lvl w:ilvl="1" w:tplc="F364014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2" w:tplc="08F84B82">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3" w:tplc="0E0AE228">
      <w:start w:val="1"/>
      <w:numFmt w:val="bullet"/>
      <w:lvlText w:val="-"/>
      <w:lvlJc w:val="left"/>
      <w:pPr>
        <w:ind w:left="14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414BA0C">
      <w:start w:val="1"/>
      <w:numFmt w:val="bullet"/>
      <w:lvlText w:val="-"/>
      <w:lvlJc w:val="left"/>
      <w:pPr>
        <w:ind w:left="18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5" w:tplc="057A9996">
      <w:start w:val="1"/>
      <w:numFmt w:val="bullet"/>
      <w:lvlText w:val="-"/>
      <w:lvlJc w:val="left"/>
      <w:pPr>
        <w:ind w:left="216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6" w:tplc="BE205694">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6C46D8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8" w:tplc="41F6D0EC">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abstractNum>
  <w:abstractNum w:abstractNumId="469" w15:restartNumberingAfterBreak="0">
    <w:nsid w:val="6E6B4456"/>
    <w:multiLevelType w:val="hybridMultilevel"/>
    <w:tmpl w:val="D8D05794"/>
    <w:lvl w:ilvl="0" w:tplc="E9F61410">
      <w:start w:val="1"/>
      <w:numFmt w:val="bullet"/>
      <w:lvlText w:val=""/>
      <w:lvlJc w:val="left"/>
      <w:pPr>
        <w:ind w:left="720" w:hanging="360"/>
      </w:pPr>
      <w:rPr>
        <w:rFonts w:ascii="Symbol" w:hAnsi="Symbol" w:hint="default"/>
      </w:rPr>
    </w:lvl>
    <w:lvl w:ilvl="1" w:tplc="327C2780">
      <w:numFmt w:val="bullet"/>
      <w:lvlText w:val="-"/>
      <w:lvlJc w:val="left"/>
      <w:pPr>
        <w:ind w:left="1440" w:hanging="360"/>
      </w:pPr>
      <w:rPr>
        <w:rFonts w:ascii="Times New Roman" w:eastAsiaTheme="minorHAnsi" w:hAnsi="Times New Roman"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0" w15:restartNumberingAfterBreak="0">
    <w:nsid w:val="6EEE6E69"/>
    <w:multiLevelType w:val="hybridMultilevel"/>
    <w:tmpl w:val="FB602E9A"/>
    <w:styleLink w:val="ImportedStyle87"/>
    <w:lvl w:ilvl="0" w:tplc="16F631EE">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FD36A4D8">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ACA667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064E2CC">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C9870C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070EE7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448EEAE">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980D89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228CAF2">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71" w15:restartNumberingAfterBreak="0">
    <w:nsid w:val="6F624FF6"/>
    <w:multiLevelType w:val="hybridMultilevel"/>
    <w:tmpl w:val="1BEC7A1C"/>
    <w:styleLink w:val="ImportedStyle33211"/>
    <w:lvl w:ilvl="0" w:tplc="04090001">
      <w:start w:val="1"/>
      <w:numFmt w:val="bullet"/>
      <w:lvlText w:val=""/>
      <w:lvlJc w:val="left"/>
      <w:pPr>
        <w:ind w:left="720" w:hanging="360"/>
      </w:pPr>
      <w:rPr>
        <w:rFonts w:ascii="Symbol" w:hAnsi="Symbol" w:hint="default"/>
      </w:rPr>
    </w:lvl>
    <w:lvl w:ilvl="1" w:tplc="0CF08D3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2" w15:restartNumberingAfterBreak="0">
    <w:nsid w:val="6FD80D20"/>
    <w:multiLevelType w:val="hybridMultilevel"/>
    <w:tmpl w:val="23C83BD6"/>
    <w:styleLink w:val="Stilimportat36"/>
    <w:lvl w:ilvl="0" w:tplc="806ACE22">
      <w:start w:val="1"/>
      <w:numFmt w:val="decimal"/>
      <w:lvlText w:val="%1."/>
      <w:lvlJc w:val="left"/>
      <w:pPr>
        <w:ind w:left="720" w:hanging="360"/>
      </w:pPr>
      <w:rPr>
        <w:b/>
        <w:color w:val="auto"/>
      </w:rPr>
    </w:lvl>
    <w:lvl w:ilvl="1" w:tplc="436267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6FF551EA"/>
    <w:multiLevelType w:val="hybridMultilevel"/>
    <w:tmpl w:val="AC0E2E24"/>
    <w:lvl w:ilvl="0" w:tplc="E9F614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4" w15:restartNumberingAfterBreak="0">
    <w:nsid w:val="70194340"/>
    <w:multiLevelType w:val="hybridMultilevel"/>
    <w:tmpl w:val="5C5A67B8"/>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5" w15:restartNumberingAfterBreak="0">
    <w:nsid w:val="70595AEA"/>
    <w:multiLevelType w:val="hybridMultilevel"/>
    <w:tmpl w:val="3D4E2276"/>
    <w:styleLink w:val="ImportedStyle15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6" w15:restartNumberingAfterBreak="0">
    <w:nsid w:val="705E2305"/>
    <w:multiLevelType w:val="hybridMultilevel"/>
    <w:tmpl w:val="75106470"/>
    <w:lvl w:ilvl="0" w:tplc="70E8FCB4">
      <w:numFmt w:val="bullet"/>
      <w:lvlText w:val="-"/>
      <w:lvlJc w:val="left"/>
      <w:pPr>
        <w:ind w:left="836" w:hanging="360"/>
      </w:pPr>
      <w:rPr>
        <w:rFonts w:ascii="Courier New" w:eastAsia="Courier New" w:hAnsi="Courier New" w:cs="Courier New" w:hint="default"/>
        <w:b w:val="0"/>
        <w:bCs w:val="0"/>
        <w:i w:val="0"/>
        <w:iCs w:val="0"/>
        <w:w w:val="100"/>
        <w:sz w:val="24"/>
        <w:szCs w:val="24"/>
      </w:rPr>
    </w:lvl>
    <w:lvl w:ilvl="1" w:tplc="4580C7BA">
      <w:numFmt w:val="bullet"/>
      <w:lvlText w:val="•"/>
      <w:lvlJc w:val="left"/>
      <w:pPr>
        <w:ind w:left="1720" w:hanging="360"/>
      </w:pPr>
      <w:rPr>
        <w:rFonts w:hint="default"/>
      </w:rPr>
    </w:lvl>
    <w:lvl w:ilvl="2" w:tplc="D838732A">
      <w:numFmt w:val="bullet"/>
      <w:lvlText w:val="•"/>
      <w:lvlJc w:val="left"/>
      <w:pPr>
        <w:ind w:left="2600" w:hanging="360"/>
      </w:pPr>
      <w:rPr>
        <w:rFonts w:hint="default"/>
      </w:rPr>
    </w:lvl>
    <w:lvl w:ilvl="3" w:tplc="8C006050">
      <w:numFmt w:val="bullet"/>
      <w:lvlText w:val="•"/>
      <w:lvlJc w:val="left"/>
      <w:pPr>
        <w:ind w:left="3480" w:hanging="360"/>
      </w:pPr>
      <w:rPr>
        <w:rFonts w:hint="default"/>
      </w:rPr>
    </w:lvl>
    <w:lvl w:ilvl="4" w:tplc="349CB7DC">
      <w:numFmt w:val="bullet"/>
      <w:lvlText w:val="•"/>
      <w:lvlJc w:val="left"/>
      <w:pPr>
        <w:ind w:left="4360" w:hanging="360"/>
      </w:pPr>
      <w:rPr>
        <w:rFonts w:hint="default"/>
      </w:rPr>
    </w:lvl>
    <w:lvl w:ilvl="5" w:tplc="09206E82">
      <w:numFmt w:val="bullet"/>
      <w:lvlText w:val="•"/>
      <w:lvlJc w:val="left"/>
      <w:pPr>
        <w:ind w:left="5240" w:hanging="360"/>
      </w:pPr>
      <w:rPr>
        <w:rFonts w:hint="default"/>
      </w:rPr>
    </w:lvl>
    <w:lvl w:ilvl="6" w:tplc="F4004CC8">
      <w:numFmt w:val="bullet"/>
      <w:lvlText w:val="•"/>
      <w:lvlJc w:val="left"/>
      <w:pPr>
        <w:ind w:left="6120" w:hanging="360"/>
      </w:pPr>
      <w:rPr>
        <w:rFonts w:hint="default"/>
      </w:rPr>
    </w:lvl>
    <w:lvl w:ilvl="7" w:tplc="F9EEDF08">
      <w:numFmt w:val="bullet"/>
      <w:lvlText w:val="•"/>
      <w:lvlJc w:val="left"/>
      <w:pPr>
        <w:ind w:left="7000" w:hanging="360"/>
      </w:pPr>
      <w:rPr>
        <w:rFonts w:hint="default"/>
      </w:rPr>
    </w:lvl>
    <w:lvl w:ilvl="8" w:tplc="B5B43AAC">
      <w:numFmt w:val="bullet"/>
      <w:lvlText w:val="•"/>
      <w:lvlJc w:val="left"/>
      <w:pPr>
        <w:ind w:left="7880" w:hanging="360"/>
      </w:pPr>
      <w:rPr>
        <w:rFonts w:hint="default"/>
      </w:rPr>
    </w:lvl>
  </w:abstractNum>
  <w:abstractNum w:abstractNumId="477" w15:restartNumberingAfterBreak="0">
    <w:nsid w:val="707579F9"/>
    <w:multiLevelType w:val="hybridMultilevel"/>
    <w:tmpl w:val="214A7C7A"/>
    <w:styleLink w:val="Stilimportat41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8" w15:restartNumberingAfterBreak="0">
    <w:nsid w:val="708B5546"/>
    <w:multiLevelType w:val="hybridMultilevel"/>
    <w:tmpl w:val="699AD6F6"/>
    <w:styleLink w:val="ImportedStyle48"/>
    <w:lvl w:ilvl="0" w:tplc="492C6C8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77EAD4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97B2226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6174220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4CCC872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9892C1B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0CD82C88">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FBEF5EC">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041AC32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479" w15:restartNumberingAfterBreak="0">
    <w:nsid w:val="715108BE"/>
    <w:multiLevelType w:val="hybridMultilevel"/>
    <w:tmpl w:val="4C8AB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71604692"/>
    <w:multiLevelType w:val="hybridMultilevel"/>
    <w:tmpl w:val="158042A8"/>
    <w:styleLink w:val="ImportedStyle78023111"/>
    <w:lvl w:ilvl="0" w:tplc="B89CE3E2">
      <w:start w:val="1"/>
      <w:numFmt w:val="bullet"/>
      <w:lvlText w:val="·"/>
      <w:lvlJc w:val="left"/>
      <w:pPr>
        <w:ind w:left="127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B098AE">
      <w:start w:val="1"/>
      <w:numFmt w:val="bullet"/>
      <w:lvlText w:val="o"/>
      <w:lvlJc w:val="left"/>
      <w:pPr>
        <w:ind w:left="199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5A6A16A">
      <w:start w:val="1"/>
      <w:numFmt w:val="bullet"/>
      <w:lvlText w:val="▪"/>
      <w:lvlJc w:val="left"/>
      <w:pPr>
        <w:ind w:left="27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4E1CE2">
      <w:start w:val="1"/>
      <w:numFmt w:val="bullet"/>
      <w:lvlText w:val="·"/>
      <w:lvlJc w:val="left"/>
      <w:pPr>
        <w:ind w:left="343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AAA3AE">
      <w:start w:val="1"/>
      <w:numFmt w:val="bullet"/>
      <w:lvlText w:val="o"/>
      <w:lvlJc w:val="left"/>
      <w:pPr>
        <w:ind w:left="415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78EA00">
      <w:start w:val="1"/>
      <w:numFmt w:val="bullet"/>
      <w:lvlText w:val="▪"/>
      <w:lvlJc w:val="left"/>
      <w:pPr>
        <w:ind w:left="487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418DEF4">
      <w:start w:val="1"/>
      <w:numFmt w:val="bullet"/>
      <w:lvlText w:val="·"/>
      <w:lvlJc w:val="left"/>
      <w:pPr>
        <w:ind w:left="5596"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2C52E0">
      <w:start w:val="1"/>
      <w:numFmt w:val="bullet"/>
      <w:lvlText w:val="o"/>
      <w:lvlJc w:val="left"/>
      <w:pPr>
        <w:ind w:left="631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7BC97D2">
      <w:start w:val="1"/>
      <w:numFmt w:val="bullet"/>
      <w:lvlText w:val="▪"/>
      <w:lvlJc w:val="left"/>
      <w:pPr>
        <w:ind w:left="7036"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1" w15:restartNumberingAfterBreak="0">
    <w:nsid w:val="71714CC1"/>
    <w:multiLevelType w:val="hybridMultilevel"/>
    <w:tmpl w:val="7F90301E"/>
    <w:styleLink w:val="Stilimportat632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717B3929"/>
    <w:multiLevelType w:val="hybridMultilevel"/>
    <w:tmpl w:val="57FCE65A"/>
    <w:styleLink w:val="ImportedStyle11422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15:restartNumberingAfterBreak="0">
    <w:nsid w:val="71FE7B62"/>
    <w:multiLevelType w:val="hybridMultilevel"/>
    <w:tmpl w:val="7D047A0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4" w15:restartNumberingAfterBreak="0">
    <w:nsid w:val="721A3011"/>
    <w:multiLevelType w:val="hybridMultilevel"/>
    <w:tmpl w:val="53E4E19C"/>
    <w:styleLink w:val="ImportedStyle1212"/>
    <w:lvl w:ilvl="0" w:tplc="AA24B12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5B07D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95C04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872D68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3B206D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72E80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49C85A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E9ED3E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C52F84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85" w15:restartNumberingAfterBreak="0">
    <w:nsid w:val="72421188"/>
    <w:multiLevelType w:val="hybridMultilevel"/>
    <w:tmpl w:val="C688E920"/>
    <w:lvl w:ilvl="0" w:tplc="F5FA40BC">
      <w:start w:val="1"/>
      <w:numFmt w:val="bullet"/>
      <w:lvlText w:val="-"/>
      <w:lvlJc w:val="left"/>
      <w:pPr>
        <w:ind w:left="720" w:hanging="360"/>
      </w:pPr>
      <w:rPr>
        <w:rFonts w:ascii="Courier New" w:hAnsi="Courier New"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6" w15:restartNumberingAfterBreak="0">
    <w:nsid w:val="724A3E53"/>
    <w:multiLevelType w:val="hybridMultilevel"/>
    <w:tmpl w:val="68D40F2E"/>
    <w:styleLink w:val="ImportedStyle400"/>
    <w:lvl w:ilvl="0" w:tplc="A34ACDF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E080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9817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67405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48045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7C54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3499E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0C9A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8E9C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7" w15:restartNumberingAfterBreak="0">
    <w:nsid w:val="7268465D"/>
    <w:multiLevelType w:val="hybridMultilevel"/>
    <w:tmpl w:val="67F4850A"/>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8" w15:restartNumberingAfterBreak="0">
    <w:nsid w:val="727B1668"/>
    <w:multiLevelType w:val="hybridMultilevel"/>
    <w:tmpl w:val="9508F7F2"/>
    <w:lvl w:ilvl="0" w:tplc="0409000F">
      <w:start w:val="1"/>
      <w:numFmt w:val="decimal"/>
      <w:lvlText w:val="%1."/>
      <w:lvlJc w:val="left"/>
      <w:pPr>
        <w:ind w:left="1287" w:hanging="360"/>
      </w:pPr>
    </w:lvl>
    <w:lvl w:ilvl="1" w:tplc="E9F61410">
      <w:start w:val="1"/>
      <w:numFmt w:val="bullet"/>
      <w:lvlText w:val=""/>
      <w:lvlJc w:val="left"/>
      <w:pPr>
        <w:ind w:left="2007" w:hanging="360"/>
      </w:pPr>
      <w:rPr>
        <w:rFonts w:ascii="Symbol" w:hAnsi="Symbol"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89" w15:restartNumberingAfterBreak="0">
    <w:nsid w:val="7292117B"/>
    <w:multiLevelType w:val="hybridMultilevel"/>
    <w:tmpl w:val="9CA4DB08"/>
    <w:styleLink w:val="ImportedStyle1153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2D94777"/>
    <w:multiLevelType w:val="hybridMultilevel"/>
    <w:tmpl w:val="ECAE6FEE"/>
    <w:styleLink w:val="ImportedStyle780"/>
    <w:lvl w:ilvl="0" w:tplc="8B1C2946">
      <w:start w:val="1"/>
      <w:numFmt w:val="lowerLetter"/>
      <w:lvlText w:val="%1."/>
      <w:lvlJc w:val="left"/>
      <w:pPr>
        <w:ind w:left="3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C8723C8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D8BC23D8">
      <w:start w:val="1"/>
      <w:numFmt w:val="lowerRoman"/>
      <w:lvlText w:val="%3."/>
      <w:lvlJc w:val="left"/>
      <w:pPr>
        <w:ind w:left="2160" w:hanging="313"/>
      </w:pPr>
      <w:rPr>
        <w:rFonts w:hAnsi="Arial Unicode MS"/>
        <w:caps w:val="0"/>
        <w:smallCaps w:val="0"/>
        <w:strike w:val="0"/>
        <w:dstrike w:val="0"/>
        <w:spacing w:val="0"/>
        <w:w w:val="100"/>
        <w:kern w:val="0"/>
        <w:position w:val="0"/>
        <w:highlight w:val="none"/>
        <w:vertAlign w:val="baseline"/>
      </w:rPr>
    </w:lvl>
    <w:lvl w:ilvl="3" w:tplc="63C4E19E">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32CF08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506CD15E">
      <w:start w:val="1"/>
      <w:numFmt w:val="lowerRoman"/>
      <w:lvlText w:val="%6."/>
      <w:lvlJc w:val="left"/>
      <w:pPr>
        <w:ind w:left="4320" w:hanging="313"/>
      </w:pPr>
      <w:rPr>
        <w:rFonts w:hAnsi="Arial Unicode MS"/>
        <w:caps w:val="0"/>
        <w:smallCaps w:val="0"/>
        <w:strike w:val="0"/>
        <w:dstrike w:val="0"/>
        <w:spacing w:val="0"/>
        <w:w w:val="100"/>
        <w:kern w:val="0"/>
        <w:position w:val="0"/>
        <w:highlight w:val="none"/>
        <w:vertAlign w:val="baseline"/>
      </w:rPr>
    </w:lvl>
    <w:lvl w:ilvl="6" w:tplc="A43E4CB6">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75D4CF7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FD1CDA9A">
      <w:start w:val="1"/>
      <w:numFmt w:val="lowerRoman"/>
      <w:lvlText w:val="%9."/>
      <w:lvlJc w:val="left"/>
      <w:pPr>
        <w:ind w:left="6480" w:hanging="313"/>
      </w:pPr>
      <w:rPr>
        <w:rFonts w:hAnsi="Arial Unicode MS"/>
        <w:caps w:val="0"/>
        <w:smallCaps w:val="0"/>
        <w:strike w:val="0"/>
        <w:dstrike w:val="0"/>
        <w:spacing w:val="0"/>
        <w:w w:val="100"/>
        <w:kern w:val="0"/>
        <w:position w:val="0"/>
        <w:highlight w:val="none"/>
        <w:vertAlign w:val="baseline"/>
      </w:rPr>
    </w:lvl>
  </w:abstractNum>
  <w:abstractNum w:abstractNumId="491" w15:restartNumberingAfterBreak="0">
    <w:nsid w:val="733D3C8D"/>
    <w:multiLevelType w:val="hybridMultilevel"/>
    <w:tmpl w:val="6A70E238"/>
    <w:styleLink w:val="ImportedStyle32111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2" w15:restartNumberingAfterBreak="0">
    <w:nsid w:val="74313BD5"/>
    <w:multiLevelType w:val="hybridMultilevel"/>
    <w:tmpl w:val="167869FA"/>
    <w:styleLink w:val="ImportedStyle114141"/>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3" w15:restartNumberingAfterBreak="0">
    <w:nsid w:val="745F3DFA"/>
    <w:multiLevelType w:val="hybridMultilevel"/>
    <w:tmpl w:val="A9B63D0A"/>
    <w:styleLink w:val="ImportedStyle27"/>
    <w:lvl w:ilvl="0" w:tplc="3CD2A09E">
      <w:start w:val="1"/>
      <w:numFmt w:val="bullet"/>
      <w:lvlText w:val="·"/>
      <w:lvlJc w:val="left"/>
      <w:pPr>
        <w:tabs>
          <w:tab w:val="left" w:pos="860"/>
        </w:tabs>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A641E28">
      <w:start w:val="1"/>
      <w:numFmt w:val="bullet"/>
      <w:lvlText w:val="o"/>
      <w:lvlJc w:val="left"/>
      <w:pPr>
        <w:tabs>
          <w:tab w:val="left" w:pos="86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77C21C2">
      <w:start w:val="1"/>
      <w:numFmt w:val="bullet"/>
      <w:lvlText w:val="▪"/>
      <w:lvlJc w:val="left"/>
      <w:pPr>
        <w:tabs>
          <w:tab w:val="left" w:pos="86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B60A85E">
      <w:start w:val="1"/>
      <w:numFmt w:val="bullet"/>
      <w:lvlText w:val="·"/>
      <w:lvlJc w:val="left"/>
      <w:pPr>
        <w:tabs>
          <w:tab w:val="left" w:pos="860"/>
        </w:tabs>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36EF3DC">
      <w:start w:val="1"/>
      <w:numFmt w:val="bullet"/>
      <w:lvlText w:val="o"/>
      <w:lvlJc w:val="left"/>
      <w:pPr>
        <w:tabs>
          <w:tab w:val="left" w:pos="86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416D376">
      <w:start w:val="1"/>
      <w:numFmt w:val="bullet"/>
      <w:lvlText w:val="▪"/>
      <w:lvlJc w:val="left"/>
      <w:pPr>
        <w:tabs>
          <w:tab w:val="left" w:pos="86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C18D268">
      <w:start w:val="1"/>
      <w:numFmt w:val="bullet"/>
      <w:lvlText w:val="·"/>
      <w:lvlJc w:val="left"/>
      <w:pPr>
        <w:tabs>
          <w:tab w:val="left" w:pos="860"/>
        </w:tabs>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76C0776">
      <w:start w:val="1"/>
      <w:numFmt w:val="bullet"/>
      <w:lvlText w:val="o"/>
      <w:lvlJc w:val="left"/>
      <w:pPr>
        <w:tabs>
          <w:tab w:val="left" w:pos="86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F647E44">
      <w:start w:val="1"/>
      <w:numFmt w:val="bullet"/>
      <w:lvlText w:val="▪"/>
      <w:lvlJc w:val="left"/>
      <w:pPr>
        <w:tabs>
          <w:tab w:val="left" w:pos="86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94" w15:restartNumberingAfterBreak="0">
    <w:nsid w:val="748A217F"/>
    <w:multiLevelType w:val="hybridMultilevel"/>
    <w:tmpl w:val="577E0E18"/>
    <w:styleLink w:val="ImportedStyle8222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748D10C6"/>
    <w:multiLevelType w:val="hybridMultilevel"/>
    <w:tmpl w:val="54E4171E"/>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6" w15:restartNumberingAfterBreak="0">
    <w:nsid w:val="74FDC046"/>
    <w:multiLevelType w:val="multilevel"/>
    <w:tmpl w:val="FFFFFFFF"/>
    <w:styleLink w:val="Stilimportat6311111"/>
    <w:lvl w:ilvl="0">
      <w:numFmt w:val="bullet"/>
      <w:lvlText w:val="·"/>
      <w:lvlJc w:val="left"/>
      <w:pPr>
        <w:tabs>
          <w:tab w:val="num" w:pos="1440"/>
        </w:tabs>
        <w:ind w:left="1440" w:hanging="360"/>
      </w:pPr>
      <w:rPr>
        <w:rFonts w:ascii="Symbol" w:hAnsi="Symbol" w:cs="Symbol"/>
        <w:sz w:val="22"/>
        <w:szCs w:val="22"/>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497" w15:restartNumberingAfterBreak="0">
    <w:nsid w:val="750A4C5D"/>
    <w:multiLevelType w:val="hybridMultilevel"/>
    <w:tmpl w:val="03D8F6E8"/>
    <w:styleLink w:val="Stilimportat73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8" w15:restartNumberingAfterBreak="0">
    <w:nsid w:val="75114FE0"/>
    <w:multiLevelType w:val="hybridMultilevel"/>
    <w:tmpl w:val="20781032"/>
    <w:styleLink w:val="ImportedStyle108"/>
    <w:lvl w:ilvl="0" w:tplc="B5C6E8F4">
      <w:start w:val="1"/>
      <w:numFmt w:val="upperLetter"/>
      <w:lvlText w:val="%1."/>
      <w:lvlJc w:val="left"/>
      <w:pPr>
        <w:ind w:left="284" w:hanging="284"/>
      </w:pPr>
      <w:rPr>
        <w:rFonts w:hAnsi="Arial Unicode MS"/>
        <w:b/>
        <w:bCs/>
        <w:caps w:val="0"/>
        <w:smallCaps w:val="0"/>
        <w:strike w:val="0"/>
        <w:dstrike w:val="0"/>
        <w:spacing w:val="0"/>
        <w:w w:val="100"/>
        <w:kern w:val="0"/>
        <w:position w:val="0"/>
        <w:highlight w:val="none"/>
        <w:vertAlign w:val="baseline"/>
      </w:rPr>
    </w:lvl>
    <w:lvl w:ilvl="1" w:tplc="A114EECC">
      <w:start w:val="1"/>
      <w:numFmt w:val="lowerLetter"/>
      <w:lvlText w:val="%2."/>
      <w:lvlJc w:val="left"/>
      <w:pPr>
        <w:ind w:left="1004" w:hanging="284"/>
      </w:pPr>
      <w:rPr>
        <w:rFonts w:hAnsi="Arial Unicode MS"/>
        <w:b/>
        <w:bCs/>
        <w:caps w:val="0"/>
        <w:smallCaps w:val="0"/>
        <w:strike w:val="0"/>
        <w:dstrike w:val="0"/>
        <w:spacing w:val="0"/>
        <w:w w:val="100"/>
        <w:kern w:val="0"/>
        <w:position w:val="0"/>
        <w:highlight w:val="none"/>
        <w:vertAlign w:val="baseline"/>
      </w:rPr>
    </w:lvl>
    <w:lvl w:ilvl="2" w:tplc="CED8E05C">
      <w:start w:val="1"/>
      <w:numFmt w:val="lowerRoman"/>
      <w:lvlText w:val="%3."/>
      <w:lvlJc w:val="left"/>
      <w:pPr>
        <w:ind w:left="1724" w:hanging="237"/>
      </w:pPr>
      <w:rPr>
        <w:rFonts w:hAnsi="Arial Unicode MS"/>
        <w:b/>
        <w:bCs/>
        <w:caps w:val="0"/>
        <w:smallCaps w:val="0"/>
        <w:strike w:val="0"/>
        <w:dstrike w:val="0"/>
        <w:spacing w:val="0"/>
        <w:w w:val="100"/>
        <w:kern w:val="0"/>
        <w:position w:val="0"/>
        <w:highlight w:val="none"/>
        <w:vertAlign w:val="baseline"/>
      </w:rPr>
    </w:lvl>
    <w:lvl w:ilvl="3" w:tplc="AB38328C">
      <w:start w:val="1"/>
      <w:numFmt w:val="decimal"/>
      <w:lvlText w:val="%4."/>
      <w:lvlJc w:val="left"/>
      <w:pPr>
        <w:ind w:left="2444" w:hanging="284"/>
      </w:pPr>
      <w:rPr>
        <w:rFonts w:hAnsi="Arial Unicode MS"/>
        <w:b/>
        <w:bCs/>
        <w:caps w:val="0"/>
        <w:smallCaps w:val="0"/>
        <w:strike w:val="0"/>
        <w:dstrike w:val="0"/>
        <w:spacing w:val="0"/>
        <w:w w:val="100"/>
        <w:kern w:val="0"/>
        <w:position w:val="0"/>
        <w:highlight w:val="none"/>
        <w:vertAlign w:val="baseline"/>
      </w:rPr>
    </w:lvl>
    <w:lvl w:ilvl="4" w:tplc="9BD2707C">
      <w:start w:val="1"/>
      <w:numFmt w:val="lowerLetter"/>
      <w:lvlText w:val="%5."/>
      <w:lvlJc w:val="left"/>
      <w:pPr>
        <w:ind w:left="3164" w:hanging="284"/>
      </w:pPr>
      <w:rPr>
        <w:rFonts w:hAnsi="Arial Unicode MS"/>
        <w:b/>
        <w:bCs/>
        <w:caps w:val="0"/>
        <w:smallCaps w:val="0"/>
        <w:strike w:val="0"/>
        <w:dstrike w:val="0"/>
        <w:spacing w:val="0"/>
        <w:w w:val="100"/>
        <w:kern w:val="0"/>
        <w:position w:val="0"/>
        <w:highlight w:val="none"/>
        <w:vertAlign w:val="baseline"/>
      </w:rPr>
    </w:lvl>
    <w:lvl w:ilvl="5" w:tplc="E946CD52">
      <w:start w:val="1"/>
      <w:numFmt w:val="lowerRoman"/>
      <w:lvlText w:val="%6."/>
      <w:lvlJc w:val="left"/>
      <w:pPr>
        <w:ind w:left="3884" w:hanging="237"/>
      </w:pPr>
      <w:rPr>
        <w:rFonts w:hAnsi="Arial Unicode MS"/>
        <w:b/>
        <w:bCs/>
        <w:caps w:val="0"/>
        <w:smallCaps w:val="0"/>
        <w:strike w:val="0"/>
        <w:dstrike w:val="0"/>
        <w:spacing w:val="0"/>
        <w:w w:val="100"/>
        <w:kern w:val="0"/>
        <w:position w:val="0"/>
        <w:highlight w:val="none"/>
        <w:vertAlign w:val="baseline"/>
      </w:rPr>
    </w:lvl>
    <w:lvl w:ilvl="6" w:tplc="7DA6DD32">
      <w:start w:val="1"/>
      <w:numFmt w:val="decimal"/>
      <w:lvlText w:val="%7."/>
      <w:lvlJc w:val="left"/>
      <w:pPr>
        <w:ind w:left="4604" w:hanging="284"/>
      </w:pPr>
      <w:rPr>
        <w:rFonts w:hAnsi="Arial Unicode MS"/>
        <w:b/>
        <w:bCs/>
        <w:caps w:val="0"/>
        <w:smallCaps w:val="0"/>
        <w:strike w:val="0"/>
        <w:dstrike w:val="0"/>
        <w:spacing w:val="0"/>
        <w:w w:val="100"/>
        <w:kern w:val="0"/>
        <w:position w:val="0"/>
        <w:highlight w:val="none"/>
        <w:vertAlign w:val="baseline"/>
      </w:rPr>
    </w:lvl>
    <w:lvl w:ilvl="7" w:tplc="7CF65C30">
      <w:start w:val="1"/>
      <w:numFmt w:val="lowerLetter"/>
      <w:lvlText w:val="%8."/>
      <w:lvlJc w:val="left"/>
      <w:pPr>
        <w:ind w:left="5324" w:hanging="284"/>
      </w:pPr>
      <w:rPr>
        <w:rFonts w:hAnsi="Arial Unicode MS"/>
        <w:b/>
        <w:bCs/>
        <w:caps w:val="0"/>
        <w:smallCaps w:val="0"/>
        <w:strike w:val="0"/>
        <w:dstrike w:val="0"/>
        <w:spacing w:val="0"/>
        <w:w w:val="100"/>
        <w:kern w:val="0"/>
        <w:position w:val="0"/>
        <w:highlight w:val="none"/>
        <w:vertAlign w:val="baseline"/>
      </w:rPr>
    </w:lvl>
    <w:lvl w:ilvl="8" w:tplc="01DCA892">
      <w:start w:val="1"/>
      <w:numFmt w:val="lowerRoman"/>
      <w:lvlText w:val="%9."/>
      <w:lvlJc w:val="left"/>
      <w:pPr>
        <w:ind w:left="6044" w:hanging="237"/>
      </w:pPr>
      <w:rPr>
        <w:rFonts w:hAnsi="Arial Unicode MS"/>
        <w:b/>
        <w:bCs/>
        <w:caps w:val="0"/>
        <w:smallCaps w:val="0"/>
        <w:strike w:val="0"/>
        <w:dstrike w:val="0"/>
        <w:spacing w:val="0"/>
        <w:w w:val="100"/>
        <w:kern w:val="0"/>
        <w:position w:val="0"/>
        <w:highlight w:val="none"/>
        <w:vertAlign w:val="baseline"/>
      </w:rPr>
    </w:lvl>
  </w:abstractNum>
  <w:abstractNum w:abstractNumId="499" w15:restartNumberingAfterBreak="0">
    <w:nsid w:val="751739F4"/>
    <w:multiLevelType w:val="hybridMultilevel"/>
    <w:tmpl w:val="F6C6B458"/>
    <w:styleLink w:val="ImportedStyle53"/>
    <w:lvl w:ilvl="0" w:tplc="408A6D82">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6E80990C">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EBD2908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5040F64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1BBC5E24">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F764566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6C3A4682">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3E467BE0">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D2C0CCDA">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500" w15:restartNumberingAfterBreak="0">
    <w:nsid w:val="752302B5"/>
    <w:multiLevelType w:val="hybridMultilevel"/>
    <w:tmpl w:val="FB187424"/>
    <w:styleLink w:val="Stilimportat13211"/>
    <w:lvl w:ilvl="0" w:tplc="9DE62A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1" w15:restartNumberingAfterBreak="0">
    <w:nsid w:val="75D368F8"/>
    <w:multiLevelType w:val="hybridMultilevel"/>
    <w:tmpl w:val="91C2405A"/>
    <w:lvl w:ilvl="0" w:tplc="EBA498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2" w15:restartNumberingAfterBreak="0">
    <w:nsid w:val="76155BA9"/>
    <w:multiLevelType w:val="hybridMultilevel"/>
    <w:tmpl w:val="627EF686"/>
    <w:styleLink w:val="ImportedStyle782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3" w15:restartNumberingAfterBreak="0">
    <w:nsid w:val="762942A1"/>
    <w:multiLevelType w:val="hybridMultilevel"/>
    <w:tmpl w:val="D3B0BE8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4" w15:restartNumberingAfterBreak="0">
    <w:nsid w:val="764C198E"/>
    <w:multiLevelType w:val="hybridMultilevel"/>
    <w:tmpl w:val="3776F4BE"/>
    <w:styleLink w:val="Stilimportat5411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5" w15:restartNumberingAfterBreak="0">
    <w:nsid w:val="767670BB"/>
    <w:multiLevelType w:val="hybridMultilevel"/>
    <w:tmpl w:val="4D029384"/>
    <w:styleLink w:val="ImportedStyle2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6" w15:restartNumberingAfterBreak="0">
    <w:nsid w:val="76768588"/>
    <w:multiLevelType w:val="multilevel"/>
    <w:tmpl w:val="0E2A024E"/>
    <w:styleLink w:val="ImportedStyle780141"/>
    <w:lvl w:ilvl="0">
      <w:numFmt w:val="bullet"/>
      <w:lvlText w:val="-"/>
      <w:lvlJc w:val="left"/>
      <w:pPr>
        <w:tabs>
          <w:tab w:val="num" w:pos="720"/>
        </w:tabs>
        <w:ind w:left="720" w:hanging="360"/>
      </w:pPr>
      <w:rPr>
        <w:rFonts w:ascii="Courier New" w:hAnsi="Courier New" w:cs="Courier New"/>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07" w15:restartNumberingAfterBreak="0">
    <w:nsid w:val="76B60084"/>
    <w:multiLevelType w:val="hybridMultilevel"/>
    <w:tmpl w:val="D764A75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8" w15:restartNumberingAfterBreak="0">
    <w:nsid w:val="76B672C3"/>
    <w:multiLevelType w:val="hybridMultilevel"/>
    <w:tmpl w:val="EF623A7C"/>
    <w:styleLink w:val="Stilimportat641"/>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9" w15:restartNumberingAfterBreak="0">
    <w:nsid w:val="76BB3BCD"/>
    <w:multiLevelType w:val="hybridMultilevel"/>
    <w:tmpl w:val="C87E38B0"/>
    <w:styleLink w:val="ImportedStyle124"/>
    <w:lvl w:ilvl="0" w:tplc="0B007212">
      <w:start w:val="1"/>
      <w:numFmt w:val="bullet"/>
      <w:lvlText w:val="-"/>
      <w:lvlJc w:val="left"/>
      <w:pPr>
        <w:ind w:left="751"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8A625982">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69C04F36">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3E5CD5AE">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2D3CB972">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D750B0BC">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C296872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2B8617A2">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01A20E6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510" w15:restartNumberingAfterBreak="0">
    <w:nsid w:val="76EB55C2"/>
    <w:multiLevelType w:val="hybridMultilevel"/>
    <w:tmpl w:val="8FF2DD6C"/>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1" w15:restartNumberingAfterBreak="0">
    <w:nsid w:val="76F60201"/>
    <w:multiLevelType w:val="hybridMultilevel"/>
    <w:tmpl w:val="1910F2C2"/>
    <w:styleLink w:val="Stilimportat6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2" w15:restartNumberingAfterBreak="0">
    <w:nsid w:val="77850D9B"/>
    <w:multiLevelType w:val="hybridMultilevel"/>
    <w:tmpl w:val="4036D11C"/>
    <w:styleLink w:val="ImportedStyle1154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3" w15:restartNumberingAfterBreak="0">
    <w:nsid w:val="77C76CCA"/>
    <w:multiLevelType w:val="hybridMultilevel"/>
    <w:tmpl w:val="A2BA6038"/>
    <w:styleLink w:val="ImportedStyle45"/>
    <w:lvl w:ilvl="0" w:tplc="BB40067E">
      <w:start w:val="1"/>
      <w:numFmt w:val="upperLetter"/>
      <w:lvlText w:val="%1."/>
      <w:lvlJc w:val="left"/>
      <w:pPr>
        <w:ind w:left="928" w:hanging="360"/>
      </w:pPr>
      <w:rPr>
        <w:rFonts w:hAnsi="Arial Unicode MS"/>
        <w:b/>
        <w:bCs/>
        <w:caps w:val="0"/>
        <w:smallCaps w:val="0"/>
        <w:strike w:val="0"/>
        <w:dstrike w:val="0"/>
        <w:spacing w:val="0"/>
        <w:w w:val="100"/>
        <w:kern w:val="0"/>
        <w:position w:val="0"/>
        <w:highlight w:val="none"/>
        <w:vertAlign w:val="baseline"/>
      </w:rPr>
    </w:lvl>
    <w:lvl w:ilvl="1" w:tplc="8DE410A0">
      <w:start w:val="1"/>
      <w:numFmt w:val="lowerLetter"/>
      <w:lvlText w:val="%2."/>
      <w:lvlJc w:val="left"/>
      <w:pPr>
        <w:ind w:left="1648" w:hanging="360"/>
      </w:pPr>
      <w:rPr>
        <w:rFonts w:hAnsi="Arial Unicode MS"/>
        <w:b/>
        <w:bCs/>
        <w:caps w:val="0"/>
        <w:smallCaps w:val="0"/>
        <w:strike w:val="0"/>
        <w:dstrike w:val="0"/>
        <w:spacing w:val="0"/>
        <w:w w:val="100"/>
        <w:kern w:val="0"/>
        <w:position w:val="0"/>
        <w:highlight w:val="none"/>
        <w:vertAlign w:val="baseline"/>
      </w:rPr>
    </w:lvl>
    <w:lvl w:ilvl="2" w:tplc="2DB605C2">
      <w:start w:val="1"/>
      <w:numFmt w:val="lowerRoman"/>
      <w:lvlText w:val="%3."/>
      <w:lvlJc w:val="left"/>
      <w:pPr>
        <w:ind w:left="2368" w:hanging="313"/>
      </w:pPr>
      <w:rPr>
        <w:rFonts w:hAnsi="Arial Unicode MS"/>
        <w:b/>
        <w:bCs/>
        <w:caps w:val="0"/>
        <w:smallCaps w:val="0"/>
        <w:strike w:val="0"/>
        <w:dstrike w:val="0"/>
        <w:spacing w:val="0"/>
        <w:w w:val="100"/>
        <w:kern w:val="0"/>
        <w:position w:val="0"/>
        <w:highlight w:val="none"/>
        <w:vertAlign w:val="baseline"/>
      </w:rPr>
    </w:lvl>
    <w:lvl w:ilvl="3" w:tplc="1B96BF8C">
      <w:start w:val="1"/>
      <w:numFmt w:val="decimal"/>
      <w:lvlText w:val="%4."/>
      <w:lvlJc w:val="left"/>
      <w:pPr>
        <w:ind w:left="3088" w:hanging="360"/>
      </w:pPr>
      <w:rPr>
        <w:rFonts w:hAnsi="Arial Unicode MS"/>
        <w:b/>
        <w:bCs/>
        <w:caps w:val="0"/>
        <w:smallCaps w:val="0"/>
        <w:strike w:val="0"/>
        <w:dstrike w:val="0"/>
        <w:spacing w:val="0"/>
        <w:w w:val="100"/>
        <w:kern w:val="0"/>
        <w:position w:val="0"/>
        <w:highlight w:val="none"/>
        <w:vertAlign w:val="baseline"/>
      </w:rPr>
    </w:lvl>
    <w:lvl w:ilvl="4" w:tplc="0E32F6C8">
      <w:start w:val="1"/>
      <w:numFmt w:val="lowerLetter"/>
      <w:lvlText w:val="%5."/>
      <w:lvlJc w:val="left"/>
      <w:pPr>
        <w:ind w:left="3808" w:hanging="360"/>
      </w:pPr>
      <w:rPr>
        <w:rFonts w:hAnsi="Arial Unicode MS"/>
        <w:b/>
        <w:bCs/>
        <w:caps w:val="0"/>
        <w:smallCaps w:val="0"/>
        <w:strike w:val="0"/>
        <w:dstrike w:val="0"/>
        <w:spacing w:val="0"/>
        <w:w w:val="100"/>
        <w:kern w:val="0"/>
        <w:position w:val="0"/>
        <w:highlight w:val="none"/>
        <w:vertAlign w:val="baseline"/>
      </w:rPr>
    </w:lvl>
    <w:lvl w:ilvl="5" w:tplc="DE5AD028">
      <w:start w:val="1"/>
      <w:numFmt w:val="lowerRoman"/>
      <w:lvlText w:val="%6."/>
      <w:lvlJc w:val="left"/>
      <w:pPr>
        <w:ind w:left="4528" w:hanging="313"/>
      </w:pPr>
      <w:rPr>
        <w:rFonts w:hAnsi="Arial Unicode MS"/>
        <w:b/>
        <w:bCs/>
        <w:caps w:val="0"/>
        <w:smallCaps w:val="0"/>
        <w:strike w:val="0"/>
        <w:dstrike w:val="0"/>
        <w:spacing w:val="0"/>
        <w:w w:val="100"/>
        <w:kern w:val="0"/>
        <w:position w:val="0"/>
        <w:highlight w:val="none"/>
        <w:vertAlign w:val="baseline"/>
      </w:rPr>
    </w:lvl>
    <w:lvl w:ilvl="6" w:tplc="4B847C24">
      <w:start w:val="1"/>
      <w:numFmt w:val="decimal"/>
      <w:lvlText w:val="%7."/>
      <w:lvlJc w:val="left"/>
      <w:pPr>
        <w:ind w:left="5248" w:hanging="360"/>
      </w:pPr>
      <w:rPr>
        <w:rFonts w:hAnsi="Arial Unicode MS"/>
        <w:b/>
        <w:bCs/>
        <w:caps w:val="0"/>
        <w:smallCaps w:val="0"/>
        <w:strike w:val="0"/>
        <w:dstrike w:val="0"/>
        <w:spacing w:val="0"/>
        <w:w w:val="100"/>
        <w:kern w:val="0"/>
        <w:position w:val="0"/>
        <w:highlight w:val="none"/>
        <w:vertAlign w:val="baseline"/>
      </w:rPr>
    </w:lvl>
    <w:lvl w:ilvl="7" w:tplc="1164A742">
      <w:start w:val="1"/>
      <w:numFmt w:val="lowerLetter"/>
      <w:lvlText w:val="%8."/>
      <w:lvlJc w:val="left"/>
      <w:pPr>
        <w:ind w:left="5968" w:hanging="360"/>
      </w:pPr>
      <w:rPr>
        <w:rFonts w:hAnsi="Arial Unicode MS"/>
        <w:b/>
        <w:bCs/>
        <w:caps w:val="0"/>
        <w:smallCaps w:val="0"/>
        <w:strike w:val="0"/>
        <w:dstrike w:val="0"/>
        <w:spacing w:val="0"/>
        <w:w w:val="100"/>
        <w:kern w:val="0"/>
        <w:position w:val="0"/>
        <w:highlight w:val="none"/>
        <w:vertAlign w:val="baseline"/>
      </w:rPr>
    </w:lvl>
    <w:lvl w:ilvl="8" w:tplc="2BEE9C30">
      <w:start w:val="1"/>
      <w:numFmt w:val="lowerRoman"/>
      <w:lvlText w:val="%9."/>
      <w:lvlJc w:val="left"/>
      <w:pPr>
        <w:ind w:left="6688" w:hanging="313"/>
      </w:pPr>
      <w:rPr>
        <w:rFonts w:hAnsi="Arial Unicode MS"/>
        <w:b/>
        <w:bCs/>
        <w:caps w:val="0"/>
        <w:smallCaps w:val="0"/>
        <w:strike w:val="0"/>
        <w:dstrike w:val="0"/>
        <w:spacing w:val="0"/>
        <w:w w:val="100"/>
        <w:kern w:val="0"/>
        <w:position w:val="0"/>
        <w:highlight w:val="none"/>
        <w:vertAlign w:val="baseline"/>
      </w:rPr>
    </w:lvl>
  </w:abstractNum>
  <w:abstractNum w:abstractNumId="514" w15:restartNumberingAfterBreak="0">
    <w:nsid w:val="78B20628"/>
    <w:multiLevelType w:val="hybridMultilevel"/>
    <w:tmpl w:val="C0EE24CC"/>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5" w15:restartNumberingAfterBreak="0">
    <w:nsid w:val="78C568A4"/>
    <w:multiLevelType w:val="hybridMultilevel"/>
    <w:tmpl w:val="48123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6" w15:restartNumberingAfterBreak="0">
    <w:nsid w:val="795929BA"/>
    <w:multiLevelType w:val="hybridMultilevel"/>
    <w:tmpl w:val="1A4C17A6"/>
    <w:styleLink w:val="ImportedStyle88"/>
    <w:lvl w:ilvl="0" w:tplc="7A86E690">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C1805B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92E6DF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172D23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2BC985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F844BB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9D0EDDE">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69243F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24EC5F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17" w15:restartNumberingAfterBreak="0">
    <w:nsid w:val="798D6196"/>
    <w:multiLevelType w:val="hybridMultilevel"/>
    <w:tmpl w:val="1B7CE42A"/>
    <w:lvl w:ilvl="0" w:tplc="E9F61410">
      <w:start w:val="1"/>
      <w:numFmt w:val="bullet"/>
      <w:lvlText w:val=""/>
      <w:lvlJc w:val="left"/>
      <w:pPr>
        <w:tabs>
          <w:tab w:val="num" w:pos="785"/>
        </w:tabs>
        <w:ind w:left="785" w:hanging="360"/>
      </w:pPr>
      <w:rPr>
        <w:rFonts w:ascii="Symbol" w:hAnsi="Symbol" w:hint="default"/>
      </w:rPr>
    </w:lvl>
    <w:lvl w:ilvl="1" w:tplc="04090019" w:tentative="1">
      <w:start w:val="1"/>
      <w:numFmt w:val="lowerLetter"/>
      <w:lvlText w:val="%2."/>
      <w:lvlJc w:val="left"/>
      <w:pPr>
        <w:tabs>
          <w:tab w:val="num" w:pos="1505"/>
        </w:tabs>
        <w:ind w:left="1505" w:hanging="360"/>
      </w:p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518" w15:restartNumberingAfterBreak="0">
    <w:nsid w:val="79951E69"/>
    <w:multiLevelType w:val="hybridMultilevel"/>
    <w:tmpl w:val="A2DC3B10"/>
    <w:styleLink w:val="ImportedStyle118"/>
    <w:lvl w:ilvl="0" w:tplc="229E52C4">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620D3C0">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F4AF72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1064BA8">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4264D5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D6D0AADA">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B7C82E0">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E6C8DE0">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AFC0986">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19" w15:restartNumberingAfterBreak="0">
    <w:nsid w:val="79CF4E6B"/>
    <w:multiLevelType w:val="hybridMultilevel"/>
    <w:tmpl w:val="4E44E168"/>
    <w:styleLink w:val="ImportedStyle832111111"/>
    <w:lvl w:ilvl="0" w:tplc="DEC6D618">
      <w:start w:val="1"/>
      <w:numFmt w:val="decimal"/>
      <w:lvlText w:val="%1."/>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69298">
      <w:start w:val="1"/>
      <w:numFmt w:val="decimal"/>
      <w:lvlText w:val="%2."/>
      <w:lvlJc w:val="left"/>
      <w:pPr>
        <w:ind w:left="5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442790">
      <w:start w:val="1"/>
      <w:numFmt w:val="lowerRoman"/>
      <w:lvlText w:val="%3."/>
      <w:lvlJc w:val="left"/>
      <w:pPr>
        <w:ind w:left="128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EB88860">
      <w:start w:val="1"/>
      <w:numFmt w:val="decimal"/>
      <w:lvlText w:val="%4."/>
      <w:lvlJc w:val="left"/>
      <w:pPr>
        <w:ind w:left="200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077F6">
      <w:start w:val="1"/>
      <w:numFmt w:val="lowerLetter"/>
      <w:lvlText w:val="%5."/>
      <w:lvlJc w:val="left"/>
      <w:pPr>
        <w:ind w:left="272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622A68">
      <w:start w:val="1"/>
      <w:numFmt w:val="lowerRoman"/>
      <w:lvlText w:val="%6."/>
      <w:lvlJc w:val="left"/>
      <w:pPr>
        <w:ind w:left="344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B008FC">
      <w:start w:val="1"/>
      <w:numFmt w:val="decimal"/>
      <w:lvlText w:val="%7."/>
      <w:lvlJc w:val="left"/>
      <w:pPr>
        <w:ind w:left="416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741370">
      <w:start w:val="1"/>
      <w:numFmt w:val="lowerLetter"/>
      <w:lvlText w:val="%8."/>
      <w:lvlJc w:val="left"/>
      <w:pPr>
        <w:ind w:left="4887" w:hanging="2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2A2604">
      <w:start w:val="1"/>
      <w:numFmt w:val="lowerRoman"/>
      <w:lvlText w:val="%9."/>
      <w:lvlJc w:val="left"/>
      <w:pPr>
        <w:ind w:left="5607" w:hanging="22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0" w15:restartNumberingAfterBreak="0">
    <w:nsid w:val="7A113F1F"/>
    <w:multiLevelType w:val="hybridMultilevel"/>
    <w:tmpl w:val="A3789ACA"/>
    <w:styleLink w:val="Stilimportat21111111"/>
    <w:lvl w:ilvl="0" w:tplc="0CF08D3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1" w15:restartNumberingAfterBreak="0">
    <w:nsid w:val="7A2D6EC5"/>
    <w:multiLevelType w:val="hybridMultilevel"/>
    <w:tmpl w:val="B600A44A"/>
    <w:styleLink w:val="Stilimportat1511"/>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2" w15:restartNumberingAfterBreak="0">
    <w:nsid w:val="7A851D38"/>
    <w:multiLevelType w:val="hybridMultilevel"/>
    <w:tmpl w:val="34A628A4"/>
    <w:styleLink w:val="ImportedStyle97"/>
    <w:lvl w:ilvl="0" w:tplc="8B8AAFA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D1CF9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7F4AD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F6E243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362048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1A028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37AA5B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58C46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76A21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23" w15:restartNumberingAfterBreak="0">
    <w:nsid w:val="7A9C0256"/>
    <w:multiLevelType w:val="hybridMultilevel"/>
    <w:tmpl w:val="0C8EE4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4" w15:restartNumberingAfterBreak="0">
    <w:nsid w:val="7AA14DE3"/>
    <w:multiLevelType w:val="hybridMultilevel"/>
    <w:tmpl w:val="79DA36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5" w15:restartNumberingAfterBreak="0">
    <w:nsid w:val="7AD75B10"/>
    <w:multiLevelType w:val="hybridMultilevel"/>
    <w:tmpl w:val="671C04E2"/>
    <w:styleLink w:val="Lettered"/>
    <w:lvl w:ilvl="0" w:tplc="B4829582">
      <w:start w:val="1"/>
      <w:numFmt w:val="upperRoman"/>
      <w:lvlText w:val="%1."/>
      <w:lvlJc w:val="left"/>
      <w:pPr>
        <w:ind w:left="289" w:hanging="289"/>
      </w:pPr>
      <w:rPr>
        <w:rFonts w:hAnsi="Arial Unicode MS"/>
        <w:b/>
        <w:bCs/>
        <w:caps w:val="0"/>
        <w:smallCaps w:val="0"/>
        <w:strike w:val="0"/>
        <w:dstrike w:val="0"/>
        <w:color w:val="000000"/>
        <w:spacing w:val="0"/>
        <w:w w:val="100"/>
        <w:kern w:val="0"/>
        <w:position w:val="0"/>
        <w:highlight w:val="none"/>
        <w:vertAlign w:val="baseline"/>
      </w:rPr>
    </w:lvl>
    <w:lvl w:ilvl="1" w:tplc="144C1288">
      <w:start w:val="1"/>
      <w:numFmt w:val="upperRoman"/>
      <w:lvlText w:val="%2."/>
      <w:lvlJc w:val="left"/>
      <w:pPr>
        <w:ind w:left="1289" w:hanging="289"/>
      </w:pPr>
      <w:rPr>
        <w:rFonts w:hAnsi="Arial Unicode MS"/>
        <w:b/>
        <w:bCs/>
        <w:caps w:val="0"/>
        <w:smallCaps w:val="0"/>
        <w:strike w:val="0"/>
        <w:dstrike w:val="0"/>
        <w:color w:val="000000"/>
        <w:spacing w:val="0"/>
        <w:w w:val="100"/>
        <w:kern w:val="0"/>
        <w:position w:val="0"/>
        <w:highlight w:val="none"/>
        <w:vertAlign w:val="baseline"/>
      </w:rPr>
    </w:lvl>
    <w:lvl w:ilvl="2" w:tplc="5AACDE56">
      <w:start w:val="1"/>
      <w:numFmt w:val="upperRoman"/>
      <w:lvlText w:val="%3."/>
      <w:lvlJc w:val="left"/>
      <w:pPr>
        <w:ind w:left="2289" w:hanging="289"/>
      </w:pPr>
      <w:rPr>
        <w:rFonts w:hAnsi="Arial Unicode MS"/>
        <w:b/>
        <w:bCs/>
        <w:caps w:val="0"/>
        <w:smallCaps w:val="0"/>
        <w:strike w:val="0"/>
        <w:dstrike w:val="0"/>
        <w:color w:val="000000"/>
        <w:spacing w:val="0"/>
        <w:w w:val="100"/>
        <w:kern w:val="0"/>
        <w:position w:val="0"/>
        <w:highlight w:val="none"/>
        <w:vertAlign w:val="baseline"/>
      </w:rPr>
    </w:lvl>
    <w:lvl w:ilvl="3" w:tplc="49E2CFE4">
      <w:start w:val="1"/>
      <w:numFmt w:val="upperRoman"/>
      <w:lvlText w:val="%4."/>
      <w:lvlJc w:val="left"/>
      <w:pPr>
        <w:ind w:left="3289" w:hanging="289"/>
      </w:pPr>
      <w:rPr>
        <w:rFonts w:hAnsi="Arial Unicode MS"/>
        <w:b/>
        <w:bCs/>
        <w:caps w:val="0"/>
        <w:smallCaps w:val="0"/>
        <w:strike w:val="0"/>
        <w:dstrike w:val="0"/>
        <w:color w:val="000000"/>
        <w:spacing w:val="0"/>
        <w:w w:val="100"/>
        <w:kern w:val="0"/>
        <w:position w:val="0"/>
        <w:highlight w:val="none"/>
        <w:vertAlign w:val="baseline"/>
      </w:rPr>
    </w:lvl>
    <w:lvl w:ilvl="4" w:tplc="01E27E68">
      <w:start w:val="1"/>
      <w:numFmt w:val="upperRoman"/>
      <w:lvlText w:val="%5."/>
      <w:lvlJc w:val="left"/>
      <w:pPr>
        <w:ind w:left="4289" w:hanging="289"/>
      </w:pPr>
      <w:rPr>
        <w:rFonts w:hAnsi="Arial Unicode MS"/>
        <w:b/>
        <w:bCs/>
        <w:caps w:val="0"/>
        <w:smallCaps w:val="0"/>
        <w:strike w:val="0"/>
        <w:dstrike w:val="0"/>
        <w:color w:val="000000"/>
        <w:spacing w:val="0"/>
        <w:w w:val="100"/>
        <w:kern w:val="0"/>
        <w:position w:val="0"/>
        <w:highlight w:val="none"/>
        <w:vertAlign w:val="baseline"/>
      </w:rPr>
    </w:lvl>
    <w:lvl w:ilvl="5" w:tplc="F44801A4">
      <w:start w:val="1"/>
      <w:numFmt w:val="upperRoman"/>
      <w:lvlText w:val="%6."/>
      <w:lvlJc w:val="left"/>
      <w:pPr>
        <w:ind w:left="5289" w:hanging="289"/>
      </w:pPr>
      <w:rPr>
        <w:rFonts w:hAnsi="Arial Unicode MS"/>
        <w:b/>
        <w:bCs/>
        <w:caps w:val="0"/>
        <w:smallCaps w:val="0"/>
        <w:strike w:val="0"/>
        <w:dstrike w:val="0"/>
        <w:color w:val="000000"/>
        <w:spacing w:val="0"/>
        <w:w w:val="100"/>
        <w:kern w:val="0"/>
        <w:position w:val="0"/>
        <w:highlight w:val="none"/>
        <w:vertAlign w:val="baseline"/>
      </w:rPr>
    </w:lvl>
    <w:lvl w:ilvl="6" w:tplc="2848DEEC">
      <w:start w:val="1"/>
      <w:numFmt w:val="upperRoman"/>
      <w:lvlText w:val="%7."/>
      <w:lvlJc w:val="left"/>
      <w:pPr>
        <w:ind w:left="6289" w:hanging="289"/>
      </w:pPr>
      <w:rPr>
        <w:rFonts w:hAnsi="Arial Unicode MS"/>
        <w:b/>
        <w:bCs/>
        <w:caps w:val="0"/>
        <w:smallCaps w:val="0"/>
        <w:strike w:val="0"/>
        <w:dstrike w:val="0"/>
        <w:color w:val="000000"/>
        <w:spacing w:val="0"/>
        <w:w w:val="100"/>
        <w:kern w:val="0"/>
        <w:position w:val="0"/>
        <w:highlight w:val="none"/>
        <w:vertAlign w:val="baseline"/>
      </w:rPr>
    </w:lvl>
    <w:lvl w:ilvl="7" w:tplc="A030D558">
      <w:start w:val="1"/>
      <w:numFmt w:val="upperRoman"/>
      <w:lvlText w:val="%8."/>
      <w:lvlJc w:val="left"/>
      <w:pPr>
        <w:ind w:left="7289" w:hanging="289"/>
      </w:pPr>
      <w:rPr>
        <w:rFonts w:hAnsi="Arial Unicode MS"/>
        <w:b/>
        <w:bCs/>
        <w:caps w:val="0"/>
        <w:smallCaps w:val="0"/>
        <w:strike w:val="0"/>
        <w:dstrike w:val="0"/>
        <w:color w:val="000000"/>
        <w:spacing w:val="0"/>
        <w:w w:val="100"/>
        <w:kern w:val="0"/>
        <w:position w:val="0"/>
        <w:highlight w:val="none"/>
        <w:vertAlign w:val="baseline"/>
      </w:rPr>
    </w:lvl>
    <w:lvl w:ilvl="8" w:tplc="2020D548">
      <w:start w:val="1"/>
      <w:numFmt w:val="upperRoman"/>
      <w:lvlText w:val="%9."/>
      <w:lvlJc w:val="left"/>
      <w:pPr>
        <w:ind w:left="8289" w:hanging="289"/>
      </w:pPr>
      <w:rPr>
        <w:rFonts w:hAnsi="Arial Unicode MS"/>
        <w:b/>
        <w:bCs/>
        <w:caps w:val="0"/>
        <w:smallCaps w:val="0"/>
        <w:strike w:val="0"/>
        <w:dstrike w:val="0"/>
        <w:color w:val="000000"/>
        <w:spacing w:val="0"/>
        <w:w w:val="100"/>
        <w:kern w:val="0"/>
        <w:position w:val="0"/>
        <w:highlight w:val="none"/>
        <w:vertAlign w:val="baseline"/>
      </w:rPr>
    </w:lvl>
  </w:abstractNum>
  <w:abstractNum w:abstractNumId="526" w15:restartNumberingAfterBreak="0">
    <w:nsid w:val="7B0704E9"/>
    <w:multiLevelType w:val="hybridMultilevel"/>
    <w:tmpl w:val="01627FDA"/>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7B2921AD"/>
    <w:multiLevelType w:val="hybridMultilevel"/>
    <w:tmpl w:val="4D0669A4"/>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8" w15:restartNumberingAfterBreak="0">
    <w:nsid w:val="7B401062"/>
    <w:multiLevelType w:val="hybridMultilevel"/>
    <w:tmpl w:val="710C63AA"/>
    <w:lvl w:ilvl="0" w:tplc="0CF08D3C">
      <w:start w:val="1"/>
      <w:numFmt w:val="bullet"/>
      <w:lvlText w:val="-"/>
      <w:lvlJc w:val="left"/>
      <w:pPr>
        <w:ind w:left="1287" w:hanging="360"/>
      </w:pPr>
      <w:rPr>
        <w:rFonts w:ascii="Courier New" w:hAnsi="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9" w15:restartNumberingAfterBreak="0">
    <w:nsid w:val="7B4D1559"/>
    <w:multiLevelType w:val="hybridMultilevel"/>
    <w:tmpl w:val="B92C7C46"/>
    <w:styleLink w:val="ImportedStyle823111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0" w15:restartNumberingAfterBreak="0">
    <w:nsid w:val="7B577E1B"/>
    <w:multiLevelType w:val="hybridMultilevel"/>
    <w:tmpl w:val="4CAA7CAA"/>
    <w:styleLink w:val="Stilimportat1522"/>
    <w:lvl w:ilvl="0" w:tplc="2ACC497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3E5BE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383962">
      <w:start w:val="1"/>
      <w:numFmt w:val="lowerRoman"/>
      <w:lvlText w:val="%3."/>
      <w:lvlJc w:val="left"/>
      <w:pPr>
        <w:ind w:left="216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387F1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34377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269154">
      <w:start w:val="1"/>
      <w:numFmt w:val="lowerRoman"/>
      <w:lvlText w:val="%6."/>
      <w:lvlJc w:val="left"/>
      <w:pPr>
        <w:ind w:left="432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EA7C2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18F8E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7236C8">
      <w:start w:val="1"/>
      <w:numFmt w:val="lowerRoman"/>
      <w:lvlText w:val="%9."/>
      <w:lvlJc w:val="left"/>
      <w:pPr>
        <w:ind w:left="6480" w:hanging="2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1" w15:restartNumberingAfterBreak="0">
    <w:nsid w:val="7B985C77"/>
    <w:multiLevelType w:val="hybridMultilevel"/>
    <w:tmpl w:val="FF4A6BAA"/>
    <w:lvl w:ilvl="0" w:tplc="E9F61410">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32" w15:restartNumberingAfterBreak="0">
    <w:nsid w:val="7BA65784"/>
    <w:multiLevelType w:val="hybridMultilevel"/>
    <w:tmpl w:val="7B946A12"/>
    <w:styleLink w:val="ImportedStyle70"/>
    <w:lvl w:ilvl="0" w:tplc="D40211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DC8B3A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6245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8A22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5676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91E80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9EDF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7E396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FC34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3" w15:restartNumberingAfterBreak="0">
    <w:nsid w:val="7C326415"/>
    <w:multiLevelType w:val="hybridMultilevel"/>
    <w:tmpl w:val="A5706502"/>
    <w:styleLink w:val="ImportedStyle52"/>
    <w:lvl w:ilvl="0" w:tplc="6AEEBBE6">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1" w:tplc="E2521990">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2" w:tplc="08E22978">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3" w:tplc="6448A6C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4" w:tplc="61AC7F4A">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5" w:tplc="9BC0B804">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6" w:tplc="1186B2F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7" w:tplc="01101024">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lvl w:ilvl="8" w:tplc="93C097DE">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rPr>
    </w:lvl>
  </w:abstractNum>
  <w:abstractNum w:abstractNumId="534" w15:restartNumberingAfterBreak="0">
    <w:nsid w:val="7C3C6790"/>
    <w:multiLevelType w:val="hybridMultilevel"/>
    <w:tmpl w:val="83028948"/>
    <w:styleLink w:val="ImportedStyle700"/>
    <w:lvl w:ilvl="0" w:tplc="F5C883EA">
      <w:start w:val="1"/>
      <w:numFmt w:val="upperRoman"/>
      <w:suff w:val="nothing"/>
      <w:lvlText w:val="%1."/>
      <w:lvlJc w:val="left"/>
      <w:pPr>
        <w:tabs>
          <w:tab w:val="left" w:pos="426"/>
        </w:tabs>
        <w:ind w:left="208" w:firstLine="10"/>
      </w:pPr>
      <w:rPr>
        <w:rFonts w:ascii="Arial" w:eastAsia="Arial" w:hAnsi="Arial" w:cs="Arial"/>
        <w:b/>
        <w:bCs/>
        <w:i w:val="0"/>
        <w:iCs w:val="0"/>
        <w:caps w:val="0"/>
        <w:smallCaps w:val="0"/>
        <w:strike w:val="0"/>
        <w:dstrike w:val="0"/>
        <w:spacing w:val="0"/>
        <w:w w:val="100"/>
        <w:kern w:val="0"/>
        <w:position w:val="0"/>
        <w:highlight w:val="none"/>
        <w:vertAlign w:val="baseline"/>
      </w:rPr>
    </w:lvl>
    <w:lvl w:ilvl="1" w:tplc="42D2BF76">
      <w:start w:val="1"/>
      <w:numFmt w:val="lowerLetter"/>
      <w:lvlText w:val="%2)"/>
      <w:lvlJc w:val="left"/>
      <w:pPr>
        <w:tabs>
          <w:tab w:val="left" w:pos="426"/>
        </w:tabs>
        <w:ind w:left="86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2" w:tplc="846E1A2C">
      <w:start w:val="1"/>
      <w:numFmt w:val="lowerRoman"/>
      <w:lvlText w:val="%3."/>
      <w:lvlJc w:val="left"/>
      <w:pPr>
        <w:tabs>
          <w:tab w:val="left" w:pos="426"/>
        </w:tabs>
        <w:ind w:left="1582" w:hanging="237"/>
      </w:pPr>
      <w:rPr>
        <w:rFonts w:ascii="Arial" w:eastAsia="Arial" w:hAnsi="Arial" w:cs="Arial"/>
        <w:b/>
        <w:bCs/>
        <w:i w:val="0"/>
        <w:iCs w:val="0"/>
        <w:caps w:val="0"/>
        <w:smallCaps w:val="0"/>
        <w:strike w:val="0"/>
        <w:dstrike w:val="0"/>
        <w:spacing w:val="0"/>
        <w:w w:val="100"/>
        <w:kern w:val="0"/>
        <w:position w:val="0"/>
        <w:highlight w:val="none"/>
        <w:vertAlign w:val="baseline"/>
      </w:rPr>
    </w:lvl>
    <w:lvl w:ilvl="3" w:tplc="7B644DB2">
      <w:start w:val="1"/>
      <w:numFmt w:val="decimal"/>
      <w:lvlText w:val="%4."/>
      <w:lvlJc w:val="left"/>
      <w:pPr>
        <w:tabs>
          <w:tab w:val="left" w:pos="426"/>
        </w:tabs>
        <w:ind w:left="230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4" w:tplc="33C0A2B8">
      <w:start w:val="1"/>
      <w:numFmt w:val="lowerLetter"/>
      <w:lvlText w:val="%5."/>
      <w:lvlJc w:val="left"/>
      <w:pPr>
        <w:tabs>
          <w:tab w:val="left" w:pos="426"/>
        </w:tabs>
        <w:ind w:left="302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5" w:tplc="1500DDCA">
      <w:start w:val="1"/>
      <w:numFmt w:val="lowerRoman"/>
      <w:lvlText w:val="%6."/>
      <w:lvlJc w:val="left"/>
      <w:pPr>
        <w:tabs>
          <w:tab w:val="left" w:pos="426"/>
        </w:tabs>
        <w:ind w:left="3742" w:hanging="237"/>
      </w:pPr>
      <w:rPr>
        <w:rFonts w:ascii="Arial" w:eastAsia="Arial" w:hAnsi="Arial" w:cs="Arial"/>
        <w:b/>
        <w:bCs/>
        <w:i w:val="0"/>
        <w:iCs w:val="0"/>
        <w:caps w:val="0"/>
        <w:smallCaps w:val="0"/>
        <w:strike w:val="0"/>
        <w:dstrike w:val="0"/>
        <w:spacing w:val="0"/>
        <w:w w:val="100"/>
        <w:kern w:val="0"/>
        <w:position w:val="0"/>
        <w:highlight w:val="none"/>
        <w:vertAlign w:val="baseline"/>
      </w:rPr>
    </w:lvl>
    <w:lvl w:ilvl="6" w:tplc="1D3A8662">
      <w:start w:val="1"/>
      <w:numFmt w:val="decimal"/>
      <w:lvlText w:val="%7."/>
      <w:lvlJc w:val="left"/>
      <w:pPr>
        <w:tabs>
          <w:tab w:val="left" w:pos="426"/>
        </w:tabs>
        <w:ind w:left="446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7" w:tplc="CFBE2F6A">
      <w:start w:val="1"/>
      <w:numFmt w:val="lowerLetter"/>
      <w:lvlText w:val="%8."/>
      <w:lvlJc w:val="left"/>
      <w:pPr>
        <w:tabs>
          <w:tab w:val="left" w:pos="426"/>
        </w:tabs>
        <w:ind w:left="5182" w:hanging="284"/>
      </w:pPr>
      <w:rPr>
        <w:rFonts w:ascii="Arial" w:eastAsia="Arial" w:hAnsi="Arial" w:cs="Arial"/>
        <w:b/>
        <w:bCs/>
        <w:i w:val="0"/>
        <w:iCs w:val="0"/>
        <w:caps w:val="0"/>
        <w:smallCaps w:val="0"/>
        <w:strike w:val="0"/>
        <w:dstrike w:val="0"/>
        <w:spacing w:val="0"/>
        <w:w w:val="100"/>
        <w:kern w:val="0"/>
        <w:position w:val="0"/>
        <w:highlight w:val="none"/>
        <w:vertAlign w:val="baseline"/>
      </w:rPr>
    </w:lvl>
    <w:lvl w:ilvl="8" w:tplc="766A4F7A">
      <w:start w:val="1"/>
      <w:numFmt w:val="lowerRoman"/>
      <w:lvlText w:val="%9."/>
      <w:lvlJc w:val="left"/>
      <w:pPr>
        <w:tabs>
          <w:tab w:val="left" w:pos="426"/>
        </w:tabs>
        <w:ind w:left="5902" w:hanging="237"/>
      </w:pPr>
      <w:rPr>
        <w:rFonts w:ascii="Arial" w:eastAsia="Arial" w:hAnsi="Arial" w:cs="Arial"/>
        <w:b/>
        <w:bCs/>
        <w:i w:val="0"/>
        <w:iCs w:val="0"/>
        <w:caps w:val="0"/>
        <w:smallCaps w:val="0"/>
        <w:strike w:val="0"/>
        <w:dstrike w:val="0"/>
        <w:spacing w:val="0"/>
        <w:w w:val="100"/>
        <w:kern w:val="0"/>
        <w:position w:val="0"/>
        <w:highlight w:val="none"/>
        <w:vertAlign w:val="baseline"/>
      </w:rPr>
    </w:lvl>
  </w:abstractNum>
  <w:abstractNum w:abstractNumId="535" w15:restartNumberingAfterBreak="0">
    <w:nsid w:val="7C4D662D"/>
    <w:multiLevelType w:val="hybridMultilevel"/>
    <w:tmpl w:val="3A44A516"/>
    <w:styleLink w:val="ImportedStyle324"/>
    <w:lvl w:ilvl="0" w:tplc="D8BE9AF0">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858251A2">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2F764C06">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1B5E56B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51DA89DC">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272E5ED6">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D1F67CF2">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CD909768">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1E6C8E50">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536" w15:restartNumberingAfterBreak="0">
    <w:nsid w:val="7C9D74D8"/>
    <w:multiLevelType w:val="hybridMultilevel"/>
    <w:tmpl w:val="A072C3F2"/>
    <w:lvl w:ilvl="0" w:tplc="0409000F">
      <w:start w:val="1"/>
      <w:numFmt w:val="decimal"/>
      <w:lvlText w:val="%1."/>
      <w:lvlJc w:val="left"/>
      <w:pPr>
        <w:ind w:left="720" w:hanging="360"/>
      </w:pPr>
    </w:lvl>
    <w:lvl w:ilvl="1" w:tplc="E9F61410">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15:restartNumberingAfterBreak="0">
    <w:nsid w:val="7CA23522"/>
    <w:multiLevelType w:val="hybridMultilevel"/>
    <w:tmpl w:val="31363460"/>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8" w15:restartNumberingAfterBreak="0">
    <w:nsid w:val="7D504620"/>
    <w:multiLevelType w:val="hybridMultilevel"/>
    <w:tmpl w:val="07D0F2B6"/>
    <w:lvl w:ilvl="0" w:tplc="E9F614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9" w15:restartNumberingAfterBreak="0">
    <w:nsid w:val="7D9214E2"/>
    <w:multiLevelType w:val="hybridMultilevel"/>
    <w:tmpl w:val="CF767966"/>
    <w:lvl w:ilvl="0" w:tplc="0CF08D3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0" w15:restartNumberingAfterBreak="0">
    <w:nsid w:val="7DB73BDD"/>
    <w:multiLevelType w:val="hybridMultilevel"/>
    <w:tmpl w:val="9916706C"/>
    <w:styleLink w:val="ImportedStyle59"/>
    <w:lvl w:ilvl="0" w:tplc="56C098A8">
      <w:start w:val="1"/>
      <w:numFmt w:val="bullet"/>
      <w:lvlText w:val="-"/>
      <w:lvlJc w:val="left"/>
      <w:pPr>
        <w:tabs>
          <w:tab w:val="left" w:pos="903"/>
        </w:tabs>
        <w:ind w:left="360" w:hanging="360"/>
      </w:pPr>
      <w:rPr>
        <w:rFonts w:ascii="Arial" w:eastAsia="Arial" w:hAnsi="Arial" w:cs="Arial"/>
        <w:b/>
        <w:bCs/>
        <w:i w:val="0"/>
        <w:iCs w:val="0"/>
        <w:caps w:val="0"/>
        <w:smallCaps w:val="0"/>
        <w:strike w:val="0"/>
        <w:dstrike w:val="0"/>
        <w:spacing w:val="0"/>
        <w:w w:val="100"/>
        <w:kern w:val="0"/>
        <w:position w:val="0"/>
        <w:highlight w:val="none"/>
        <w:vertAlign w:val="baseline"/>
      </w:rPr>
    </w:lvl>
    <w:lvl w:ilvl="1" w:tplc="E5A48942">
      <w:start w:val="1"/>
      <w:numFmt w:val="bullet"/>
      <w:lvlText w:val="-"/>
      <w:lvlJc w:val="left"/>
      <w:pPr>
        <w:tabs>
          <w:tab w:val="left" w:pos="903"/>
        </w:tabs>
        <w:ind w:left="7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C324E52">
      <w:start w:val="1"/>
      <w:numFmt w:val="bullet"/>
      <w:lvlText w:val="-"/>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9D05B50">
      <w:start w:val="1"/>
      <w:numFmt w:val="bullet"/>
      <w:lvlText w:val="-"/>
      <w:lvlJc w:val="left"/>
      <w:pPr>
        <w:tabs>
          <w:tab w:val="left" w:pos="903"/>
        </w:tabs>
        <w:ind w:left="14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7C347698">
      <w:start w:val="1"/>
      <w:numFmt w:val="bullet"/>
      <w:lvlText w:val="-"/>
      <w:lvlJc w:val="left"/>
      <w:pPr>
        <w:tabs>
          <w:tab w:val="left" w:pos="903"/>
        </w:tabs>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1A14D15A">
      <w:start w:val="1"/>
      <w:numFmt w:val="bullet"/>
      <w:lvlText w:val="-"/>
      <w:lvlJc w:val="left"/>
      <w:pPr>
        <w:tabs>
          <w:tab w:val="left" w:pos="903"/>
        </w:tabs>
        <w:ind w:left="21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12B64B90">
      <w:start w:val="1"/>
      <w:numFmt w:val="bullet"/>
      <w:lvlText w:val="-"/>
      <w:lvlJc w:val="left"/>
      <w:pPr>
        <w:tabs>
          <w:tab w:val="left" w:pos="903"/>
        </w:tabs>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D845896">
      <w:start w:val="1"/>
      <w:numFmt w:val="bullet"/>
      <w:lvlText w:val="-"/>
      <w:lvlJc w:val="left"/>
      <w:pPr>
        <w:tabs>
          <w:tab w:val="left" w:pos="903"/>
        </w:tabs>
        <w:ind w:left="28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22C9360">
      <w:start w:val="1"/>
      <w:numFmt w:val="bullet"/>
      <w:lvlText w:val="-"/>
      <w:lvlJc w:val="left"/>
      <w:pPr>
        <w:tabs>
          <w:tab w:val="left" w:pos="903"/>
        </w:tabs>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541" w15:restartNumberingAfterBreak="0">
    <w:nsid w:val="7DC245D0"/>
    <w:multiLevelType w:val="hybridMultilevel"/>
    <w:tmpl w:val="0938FF4E"/>
    <w:lvl w:ilvl="0" w:tplc="0CF08D3C">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2" w15:restartNumberingAfterBreak="0">
    <w:nsid w:val="7DF505E1"/>
    <w:multiLevelType w:val="hybridMultilevel"/>
    <w:tmpl w:val="7CAA0D7C"/>
    <w:styleLink w:val="ImportedStyle1512"/>
    <w:lvl w:ilvl="0" w:tplc="611CCF4C">
      <w:start w:val="1"/>
      <w:numFmt w:val="decimal"/>
      <w:lvlText w:val="%1."/>
      <w:lvlJc w:val="left"/>
      <w:pPr>
        <w:ind w:left="720" w:hanging="360"/>
      </w:pPr>
      <w:rPr>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15:restartNumberingAfterBreak="0">
    <w:nsid w:val="7E763A9A"/>
    <w:multiLevelType w:val="hybridMultilevel"/>
    <w:tmpl w:val="722A2F52"/>
    <w:styleLink w:val="Stilimportat3311111"/>
    <w:lvl w:ilvl="0" w:tplc="04090001">
      <w:start w:val="1"/>
      <w:numFmt w:val="bullet"/>
      <w:lvlText w:val=""/>
      <w:lvlJc w:val="left"/>
      <w:pPr>
        <w:ind w:left="720" w:hanging="360"/>
      </w:pPr>
      <w:rPr>
        <w:rFonts w:ascii="Symbol" w:hAnsi="Symbol" w:hint="default"/>
      </w:rPr>
    </w:lvl>
    <w:lvl w:ilvl="1" w:tplc="CA887A3A">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15:restartNumberingAfterBreak="0">
    <w:nsid w:val="7E9911A0"/>
    <w:multiLevelType w:val="hybridMultilevel"/>
    <w:tmpl w:val="3E5A5F96"/>
    <w:lvl w:ilvl="0" w:tplc="2C0415B6">
      <w:start w:val="1"/>
      <w:numFmt w:val="decimal"/>
      <w:lvlText w:val="%1."/>
      <w:lvlJc w:val="left"/>
      <w:pPr>
        <w:tabs>
          <w:tab w:val="num" w:pos="861"/>
        </w:tabs>
        <w:ind w:left="861" w:hanging="360"/>
      </w:pPr>
      <w:rPr>
        <w:rFonts w:hint="default"/>
        <w:caps w:val="0"/>
        <w:strike w:val="0"/>
        <w:dstrike w:val="0"/>
        <w:vanish w:val="0"/>
        <w:color w:val="44546A"/>
        <w:sz w:val="22"/>
        <w:vertAlign w:val="baseline"/>
      </w:rPr>
    </w:lvl>
    <w:lvl w:ilvl="1" w:tplc="04090019">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545" w15:restartNumberingAfterBreak="0">
    <w:nsid w:val="7EB825F7"/>
    <w:multiLevelType w:val="hybridMultilevel"/>
    <w:tmpl w:val="3B3CCDA6"/>
    <w:styleLink w:val="Stilimportat4311111"/>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6" w15:restartNumberingAfterBreak="0">
    <w:nsid w:val="7EFD7605"/>
    <w:multiLevelType w:val="hybridMultilevel"/>
    <w:tmpl w:val="C402160C"/>
    <w:lvl w:ilvl="0" w:tplc="0409000F">
      <w:start w:val="1"/>
      <w:numFmt w:val="decimal"/>
      <w:lvlText w:val="%1."/>
      <w:lvlJc w:val="left"/>
      <w:pPr>
        <w:ind w:left="720" w:hanging="360"/>
      </w:pPr>
    </w:lvl>
    <w:lvl w:ilvl="1" w:tplc="E9F61410">
      <w:start w:val="1"/>
      <w:numFmt w:val="bullet"/>
      <w:lvlText w:val=""/>
      <w:lvlJc w:val="left"/>
      <w:pPr>
        <w:ind w:left="1440" w:hanging="360"/>
      </w:pPr>
      <w:rPr>
        <w:rFonts w:ascii="Symbol" w:hAnsi="Symbol" w:hint="default"/>
      </w:rPr>
    </w:lvl>
    <w:lvl w:ilvl="2" w:tplc="E4E81BE2">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7" w15:restartNumberingAfterBreak="0">
    <w:nsid w:val="7F2759F7"/>
    <w:multiLevelType w:val="hybridMultilevel"/>
    <w:tmpl w:val="59407830"/>
    <w:styleLink w:val="ImportedStyle107"/>
    <w:lvl w:ilvl="0" w:tplc="25C0890E">
      <w:start w:val="1"/>
      <w:numFmt w:val="upperRoman"/>
      <w:lvlText w:val="%1."/>
      <w:lvlJc w:val="left"/>
      <w:pPr>
        <w:ind w:left="851" w:hanging="284"/>
      </w:pPr>
      <w:rPr>
        <w:rFonts w:hAnsi="Arial Unicode MS"/>
        <w:caps w:val="0"/>
        <w:smallCaps w:val="0"/>
        <w:strike w:val="0"/>
        <w:dstrike w:val="0"/>
        <w:spacing w:val="0"/>
        <w:w w:val="100"/>
        <w:kern w:val="0"/>
        <w:position w:val="0"/>
        <w:highlight w:val="none"/>
        <w:vertAlign w:val="baseline"/>
      </w:rPr>
    </w:lvl>
    <w:lvl w:ilvl="1" w:tplc="7E74BE74">
      <w:start w:val="1"/>
      <w:numFmt w:val="lowerLetter"/>
      <w:suff w:val="nothing"/>
      <w:lvlText w:val="%2."/>
      <w:lvlJc w:val="left"/>
      <w:pPr>
        <w:ind w:left="1211" w:hanging="153"/>
      </w:pPr>
      <w:rPr>
        <w:rFonts w:hAnsi="Arial Unicode MS"/>
        <w:caps w:val="0"/>
        <w:smallCaps w:val="0"/>
        <w:strike w:val="0"/>
        <w:dstrike w:val="0"/>
        <w:spacing w:val="0"/>
        <w:w w:val="100"/>
        <w:kern w:val="0"/>
        <w:position w:val="0"/>
        <w:highlight w:val="none"/>
        <w:vertAlign w:val="baseline"/>
      </w:rPr>
    </w:lvl>
    <w:lvl w:ilvl="2" w:tplc="0E44835C">
      <w:start w:val="1"/>
      <w:numFmt w:val="lowerRoman"/>
      <w:lvlText w:val="%3."/>
      <w:lvlJc w:val="left"/>
      <w:pPr>
        <w:ind w:left="1724" w:hanging="313"/>
      </w:pPr>
      <w:rPr>
        <w:rFonts w:hAnsi="Arial Unicode MS"/>
        <w:caps w:val="0"/>
        <w:smallCaps w:val="0"/>
        <w:strike w:val="0"/>
        <w:dstrike w:val="0"/>
        <w:spacing w:val="0"/>
        <w:w w:val="100"/>
        <w:kern w:val="0"/>
        <w:position w:val="0"/>
        <w:highlight w:val="none"/>
        <w:vertAlign w:val="baseline"/>
      </w:rPr>
    </w:lvl>
    <w:lvl w:ilvl="3" w:tplc="F028F36C">
      <w:start w:val="1"/>
      <w:numFmt w:val="decimal"/>
      <w:suff w:val="nothing"/>
      <w:lvlText w:val="%4."/>
      <w:lvlJc w:val="left"/>
      <w:pPr>
        <w:ind w:left="2651" w:hanging="153"/>
      </w:pPr>
      <w:rPr>
        <w:rFonts w:hAnsi="Arial Unicode MS"/>
        <w:caps w:val="0"/>
        <w:smallCaps w:val="0"/>
        <w:strike w:val="0"/>
        <w:dstrike w:val="0"/>
        <w:spacing w:val="0"/>
        <w:w w:val="100"/>
        <w:kern w:val="0"/>
        <w:position w:val="0"/>
        <w:highlight w:val="none"/>
        <w:vertAlign w:val="baseline"/>
      </w:rPr>
    </w:lvl>
    <w:lvl w:ilvl="4" w:tplc="23BC68E2">
      <w:start w:val="1"/>
      <w:numFmt w:val="lowerLetter"/>
      <w:suff w:val="nothing"/>
      <w:lvlText w:val="%5."/>
      <w:lvlJc w:val="left"/>
      <w:pPr>
        <w:ind w:left="3371" w:hanging="153"/>
      </w:pPr>
      <w:rPr>
        <w:rFonts w:hAnsi="Arial Unicode MS"/>
        <w:caps w:val="0"/>
        <w:smallCaps w:val="0"/>
        <w:strike w:val="0"/>
        <w:dstrike w:val="0"/>
        <w:spacing w:val="0"/>
        <w:w w:val="100"/>
        <w:kern w:val="0"/>
        <w:position w:val="0"/>
        <w:highlight w:val="none"/>
        <w:vertAlign w:val="baseline"/>
      </w:rPr>
    </w:lvl>
    <w:lvl w:ilvl="5" w:tplc="FDDA1D1C">
      <w:start w:val="1"/>
      <w:numFmt w:val="lowerRoman"/>
      <w:lvlText w:val="%6."/>
      <w:lvlJc w:val="left"/>
      <w:pPr>
        <w:ind w:left="4091" w:hanging="826"/>
      </w:pPr>
      <w:rPr>
        <w:rFonts w:hAnsi="Arial Unicode MS"/>
        <w:caps w:val="0"/>
        <w:smallCaps w:val="0"/>
        <w:strike w:val="0"/>
        <w:dstrike w:val="0"/>
        <w:spacing w:val="0"/>
        <w:w w:val="100"/>
        <w:kern w:val="0"/>
        <w:position w:val="0"/>
        <w:highlight w:val="none"/>
        <w:vertAlign w:val="baseline"/>
      </w:rPr>
    </w:lvl>
    <w:lvl w:ilvl="6" w:tplc="3EFEF7AC">
      <w:start w:val="1"/>
      <w:numFmt w:val="decimal"/>
      <w:suff w:val="nothing"/>
      <w:lvlText w:val="%7."/>
      <w:lvlJc w:val="left"/>
      <w:pPr>
        <w:ind w:left="4811" w:hanging="153"/>
      </w:pPr>
      <w:rPr>
        <w:rFonts w:hAnsi="Arial Unicode MS"/>
        <w:caps w:val="0"/>
        <w:smallCaps w:val="0"/>
        <w:strike w:val="0"/>
        <w:dstrike w:val="0"/>
        <w:spacing w:val="0"/>
        <w:w w:val="100"/>
        <w:kern w:val="0"/>
        <w:position w:val="0"/>
        <w:highlight w:val="none"/>
        <w:vertAlign w:val="baseline"/>
      </w:rPr>
    </w:lvl>
    <w:lvl w:ilvl="7" w:tplc="12AEF790">
      <w:start w:val="1"/>
      <w:numFmt w:val="lowerLetter"/>
      <w:suff w:val="nothing"/>
      <w:lvlText w:val="%8."/>
      <w:lvlJc w:val="left"/>
      <w:pPr>
        <w:ind w:left="5531" w:hanging="153"/>
      </w:pPr>
      <w:rPr>
        <w:rFonts w:hAnsi="Arial Unicode MS"/>
        <w:caps w:val="0"/>
        <w:smallCaps w:val="0"/>
        <w:strike w:val="0"/>
        <w:dstrike w:val="0"/>
        <w:spacing w:val="0"/>
        <w:w w:val="100"/>
        <w:kern w:val="0"/>
        <w:position w:val="0"/>
        <w:highlight w:val="none"/>
        <w:vertAlign w:val="baseline"/>
      </w:rPr>
    </w:lvl>
    <w:lvl w:ilvl="8" w:tplc="E0E06F5C">
      <w:start w:val="1"/>
      <w:numFmt w:val="lowerRoman"/>
      <w:lvlText w:val="%9."/>
      <w:lvlJc w:val="left"/>
      <w:pPr>
        <w:ind w:left="6251" w:hanging="826"/>
      </w:pPr>
      <w:rPr>
        <w:rFonts w:hAnsi="Arial Unicode MS"/>
        <w:caps w:val="0"/>
        <w:smallCaps w:val="0"/>
        <w:strike w:val="0"/>
        <w:dstrike w:val="0"/>
        <w:spacing w:val="0"/>
        <w:w w:val="100"/>
        <w:kern w:val="0"/>
        <w:position w:val="0"/>
        <w:highlight w:val="none"/>
        <w:vertAlign w:val="baseline"/>
      </w:rPr>
    </w:lvl>
  </w:abstractNum>
  <w:abstractNum w:abstractNumId="548" w15:restartNumberingAfterBreak="0">
    <w:nsid w:val="7F3D2ACE"/>
    <w:multiLevelType w:val="hybridMultilevel"/>
    <w:tmpl w:val="C70EFE7A"/>
    <w:styleLink w:val="ImportedStyle109"/>
    <w:lvl w:ilvl="0" w:tplc="3424AEF4">
      <w:start w:val="1"/>
      <w:numFmt w:val="lowerLetter"/>
      <w:lvlText w:val="%1)"/>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1" w:tplc="4DB47B5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DF2C3B6C">
      <w:start w:val="1"/>
      <w:numFmt w:val="lowerRoman"/>
      <w:lvlText w:val="%3."/>
      <w:lvlJc w:val="left"/>
      <w:pPr>
        <w:ind w:left="2160" w:hanging="313"/>
      </w:pPr>
      <w:rPr>
        <w:rFonts w:hAnsi="Arial Unicode MS"/>
        <w:caps w:val="0"/>
        <w:smallCaps w:val="0"/>
        <w:strike w:val="0"/>
        <w:dstrike w:val="0"/>
        <w:color w:val="000000"/>
        <w:spacing w:val="0"/>
        <w:w w:val="100"/>
        <w:kern w:val="0"/>
        <w:position w:val="0"/>
        <w:highlight w:val="none"/>
        <w:vertAlign w:val="baseline"/>
      </w:rPr>
    </w:lvl>
    <w:lvl w:ilvl="3" w:tplc="004A67F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4" w:tplc="158882D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rPr>
    </w:lvl>
    <w:lvl w:ilvl="5" w:tplc="E0BC343A">
      <w:start w:val="1"/>
      <w:numFmt w:val="lowerRoman"/>
      <w:lvlText w:val="%6."/>
      <w:lvlJc w:val="left"/>
      <w:pPr>
        <w:ind w:left="4320" w:hanging="313"/>
      </w:pPr>
      <w:rPr>
        <w:rFonts w:hAnsi="Arial Unicode MS"/>
        <w:caps w:val="0"/>
        <w:smallCaps w:val="0"/>
        <w:strike w:val="0"/>
        <w:dstrike w:val="0"/>
        <w:color w:val="000000"/>
        <w:spacing w:val="0"/>
        <w:w w:val="100"/>
        <w:kern w:val="0"/>
        <w:position w:val="0"/>
        <w:highlight w:val="none"/>
        <w:vertAlign w:val="baseline"/>
      </w:rPr>
    </w:lvl>
    <w:lvl w:ilvl="6" w:tplc="E7065C6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rPr>
    </w:lvl>
    <w:lvl w:ilvl="7" w:tplc="136A2EB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rPr>
    </w:lvl>
    <w:lvl w:ilvl="8" w:tplc="E57437A0">
      <w:start w:val="1"/>
      <w:numFmt w:val="lowerRoman"/>
      <w:lvlText w:val="%9."/>
      <w:lvlJc w:val="left"/>
      <w:pPr>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549" w15:restartNumberingAfterBreak="0">
    <w:nsid w:val="7FB8195E"/>
    <w:multiLevelType w:val="multilevel"/>
    <w:tmpl w:val="DD9AFE14"/>
    <w:styleLink w:val="Stilimportat11212"/>
    <w:lvl w:ilvl="0">
      <w:start w:val="1"/>
      <w:numFmt w:val="bullet"/>
      <w:lvlText w:val=""/>
      <w:lvlJc w:val="left"/>
      <w:pPr>
        <w:ind w:left="1260" w:hanging="360"/>
      </w:pPr>
      <w:rPr>
        <w:rFonts w:ascii="Symbol" w:hAnsi="Symbol" w:hint="default"/>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550" w15:restartNumberingAfterBreak="0">
    <w:nsid w:val="7FED0C60"/>
    <w:multiLevelType w:val="hybridMultilevel"/>
    <w:tmpl w:val="93C20D32"/>
    <w:styleLink w:val="ImportedStyle7802111111"/>
    <w:lvl w:ilvl="0" w:tplc="0CF08D3C">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39"/>
  </w:num>
  <w:num w:numId="2">
    <w:abstractNumId w:val="490"/>
  </w:num>
  <w:num w:numId="3">
    <w:abstractNumId w:val="298"/>
  </w:num>
  <w:num w:numId="4">
    <w:abstractNumId w:val="460"/>
  </w:num>
  <w:num w:numId="5">
    <w:abstractNumId w:val="431"/>
  </w:num>
  <w:num w:numId="6">
    <w:abstractNumId w:val="127"/>
  </w:num>
  <w:num w:numId="7">
    <w:abstractNumId w:val="345"/>
  </w:num>
  <w:num w:numId="8">
    <w:abstractNumId w:val="67"/>
  </w:num>
  <w:num w:numId="9">
    <w:abstractNumId w:val="542"/>
  </w:num>
  <w:num w:numId="10">
    <w:abstractNumId w:val="311"/>
  </w:num>
  <w:num w:numId="11">
    <w:abstractNumId w:val="57"/>
  </w:num>
  <w:num w:numId="12">
    <w:abstractNumId w:val="530"/>
  </w:num>
  <w:num w:numId="13">
    <w:abstractNumId w:val="216"/>
  </w:num>
  <w:num w:numId="14">
    <w:abstractNumId w:val="257"/>
  </w:num>
  <w:num w:numId="15">
    <w:abstractNumId w:val="480"/>
  </w:num>
  <w:num w:numId="16">
    <w:abstractNumId w:val="246"/>
  </w:num>
  <w:num w:numId="17">
    <w:abstractNumId w:val="454"/>
  </w:num>
  <w:num w:numId="18">
    <w:abstractNumId w:val="519"/>
  </w:num>
  <w:num w:numId="19">
    <w:abstractNumId w:val="197"/>
  </w:num>
  <w:num w:numId="20">
    <w:abstractNumId w:val="529"/>
  </w:num>
  <w:num w:numId="21">
    <w:abstractNumId w:val="375"/>
  </w:num>
  <w:num w:numId="22">
    <w:abstractNumId w:val="114"/>
  </w:num>
  <w:num w:numId="23">
    <w:abstractNumId w:val="157"/>
  </w:num>
  <w:num w:numId="24">
    <w:abstractNumId w:val="109"/>
  </w:num>
  <w:num w:numId="25">
    <w:abstractNumId w:val="207"/>
  </w:num>
  <w:num w:numId="26">
    <w:abstractNumId w:val="329"/>
  </w:num>
  <w:num w:numId="27">
    <w:abstractNumId w:val="471"/>
  </w:num>
  <w:num w:numId="28">
    <w:abstractNumId w:val="500"/>
  </w:num>
  <w:num w:numId="29">
    <w:abstractNumId w:val="55"/>
  </w:num>
  <w:num w:numId="30">
    <w:abstractNumId w:val="220"/>
  </w:num>
  <w:num w:numId="31">
    <w:abstractNumId w:val="314"/>
  </w:num>
  <w:num w:numId="32">
    <w:abstractNumId w:val="224"/>
  </w:num>
  <w:num w:numId="33">
    <w:abstractNumId w:val="481"/>
  </w:num>
  <w:num w:numId="34">
    <w:abstractNumId w:val="152"/>
  </w:num>
  <w:num w:numId="35">
    <w:abstractNumId w:val="154"/>
  </w:num>
  <w:num w:numId="36">
    <w:abstractNumId w:val="489"/>
  </w:num>
  <w:num w:numId="37">
    <w:abstractNumId w:val="466"/>
  </w:num>
  <w:num w:numId="38">
    <w:abstractNumId w:val="360"/>
  </w:num>
  <w:num w:numId="39">
    <w:abstractNumId w:val="356"/>
  </w:num>
  <w:num w:numId="40">
    <w:abstractNumId w:val="491"/>
  </w:num>
  <w:num w:numId="41">
    <w:abstractNumId w:val="278"/>
  </w:num>
  <w:num w:numId="42">
    <w:abstractNumId w:val="316"/>
  </w:num>
  <w:num w:numId="43">
    <w:abstractNumId w:val="16"/>
  </w:num>
  <w:num w:numId="44">
    <w:abstractNumId w:val="445"/>
  </w:num>
  <w:num w:numId="45">
    <w:abstractNumId w:val="211"/>
  </w:num>
  <w:num w:numId="46">
    <w:abstractNumId w:val="361"/>
  </w:num>
  <w:num w:numId="47">
    <w:abstractNumId w:val="289"/>
  </w:num>
  <w:num w:numId="48">
    <w:abstractNumId w:val="22"/>
  </w:num>
  <w:num w:numId="49">
    <w:abstractNumId w:val="243"/>
  </w:num>
  <w:num w:numId="50">
    <w:abstractNumId w:val="259"/>
  </w:num>
  <w:num w:numId="51">
    <w:abstractNumId w:val="117"/>
  </w:num>
  <w:num w:numId="52">
    <w:abstractNumId w:val="204"/>
  </w:num>
  <w:num w:numId="53">
    <w:abstractNumId w:val="48"/>
  </w:num>
  <w:num w:numId="54">
    <w:abstractNumId w:val="506"/>
  </w:num>
  <w:num w:numId="5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5"/>
  </w:num>
  <w:num w:numId="57">
    <w:abstractNumId w:val="200"/>
  </w:num>
  <w:num w:numId="58">
    <w:abstractNumId w:val="492"/>
  </w:num>
  <w:num w:numId="59">
    <w:abstractNumId w:val="69"/>
  </w:num>
  <w:num w:numId="60">
    <w:abstractNumId w:val="115"/>
  </w:num>
  <w:num w:numId="61">
    <w:abstractNumId w:val="81"/>
  </w:num>
  <w:num w:numId="62">
    <w:abstractNumId w:val="36"/>
  </w:num>
  <w:num w:numId="63">
    <w:abstractNumId w:val="394"/>
  </w:num>
  <w:num w:numId="64">
    <w:abstractNumId w:val="108"/>
  </w:num>
  <w:num w:numId="65">
    <w:abstractNumId w:val="477"/>
  </w:num>
  <w:num w:numId="66">
    <w:abstractNumId w:val="475"/>
  </w:num>
  <w:num w:numId="67">
    <w:abstractNumId w:val="381"/>
  </w:num>
  <w:num w:numId="68">
    <w:abstractNumId w:val="52"/>
  </w:num>
  <w:num w:numId="69">
    <w:abstractNumId w:val="420"/>
  </w:num>
  <w:num w:numId="70">
    <w:abstractNumId w:val="233"/>
  </w:num>
  <w:num w:numId="71">
    <w:abstractNumId w:val="388"/>
  </w:num>
  <w:num w:numId="72">
    <w:abstractNumId w:val="479"/>
  </w:num>
  <w:num w:numId="73">
    <w:abstractNumId w:val="524"/>
  </w:num>
  <w:num w:numId="74">
    <w:abstractNumId w:val="300"/>
  </w:num>
  <w:num w:numId="75">
    <w:abstractNumId w:val="183"/>
  </w:num>
  <w:num w:numId="76">
    <w:abstractNumId w:val="182"/>
  </w:num>
  <w:num w:numId="77">
    <w:abstractNumId w:val="501"/>
  </w:num>
  <w:num w:numId="78">
    <w:abstractNumId w:val="319"/>
  </w:num>
  <w:num w:numId="79">
    <w:abstractNumId w:val="39"/>
  </w:num>
  <w:num w:numId="80">
    <w:abstractNumId w:val="451"/>
  </w:num>
  <w:num w:numId="81">
    <w:abstractNumId w:val="304"/>
  </w:num>
  <w:num w:numId="82">
    <w:abstractNumId w:val="63"/>
  </w:num>
  <w:num w:numId="83">
    <w:abstractNumId w:val="261"/>
  </w:num>
  <w:num w:numId="84">
    <w:abstractNumId w:val="446"/>
  </w:num>
  <w:num w:numId="85">
    <w:abstractNumId w:val="473"/>
  </w:num>
  <w:num w:numId="86">
    <w:abstractNumId w:val="112"/>
  </w:num>
  <w:num w:numId="87">
    <w:abstractNumId w:val="88"/>
  </w:num>
  <w:num w:numId="88">
    <w:abstractNumId w:val="77"/>
  </w:num>
  <w:num w:numId="89">
    <w:abstractNumId w:val="433"/>
  </w:num>
  <w:num w:numId="90">
    <w:abstractNumId w:val="339"/>
  </w:num>
  <w:num w:numId="91">
    <w:abstractNumId w:val="26"/>
  </w:num>
  <w:num w:numId="92">
    <w:abstractNumId w:val="29"/>
  </w:num>
  <w:num w:numId="93">
    <w:abstractNumId w:val="236"/>
  </w:num>
  <w:num w:numId="94">
    <w:abstractNumId w:val="160"/>
  </w:num>
  <w:num w:numId="95">
    <w:abstractNumId w:val="549"/>
  </w:num>
  <w:num w:numId="96">
    <w:abstractNumId w:val="331"/>
  </w:num>
  <w:num w:numId="97">
    <w:abstractNumId w:val="384"/>
  </w:num>
  <w:num w:numId="98">
    <w:abstractNumId w:val="65"/>
  </w:num>
  <w:num w:numId="99">
    <w:abstractNumId w:val="203"/>
  </w:num>
  <w:num w:numId="100">
    <w:abstractNumId w:val="363"/>
  </w:num>
  <w:num w:numId="101">
    <w:abstractNumId w:val="320"/>
  </w:num>
  <w:num w:numId="102">
    <w:abstractNumId w:val="453"/>
  </w:num>
  <w:num w:numId="103">
    <w:abstractNumId w:val="327"/>
  </w:num>
  <w:num w:numId="104">
    <w:abstractNumId w:val="487"/>
  </w:num>
  <w:num w:numId="105">
    <w:abstractNumId w:val="82"/>
  </w:num>
  <w:num w:numId="106">
    <w:abstractNumId w:val="376"/>
  </w:num>
  <w:num w:numId="107">
    <w:abstractNumId w:val="495"/>
  </w:num>
  <w:num w:numId="108">
    <w:abstractNumId w:val="483"/>
  </w:num>
  <w:num w:numId="109">
    <w:abstractNumId w:val="32"/>
  </w:num>
  <w:num w:numId="110">
    <w:abstractNumId w:val="378"/>
  </w:num>
  <w:num w:numId="111">
    <w:abstractNumId w:val="18"/>
  </w:num>
  <w:num w:numId="112">
    <w:abstractNumId w:val="105"/>
  </w:num>
  <w:num w:numId="113">
    <w:abstractNumId w:val="432"/>
  </w:num>
  <w:num w:numId="114">
    <w:abstractNumId w:val="208"/>
  </w:num>
  <w:num w:numId="115">
    <w:abstractNumId w:val="91"/>
  </w:num>
  <w:num w:numId="116">
    <w:abstractNumId w:val="146"/>
  </w:num>
  <w:num w:numId="117">
    <w:abstractNumId w:val="336"/>
  </w:num>
  <w:num w:numId="118">
    <w:abstractNumId w:val="113"/>
  </w:num>
  <w:num w:numId="119">
    <w:abstractNumId w:val="199"/>
  </w:num>
  <w:num w:numId="120">
    <w:abstractNumId w:val="270"/>
  </w:num>
  <w:num w:numId="121">
    <w:abstractNumId w:val="531"/>
  </w:num>
  <w:num w:numId="122">
    <w:abstractNumId w:val="393"/>
  </w:num>
  <w:num w:numId="123">
    <w:abstractNumId w:val="469"/>
  </w:num>
  <w:num w:numId="124">
    <w:abstractNumId w:val="307"/>
  </w:num>
  <w:num w:numId="125">
    <w:abstractNumId w:val="370"/>
  </w:num>
  <w:num w:numId="126">
    <w:abstractNumId w:val="346"/>
  </w:num>
  <w:num w:numId="127">
    <w:abstractNumId w:val="253"/>
  </w:num>
  <w:num w:numId="128">
    <w:abstractNumId w:val="170"/>
  </w:num>
  <w:num w:numId="129">
    <w:abstractNumId w:val="285"/>
  </w:num>
  <w:num w:numId="130">
    <w:abstractNumId w:val="527"/>
  </w:num>
  <w:num w:numId="131">
    <w:abstractNumId w:val="123"/>
  </w:num>
  <w:num w:numId="132">
    <w:abstractNumId w:val="308"/>
  </w:num>
  <w:num w:numId="133">
    <w:abstractNumId w:val="79"/>
  </w:num>
  <w:num w:numId="134">
    <w:abstractNumId w:val="46"/>
  </w:num>
  <w:num w:numId="135">
    <w:abstractNumId w:val="221"/>
  </w:num>
  <w:num w:numId="136">
    <w:abstractNumId w:val="196"/>
  </w:num>
  <w:num w:numId="137">
    <w:abstractNumId w:val="45"/>
  </w:num>
  <w:num w:numId="138">
    <w:abstractNumId w:val="217"/>
  </w:num>
  <w:num w:numId="139">
    <w:abstractNumId w:val="419"/>
  </w:num>
  <w:num w:numId="140">
    <w:abstractNumId w:val="510"/>
  </w:num>
  <w:num w:numId="141">
    <w:abstractNumId w:val="326"/>
  </w:num>
  <w:num w:numId="142">
    <w:abstractNumId w:val="523"/>
  </w:num>
  <w:num w:numId="143">
    <w:abstractNumId w:val="437"/>
  </w:num>
  <w:num w:numId="144">
    <w:abstractNumId w:val="66"/>
  </w:num>
  <w:num w:numId="145">
    <w:abstractNumId w:val="60"/>
  </w:num>
  <w:num w:numId="146">
    <w:abstractNumId w:val="443"/>
  </w:num>
  <w:num w:numId="147">
    <w:abstractNumId w:val="260"/>
  </w:num>
  <w:num w:numId="148">
    <w:abstractNumId w:val="273"/>
  </w:num>
  <w:num w:numId="149">
    <w:abstractNumId w:val="315"/>
  </w:num>
  <w:num w:numId="150">
    <w:abstractNumId w:val="131"/>
  </w:num>
  <w:num w:numId="151">
    <w:abstractNumId w:val="222"/>
  </w:num>
  <w:num w:numId="152">
    <w:abstractNumId w:val="121"/>
  </w:num>
  <w:num w:numId="153">
    <w:abstractNumId w:val="61"/>
  </w:num>
  <w:num w:numId="154">
    <w:abstractNumId w:val="544"/>
  </w:num>
  <w:num w:numId="155">
    <w:abstractNumId w:val="78"/>
  </w:num>
  <w:num w:numId="156">
    <w:abstractNumId w:val="461"/>
  </w:num>
  <w:num w:numId="157">
    <w:abstractNumId w:val="205"/>
  </w:num>
  <w:num w:numId="158">
    <w:abstractNumId w:val="294"/>
  </w:num>
  <w:num w:numId="159">
    <w:abstractNumId w:val="517"/>
  </w:num>
  <w:num w:numId="160">
    <w:abstractNumId w:val="288"/>
  </w:num>
  <w:num w:numId="161">
    <w:abstractNumId w:val="515"/>
  </w:num>
  <w:num w:numId="162">
    <w:abstractNumId w:val="387"/>
  </w:num>
  <w:num w:numId="163">
    <w:abstractNumId w:val="328"/>
  </w:num>
  <w:num w:numId="164">
    <w:abstractNumId w:val="541"/>
  </w:num>
  <w:num w:numId="165">
    <w:abstractNumId w:val="539"/>
  </w:num>
  <w:num w:numId="166">
    <w:abstractNumId w:val="153"/>
  </w:num>
  <w:num w:numId="167">
    <w:abstractNumId w:val="526"/>
  </w:num>
  <w:num w:numId="168">
    <w:abstractNumId w:val="235"/>
  </w:num>
  <w:num w:numId="169">
    <w:abstractNumId w:val="219"/>
  </w:num>
  <w:num w:numId="170">
    <w:abstractNumId w:val="377"/>
  </w:num>
  <w:num w:numId="171">
    <w:abstractNumId w:val="459"/>
  </w:num>
  <w:num w:numId="172">
    <w:abstractNumId w:val="212"/>
  </w:num>
  <w:num w:numId="173">
    <w:abstractNumId w:val="538"/>
  </w:num>
  <w:num w:numId="174">
    <w:abstractNumId w:val="256"/>
  </w:num>
  <w:num w:numId="175">
    <w:abstractNumId w:val="76"/>
  </w:num>
  <w:num w:numId="176">
    <w:abstractNumId w:val="151"/>
  </w:num>
  <w:num w:numId="177">
    <w:abstractNumId w:val="275"/>
  </w:num>
  <w:num w:numId="178">
    <w:abstractNumId w:val="507"/>
  </w:num>
  <w:num w:numId="179">
    <w:abstractNumId w:val="415"/>
  </w:num>
  <w:num w:numId="180">
    <w:abstractNumId w:val="428"/>
  </w:num>
  <w:num w:numId="181">
    <w:abstractNumId w:val="98"/>
  </w:num>
  <w:num w:numId="182">
    <w:abstractNumId w:val="92"/>
  </w:num>
  <w:num w:numId="183">
    <w:abstractNumId w:val="142"/>
  </w:num>
  <w:num w:numId="184">
    <w:abstractNumId w:val="272"/>
  </w:num>
  <w:num w:numId="185">
    <w:abstractNumId w:val="137"/>
  </w:num>
  <w:num w:numId="186">
    <w:abstractNumId w:val="456"/>
  </w:num>
  <w:num w:numId="187">
    <w:abstractNumId w:val="93"/>
  </w:num>
  <w:num w:numId="188">
    <w:abstractNumId w:val="51"/>
  </w:num>
  <w:num w:numId="189">
    <w:abstractNumId w:val="23"/>
  </w:num>
  <w:num w:numId="190">
    <w:abstractNumId w:val="149"/>
  </w:num>
  <w:num w:numId="191">
    <w:abstractNumId w:val="485"/>
  </w:num>
  <w:num w:numId="192">
    <w:abstractNumId w:val="172"/>
  </w:num>
  <w:num w:numId="193">
    <w:abstractNumId w:val="111"/>
  </w:num>
  <w:num w:numId="194">
    <w:abstractNumId w:val="424"/>
  </w:num>
  <w:num w:numId="195">
    <w:abstractNumId w:val="195"/>
  </w:num>
  <w:num w:numId="196">
    <w:abstractNumId w:val="344"/>
  </w:num>
  <w:num w:numId="197">
    <w:abstractNumId w:val="62"/>
  </w:num>
  <w:num w:numId="198">
    <w:abstractNumId w:val="426"/>
  </w:num>
  <w:num w:numId="199">
    <w:abstractNumId w:val="225"/>
  </w:num>
  <w:num w:numId="200">
    <w:abstractNumId w:val="252"/>
  </w:num>
  <w:num w:numId="201">
    <w:abstractNumId w:val="267"/>
  </w:num>
  <w:num w:numId="202">
    <w:abstractNumId w:val="390"/>
  </w:num>
  <w:num w:numId="203">
    <w:abstractNumId w:val="263"/>
  </w:num>
  <w:num w:numId="204">
    <w:abstractNumId w:val="338"/>
  </w:num>
  <w:num w:numId="205">
    <w:abstractNumId w:val="132"/>
  </w:num>
  <w:num w:numId="206">
    <w:abstractNumId w:val="228"/>
  </w:num>
  <w:num w:numId="207">
    <w:abstractNumId w:val="528"/>
  </w:num>
  <w:num w:numId="208">
    <w:abstractNumId w:val="38"/>
  </w:num>
  <w:num w:numId="209">
    <w:abstractNumId w:val="95"/>
  </w:num>
  <w:num w:numId="210">
    <w:abstractNumId w:val="537"/>
  </w:num>
  <w:num w:numId="211">
    <w:abstractNumId w:val="379"/>
  </w:num>
  <w:num w:numId="212">
    <w:abstractNumId w:val="474"/>
  </w:num>
  <w:num w:numId="213">
    <w:abstractNumId w:val="303"/>
  </w:num>
  <w:num w:numId="214">
    <w:abstractNumId w:val="295"/>
  </w:num>
  <w:num w:numId="215">
    <w:abstractNumId w:val="348"/>
  </w:num>
  <w:num w:numId="216">
    <w:abstractNumId w:val="56"/>
  </w:num>
  <w:num w:numId="217">
    <w:abstractNumId w:val="10"/>
  </w:num>
  <w:num w:numId="218">
    <w:abstractNumId w:val="458"/>
  </w:num>
  <w:num w:numId="219">
    <w:abstractNumId w:val="407"/>
  </w:num>
  <w:num w:numId="220">
    <w:abstractNumId w:val="174"/>
  </w:num>
  <w:num w:numId="221">
    <w:abstractNumId w:val="269"/>
  </w:num>
  <w:num w:numId="222">
    <w:abstractNumId w:val="37"/>
  </w:num>
  <w:num w:numId="223">
    <w:abstractNumId w:val="402"/>
  </w:num>
  <w:num w:numId="224">
    <w:abstractNumId w:val="434"/>
  </w:num>
  <w:num w:numId="225">
    <w:abstractNumId w:val="9"/>
  </w:num>
  <w:num w:numId="226">
    <w:abstractNumId w:val="210"/>
  </w:num>
  <w:num w:numId="227">
    <w:abstractNumId w:val="514"/>
  </w:num>
  <w:num w:numId="228">
    <w:abstractNumId w:val="53"/>
  </w:num>
  <w:num w:numId="229">
    <w:abstractNumId w:val="201"/>
  </w:num>
  <w:num w:numId="230">
    <w:abstractNumId w:val="27"/>
  </w:num>
  <w:num w:numId="231">
    <w:abstractNumId w:val="73"/>
  </w:num>
  <w:num w:numId="232">
    <w:abstractNumId w:val="350"/>
  </w:num>
  <w:num w:numId="233">
    <w:abstractNumId w:val="409"/>
  </w:num>
  <w:num w:numId="234">
    <w:abstractNumId w:val="488"/>
  </w:num>
  <w:num w:numId="235">
    <w:abstractNumId w:val="124"/>
  </w:num>
  <w:num w:numId="236">
    <w:abstractNumId w:val="452"/>
  </w:num>
  <w:num w:numId="237">
    <w:abstractNumId w:val="546"/>
  </w:num>
  <w:num w:numId="238">
    <w:abstractNumId w:val="536"/>
  </w:num>
  <w:num w:numId="239">
    <w:abstractNumId w:val="318"/>
  </w:num>
  <w:num w:numId="240">
    <w:abstractNumId w:val="12"/>
  </w:num>
  <w:num w:numId="241">
    <w:abstractNumId w:val="34"/>
  </w:num>
  <w:num w:numId="242">
    <w:abstractNumId w:val="21"/>
  </w:num>
  <w:num w:numId="243">
    <w:abstractNumId w:val="134"/>
  </w:num>
  <w:num w:numId="244">
    <w:abstractNumId w:val="330"/>
  </w:num>
  <w:num w:numId="245">
    <w:abstractNumId w:val="325"/>
  </w:num>
  <w:num w:numId="246">
    <w:abstractNumId w:val="302"/>
  </w:num>
  <w:num w:numId="247">
    <w:abstractNumId w:val="102"/>
  </w:num>
  <w:num w:numId="248">
    <w:abstractNumId w:val="313"/>
  </w:num>
  <w:num w:numId="249">
    <w:abstractNumId w:val="301"/>
  </w:num>
  <w:num w:numId="250">
    <w:abstractNumId w:val="520"/>
  </w:num>
  <w:num w:numId="251">
    <w:abstractNumId w:val="359"/>
  </w:num>
  <w:num w:numId="252">
    <w:abstractNumId w:val="299"/>
  </w:num>
  <w:num w:numId="253">
    <w:abstractNumId w:val="148"/>
  </w:num>
  <w:num w:numId="254">
    <w:abstractNumId w:val="291"/>
  </w:num>
  <w:num w:numId="255">
    <w:abstractNumId w:val="455"/>
  </w:num>
  <w:num w:numId="256">
    <w:abstractNumId w:val="340"/>
  </w:num>
  <w:num w:numId="257">
    <w:abstractNumId w:val="223"/>
  </w:num>
  <w:num w:numId="258">
    <w:abstractNumId w:val="550"/>
  </w:num>
  <w:num w:numId="259">
    <w:abstractNumId w:val="404"/>
  </w:num>
  <w:num w:numId="260">
    <w:abstractNumId w:val="421"/>
  </w:num>
  <w:num w:numId="261">
    <w:abstractNumId w:val="396"/>
  </w:num>
  <w:num w:numId="262">
    <w:abstractNumId w:val="161"/>
  </w:num>
  <w:num w:numId="263">
    <w:abstractNumId w:val="494"/>
  </w:num>
  <w:num w:numId="264">
    <w:abstractNumId w:val="439"/>
  </w:num>
  <w:num w:numId="265">
    <w:abstractNumId w:val="482"/>
  </w:num>
  <w:num w:numId="266">
    <w:abstractNumId w:val="84"/>
  </w:num>
  <w:num w:numId="267">
    <w:abstractNumId w:val="145"/>
  </w:num>
  <w:num w:numId="268">
    <w:abstractNumId w:val="505"/>
  </w:num>
  <w:num w:numId="269">
    <w:abstractNumId w:val="158"/>
  </w:num>
  <w:num w:numId="270">
    <w:abstractNumId w:val="25"/>
  </w:num>
  <w:num w:numId="271">
    <w:abstractNumId w:val="85"/>
  </w:num>
  <w:num w:numId="272">
    <w:abstractNumId w:val="64"/>
  </w:num>
  <w:num w:numId="273">
    <w:abstractNumId w:val="247"/>
  </w:num>
  <w:num w:numId="274">
    <w:abstractNumId w:val="403"/>
  </w:num>
  <w:num w:numId="275">
    <w:abstractNumId w:val="180"/>
  </w:num>
  <w:num w:numId="276">
    <w:abstractNumId w:val="438"/>
  </w:num>
  <w:num w:numId="277">
    <w:abstractNumId w:val="367"/>
  </w:num>
  <w:num w:numId="278">
    <w:abstractNumId w:val="463"/>
  </w:num>
  <w:num w:numId="279">
    <w:abstractNumId w:val="122"/>
  </w:num>
  <w:num w:numId="280">
    <w:abstractNumId w:val="283"/>
  </w:num>
  <w:num w:numId="281">
    <w:abstractNumId w:val="138"/>
  </w:num>
  <w:num w:numId="282">
    <w:abstractNumId w:val="176"/>
  </w:num>
  <w:num w:numId="283">
    <w:abstractNumId w:val="262"/>
  </w:num>
  <w:num w:numId="284">
    <w:abstractNumId w:val="323"/>
  </w:num>
  <w:num w:numId="285">
    <w:abstractNumId w:val="317"/>
  </w:num>
  <w:num w:numId="286">
    <w:abstractNumId w:val="352"/>
  </w:num>
  <w:num w:numId="287">
    <w:abstractNumId w:val="391"/>
  </w:num>
  <w:num w:numId="288">
    <w:abstractNumId w:val="49"/>
  </w:num>
  <w:num w:numId="289">
    <w:abstractNumId w:val="47"/>
  </w:num>
  <w:num w:numId="290">
    <w:abstractNumId w:val="72"/>
  </w:num>
  <w:num w:numId="291">
    <w:abstractNumId w:val="310"/>
  </w:num>
  <w:num w:numId="292">
    <w:abstractNumId w:val="462"/>
  </w:num>
  <w:num w:numId="293">
    <w:abstractNumId w:val="185"/>
  </w:num>
  <w:num w:numId="294">
    <w:abstractNumId w:val="358"/>
  </w:num>
  <w:num w:numId="295">
    <w:abstractNumId w:val="442"/>
  </w:num>
  <w:num w:numId="296">
    <w:abstractNumId w:val="173"/>
  </w:num>
  <w:num w:numId="297">
    <w:abstractNumId w:val="357"/>
  </w:num>
  <w:num w:numId="298">
    <w:abstractNumId w:val="341"/>
  </w:num>
  <w:num w:numId="299">
    <w:abstractNumId w:val="497"/>
  </w:num>
  <w:num w:numId="300">
    <w:abstractNumId w:val="187"/>
  </w:num>
  <w:num w:numId="301">
    <w:abstractNumId w:val="30"/>
  </w:num>
  <w:num w:numId="302">
    <w:abstractNumId w:val="240"/>
  </w:num>
  <w:num w:numId="303">
    <w:abstractNumId w:val="33"/>
  </w:num>
  <w:num w:numId="304">
    <w:abstractNumId w:val="234"/>
  </w:num>
  <w:num w:numId="305">
    <w:abstractNumId w:val="373"/>
  </w:num>
  <w:num w:numId="306">
    <w:abstractNumId w:val="508"/>
  </w:num>
  <w:num w:numId="307">
    <w:abstractNumId w:val="144"/>
  </w:num>
  <w:num w:numId="308">
    <w:abstractNumId w:val="128"/>
  </w:num>
  <w:num w:numId="309">
    <w:abstractNumId w:val="543"/>
  </w:num>
  <w:num w:numId="310">
    <w:abstractNumId w:val="129"/>
  </w:num>
  <w:num w:numId="311">
    <w:abstractNumId w:val="545"/>
  </w:num>
  <w:num w:numId="312">
    <w:abstractNumId w:val="242"/>
  </w:num>
  <w:num w:numId="313">
    <w:abstractNumId w:val="306"/>
  </w:num>
  <w:num w:numId="314">
    <w:abstractNumId w:val="496"/>
  </w:num>
  <w:num w:numId="315">
    <w:abstractNumId w:val="268"/>
  </w:num>
  <w:num w:numId="316">
    <w:abstractNumId w:val="423"/>
  </w:num>
  <w:num w:numId="317">
    <w:abstractNumId w:val="276"/>
  </w:num>
  <w:num w:numId="318">
    <w:abstractNumId w:val="351"/>
  </w:num>
  <w:num w:numId="319">
    <w:abstractNumId w:val="504"/>
  </w:num>
  <w:num w:numId="320">
    <w:abstractNumId w:val="408"/>
  </w:num>
  <w:num w:numId="321">
    <w:abstractNumId w:val="372"/>
  </w:num>
  <w:num w:numId="322">
    <w:abstractNumId w:val="80"/>
  </w:num>
  <w:num w:numId="323">
    <w:abstractNumId w:val="94"/>
  </w:num>
  <w:num w:numId="324">
    <w:abstractNumId w:val="410"/>
  </w:num>
  <w:num w:numId="325">
    <w:abstractNumId w:val="297"/>
  </w:num>
  <w:num w:numId="326">
    <w:abstractNumId w:val="412"/>
  </w:num>
  <w:num w:numId="327">
    <w:abstractNumId w:val="90"/>
  </w:num>
  <w:num w:numId="328">
    <w:abstractNumId w:val="19"/>
  </w:num>
  <w:num w:numId="329">
    <w:abstractNumId w:val="521"/>
  </w:num>
  <w:num w:numId="330">
    <w:abstractNumId w:val="74"/>
  </w:num>
  <w:num w:numId="331">
    <w:abstractNumId w:val="178"/>
  </w:num>
  <w:num w:numId="332">
    <w:abstractNumId w:val="99"/>
  </w:num>
  <w:num w:numId="333">
    <w:abstractNumId w:val="188"/>
  </w:num>
  <w:num w:numId="334">
    <w:abstractNumId w:val="369"/>
  </w:num>
  <w:num w:numId="335">
    <w:abstractNumId w:val="502"/>
  </w:num>
  <w:num w:numId="336">
    <w:abstractNumId w:val="24"/>
  </w:num>
  <w:num w:numId="337">
    <w:abstractNumId w:val="163"/>
  </w:num>
  <w:num w:numId="338">
    <w:abstractNumId w:val="332"/>
  </w:num>
  <w:num w:numId="339">
    <w:abstractNumId w:val="355"/>
  </w:num>
  <w:num w:numId="340">
    <w:abstractNumId w:val="512"/>
  </w:num>
  <w:num w:numId="341">
    <w:abstractNumId w:val="42"/>
  </w:num>
  <w:num w:numId="342">
    <w:abstractNumId w:val="430"/>
  </w:num>
  <w:num w:numId="343">
    <w:abstractNumId w:val="413"/>
  </w:num>
  <w:num w:numId="344">
    <w:abstractNumId w:val="101"/>
  </w:num>
  <w:num w:numId="345">
    <w:abstractNumId w:val="68"/>
  </w:num>
  <w:num w:numId="346">
    <w:abstractNumId w:val="400"/>
  </w:num>
  <w:num w:numId="347">
    <w:abstractNumId w:val="116"/>
  </w:num>
  <w:num w:numId="348">
    <w:abstractNumId w:val="13"/>
  </w:num>
  <w:num w:numId="349">
    <w:abstractNumId w:val="282"/>
  </w:num>
  <w:num w:numId="350">
    <w:abstractNumId w:val="181"/>
  </w:num>
  <w:num w:numId="351">
    <w:abstractNumId w:val="89"/>
  </w:num>
  <w:num w:numId="352">
    <w:abstractNumId w:val="245"/>
  </w:num>
  <w:num w:numId="353">
    <w:abstractNumId w:val="214"/>
  </w:num>
  <w:num w:numId="354">
    <w:abstractNumId w:val="287"/>
  </w:num>
  <w:num w:numId="355">
    <w:abstractNumId w:val="96"/>
  </w:num>
  <w:num w:numId="356">
    <w:abstractNumId w:val="229"/>
  </w:num>
  <w:num w:numId="357">
    <w:abstractNumId w:val="467"/>
  </w:num>
  <w:num w:numId="358">
    <w:abstractNumId w:val="171"/>
  </w:num>
  <w:num w:numId="359">
    <w:abstractNumId w:val="435"/>
  </w:num>
  <w:num w:numId="360">
    <w:abstractNumId w:val="371"/>
  </w:num>
  <w:num w:numId="361">
    <w:abstractNumId w:val="411"/>
  </w:num>
  <w:num w:numId="362">
    <w:abstractNumId w:val="120"/>
  </w:num>
  <w:num w:numId="363">
    <w:abstractNumId w:val="198"/>
  </w:num>
  <w:num w:numId="364">
    <w:abstractNumId w:val="399"/>
  </w:num>
  <w:num w:numId="365">
    <w:abstractNumId w:val="186"/>
  </w:num>
  <w:num w:numId="366">
    <w:abstractNumId w:val="118"/>
  </w:num>
  <w:num w:numId="367">
    <w:abstractNumId w:val="31"/>
  </w:num>
  <w:num w:numId="368">
    <w:abstractNumId w:val="472"/>
  </w:num>
  <w:num w:numId="369">
    <w:abstractNumId w:val="147"/>
  </w:num>
  <w:num w:numId="370">
    <w:abstractNumId w:val="292"/>
  </w:num>
  <w:num w:numId="371">
    <w:abstractNumId w:val="511"/>
  </w:num>
  <w:num w:numId="372">
    <w:abstractNumId w:val="416"/>
  </w:num>
  <w:num w:numId="373">
    <w:abstractNumId w:val="110"/>
  </w:num>
  <w:num w:numId="374">
    <w:abstractNumId w:val="347"/>
  </w:num>
  <w:num w:numId="375">
    <w:abstractNumId w:val="265"/>
  </w:num>
  <w:num w:numId="376">
    <w:abstractNumId w:val="258"/>
  </w:num>
  <w:num w:numId="377">
    <w:abstractNumId w:val="193"/>
  </w:num>
  <w:num w:numId="378">
    <w:abstractNumId w:val="209"/>
  </w:num>
  <w:num w:numId="379">
    <w:abstractNumId w:val="414"/>
  </w:num>
  <w:num w:numId="380">
    <w:abstractNumId w:val="107"/>
  </w:num>
  <w:num w:numId="381">
    <w:abstractNumId w:val="75"/>
  </w:num>
  <w:num w:numId="382">
    <w:abstractNumId w:val="71"/>
  </w:num>
  <w:num w:numId="383">
    <w:abstractNumId w:val="509"/>
  </w:num>
  <w:num w:numId="384">
    <w:abstractNumId w:val="164"/>
  </w:num>
  <w:num w:numId="385">
    <w:abstractNumId w:val="213"/>
  </w:num>
  <w:num w:numId="386">
    <w:abstractNumId w:val="284"/>
  </w:num>
  <w:num w:numId="387">
    <w:abstractNumId w:val="449"/>
  </w:num>
  <w:num w:numId="388">
    <w:abstractNumId w:val="468"/>
  </w:num>
  <w:num w:numId="389">
    <w:abstractNumId w:val="135"/>
  </w:num>
  <w:num w:numId="390">
    <w:abstractNumId w:val="398"/>
  </w:num>
  <w:num w:numId="391">
    <w:abstractNumId w:val="286"/>
  </w:num>
  <w:num w:numId="392">
    <w:abstractNumId w:val="189"/>
  </w:num>
  <w:num w:numId="393">
    <w:abstractNumId w:val="249"/>
  </w:num>
  <w:num w:numId="394">
    <w:abstractNumId w:val="143"/>
  </w:num>
  <w:num w:numId="395">
    <w:abstractNumId w:val="248"/>
  </w:num>
  <w:num w:numId="396">
    <w:abstractNumId w:val="231"/>
  </w:num>
  <w:num w:numId="397">
    <w:abstractNumId w:val="349"/>
  </w:num>
  <w:num w:numId="398">
    <w:abstractNumId w:val="493"/>
  </w:num>
  <w:num w:numId="399">
    <w:abstractNumId w:val="342"/>
  </w:num>
  <w:num w:numId="400">
    <w:abstractNumId w:val="230"/>
  </w:num>
  <w:num w:numId="401">
    <w:abstractNumId w:val="281"/>
  </w:num>
  <w:num w:numId="402">
    <w:abstractNumId w:val="50"/>
  </w:num>
  <w:num w:numId="403">
    <w:abstractNumId w:val="192"/>
  </w:num>
  <w:num w:numId="404">
    <w:abstractNumId w:val="43"/>
  </w:num>
  <w:num w:numId="405">
    <w:abstractNumId w:val="535"/>
  </w:num>
  <w:num w:numId="406">
    <w:abstractNumId w:val="335"/>
  </w:num>
  <w:num w:numId="407">
    <w:abstractNumId w:val="266"/>
  </w:num>
  <w:num w:numId="408">
    <w:abstractNumId w:val="312"/>
  </w:num>
  <w:num w:numId="409">
    <w:abstractNumId w:val="368"/>
  </w:num>
  <w:num w:numId="410">
    <w:abstractNumId w:val="250"/>
  </w:num>
  <w:num w:numId="411">
    <w:abstractNumId w:val="15"/>
  </w:num>
  <w:num w:numId="412">
    <w:abstractNumId w:val="380"/>
  </w:num>
  <w:num w:numId="413">
    <w:abstractNumId w:val="177"/>
  </w:num>
  <w:num w:numId="414">
    <w:abstractNumId w:val="337"/>
  </w:num>
  <w:num w:numId="415">
    <w:abstractNumId w:val="226"/>
  </w:num>
  <w:num w:numId="416">
    <w:abstractNumId w:val="40"/>
  </w:num>
  <w:num w:numId="417">
    <w:abstractNumId w:val="513"/>
  </w:num>
  <w:num w:numId="418">
    <w:abstractNumId w:val="296"/>
  </w:num>
  <w:num w:numId="419">
    <w:abstractNumId w:val="255"/>
  </w:num>
  <w:num w:numId="420">
    <w:abstractNumId w:val="478"/>
  </w:num>
  <w:num w:numId="421">
    <w:abstractNumId w:val="343"/>
  </w:num>
  <w:num w:numId="422">
    <w:abstractNumId w:val="106"/>
  </w:num>
  <w:num w:numId="423">
    <w:abstractNumId w:val="14"/>
  </w:num>
  <w:num w:numId="424">
    <w:abstractNumId w:val="533"/>
  </w:num>
  <w:num w:numId="425">
    <w:abstractNumId w:val="499"/>
  </w:num>
  <w:num w:numId="426">
    <w:abstractNumId w:val="140"/>
  </w:num>
  <w:num w:numId="427">
    <w:abstractNumId w:val="58"/>
  </w:num>
  <w:num w:numId="428">
    <w:abstractNumId w:val="290"/>
  </w:num>
  <w:num w:numId="429">
    <w:abstractNumId w:val="389"/>
  </w:num>
  <w:num w:numId="430">
    <w:abstractNumId w:val="324"/>
  </w:num>
  <w:num w:numId="431">
    <w:abstractNumId w:val="11"/>
  </w:num>
  <w:num w:numId="432">
    <w:abstractNumId w:val="540"/>
  </w:num>
  <w:num w:numId="433">
    <w:abstractNumId w:val="447"/>
  </w:num>
  <w:num w:numId="434">
    <w:abstractNumId w:val="86"/>
  </w:num>
  <w:num w:numId="435">
    <w:abstractNumId w:val="401"/>
  </w:num>
  <w:num w:numId="436">
    <w:abstractNumId w:val="366"/>
  </w:num>
  <w:num w:numId="437">
    <w:abstractNumId w:val="486"/>
  </w:num>
  <w:num w:numId="438">
    <w:abstractNumId w:val="136"/>
  </w:num>
  <w:num w:numId="439">
    <w:abstractNumId w:val="450"/>
  </w:num>
  <w:num w:numId="440">
    <w:abstractNumId w:val="293"/>
  </w:num>
  <w:num w:numId="441">
    <w:abstractNumId w:val="532"/>
  </w:num>
  <w:num w:numId="442">
    <w:abstractNumId w:val="417"/>
  </w:num>
  <w:num w:numId="443">
    <w:abstractNumId w:val="392"/>
  </w:num>
  <w:num w:numId="444">
    <w:abstractNumId w:val="167"/>
  </w:num>
  <w:num w:numId="445">
    <w:abstractNumId w:val="162"/>
  </w:num>
  <w:num w:numId="446">
    <w:abstractNumId w:val="418"/>
  </w:num>
  <w:num w:numId="447">
    <w:abstractNumId w:val="251"/>
  </w:num>
  <w:num w:numId="448">
    <w:abstractNumId w:val="534"/>
  </w:num>
  <w:num w:numId="449">
    <w:abstractNumId w:val="59"/>
  </w:num>
  <w:num w:numId="450">
    <w:abstractNumId w:val="104"/>
  </w:num>
  <w:num w:numId="451">
    <w:abstractNumId w:val="277"/>
  </w:num>
  <w:num w:numId="452">
    <w:abstractNumId w:val="448"/>
  </w:num>
  <w:num w:numId="453">
    <w:abstractNumId w:val="525"/>
  </w:num>
  <w:num w:numId="454">
    <w:abstractNumId w:val="168"/>
  </w:num>
  <w:num w:numId="455">
    <w:abstractNumId w:val="274"/>
  </w:num>
  <w:num w:numId="456">
    <w:abstractNumId w:val="133"/>
  </w:num>
  <w:num w:numId="457">
    <w:abstractNumId w:val="191"/>
  </w:num>
  <w:num w:numId="458">
    <w:abstractNumId w:val="422"/>
  </w:num>
  <w:num w:numId="459">
    <w:abstractNumId w:val="165"/>
  </w:num>
  <w:num w:numId="460">
    <w:abstractNumId w:val="184"/>
  </w:num>
  <w:num w:numId="461">
    <w:abstractNumId w:val="87"/>
  </w:num>
  <w:num w:numId="462">
    <w:abstractNumId w:val="237"/>
  </w:num>
  <w:num w:numId="463">
    <w:abstractNumId w:val="470"/>
  </w:num>
  <w:num w:numId="464">
    <w:abstractNumId w:val="516"/>
  </w:num>
  <w:num w:numId="465">
    <w:abstractNumId w:val="457"/>
  </w:num>
  <w:num w:numId="466">
    <w:abstractNumId w:val="353"/>
  </w:num>
  <w:num w:numId="467">
    <w:abstractNumId w:val="441"/>
  </w:num>
  <w:num w:numId="468">
    <w:abstractNumId w:val="444"/>
  </w:num>
  <w:num w:numId="469">
    <w:abstractNumId w:val="385"/>
  </w:num>
  <w:num w:numId="470">
    <w:abstractNumId w:val="206"/>
  </w:num>
  <w:num w:numId="471">
    <w:abstractNumId w:val="150"/>
  </w:num>
  <w:num w:numId="472">
    <w:abstractNumId w:val="238"/>
  </w:num>
  <w:num w:numId="473">
    <w:abstractNumId w:val="522"/>
  </w:num>
  <w:num w:numId="474">
    <w:abstractNumId w:val="354"/>
  </w:num>
  <w:num w:numId="475">
    <w:abstractNumId w:val="383"/>
  </w:num>
  <w:num w:numId="476">
    <w:abstractNumId w:val="244"/>
  </w:num>
  <w:num w:numId="477">
    <w:abstractNumId w:val="159"/>
  </w:num>
  <w:num w:numId="478">
    <w:abstractNumId w:val="405"/>
  </w:num>
  <w:num w:numId="479">
    <w:abstractNumId w:val="166"/>
  </w:num>
  <w:num w:numId="480">
    <w:abstractNumId w:val="271"/>
  </w:num>
  <w:num w:numId="481">
    <w:abstractNumId w:val="334"/>
  </w:num>
  <w:num w:numId="482">
    <w:abstractNumId w:val="425"/>
  </w:num>
  <w:num w:numId="483">
    <w:abstractNumId w:val="547"/>
  </w:num>
  <w:num w:numId="484">
    <w:abstractNumId w:val="498"/>
  </w:num>
  <w:num w:numId="485">
    <w:abstractNumId w:val="548"/>
  </w:num>
  <w:num w:numId="486">
    <w:abstractNumId w:val="103"/>
  </w:num>
  <w:num w:numId="487">
    <w:abstractNumId w:val="194"/>
  </w:num>
  <w:num w:numId="488">
    <w:abstractNumId w:val="218"/>
  </w:num>
  <w:num w:numId="489">
    <w:abstractNumId w:val="202"/>
  </w:num>
  <w:num w:numId="490">
    <w:abstractNumId w:val="17"/>
  </w:num>
  <w:num w:numId="491">
    <w:abstractNumId w:val="518"/>
  </w:num>
  <w:num w:numId="492">
    <w:abstractNumId w:val="28"/>
  </w:num>
  <w:num w:numId="493">
    <w:abstractNumId w:val="139"/>
  </w:num>
  <w:num w:numId="494">
    <w:abstractNumId w:val="484"/>
  </w:num>
  <w:num w:numId="495">
    <w:abstractNumId w:val="364"/>
  </w:num>
  <w:num w:numId="496">
    <w:abstractNumId w:val="333"/>
  </w:num>
  <w:num w:numId="497">
    <w:abstractNumId w:val="309"/>
  </w:num>
  <w:num w:numId="498">
    <w:abstractNumId w:val="35"/>
  </w:num>
  <w:num w:numId="499">
    <w:abstractNumId w:val="386"/>
  </w:num>
  <w:num w:numId="500">
    <w:abstractNumId w:val="321"/>
  </w:num>
  <w:num w:numId="501">
    <w:abstractNumId w:val="440"/>
  </w:num>
  <w:num w:numId="502">
    <w:abstractNumId w:val="280"/>
  </w:num>
  <w:num w:numId="503">
    <w:abstractNumId w:val="126"/>
  </w:num>
  <w:num w:numId="504">
    <w:abstractNumId w:val="464"/>
  </w:num>
  <w:num w:numId="505">
    <w:abstractNumId w:val="190"/>
  </w:num>
  <w:num w:numId="506">
    <w:abstractNumId w:val="169"/>
  </w:num>
  <w:num w:numId="507">
    <w:abstractNumId w:val="141"/>
  </w:num>
  <w:num w:numId="508">
    <w:abstractNumId w:val="362"/>
  </w:num>
  <w:num w:numId="509">
    <w:abstractNumId w:val="382"/>
  </w:num>
  <w:num w:numId="510">
    <w:abstractNumId w:val="125"/>
  </w:num>
  <w:num w:numId="511">
    <w:abstractNumId w:val="54"/>
  </w:num>
  <w:num w:numId="512">
    <w:abstractNumId w:val="175"/>
  </w:num>
  <w:num w:numId="513">
    <w:abstractNumId w:val="476"/>
  </w:num>
  <w:num w:numId="514">
    <w:abstractNumId w:val="227"/>
  </w:num>
  <w:num w:numId="515">
    <w:abstractNumId w:val="436"/>
  </w:num>
  <w:num w:numId="516">
    <w:abstractNumId w:val="119"/>
  </w:num>
  <w:num w:numId="517">
    <w:abstractNumId w:val="465"/>
  </w:num>
  <w:num w:numId="518">
    <w:abstractNumId w:val="305"/>
  </w:num>
  <w:num w:numId="519">
    <w:abstractNumId w:val="179"/>
  </w:num>
  <w:num w:numId="520">
    <w:abstractNumId w:val="254"/>
  </w:num>
  <w:num w:numId="521">
    <w:abstractNumId w:val="44"/>
  </w:num>
  <w:num w:numId="522">
    <w:abstractNumId w:val="155"/>
  </w:num>
  <w:num w:numId="523">
    <w:abstractNumId w:val="322"/>
  </w:num>
  <w:num w:numId="524">
    <w:abstractNumId w:val="70"/>
  </w:num>
  <w:num w:numId="525">
    <w:abstractNumId w:val="406"/>
  </w:num>
  <w:num w:numId="526">
    <w:abstractNumId w:val="374"/>
  </w:num>
  <w:num w:numId="527">
    <w:abstractNumId w:val="215"/>
  </w:num>
  <w:num w:numId="528">
    <w:abstractNumId w:val="427"/>
  </w:num>
  <w:num w:numId="529">
    <w:abstractNumId w:val="100"/>
  </w:num>
  <w:num w:numId="530">
    <w:abstractNumId w:val="232"/>
  </w:num>
  <w:num w:numId="531">
    <w:abstractNumId w:val="279"/>
  </w:num>
  <w:num w:numId="532">
    <w:abstractNumId w:val="41"/>
  </w:num>
  <w:num w:numId="533">
    <w:abstractNumId w:val="365"/>
  </w:num>
  <w:num w:numId="534">
    <w:abstractNumId w:val="241"/>
  </w:num>
  <w:num w:numId="535">
    <w:abstractNumId w:val="429"/>
  </w:num>
  <w:num w:numId="536">
    <w:abstractNumId w:val="97"/>
  </w:num>
  <w:num w:numId="537">
    <w:abstractNumId w:val="503"/>
  </w:num>
  <w:num w:numId="538">
    <w:abstractNumId w:val="20"/>
  </w:num>
  <w:num w:numId="539">
    <w:abstractNumId w:val="130"/>
  </w:num>
  <w:num w:numId="540">
    <w:abstractNumId w:val="397"/>
  </w:num>
  <w:num w:numId="541">
    <w:abstractNumId w:val="264"/>
  </w:num>
  <w:num w:numId="542">
    <w:abstractNumId w:val="156"/>
  </w:num>
  <w:num w:numId="543">
    <w:abstractNumId w:val="83"/>
  </w:num>
  <w:numIdMacAtCleanup w:val="5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C74"/>
    <w:rsid w:val="000031AB"/>
    <w:rsid w:val="00004853"/>
    <w:rsid w:val="00005C31"/>
    <w:rsid w:val="00006444"/>
    <w:rsid w:val="000103F8"/>
    <w:rsid w:val="00015BD9"/>
    <w:rsid w:val="00015F45"/>
    <w:rsid w:val="0002346C"/>
    <w:rsid w:val="00025A68"/>
    <w:rsid w:val="00030D7E"/>
    <w:rsid w:val="000326F6"/>
    <w:rsid w:val="0003558A"/>
    <w:rsid w:val="000368E1"/>
    <w:rsid w:val="000446DE"/>
    <w:rsid w:val="0005089D"/>
    <w:rsid w:val="00052F83"/>
    <w:rsid w:val="00054368"/>
    <w:rsid w:val="00054402"/>
    <w:rsid w:val="00057C04"/>
    <w:rsid w:val="00060942"/>
    <w:rsid w:val="000620D6"/>
    <w:rsid w:val="0006701A"/>
    <w:rsid w:val="00073F52"/>
    <w:rsid w:val="0008199C"/>
    <w:rsid w:val="0008237D"/>
    <w:rsid w:val="00090693"/>
    <w:rsid w:val="000947AB"/>
    <w:rsid w:val="0009597C"/>
    <w:rsid w:val="00096169"/>
    <w:rsid w:val="000C091B"/>
    <w:rsid w:val="000C1063"/>
    <w:rsid w:val="000C4B2F"/>
    <w:rsid w:val="000D3509"/>
    <w:rsid w:val="000D4834"/>
    <w:rsid w:val="000E083C"/>
    <w:rsid w:val="000E1773"/>
    <w:rsid w:val="000E30FB"/>
    <w:rsid w:val="000E3A24"/>
    <w:rsid w:val="000E5697"/>
    <w:rsid w:val="000F1448"/>
    <w:rsid w:val="000F3041"/>
    <w:rsid w:val="0010504D"/>
    <w:rsid w:val="001075DA"/>
    <w:rsid w:val="00110086"/>
    <w:rsid w:val="00114F24"/>
    <w:rsid w:val="001237A1"/>
    <w:rsid w:val="00126C7A"/>
    <w:rsid w:val="00126E49"/>
    <w:rsid w:val="0014252E"/>
    <w:rsid w:val="00152CF3"/>
    <w:rsid w:val="00156B74"/>
    <w:rsid w:val="00157586"/>
    <w:rsid w:val="001628FB"/>
    <w:rsid w:val="00164AA7"/>
    <w:rsid w:val="001729A3"/>
    <w:rsid w:val="00182883"/>
    <w:rsid w:val="00185444"/>
    <w:rsid w:val="00194979"/>
    <w:rsid w:val="0019773B"/>
    <w:rsid w:val="001A1F4E"/>
    <w:rsid w:val="001A7884"/>
    <w:rsid w:val="001B2552"/>
    <w:rsid w:val="001B6E9E"/>
    <w:rsid w:val="001C0A5A"/>
    <w:rsid w:val="001C152E"/>
    <w:rsid w:val="001C34B6"/>
    <w:rsid w:val="001D1F01"/>
    <w:rsid w:val="001D2164"/>
    <w:rsid w:val="001D66ED"/>
    <w:rsid w:val="001E2680"/>
    <w:rsid w:val="001E322D"/>
    <w:rsid w:val="001E5762"/>
    <w:rsid w:val="001E611A"/>
    <w:rsid w:val="001F010C"/>
    <w:rsid w:val="00205026"/>
    <w:rsid w:val="00207E86"/>
    <w:rsid w:val="00211C63"/>
    <w:rsid w:val="002124DE"/>
    <w:rsid w:val="00212B90"/>
    <w:rsid w:val="002130FD"/>
    <w:rsid w:val="002161CA"/>
    <w:rsid w:val="002211B0"/>
    <w:rsid w:val="0022348D"/>
    <w:rsid w:val="00224A4F"/>
    <w:rsid w:val="00226B27"/>
    <w:rsid w:val="002317E6"/>
    <w:rsid w:val="002378EC"/>
    <w:rsid w:val="00240DAE"/>
    <w:rsid w:val="00242A2F"/>
    <w:rsid w:val="00242F1D"/>
    <w:rsid w:val="00257BFB"/>
    <w:rsid w:val="00257E59"/>
    <w:rsid w:val="00263D10"/>
    <w:rsid w:val="00270806"/>
    <w:rsid w:val="00270839"/>
    <w:rsid w:val="0027157D"/>
    <w:rsid w:val="00277873"/>
    <w:rsid w:val="00282DDA"/>
    <w:rsid w:val="002845DD"/>
    <w:rsid w:val="00284CCE"/>
    <w:rsid w:val="00285262"/>
    <w:rsid w:val="00290950"/>
    <w:rsid w:val="002A1321"/>
    <w:rsid w:val="002B13F8"/>
    <w:rsid w:val="002B4D9B"/>
    <w:rsid w:val="002C2FE7"/>
    <w:rsid w:val="002C3486"/>
    <w:rsid w:val="002C529C"/>
    <w:rsid w:val="002D1DB0"/>
    <w:rsid w:val="002D78B2"/>
    <w:rsid w:val="002E0594"/>
    <w:rsid w:val="002E0F58"/>
    <w:rsid w:val="002E1180"/>
    <w:rsid w:val="002E1E69"/>
    <w:rsid w:val="002E39D1"/>
    <w:rsid w:val="002E3B4B"/>
    <w:rsid w:val="002E5591"/>
    <w:rsid w:val="002F1F5C"/>
    <w:rsid w:val="002F24A4"/>
    <w:rsid w:val="002F306E"/>
    <w:rsid w:val="00300269"/>
    <w:rsid w:val="00300738"/>
    <w:rsid w:val="003064E4"/>
    <w:rsid w:val="00306FEC"/>
    <w:rsid w:val="00307DD1"/>
    <w:rsid w:val="003152E0"/>
    <w:rsid w:val="00322400"/>
    <w:rsid w:val="00335DB6"/>
    <w:rsid w:val="003361B5"/>
    <w:rsid w:val="003523C5"/>
    <w:rsid w:val="00352FAC"/>
    <w:rsid w:val="003547FE"/>
    <w:rsid w:val="00356734"/>
    <w:rsid w:val="00357AEA"/>
    <w:rsid w:val="00357EF0"/>
    <w:rsid w:val="00360828"/>
    <w:rsid w:val="00361404"/>
    <w:rsid w:val="00367864"/>
    <w:rsid w:val="003712D7"/>
    <w:rsid w:val="00374080"/>
    <w:rsid w:val="003758F9"/>
    <w:rsid w:val="00375C9A"/>
    <w:rsid w:val="00375D98"/>
    <w:rsid w:val="00380B65"/>
    <w:rsid w:val="003821A3"/>
    <w:rsid w:val="00387A45"/>
    <w:rsid w:val="00387A94"/>
    <w:rsid w:val="003905F4"/>
    <w:rsid w:val="003913BC"/>
    <w:rsid w:val="00394CF2"/>
    <w:rsid w:val="00395F0D"/>
    <w:rsid w:val="00397BD4"/>
    <w:rsid w:val="003A20B3"/>
    <w:rsid w:val="003A2CAE"/>
    <w:rsid w:val="003A3EDE"/>
    <w:rsid w:val="003A4B26"/>
    <w:rsid w:val="003A7EB0"/>
    <w:rsid w:val="003B229D"/>
    <w:rsid w:val="003B335F"/>
    <w:rsid w:val="003C3F05"/>
    <w:rsid w:val="003C769A"/>
    <w:rsid w:val="003D28E9"/>
    <w:rsid w:val="003D2A1B"/>
    <w:rsid w:val="003D31AA"/>
    <w:rsid w:val="003D3E28"/>
    <w:rsid w:val="003D45FD"/>
    <w:rsid w:val="003D5EC9"/>
    <w:rsid w:val="003E084E"/>
    <w:rsid w:val="003E219A"/>
    <w:rsid w:val="003E397A"/>
    <w:rsid w:val="003E449D"/>
    <w:rsid w:val="003F5C10"/>
    <w:rsid w:val="003F7680"/>
    <w:rsid w:val="003F7B8B"/>
    <w:rsid w:val="004071BD"/>
    <w:rsid w:val="00410685"/>
    <w:rsid w:val="00411917"/>
    <w:rsid w:val="00413879"/>
    <w:rsid w:val="00416A88"/>
    <w:rsid w:val="00420296"/>
    <w:rsid w:val="00422150"/>
    <w:rsid w:val="00425542"/>
    <w:rsid w:val="00432630"/>
    <w:rsid w:val="00436731"/>
    <w:rsid w:val="00443188"/>
    <w:rsid w:val="004446BA"/>
    <w:rsid w:val="0044604A"/>
    <w:rsid w:val="0044660C"/>
    <w:rsid w:val="00452BFC"/>
    <w:rsid w:val="00453701"/>
    <w:rsid w:val="0046526C"/>
    <w:rsid w:val="00466B30"/>
    <w:rsid w:val="004726A6"/>
    <w:rsid w:val="0047755E"/>
    <w:rsid w:val="00486A0E"/>
    <w:rsid w:val="00491234"/>
    <w:rsid w:val="0049126A"/>
    <w:rsid w:val="0049170F"/>
    <w:rsid w:val="004930FD"/>
    <w:rsid w:val="004934F7"/>
    <w:rsid w:val="00494565"/>
    <w:rsid w:val="00495726"/>
    <w:rsid w:val="00495DDE"/>
    <w:rsid w:val="00496505"/>
    <w:rsid w:val="00497797"/>
    <w:rsid w:val="00497CCF"/>
    <w:rsid w:val="004A6CD3"/>
    <w:rsid w:val="004B3049"/>
    <w:rsid w:val="004B5164"/>
    <w:rsid w:val="004C5669"/>
    <w:rsid w:val="004C7EA2"/>
    <w:rsid w:val="004D6729"/>
    <w:rsid w:val="004D7D9F"/>
    <w:rsid w:val="004E0A67"/>
    <w:rsid w:val="004E4B20"/>
    <w:rsid w:val="004E5B2E"/>
    <w:rsid w:val="004F52FA"/>
    <w:rsid w:val="0050106B"/>
    <w:rsid w:val="00502837"/>
    <w:rsid w:val="005116B2"/>
    <w:rsid w:val="005120AF"/>
    <w:rsid w:val="00512203"/>
    <w:rsid w:val="005124B3"/>
    <w:rsid w:val="00512A9D"/>
    <w:rsid w:val="00514991"/>
    <w:rsid w:val="005206F8"/>
    <w:rsid w:val="00523292"/>
    <w:rsid w:val="00526CA6"/>
    <w:rsid w:val="00526EEB"/>
    <w:rsid w:val="00532457"/>
    <w:rsid w:val="0053387E"/>
    <w:rsid w:val="00542889"/>
    <w:rsid w:val="00543C11"/>
    <w:rsid w:val="005455B2"/>
    <w:rsid w:val="005461FA"/>
    <w:rsid w:val="00551186"/>
    <w:rsid w:val="00554ED5"/>
    <w:rsid w:val="005738DE"/>
    <w:rsid w:val="00575A2A"/>
    <w:rsid w:val="00576DFB"/>
    <w:rsid w:val="00581D06"/>
    <w:rsid w:val="00592D9F"/>
    <w:rsid w:val="00594567"/>
    <w:rsid w:val="005961DE"/>
    <w:rsid w:val="00597C7D"/>
    <w:rsid w:val="005B3A2D"/>
    <w:rsid w:val="005B3E86"/>
    <w:rsid w:val="005B5D69"/>
    <w:rsid w:val="005B6D5A"/>
    <w:rsid w:val="005C398C"/>
    <w:rsid w:val="005D08ED"/>
    <w:rsid w:val="005D23DB"/>
    <w:rsid w:val="005D283E"/>
    <w:rsid w:val="005D2C9E"/>
    <w:rsid w:val="005D3C7A"/>
    <w:rsid w:val="005D4B89"/>
    <w:rsid w:val="005D74D6"/>
    <w:rsid w:val="005E14A7"/>
    <w:rsid w:val="005E184E"/>
    <w:rsid w:val="005E2FFE"/>
    <w:rsid w:val="005F040E"/>
    <w:rsid w:val="005F5412"/>
    <w:rsid w:val="005F5AFB"/>
    <w:rsid w:val="005F7E85"/>
    <w:rsid w:val="00602A9F"/>
    <w:rsid w:val="006135F3"/>
    <w:rsid w:val="0061729C"/>
    <w:rsid w:val="00621C21"/>
    <w:rsid w:val="006240AC"/>
    <w:rsid w:val="00625465"/>
    <w:rsid w:val="00626C3A"/>
    <w:rsid w:val="00626D7F"/>
    <w:rsid w:val="00631B5A"/>
    <w:rsid w:val="00633798"/>
    <w:rsid w:val="00636649"/>
    <w:rsid w:val="006418AE"/>
    <w:rsid w:val="006442B7"/>
    <w:rsid w:val="00644959"/>
    <w:rsid w:val="00644D52"/>
    <w:rsid w:val="006452F9"/>
    <w:rsid w:val="00651477"/>
    <w:rsid w:val="0065626C"/>
    <w:rsid w:val="006602E1"/>
    <w:rsid w:val="0066467E"/>
    <w:rsid w:val="00667C7C"/>
    <w:rsid w:val="00667FAC"/>
    <w:rsid w:val="00677047"/>
    <w:rsid w:val="00683196"/>
    <w:rsid w:val="006847BC"/>
    <w:rsid w:val="00685454"/>
    <w:rsid w:val="00690EF5"/>
    <w:rsid w:val="0069177C"/>
    <w:rsid w:val="006920D6"/>
    <w:rsid w:val="00692351"/>
    <w:rsid w:val="00697562"/>
    <w:rsid w:val="006A0AD8"/>
    <w:rsid w:val="006A40AE"/>
    <w:rsid w:val="006A4B0B"/>
    <w:rsid w:val="006A60C9"/>
    <w:rsid w:val="006A6484"/>
    <w:rsid w:val="006B13DF"/>
    <w:rsid w:val="006C0239"/>
    <w:rsid w:val="006C40D3"/>
    <w:rsid w:val="006D3621"/>
    <w:rsid w:val="006D446B"/>
    <w:rsid w:val="006D627D"/>
    <w:rsid w:val="006E00D5"/>
    <w:rsid w:val="006E2F50"/>
    <w:rsid w:val="006E71C9"/>
    <w:rsid w:val="006E7FB5"/>
    <w:rsid w:val="006F38B5"/>
    <w:rsid w:val="006F7666"/>
    <w:rsid w:val="00700ABF"/>
    <w:rsid w:val="00702F6B"/>
    <w:rsid w:val="00703B74"/>
    <w:rsid w:val="00706BBA"/>
    <w:rsid w:val="00711D0F"/>
    <w:rsid w:val="0071640D"/>
    <w:rsid w:val="00716791"/>
    <w:rsid w:val="00724B1E"/>
    <w:rsid w:val="00724D2E"/>
    <w:rsid w:val="007318CA"/>
    <w:rsid w:val="00740C4B"/>
    <w:rsid w:val="00754D1D"/>
    <w:rsid w:val="00762007"/>
    <w:rsid w:val="00765225"/>
    <w:rsid w:val="00765D7E"/>
    <w:rsid w:val="00774F3A"/>
    <w:rsid w:val="00786FAF"/>
    <w:rsid w:val="00790444"/>
    <w:rsid w:val="00791DD9"/>
    <w:rsid w:val="00792575"/>
    <w:rsid w:val="00793D58"/>
    <w:rsid w:val="00796159"/>
    <w:rsid w:val="007A0A5B"/>
    <w:rsid w:val="007A2949"/>
    <w:rsid w:val="007A3BC4"/>
    <w:rsid w:val="007B2FC2"/>
    <w:rsid w:val="007B3FC6"/>
    <w:rsid w:val="007B69C1"/>
    <w:rsid w:val="007C01AD"/>
    <w:rsid w:val="007C56A3"/>
    <w:rsid w:val="007C79DF"/>
    <w:rsid w:val="007D2F09"/>
    <w:rsid w:val="007D450E"/>
    <w:rsid w:val="007D6682"/>
    <w:rsid w:val="007D7981"/>
    <w:rsid w:val="007E0810"/>
    <w:rsid w:val="007E2EED"/>
    <w:rsid w:val="007E4648"/>
    <w:rsid w:val="007E53DA"/>
    <w:rsid w:val="007E65F5"/>
    <w:rsid w:val="007F16BA"/>
    <w:rsid w:val="008014AF"/>
    <w:rsid w:val="00807921"/>
    <w:rsid w:val="00814972"/>
    <w:rsid w:val="008216E5"/>
    <w:rsid w:val="0082217A"/>
    <w:rsid w:val="00830391"/>
    <w:rsid w:val="00830440"/>
    <w:rsid w:val="00830C43"/>
    <w:rsid w:val="0084092D"/>
    <w:rsid w:val="00842F00"/>
    <w:rsid w:val="00846614"/>
    <w:rsid w:val="008466F5"/>
    <w:rsid w:val="00846C18"/>
    <w:rsid w:val="00850142"/>
    <w:rsid w:val="00852BDF"/>
    <w:rsid w:val="00853B92"/>
    <w:rsid w:val="00855DCD"/>
    <w:rsid w:val="008623C0"/>
    <w:rsid w:val="00864E28"/>
    <w:rsid w:val="00866B81"/>
    <w:rsid w:val="00867EE7"/>
    <w:rsid w:val="00870A07"/>
    <w:rsid w:val="008719F3"/>
    <w:rsid w:val="00877027"/>
    <w:rsid w:val="00880ABE"/>
    <w:rsid w:val="00882DD2"/>
    <w:rsid w:val="00887DBC"/>
    <w:rsid w:val="00892DEE"/>
    <w:rsid w:val="0089326E"/>
    <w:rsid w:val="00893754"/>
    <w:rsid w:val="0089423A"/>
    <w:rsid w:val="0089458B"/>
    <w:rsid w:val="00896095"/>
    <w:rsid w:val="008A3533"/>
    <w:rsid w:val="008A4FD4"/>
    <w:rsid w:val="008A7DDF"/>
    <w:rsid w:val="008B4CDC"/>
    <w:rsid w:val="008B6053"/>
    <w:rsid w:val="008B7399"/>
    <w:rsid w:val="008C0F9F"/>
    <w:rsid w:val="008C5D31"/>
    <w:rsid w:val="008C6610"/>
    <w:rsid w:val="008D2CAE"/>
    <w:rsid w:val="008D3682"/>
    <w:rsid w:val="008D602D"/>
    <w:rsid w:val="008D7C06"/>
    <w:rsid w:val="008E14AA"/>
    <w:rsid w:val="008E3A18"/>
    <w:rsid w:val="008E4740"/>
    <w:rsid w:val="008F15A7"/>
    <w:rsid w:val="008F35EE"/>
    <w:rsid w:val="008F5FCC"/>
    <w:rsid w:val="00902664"/>
    <w:rsid w:val="00907E19"/>
    <w:rsid w:val="00911499"/>
    <w:rsid w:val="0091229A"/>
    <w:rsid w:val="00912971"/>
    <w:rsid w:val="0091336B"/>
    <w:rsid w:val="0091562A"/>
    <w:rsid w:val="00922E71"/>
    <w:rsid w:val="00924785"/>
    <w:rsid w:val="00925398"/>
    <w:rsid w:val="00934A11"/>
    <w:rsid w:val="0093529D"/>
    <w:rsid w:val="00937483"/>
    <w:rsid w:val="0093784E"/>
    <w:rsid w:val="00941B64"/>
    <w:rsid w:val="0095003E"/>
    <w:rsid w:val="00955887"/>
    <w:rsid w:val="00966160"/>
    <w:rsid w:val="00966EE2"/>
    <w:rsid w:val="0096744F"/>
    <w:rsid w:val="00967AF7"/>
    <w:rsid w:val="009717FB"/>
    <w:rsid w:val="00972F84"/>
    <w:rsid w:val="0097304D"/>
    <w:rsid w:val="0097654D"/>
    <w:rsid w:val="00976E9B"/>
    <w:rsid w:val="009772BB"/>
    <w:rsid w:val="009961F1"/>
    <w:rsid w:val="009A2C6B"/>
    <w:rsid w:val="009A5E4F"/>
    <w:rsid w:val="009B0D7F"/>
    <w:rsid w:val="009B58D4"/>
    <w:rsid w:val="009B5A01"/>
    <w:rsid w:val="009B5D62"/>
    <w:rsid w:val="009C2D8E"/>
    <w:rsid w:val="009C34A2"/>
    <w:rsid w:val="009C62F7"/>
    <w:rsid w:val="009C6601"/>
    <w:rsid w:val="009D17BB"/>
    <w:rsid w:val="009D1C71"/>
    <w:rsid w:val="009D2F5B"/>
    <w:rsid w:val="009D3143"/>
    <w:rsid w:val="009D71ED"/>
    <w:rsid w:val="009E4551"/>
    <w:rsid w:val="009E7BBA"/>
    <w:rsid w:val="009F24A5"/>
    <w:rsid w:val="009F4B60"/>
    <w:rsid w:val="009F52F2"/>
    <w:rsid w:val="009F7069"/>
    <w:rsid w:val="009F7C7A"/>
    <w:rsid w:val="00A0127E"/>
    <w:rsid w:val="00A07166"/>
    <w:rsid w:val="00A150B7"/>
    <w:rsid w:val="00A20D0E"/>
    <w:rsid w:val="00A22E71"/>
    <w:rsid w:val="00A261D7"/>
    <w:rsid w:val="00A2685A"/>
    <w:rsid w:val="00A42AE3"/>
    <w:rsid w:val="00A436C8"/>
    <w:rsid w:val="00A45894"/>
    <w:rsid w:val="00A46837"/>
    <w:rsid w:val="00A46B6B"/>
    <w:rsid w:val="00A504C8"/>
    <w:rsid w:val="00A54905"/>
    <w:rsid w:val="00A674D0"/>
    <w:rsid w:val="00A75B3C"/>
    <w:rsid w:val="00A76432"/>
    <w:rsid w:val="00A80323"/>
    <w:rsid w:val="00A92FD1"/>
    <w:rsid w:val="00A95187"/>
    <w:rsid w:val="00AA298D"/>
    <w:rsid w:val="00AA3F50"/>
    <w:rsid w:val="00AA40CA"/>
    <w:rsid w:val="00AA6B8A"/>
    <w:rsid w:val="00AA7BF4"/>
    <w:rsid w:val="00AB1D4D"/>
    <w:rsid w:val="00AB420F"/>
    <w:rsid w:val="00AB4EF2"/>
    <w:rsid w:val="00AC1071"/>
    <w:rsid w:val="00AC2B09"/>
    <w:rsid w:val="00AD009B"/>
    <w:rsid w:val="00AD3CF4"/>
    <w:rsid w:val="00AD6638"/>
    <w:rsid w:val="00AE0B7E"/>
    <w:rsid w:val="00AE5632"/>
    <w:rsid w:val="00AF1FB9"/>
    <w:rsid w:val="00AF74C9"/>
    <w:rsid w:val="00AF7FF2"/>
    <w:rsid w:val="00B0599A"/>
    <w:rsid w:val="00B1190A"/>
    <w:rsid w:val="00B11AD7"/>
    <w:rsid w:val="00B130AF"/>
    <w:rsid w:val="00B17DD0"/>
    <w:rsid w:val="00B17F34"/>
    <w:rsid w:val="00B2014D"/>
    <w:rsid w:val="00B25104"/>
    <w:rsid w:val="00B4022A"/>
    <w:rsid w:val="00B47836"/>
    <w:rsid w:val="00B55E44"/>
    <w:rsid w:val="00B605F4"/>
    <w:rsid w:val="00B618A1"/>
    <w:rsid w:val="00B64991"/>
    <w:rsid w:val="00B7683A"/>
    <w:rsid w:val="00B80AB2"/>
    <w:rsid w:val="00B812CA"/>
    <w:rsid w:val="00B8208F"/>
    <w:rsid w:val="00B82D53"/>
    <w:rsid w:val="00B85045"/>
    <w:rsid w:val="00B97F15"/>
    <w:rsid w:val="00BA296B"/>
    <w:rsid w:val="00BB32BB"/>
    <w:rsid w:val="00BB3E8A"/>
    <w:rsid w:val="00BB4129"/>
    <w:rsid w:val="00BB47DD"/>
    <w:rsid w:val="00BC2004"/>
    <w:rsid w:val="00BC2EA7"/>
    <w:rsid w:val="00BC676E"/>
    <w:rsid w:val="00BC76E0"/>
    <w:rsid w:val="00BD17D9"/>
    <w:rsid w:val="00BF0BF2"/>
    <w:rsid w:val="00BF1729"/>
    <w:rsid w:val="00BF3FD9"/>
    <w:rsid w:val="00BF7F57"/>
    <w:rsid w:val="00C012ED"/>
    <w:rsid w:val="00C067C0"/>
    <w:rsid w:val="00C07103"/>
    <w:rsid w:val="00C10A55"/>
    <w:rsid w:val="00C112F9"/>
    <w:rsid w:val="00C21C40"/>
    <w:rsid w:val="00C21F0C"/>
    <w:rsid w:val="00C23442"/>
    <w:rsid w:val="00C243B8"/>
    <w:rsid w:val="00C25DE9"/>
    <w:rsid w:val="00C26280"/>
    <w:rsid w:val="00C27EC8"/>
    <w:rsid w:val="00C323F5"/>
    <w:rsid w:val="00C40468"/>
    <w:rsid w:val="00C46B3E"/>
    <w:rsid w:val="00C47C90"/>
    <w:rsid w:val="00C5388B"/>
    <w:rsid w:val="00C55F6E"/>
    <w:rsid w:val="00C61080"/>
    <w:rsid w:val="00C70413"/>
    <w:rsid w:val="00C7162D"/>
    <w:rsid w:val="00C74DAB"/>
    <w:rsid w:val="00C77F28"/>
    <w:rsid w:val="00C836C3"/>
    <w:rsid w:val="00C83DA3"/>
    <w:rsid w:val="00C949F2"/>
    <w:rsid w:val="00C97B63"/>
    <w:rsid w:val="00CA661A"/>
    <w:rsid w:val="00CA773E"/>
    <w:rsid w:val="00CB2AEA"/>
    <w:rsid w:val="00CB2EC0"/>
    <w:rsid w:val="00CC2A67"/>
    <w:rsid w:val="00CC4843"/>
    <w:rsid w:val="00CD2290"/>
    <w:rsid w:val="00CD7EBB"/>
    <w:rsid w:val="00CE06FA"/>
    <w:rsid w:val="00CE592D"/>
    <w:rsid w:val="00CF352A"/>
    <w:rsid w:val="00CF5C71"/>
    <w:rsid w:val="00D035BB"/>
    <w:rsid w:val="00D135F2"/>
    <w:rsid w:val="00D20EF3"/>
    <w:rsid w:val="00D2160A"/>
    <w:rsid w:val="00D21BCD"/>
    <w:rsid w:val="00D21FE7"/>
    <w:rsid w:val="00D2276C"/>
    <w:rsid w:val="00D22D0C"/>
    <w:rsid w:val="00D2667A"/>
    <w:rsid w:val="00D322C9"/>
    <w:rsid w:val="00D326B0"/>
    <w:rsid w:val="00D373E9"/>
    <w:rsid w:val="00D40119"/>
    <w:rsid w:val="00D4112B"/>
    <w:rsid w:val="00D429EE"/>
    <w:rsid w:val="00D455B9"/>
    <w:rsid w:val="00D46DA0"/>
    <w:rsid w:val="00D50185"/>
    <w:rsid w:val="00D50C2C"/>
    <w:rsid w:val="00D50CB1"/>
    <w:rsid w:val="00D52647"/>
    <w:rsid w:val="00D52719"/>
    <w:rsid w:val="00D5520D"/>
    <w:rsid w:val="00D55A5E"/>
    <w:rsid w:val="00D6374D"/>
    <w:rsid w:val="00D64364"/>
    <w:rsid w:val="00D6532E"/>
    <w:rsid w:val="00D65633"/>
    <w:rsid w:val="00D70884"/>
    <w:rsid w:val="00D70C78"/>
    <w:rsid w:val="00D70F17"/>
    <w:rsid w:val="00D71A81"/>
    <w:rsid w:val="00D74AA1"/>
    <w:rsid w:val="00D8296E"/>
    <w:rsid w:val="00D830EE"/>
    <w:rsid w:val="00D86953"/>
    <w:rsid w:val="00D8742F"/>
    <w:rsid w:val="00D8762B"/>
    <w:rsid w:val="00D948E8"/>
    <w:rsid w:val="00DA471D"/>
    <w:rsid w:val="00DC2FBE"/>
    <w:rsid w:val="00DC645E"/>
    <w:rsid w:val="00DC7E56"/>
    <w:rsid w:val="00DD20F6"/>
    <w:rsid w:val="00DD5A4C"/>
    <w:rsid w:val="00DD693A"/>
    <w:rsid w:val="00DE6C74"/>
    <w:rsid w:val="00DF169E"/>
    <w:rsid w:val="00DF6D1B"/>
    <w:rsid w:val="00DF777E"/>
    <w:rsid w:val="00E00FBC"/>
    <w:rsid w:val="00E107A2"/>
    <w:rsid w:val="00E11CB3"/>
    <w:rsid w:val="00E13C47"/>
    <w:rsid w:val="00E13DE7"/>
    <w:rsid w:val="00E16516"/>
    <w:rsid w:val="00E2123D"/>
    <w:rsid w:val="00E217F9"/>
    <w:rsid w:val="00E21EBE"/>
    <w:rsid w:val="00E2314A"/>
    <w:rsid w:val="00E250D1"/>
    <w:rsid w:val="00E27CE8"/>
    <w:rsid w:val="00E34D9A"/>
    <w:rsid w:val="00E35213"/>
    <w:rsid w:val="00E359F3"/>
    <w:rsid w:val="00E36648"/>
    <w:rsid w:val="00E36FBC"/>
    <w:rsid w:val="00E4086C"/>
    <w:rsid w:val="00E434B8"/>
    <w:rsid w:val="00E52C48"/>
    <w:rsid w:val="00E56825"/>
    <w:rsid w:val="00E57AB3"/>
    <w:rsid w:val="00E61E9A"/>
    <w:rsid w:val="00E62D5B"/>
    <w:rsid w:val="00E63AA9"/>
    <w:rsid w:val="00E669E4"/>
    <w:rsid w:val="00E6793D"/>
    <w:rsid w:val="00E72DE0"/>
    <w:rsid w:val="00E73D1B"/>
    <w:rsid w:val="00E83E5E"/>
    <w:rsid w:val="00E9378E"/>
    <w:rsid w:val="00E940A2"/>
    <w:rsid w:val="00E94A04"/>
    <w:rsid w:val="00E9543F"/>
    <w:rsid w:val="00E976BF"/>
    <w:rsid w:val="00EA08B6"/>
    <w:rsid w:val="00EA270F"/>
    <w:rsid w:val="00EA5289"/>
    <w:rsid w:val="00EA64E2"/>
    <w:rsid w:val="00EB0ED5"/>
    <w:rsid w:val="00EB2BE1"/>
    <w:rsid w:val="00EB57C3"/>
    <w:rsid w:val="00EC214C"/>
    <w:rsid w:val="00EC7E14"/>
    <w:rsid w:val="00ED04A6"/>
    <w:rsid w:val="00ED3DAF"/>
    <w:rsid w:val="00ED40CD"/>
    <w:rsid w:val="00ED712E"/>
    <w:rsid w:val="00ED745D"/>
    <w:rsid w:val="00EE362F"/>
    <w:rsid w:val="00EE51A0"/>
    <w:rsid w:val="00EF60B8"/>
    <w:rsid w:val="00F04600"/>
    <w:rsid w:val="00F046C2"/>
    <w:rsid w:val="00F07297"/>
    <w:rsid w:val="00F1121F"/>
    <w:rsid w:val="00F1529A"/>
    <w:rsid w:val="00F15344"/>
    <w:rsid w:val="00F1608D"/>
    <w:rsid w:val="00F1613C"/>
    <w:rsid w:val="00F17F82"/>
    <w:rsid w:val="00F240C9"/>
    <w:rsid w:val="00F30A68"/>
    <w:rsid w:val="00F311BF"/>
    <w:rsid w:val="00F35068"/>
    <w:rsid w:val="00F357C6"/>
    <w:rsid w:val="00F40279"/>
    <w:rsid w:val="00F40AC6"/>
    <w:rsid w:val="00F4278B"/>
    <w:rsid w:val="00F43ACA"/>
    <w:rsid w:val="00F44A52"/>
    <w:rsid w:val="00F47B80"/>
    <w:rsid w:val="00F5022E"/>
    <w:rsid w:val="00F52CC5"/>
    <w:rsid w:val="00F5632A"/>
    <w:rsid w:val="00F63F20"/>
    <w:rsid w:val="00F672DB"/>
    <w:rsid w:val="00F73895"/>
    <w:rsid w:val="00F749F6"/>
    <w:rsid w:val="00F84324"/>
    <w:rsid w:val="00FA419A"/>
    <w:rsid w:val="00FB1B4D"/>
    <w:rsid w:val="00FB391C"/>
    <w:rsid w:val="00FB4A54"/>
    <w:rsid w:val="00FB797E"/>
    <w:rsid w:val="00FD0138"/>
    <w:rsid w:val="00FD52B8"/>
    <w:rsid w:val="00FD7621"/>
    <w:rsid w:val="00FE10DC"/>
    <w:rsid w:val="00FE11D1"/>
    <w:rsid w:val="00FE3C09"/>
    <w:rsid w:val="00FE5799"/>
    <w:rsid w:val="00FE5C91"/>
    <w:rsid w:val="00FE6C5B"/>
    <w:rsid w:val="00FE7680"/>
    <w:rsid w:val="00FF0435"/>
    <w:rsid w:val="00FF351C"/>
    <w:rsid w:val="00FF4B29"/>
    <w:rsid w:val="00FF566F"/>
    <w:rsid w:val="00FF76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4B8CFA"/>
  <w15:docId w15:val="{335889B7-FC50-4E2F-9FA5-3E25A8D1D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45D"/>
  </w:style>
  <w:style w:type="paragraph" w:styleId="Heading1">
    <w:name w:val="heading 1"/>
    <w:basedOn w:val="Normal"/>
    <w:link w:val="Heading1Char"/>
    <w:uiPriority w:val="1"/>
    <w:qFormat/>
    <w:rsid w:val="00DE6C74"/>
    <w:pPr>
      <w:widowControl w:val="0"/>
      <w:autoSpaceDE w:val="0"/>
      <w:autoSpaceDN w:val="0"/>
      <w:spacing w:after="0" w:line="240" w:lineRule="auto"/>
      <w:ind w:left="115"/>
      <w:outlineLvl w:val="0"/>
    </w:pPr>
    <w:rPr>
      <w:rFonts w:ascii="Arial" w:eastAsia="Arial" w:hAnsi="Arial" w:cs="Arial"/>
      <w:b/>
      <w:bCs/>
      <w:sz w:val="24"/>
      <w:szCs w:val="24"/>
      <w:lang w:val="en-US"/>
    </w:rPr>
  </w:style>
  <w:style w:type="paragraph" w:styleId="Heading2">
    <w:name w:val="heading 2"/>
    <w:basedOn w:val="Normal"/>
    <w:link w:val="Heading2Char"/>
    <w:uiPriority w:val="9"/>
    <w:unhideWhenUsed/>
    <w:qFormat/>
    <w:rsid w:val="00DE6C74"/>
    <w:pPr>
      <w:widowControl w:val="0"/>
      <w:autoSpaceDE w:val="0"/>
      <w:autoSpaceDN w:val="0"/>
      <w:spacing w:after="0" w:line="240" w:lineRule="auto"/>
      <w:ind w:left="115"/>
      <w:outlineLvl w:val="1"/>
    </w:pPr>
    <w:rPr>
      <w:rFonts w:ascii="Arial" w:eastAsia="Arial" w:hAnsi="Arial" w:cs="Arial"/>
      <w:b/>
      <w:bCs/>
      <w:i/>
      <w:sz w:val="24"/>
      <w:szCs w:val="24"/>
      <w:u w:val="single" w:color="000000"/>
      <w:lang w:val="en-US"/>
    </w:rPr>
  </w:style>
  <w:style w:type="paragraph" w:styleId="Heading3">
    <w:name w:val="heading 3"/>
    <w:basedOn w:val="Normal"/>
    <w:next w:val="Normal"/>
    <w:link w:val="Heading3Char"/>
    <w:uiPriority w:val="9"/>
    <w:unhideWhenUsed/>
    <w:qFormat/>
    <w:rsid w:val="00E107A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107A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
    <w:qFormat/>
    <w:rsid w:val="00F672DB"/>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unhideWhenUsed/>
    <w:qFormat/>
    <w:rsid w:val="0069177C"/>
    <w:pPr>
      <w:keepNext/>
      <w:keepLines/>
      <w:spacing w:before="40" w:after="0"/>
      <w:ind w:left="3600"/>
      <w:outlineLvl w:val="5"/>
    </w:pPr>
    <w:rPr>
      <w:rFonts w:asciiTheme="majorHAnsi" w:eastAsiaTheme="majorEastAsia" w:hAnsiTheme="majorHAnsi" w:cstheme="majorBidi"/>
      <w:color w:val="1F4D78" w:themeColor="accent1" w:themeShade="7F"/>
      <w:lang w:val="en-GB"/>
    </w:rPr>
  </w:style>
  <w:style w:type="paragraph" w:styleId="Heading7">
    <w:name w:val="heading 7"/>
    <w:basedOn w:val="Normal"/>
    <w:next w:val="Normal"/>
    <w:link w:val="Heading7Char"/>
    <w:uiPriority w:val="9"/>
    <w:semiHidden/>
    <w:unhideWhenUsed/>
    <w:qFormat/>
    <w:rsid w:val="0069177C"/>
    <w:pPr>
      <w:keepNext/>
      <w:keepLines/>
      <w:spacing w:before="40" w:after="0"/>
      <w:ind w:left="4320"/>
      <w:outlineLvl w:val="6"/>
    </w:pPr>
    <w:rPr>
      <w:rFonts w:asciiTheme="majorHAnsi" w:eastAsiaTheme="majorEastAsia" w:hAnsiTheme="majorHAnsi" w:cstheme="majorBidi"/>
      <w:i/>
      <w:iCs/>
      <w:color w:val="1F4D78" w:themeColor="accent1" w:themeShade="7F"/>
      <w:lang w:val="en-GB"/>
    </w:rPr>
  </w:style>
  <w:style w:type="paragraph" w:styleId="Heading8">
    <w:name w:val="heading 8"/>
    <w:basedOn w:val="Normal"/>
    <w:next w:val="Normal"/>
    <w:link w:val="Heading8Char"/>
    <w:uiPriority w:val="9"/>
    <w:semiHidden/>
    <w:unhideWhenUsed/>
    <w:qFormat/>
    <w:rsid w:val="0069177C"/>
    <w:pPr>
      <w:keepNext/>
      <w:keepLines/>
      <w:spacing w:before="40" w:after="0"/>
      <w:ind w:left="50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69177C"/>
    <w:pPr>
      <w:keepNext/>
      <w:keepLines/>
      <w:spacing w:before="40" w:after="0"/>
      <w:ind w:left="5760"/>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E6C7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ro-RO"/>
    </w:rPr>
  </w:style>
  <w:style w:type="paragraph" w:styleId="ListParagraph">
    <w:name w:val="List Paragraph"/>
    <w:link w:val="ListParagraphChar"/>
    <w:uiPriority w:val="34"/>
    <w:qFormat/>
    <w:rsid w:val="00DE6C74"/>
    <w:pPr>
      <w:pBdr>
        <w:top w:val="nil"/>
        <w:left w:val="nil"/>
        <w:bottom w:val="nil"/>
        <w:right w:val="nil"/>
        <w:between w:val="nil"/>
        <w:bar w:val="nil"/>
      </w:pBdr>
      <w:spacing w:after="0" w:line="240" w:lineRule="auto"/>
      <w:ind w:left="720"/>
    </w:pPr>
    <w:rPr>
      <w:rFonts w:ascii="Times New Roman" w:eastAsia="Times New Roman" w:hAnsi="Times New Roman" w:cs="Times New Roman"/>
      <w:color w:val="000000"/>
      <w:sz w:val="24"/>
      <w:szCs w:val="24"/>
      <w:u w:color="000000"/>
      <w:bdr w:val="nil"/>
      <w:lang w:eastAsia="ro-RO"/>
    </w:rPr>
  </w:style>
  <w:style w:type="table" w:styleId="TableGrid">
    <w:name w:val="Table Grid"/>
    <w:basedOn w:val="TableNormal"/>
    <w:uiPriority w:val="39"/>
    <w:rsid w:val="00DE6C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DE6C74"/>
    <w:rPr>
      <w:rFonts w:ascii="Arial" w:eastAsia="Arial" w:hAnsi="Arial" w:cs="Arial"/>
      <w:b/>
      <w:bCs/>
      <w:sz w:val="24"/>
      <w:szCs w:val="24"/>
      <w:lang w:val="en-US"/>
    </w:rPr>
  </w:style>
  <w:style w:type="character" w:customStyle="1" w:styleId="Heading2Char">
    <w:name w:val="Heading 2 Char"/>
    <w:basedOn w:val="DefaultParagraphFont"/>
    <w:link w:val="Heading2"/>
    <w:uiPriority w:val="9"/>
    <w:rsid w:val="00DE6C74"/>
    <w:rPr>
      <w:rFonts w:ascii="Arial" w:eastAsia="Arial" w:hAnsi="Arial" w:cs="Arial"/>
      <w:b/>
      <w:bCs/>
      <w:i/>
      <w:sz w:val="24"/>
      <w:szCs w:val="24"/>
      <w:u w:val="single" w:color="000000"/>
      <w:lang w:val="en-US"/>
    </w:rPr>
  </w:style>
  <w:style w:type="paragraph" w:styleId="BodyText">
    <w:name w:val="Body Text"/>
    <w:basedOn w:val="Normal"/>
    <w:link w:val="BodyTextChar"/>
    <w:uiPriority w:val="1"/>
    <w:qFormat/>
    <w:rsid w:val="00DE6C74"/>
    <w:pPr>
      <w:widowControl w:val="0"/>
      <w:autoSpaceDE w:val="0"/>
      <w:autoSpaceDN w:val="0"/>
      <w:spacing w:after="0" w:line="240" w:lineRule="auto"/>
      <w:ind w:left="836" w:hanging="360"/>
      <w:jc w:val="both"/>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DE6C74"/>
    <w:rPr>
      <w:rFonts w:ascii="Arial" w:eastAsia="Arial" w:hAnsi="Arial" w:cs="Arial"/>
      <w:sz w:val="24"/>
      <w:szCs w:val="24"/>
      <w:lang w:val="en-US"/>
    </w:rPr>
  </w:style>
  <w:style w:type="numbering" w:customStyle="1" w:styleId="ImportedStyle78">
    <w:name w:val="Imported Style 78"/>
    <w:rsid w:val="00F40279"/>
    <w:pPr>
      <w:numPr>
        <w:numId w:val="1"/>
      </w:numPr>
    </w:pPr>
  </w:style>
  <w:style w:type="numbering" w:customStyle="1" w:styleId="ImportedStyle780">
    <w:name w:val="Imported Style 78.0"/>
    <w:rsid w:val="00F40279"/>
    <w:pPr>
      <w:numPr>
        <w:numId w:val="2"/>
      </w:numPr>
    </w:pPr>
  </w:style>
  <w:style w:type="numbering" w:customStyle="1" w:styleId="ImportedStyle80">
    <w:name w:val="Imported Style 80"/>
    <w:rsid w:val="00F40279"/>
    <w:pPr>
      <w:numPr>
        <w:numId w:val="3"/>
      </w:numPr>
    </w:pPr>
  </w:style>
  <w:style w:type="numbering" w:customStyle="1" w:styleId="ImportedStyle82">
    <w:name w:val="Imported Style 82"/>
    <w:rsid w:val="00F40279"/>
  </w:style>
  <w:style w:type="numbering" w:customStyle="1" w:styleId="ImportedStyle83">
    <w:name w:val="Imported Style 83"/>
    <w:rsid w:val="00F40279"/>
  </w:style>
  <w:style w:type="numbering" w:customStyle="1" w:styleId="ImportedStyle114">
    <w:name w:val="Imported Style 114"/>
    <w:rsid w:val="00F40279"/>
  </w:style>
  <w:style w:type="numbering" w:customStyle="1" w:styleId="ImportedStyle115">
    <w:name w:val="Imported Style 115"/>
    <w:rsid w:val="00F40279"/>
  </w:style>
  <w:style w:type="numbering" w:customStyle="1" w:styleId="ImportedStyle116">
    <w:name w:val="Imported Style 116"/>
    <w:rsid w:val="00F40279"/>
  </w:style>
  <w:style w:type="paragraph" w:customStyle="1" w:styleId="Default">
    <w:name w:val="Default"/>
    <w:rsid w:val="00335DB6"/>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ED04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4A6"/>
  </w:style>
  <w:style w:type="paragraph" w:styleId="Footer">
    <w:name w:val="footer"/>
    <w:basedOn w:val="Normal"/>
    <w:link w:val="FooterChar"/>
    <w:uiPriority w:val="99"/>
    <w:unhideWhenUsed/>
    <w:rsid w:val="00ED04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4A6"/>
  </w:style>
  <w:style w:type="table" w:customStyle="1" w:styleId="TableNormal1">
    <w:name w:val="Table Normal1"/>
    <w:uiPriority w:val="2"/>
    <w:qFormat/>
    <w:rsid w:val="00422150"/>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paragraph" w:customStyle="1" w:styleId="msonospacing0">
    <w:name w:val="msonospacing"/>
    <w:uiPriority w:val="99"/>
    <w:rsid w:val="00542889"/>
    <w:pPr>
      <w:spacing w:after="0" w:line="240" w:lineRule="auto"/>
    </w:pPr>
    <w:rPr>
      <w:rFonts w:ascii="Calibri" w:eastAsia="MS Mincho" w:hAnsi="Calibri" w:cs="Times New Roman"/>
    </w:rPr>
  </w:style>
  <w:style w:type="paragraph" w:customStyle="1" w:styleId="Normal1">
    <w:name w:val="Normal1"/>
    <w:rsid w:val="00E669E4"/>
    <w:pPr>
      <w:spacing w:after="0" w:line="240" w:lineRule="auto"/>
    </w:pPr>
    <w:rPr>
      <w:rFonts w:ascii="Times New Roman" w:eastAsia="Times New Roman" w:hAnsi="Times New Roman" w:cs="Times New Roman"/>
      <w:color w:val="000000"/>
      <w:sz w:val="24"/>
      <w:szCs w:val="24"/>
      <w:lang w:eastAsia="ro-RO"/>
    </w:rPr>
  </w:style>
  <w:style w:type="paragraph" w:styleId="BalloonText">
    <w:name w:val="Balloon Text"/>
    <w:basedOn w:val="Normal"/>
    <w:link w:val="BalloonTextChar"/>
    <w:semiHidden/>
    <w:unhideWhenUsed/>
    <w:rsid w:val="008409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84092D"/>
    <w:rPr>
      <w:rFonts w:ascii="Segoe UI" w:hAnsi="Segoe UI" w:cs="Segoe UI"/>
      <w:sz w:val="18"/>
      <w:szCs w:val="18"/>
    </w:rPr>
  </w:style>
  <w:style w:type="paragraph" w:styleId="DocumentMap">
    <w:name w:val="Document Map"/>
    <w:basedOn w:val="Normal"/>
    <w:link w:val="DocumentMapChar"/>
    <w:uiPriority w:val="99"/>
    <w:semiHidden/>
    <w:unhideWhenUsed/>
    <w:rsid w:val="00C071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7103"/>
    <w:rPr>
      <w:rFonts w:ascii="Tahoma" w:hAnsi="Tahoma" w:cs="Tahoma"/>
      <w:sz w:val="16"/>
      <w:szCs w:val="16"/>
    </w:rPr>
  </w:style>
  <w:style w:type="character" w:styleId="Hyperlink">
    <w:name w:val="Hyperlink"/>
    <w:basedOn w:val="DefaultParagraphFont"/>
    <w:uiPriority w:val="99"/>
    <w:unhideWhenUsed/>
    <w:rsid w:val="006C0239"/>
    <w:rPr>
      <w:color w:val="0000FF"/>
      <w:u w:val="single"/>
    </w:rPr>
  </w:style>
  <w:style w:type="paragraph" w:styleId="NoSpacing">
    <w:name w:val="No Spacing"/>
    <w:link w:val="NoSpacingChar"/>
    <w:uiPriority w:val="1"/>
    <w:qFormat/>
    <w:rsid w:val="00955887"/>
    <w:pPr>
      <w:spacing w:after="0" w:line="240" w:lineRule="auto"/>
    </w:pPr>
    <w:rPr>
      <w:rFonts w:ascii="Calibri" w:eastAsia="Calibri" w:hAnsi="Calibri" w:cs="Times New Roman"/>
    </w:rPr>
  </w:style>
  <w:style w:type="paragraph" w:customStyle="1" w:styleId="ListParagraph1">
    <w:name w:val="List Paragraph1"/>
    <w:basedOn w:val="Normal"/>
    <w:rsid w:val="00CF5C71"/>
    <w:pPr>
      <w:ind w:left="720"/>
    </w:pPr>
    <w:rPr>
      <w:rFonts w:ascii="Calibri" w:eastAsia="Times New Roman" w:hAnsi="Calibri" w:cs="Times New Roman"/>
    </w:rPr>
  </w:style>
  <w:style w:type="character" w:styleId="PageNumber">
    <w:name w:val="page number"/>
    <w:basedOn w:val="DefaultParagraphFont"/>
    <w:rsid w:val="00CF5C71"/>
  </w:style>
  <w:style w:type="character" w:customStyle="1" w:styleId="pg-17">
    <w:name w:val="_ pg-1_7"/>
    <w:uiPriority w:val="99"/>
    <w:qFormat/>
    <w:rsid w:val="00BC76E0"/>
    <w:rPr>
      <w:rFonts w:cs="Times New Roman"/>
    </w:rPr>
  </w:style>
  <w:style w:type="character" w:customStyle="1" w:styleId="pg-18">
    <w:name w:val="_ pg-1_8"/>
    <w:uiPriority w:val="99"/>
    <w:qFormat/>
    <w:rsid w:val="00BC76E0"/>
    <w:rPr>
      <w:rFonts w:cs="Times New Roman"/>
    </w:rPr>
  </w:style>
  <w:style w:type="paragraph" w:customStyle="1" w:styleId="TableParagraph">
    <w:name w:val="Table Paragraph"/>
    <w:basedOn w:val="Normal"/>
    <w:uiPriority w:val="1"/>
    <w:qFormat/>
    <w:rsid w:val="000947AB"/>
    <w:pPr>
      <w:widowControl w:val="0"/>
      <w:autoSpaceDE w:val="0"/>
      <w:autoSpaceDN w:val="0"/>
      <w:spacing w:after="0" w:line="240" w:lineRule="auto"/>
      <w:ind w:left="107"/>
    </w:pPr>
    <w:rPr>
      <w:rFonts w:ascii="Times New Roman" w:eastAsia="Times New Roman" w:hAnsi="Times New Roman" w:cs="Times New Roman"/>
      <w:lang w:eastAsia="ro-RO" w:bidi="ro-RO"/>
    </w:rPr>
  </w:style>
  <w:style w:type="paragraph" w:customStyle="1" w:styleId="GlobalBayerBodyText">
    <w:name w:val="Global Bayer Body Text"/>
    <w:basedOn w:val="Normal"/>
    <w:link w:val="GlobalBayerBodyTextChar"/>
    <w:rsid w:val="00194979"/>
    <w:pPr>
      <w:tabs>
        <w:tab w:val="left" w:pos="11174"/>
        <w:tab w:val="left" w:pos="15142"/>
      </w:tabs>
      <w:suppressAutoHyphens/>
      <w:spacing w:before="120" w:after="240" w:line="240" w:lineRule="auto"/>
    </w:pPr>
    <w:rPr>
      <w:rFonts w:ascii="Arial" w:eastAsia="Times New Roman" w:hAnsi="Arial" w:cs="Times New Roman"/>
      <w:sz w:val="20"/>
      <w:szCs w:val="20"/>
      <w:lang w:eastAsia="ro-RO"/>
    </w:rPr>
  </w:style>
  <w:style w:type="character" w:customStyle="1" w:styleId="GlobalBayerBodyTextChar">
    <w:name w:val="Global Bayer Body Text Char"/>
    <w:link w:val="GlobalBayerBodyText"/>
    <w:rsid w:val="00194979"/>
    <w:rPr>
      <w:rFonts w:ascii="Arial" w:eastAsia="Times New Roman" w:hAnsi="Arial" w:cs="Times New Roman"/>
      <w:sz w:val="20"/>
      <w:szCs w:val="20"/>
      <w:lang w:eastAsia="ro-RO"/>
    </w:rPr>
  </w:style>
  <w:style w:type="character" w:customStyle="1" w:styleId="Heading3Char">
    <w:name w:val="Heading 3 Char"/>
    <w:basedOn w:val="DefaultParagraphFont"/>
    <w:link w:val="Heading3"/>
    <w:uiPriority w:val="9"/>
    <w:rsid w:val="00E107A2"/>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107A2"/>
    <w:rPr>
      <w:rFonts w:asciiTheme="majorHAnsi" w:eastAsiaTheme="majorEastAsia" w:hAnsiTheme="majorHAnsi" w:cstheme="majorBidi"/>
      <w:i/>
      <w:iCs/>
      <w:color w:val="2E74B5" w:themeColor="accent1" w:themeShade="BF"/>
    </w:rPr>
  </w:style>
  <w:style w:type="character" w:customStyle="1" w:styleId="NoSpacingChar">
    <w:name w:val="No Spacing Char"/>
    <w:basedOn w:val="DefaultParagraphFont"/>
    <w:link w:val="NoSpacing"/>
    <w:uiPriority w:val="1"/>
    <w:rsid w:val="00E107A2"/>
    <w:rPr>
      <w:rFonts w:ascii="Calibri" w:eastAsia="Calibri" w:hAnsi="Calibri" w:cs="Times New Roman"/>
    </w:rPr>
  </w:style>
  <w:style w:type="paragraph" w:styleId="NormalWeb">
    <w:name w:val="Normal (Web)"/>
    <w:basedOn w:val="Normal"/>
    <w:uiPriority w:val="99"/>
    <w:unhideWhenUsed/>
    <w:rsid w:val="00F357C6"/>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rvts8">
    <w:name w:val="rvts8"/>
    <w:basedOn w:val="DefaultParagraphFont"/>
    <w:rsid w:val="00F357C6"/>
  </w:style>
  <w:style w:type="character" w:customStyle="1" w:styleId="rvts12">
    <w:name w:val="rvts12"/>
    <w:basedOn w:val="DefaultParagraphFont"/>
    <w:rsid w:val="00F357C6"/>
  </w:style>
  <w:style w:type="character" w:customStyle="1" w:styleId="rvts3">
    <w:name w:val="rvts3"/>
    <w:basedOn w:val="DefaultParagraphFont"/>
    <w:rsid w:val="00F357C6"/>
  </w:style>
  <w:style w:type="numbering" w:customStyle="1" w:styleId="ImportedStyle1">
    <w:name w:val="Imported Style 1"/>
    <w:rsid w:val="005206F8"/>
  </w:style>
  <w:style w:type="numbering" w:customStyle="1" w:styleId="ImportedStyle2">
    <w:name w:val="Imported Style 2"/>
    <w:rsid w:val="005206F8"/>
  </w:style>
  <w:style w:type="numbering" w:customStyle="1" w:styleId="ImportedStyle3">
    <w:name w:val="Imported Style 3"/>
    <w:rsid w:val="005206F8"/>
  </w:style>
  <w:style w:type="table" w:customStyle="1" w:styleId="TableGrid1">
    <w:name w:val="Table Grid1"/>
    <w:basedOn w:val="TableNormal"/>
    <w:next w:val="TableGrid"/>
    <w:uiPriority w:val="39"/>
    <w:rsid w:val="003F5C10"/>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F5C10"/>
    <w:pPr>
      <w:spacing w:after="0" w:line="240" w:lineRule="auto"/>
    </w:pPr>
    <w:rPr>
      <w:sz w:val="20"/>
      <w:szCs w:val="20"/>
    </w:rPr>
  </w:style>
  <w:style w:type="character" w:customStyle="1" w:styleId="FootnoteTextChar">
    <w:name w:val="Footnote Text Char"/>
    <w:basedOn w:val="DefaultParagraphFont"/>
    <w:link w:val="FootnoteText"/>
    <w:uiPriority w:val="99"/>
    <w:rsid w:val="003F5C10"/>
    <w:rPr>
      <w:sz w:val="20"/>
      <w:szCs w:val="20"/>
    </w:rPr>
  </w:style>
  <w:style w:type="character" w:styleId="FootnoteReference">
    <w:name w:val="footnote reference"/>
    <w:basedOn w:val="DefaultParagraphFont"/>
    <w:uiPriority w:val="99"/>
    <w:semiHidden/>
    <w:unhideWhenUsed/>
    <w:rsid w:val="003F5C10"/>
    <w:rPr>
      <w:vertAlign w:val="superscript"/>
    </w:rPr>
  </w:style>
  <w:style w:type="character" w:styleId="CommentReference">
    <w:name w:val="annotation reference"/>
    <w:basedOn w:val="DefaultParagraphFont"/>
    <w:uiPriority w:val="99"/>
    <w:unhideWhenUsed/>
    <w:rsid w:val="003F5C10"/>
    <w:rPr>
      <w:sz w:val="16"/>
      <w:szCs w:val="16"/>
    </w:rPr>
  </w:style>
  <w:style w:type="paragraph" w:styleId="CommentText">
    <w:name w:val="annotation text"/>
    <w:aliases w:val="Comment Text Char1 Char,Comment Text Char Char Char,Merknadstekst,Annotationtext,Kommentartext,Comment Text Char Char,Comment Text Char Char1"/>
    <w:basedOn w:val="Normal"/>
    <w:link w:val="CommentTextChar"/>
    <w:uiPriority w:val="99"/>
    <w:unhideWhenUsed/>
    <w:qFormat/>
    <w:rsid w:val="003F5C10"/>
    <w:pPr>
      <w:spacing w:line="240" w:lineRule="auto"/>
    </w:pPr>
    <w:rPr>
      <w:sz w:val="20"/>
      <w:szCs w:val="20"/>
    </w:rPr>
  </w:style>
  <w:style w:type="character" w:customStyle="1" w:styleId="CommentTextChar">
    <w:name w:val="Comment Text Char"/>
    <w:aliases w:val="Comment Text Char1 Char Char,Comment Text Char Char Char Char,Merknadstekst Char,Annotationtext Char,Kommentartext Char,Comment Text Char Char Char1,Comment Text Char Char1 Char"/>
    <w:basedOn w:val="DefaultParagraphFont"/>
    <w:link w:val="CommentText"/>
    <w:uiPriority w:val="99"/>
    <w:rsid w:val="003F5C10"/>
    <w:rPr>
      <w:sz w:val="20"/>
      <w:szCs w:val="20"/>
    </w:rPr>
  </w:style>
  <w:style w:type="paragraph" w:styleId="CommentSubject">
    <w:name w:val="annotation subject"/>
    <w:basedOn w:val="CommentText"/>
    <w:next w:val="CommentText"/>
    <w:link w:val="CommentSubjectChar"/>
    <w:uiPriority w:val="99"/>
    <w:unhideWhenUsed/>
    <w:rsid w:val="003F5C10"/>
    <w:rPr>
      <w:b/>
      <w:bCs/>
    </w:rPr>
  </w:style>
  <w:style w:type="character" w:customStyle="1" w:styleId="CommentSubjectChar">
    <w:name w:val="Comment Subject Char"/>
    <w:basedOn w:val="CommentTextChar"/>
    <w:link w:val="CommentSubject"/>
    <w:uiPriority w:val="99"/>
    <w:rsid w:val="003F5C10"/>
    <w:rPr>
      <w:b/>
      <w:bCs/>
      <w:sz w:val="20"/>
      <w:szCs w:val="20"/>
    </w:rPr>
  </w:style>
  <w:style w:type="paragraph" w:styleId="Revision">
    <w:name w:val="Revision"/>
    <w:hidden/>
    <w:uiPriority w:val="99"/>
    <w:semiHidden/>
    <w:rsid w:val="003F5C10"/>
    <w:pPr>
      <w:spacing w:after="0" w:line="240" w:lineRule="auto"/>
    </w:pPr>
  </w:style>
  <w:style w:type="numbering" w:customStyle="1" w:styleId="NoList1">
    <w:name w:val="No List1"/>
    <w:next w:val="NoList"/>
    <w:uiPriority w:val="99"/>
    <w:semiHidden/>
    <w:unhideWhenUsed/>
    <w:rsid w:val="00B4022A"/>
  </w:style>
  <w:style w:type="character" w:styleId="FollowedHyperlink">
    <w:name w:val="FollowedHyperlink"/>
    <w:uiPriority w:val="99"/>
    <w:unhideWhenUsed/>
    <w:rsid w:val="00B4022A"/>
    <w:rPr>
      <w:color w:val="800080"/>
      <w:u w:val="single"/>
    </w:rPr>
  </w:style>
  <w:style w:type="paragraph" w:customStyle="1" w:styleId="xl65">
    <w:name w:val="xl65"/>
    <w:basedOn w:val="Normal"/>
    <w:rsid w:val="00B4022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6">
    <w:name w:val="xl66"/>
    <w:basedOn w:val="Normal"/>
    <w:rsid w:val="00B402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67">
    <w:name w:val="xl67"/>
    <w:basedOn w:val="Normal"/>
    <w:rsid w:val="00B4022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2">
    <w:name w:val="Table Grid2"/>
    <w:basedOn w:val="TableNormal"/>
    <w:next w:val="TableGrid"/>
    <w:uiPriority w:val="39"/>
    <w:rsid w:val="00B4022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lumnHead">
    <w:name w:val="Table Column Head"/>
    <w:basedOn w:val="Normal"/>
    <w:next w:val="Normal"/>
    <w:qFormat/>
    <w:rsid w:val="00B4022A"/>
    <w:pPr>
      <w:keepNext/>
      <w:keepLines/>
      <w:widowControl w:val="0"/>
      <w:spacing w:before="40" w:after="20" w:line="240" w:lineRule="auto"/>
      <w:jc w:val="center"/>
    </w:pPr>
    <w:rPr>
      <w:rFonts w:ascii="Times New Roman" w:eastAsia="Times New Roman" w:hAnsi="Times New Roman" w:cs="Times New Roman"/>
      <w:b/>
      <w:sz w:val="20"/>
      <w:szCs w:val="20"/>
    </w:rPr>
  </w:style>
  <w:style w:type="paragraph" w:styleId="HTMLPreformatted">
    <w:name w:val="HTML Preformatted"/>
    <w:basedOn w:val="Normal"/>
    <w:link w:val="HTMLPreformattedChar"/>
    <w:uiPriority w:val="99"/>
    <w:rsid w:val="00B4022A"/>
    <w:pPr>
      <w:tabs>
        <w:tab w:val="left" w:pos="567"/>
      </w:tabs>
      <w:spacing w:after="0" w:line="260" w:lineRule="exact"/>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uiPriority w:val="99"/>
    <w:rsid w:val="00B4022A"/>
    <w:rPr>
      <w:rFonts w:ascii="Courier New" w:eastAsia="Times New Roman" w:hAnsi="Courier New" w:cs="Courier New"/>
      <w:sz w:val="20"/>
      <w:szCs w:val="20"/>
      <w:lang w:val="en-GB"/>
    </w:rPr>
  </w:style>
  <w:style w:type="character" w:customStyle="1" w:styleId="TextChar1">
    <w:name w:val="Text Char1"/>
    <w:link w:val="Text"/>
    <w:locked/>
    <w:rsid w:val="00B4022A"/>
    <w:rPr>
      <w:sz w:val="24"/>
    </w:rPr>
  </w:style>
  <w:style w:type="paragraph" w:customStyle="1" w:styleId="Text">
    <w:name w:val="Text"/>
    <w:aliases w:val="Graphic,Graphic Char Char,Graphic Char Char Char Char Char,Graphic Char Char Char Char Char Char Char C,notic,Text_10394,non tochic"/>
    <w:basedOn w:val="Normal"/>
    <w:link w:val="TextChar1"/>
    <w:qFormat/>
    <w:rsid w:val="00B4022A"/>
    <w:pPr>
      <w:spacing w:before="120" w:after="0" w:line="240" w:lineRule="auto"/>
      <w:jc w:val="both"/>
    </w:pPr>
    <w:rPr>
      <w:sz w:val="24"/>
    </w:rPr>
  </w:style>
  <w:style w:type="numbering" w:customStyle="1" w:styleId="NoList2">
    <w:name w:val="No List2"/>
    <w:next w:val="NoList"/>
    <w:uiPriority w:val="99"/>
    <w:semiHidden/>
    <w:unhideWhenUsed/>
    <w:rsid w:val="000F3041"/>
  </w:style>
  <w:style w:type="table" w:customStyle="1" w:styleId="TableGrid3">
    <w:name w:val="Table Grid3"/>
    <w:basedOn w:val="TableNormal"/>
    <w:next w:val="TableGrid"/>
    <w:uiPriority w:val="59"/>
    <w:rsid w:val="000F304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1263906970msonormal">
    <w:name w:val="yiv1263906970msonormal"/>
    <w:basedOn w:val="Normal"/>
    <w:rsid w:val="000F304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uiPriority w:val="99"/>
    <w:semiHidden/>
    <w:unhideWhenUsed/>
    <w:rsid w:val="000F3041"/>
    <w:rPr>
      <w:color w:val="605E5C"/>
      <w:shd w:val="clear" w:color="auto" w:fill="E1DFDD"/>
    </w:rPr>
  </w:style>
  <w:style w:type="numbering" w:customStyle="1" w:styleId="NoList11">
    <w:name w:val="No List11"/>
    <w:next w:val="NoList"/>
    <w:uiPriority w:val="99"/>
    <w:semiHidden/>
    <w:unhideWhenUsed/>
    <w:rsid w:val="000F3041"/>
  </w:style>
  <w:style w:type="numbering" w:customStyle="1" w:styleId="NoList111">
    <w:name w:val="No List111"/>
    <w:next w:val="NoList"/>
    <w:uiPriority w:val="99"/>
    <w:semiHidden/>
    <w:unhideWhenUsed/>
    <w:rsid w:val="000F3041"/>
  </w:style>
  <w:style w:type="table" w:customStyle="1" w:styleId="TableGrid11">
    <w:name w:val="Table Grid11"/>
    <w:basedOn w:val="TableNormal"/>
    <w:next w:val="TableGrid"/>
    <w:uiPriority w:val="59"/>
    <w:rsid w:val="000F3041"/>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iuneNerezolvat1">
    <w:name w:val="Mențiune Nerezolvat1"/>
    <w:uiPriority w:val="99"/>
    <w:semiHidden/>
    <w:unhideWhenUsed/>
    <w:rsid w:val="000F3041"/>
    <w:rPr>
      <w:color w:val="605E5C"/>
      <w:shd w:val="clear" w:color="auto" w:fill="E1DFDD"/>
    </w:rPr>
  </w:style>
  <w:style w:type="character" w:customStyle="1" w:styleId="rvts10">
    <w:name w:val="rvts10"/>
    <w:basedOn w:val="DefaultParagraphFont"/>
    <w:rsid w:val="00057C04"/>
  </w:style>
  <w:style w:type="numbering" w:customStyle="1" w:styleId="NoList3">
    <w:name w:val="No List3"/>
    <w:next w:val="NoList"/>
    <w:uiPriority w:val="99"/>
    <w:semiHidden/>
    <w:unhideWhenUsed/>
    <w:rsid w:val="00D52647"/>
  </w:style>
  <w:style w:type="paragraph" w:customStyle="1" w:styleId="Antetisubsol">
    <w:name w:val="Antet și subsol"/>
    <w:rsid w:val="00D52647"/>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en-US"/>
      <w14:textOutline w14:w="0" w14:cap="flat" w14:cmpd="sng" w14:algn="ctr">
        <w14:noFill/>
        <w14:prstDash w14:val="solid"/>
        <w14:bevel/>
      </w14:textOutline>
    </w:rPr>
  </w:style>
  <w:style w:type="paragraph" w:customStyle="1" w:styleId="CorpA">
    <w:name w:val="Corp A"/>
    <w:rsid w:val="00D52647"/>
    <w:pPr>
      <w:pBdr>
        <w:top w:val="nil"/>
        <w:left w:val="nil"/>
        <w:bottom w:val="nil"/>
        <w:right w:val="nil"/>
        <w:between w:val="nil"/>
        <w:bar w:val="nil"/>
      </w:pBdr>
    </w:pPr>
    <w:rPr>
      <w:rFonts w:ascii="Calibri" w:eastAsia="Arial Unicode MS" w:hAnsi="Calibri" w:cs="Arial Unicode MS"/>
      <w:color w:val="000000"/>
      <w:u w:color="000000"/>
      <w:bdr w:val="nil"/>
      <w:lang w:val="it-IT"/>
      <w14:textOutline w14:w="12700" w14:cap="flat" w14:cmpd="sng" w14:algn="ctr">
        <w14:noFill/>
        <w14:prstDash w14:val="solid"/>
        <w14:miter w14:lim="400000"/>
      </w14:textOutline>
    </w:rPr>
  </w:style>
  <w:style w:type="paragraph" w:customStyle="1" w:styleId="Implicit">
    <w:name w:val="Implicit"/>
    <w:rsid w:val="00D52647"/>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u w:color="000000"/>
      <w:bdr w:val="nil"/>
      <w:lang w:val="en-US"/>
      <w14:textOutline w14:w="12700" w14:cap="flat" w14:cmpd="sng" w14:algn="ctr">
        <w14:noFill/>
        <w14:prstDash w14:val="solid"/>
        <w14:miter w14:lim="400000"/>
      </w14:textOutline>
    </w:rPr>
  </w:style>
  <w:style w:type="numbering" w:customStyle="1" w:styleId="Stilimportat1">
    <w:name w:val="Stil importat 1"/>
    <w:rsid w:val="00D52647"/>
  </w:style>
  <w:style w:type="numbering" w:customStyle="1" w:styleId="Stilimportat2">
    <w:name w:val="Stil importat 2"/>
    <w:rsid w:val="00D52647"/>
  </w:style>
  <w:style w:type="numbering" w:customStyle="1" w:styleId="Stilimportat3">
    <w:name w:val="Stil importat 3"/>
    <w:rsid w:val="00D52647"/>
  </w:style>
  <w:style w:type="numbering" w:customStyle="1" w:styleId="Stilimportat4">
    <w:name w:val="Stil importat 4"/>
    <w:rsid w:val="00D52647"/>
  </w:style>
  <w:style w:type="numbering" w:customStyle="1" w:styleId="Stilimportat5">
    <w:name w:val="Stil importat 5"/>
    <w:rsid w:val="00D52647"/>
  </w:style>
  <w:style w:type="numbering" w:customStyle="1" w:styleId="Stilimportat6">
    <w:name w:val="Stil importat 6"/>
    <w:rsid w:val="00D52647"/>
  </w:style>
  <w:style w:type="numbering" w:customStyle="1" w:styleId="Stilimportat7">
    <w:name w:val="Stil importat 7"/>
    <w:rsid w:val="00D52647"/>
  </w:style>
  <w:style w:type="numbering" w:customStyle="1" w:styleId="NoList4">
    <w:name w:val="No List4"/>
    <w:next w:val="NoList"/>
    <w:uiPriority w:val="99"/>
    <w:semiHidden/>
    <w:unhideWhenUsed/>
    <w:rsid w:val="007F16BA"/>
  </w:style>
  <w:style w:type="numbering" w:customStyle="1" w:styleId="NoList12">
    <w:name w:val="No List12"/>
    <w:next w:val="NoList"/>
    <w:uiPriority w:val="99"/>
    <w:semiHidden/>
    <w:unhideWhenUsed/>
    <w:rsid w:val="007F16BA"/>
  </w:style>
  <w:style w:type="table" w:customStyle="1" w:styleId="TableGrid4">
    <w:name w:val="Table Grid4"/>
    <w:basedOn w:val="TableNormal"/>
    <w:next w:val="TableGrid"/>
    <w:uiPriority w:val="39"/>
    <w:rsid w:val="007F16B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F16BA"/>
  </w:style>
  <w:style w:type="numbering" w:customStyle="1" w:styleId="NoList112">
    <w:name w:val="No List112"/>
    <w:next w:val="NoList"/>
    <w:uiPriority w:val="99"/>
    <w:semiHidden/>
    <w:unhideWhenUsed/>
    <w:rsid w:val="007F16BA"/>
  </w:style>
  <w:style w:type="table" w:customStyle="1" w:styleId="TableGrid12">
    <w:name w:val="Table Grid12"/>
    <w:basedOn w:val="TableNormal"/>
    <w:next w:val="TableGrid"/>
    <w:uiPriority w:val="39"/>
    <w:rsid w:val="007F16B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D830EE"/>
  </w:style>
  <w:style w:type="table" w:customStyle="1" w:styleId="TableGrid5">
    <w:name w:val="Table Grid5"/>
    <w:basedOn w:val="TableNormal"/>
    <w:next w:val="TableGrid"/>
    <w:uiPriority w:val="59"/>
    <w:rsid w:val="00D830EE"/>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level2">
    <w:name w:val="List level 2"/>
    <w:basedOn w:val="Normal"/>
    <w:link w:val="Listlevel2Char"/>
    <w:rsid w:val="005120AF"/>
    <w:pPr>
      <w:spacing w:before="40" w:after="0" w:line="240" w:lineRule="auto"/>
      <w:ind w:left="850" w:hanging="425"/>
    </w:pPr>
    <w:rPr>
      <w:rFonts w:ascii="Times New Roman" w:eastAsia="MS Mincho" w:hAnsi="Times New Roman" w:cs="Times New Roman"/>
      <w:sz w:val="24"/>
      <w:szCs w:val="20"/>
      <w:lang w:val="en-US" w:eastAsia="zh-CN"/>
    </w:rPr>
  </w:style>
  <w:style w:type="character" w:customStyle="1" w:styleId="TextChar">
    <w:name w:val="Text Char"/>
    <w:aliases w:val="Graphic Char"/>
    <w:rsid w:val="005120AF"/>
    <w:rPr>
      <w:rFonts w:ascii="Times New Roman" w:eastAsia="MS Mincho" w:hAnsi="Times New Roman" w:cs="Times New Roman"/>
      <w:sz w:val="24"/>
      <w:szCs w:val="20"/>
      <w:lang w:val="en-US" w:eastAsia="zh-CN"/>
    </w:rPr>
  </w:style>
  <w:style w:type="character" w:customStyle="1" w:styleId="Listlevel2Char">
    <w:name w:val="List level 2 Char"/>
    <w:link w:val="Listlevel2"/>
    <w:rsid w:val="005120AF"/>
    <w:rPr>
      <w:rFonts w:ascii="Times New Roman" w:eastAsia="MS Mincho" w:hAnsi="Times New Roman" w:cs="Times New Roman"/>
      <w:sz w:val="24"/>
      <w:szCs w:val="20"/>
      <w:lang w:val="en-US" w:eastAsia="zh-CN"/>
    </w:rPr>
  </w:style>
  <w:style w:type="character" w:customStyle="1" w:styleId="Heading5Char">
    <w:name w:val="Heading 5 Char"/>
    <w:basedOn w:val="DefaultParagraphFont"/>
    <w:link w:val="Heading5"/>
    <w:uiPriority w:val="9"/>
    <w:rsid w:val="00F672DB"/>
    <w:rPr>
      <w:rFonts w:ascii="Times New Roman" w:eastAsia="Times New Roman" w:hAnsi="Times New Roman" w:cs="Times New Roman"/>
      <w:b/>
      <w:bCs/>
      <w:sz w:val="20"/>
      <w:szCs w:val="20"/>
      <w:lang w:eastAsia="en-GB"/>
    </w:rPr>
  </w:style>
  <w:style w:type="numbering" w:customStyle="1" w:styleId="NoList6">
    <w:name w:val="No List6"/>
    <w:next w:val="NoList"/>
    <w:uiPriority w:val="99"/>
    <w:semiHidden/>
    <w:unhideWhenUsed/>
    <w:rsid w:val="00F672DB"/>
  </w:style>
  <w:style w:type="table" w:customStyle="1" w:styleId="TableGrid6">
    <w:name w:val="Table Grid6"/>
    <w:basedOn w:val="TableNormal"/>
    <w:next w:val="TableGrid"/>
    <w:uiPriority w:val="39"/>
    <w:rsid w:val="00F672D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message">
    <w:name w:val="cc_message"/>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F672DB"/>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672DB"/>
    <w:rPr>
      <w:rFonts w:ascii="Arial" w:eastAsia="Times New Roman" w:hAnsi="Arial" w:cs="Arial"/>
      <w:vanish/>
      <w:sz w:val="16"/>
      <w:szCs w:val="16"/>
      <w:lang w:eastAsia="en-GB"/>
    </w:rPr>
  </w:style>
  <w:style w:type="character" w:styleId="Strong">
    <w:name w:val="Strong"/>
    <w:basedOn w:val="DefaultParagraphFont"/>
    <w:uiPriority w:val="22"/>
    <w:qFormat/>
    <w:rsid w:val="00F672DB"/>
    <w:rPr>
      <w:b/>
      <w:bCs/>
    </w:rPr>
  </w:style>
  <w:style w:type="paragraph" w:customStyle="1" w:styleId="comment-form-comment">
    <w:name w:val="comment-form-comment"/>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ment-form-author">
    <w:name w:val="comment-form-author"/>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equired">
    <w:name w:val="required"/>
    <w:basedOn w:val="DefaultParagraphFont"/>
    <w:rsid w:val="00F672DB"/>
  </w:style>
  <w:style w:type="paragraph" w:customStyle="1" w:styleId="comment-form-email">
    <w:name w:val="comment-form-email"/>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ment-form-subscriptions">
    <w:name w:val="comment-form-subscriptions"/>
    <w:basedOn w:val="Normal"/>
    <w:rsid w:val="00F672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BottomofForm">
    <w:name w:val="HTML Bottom of Form"/>
    <w:basedOn w:val="Normal"/>
    <w:next w:val="Normal"/>
    <w:link w:val="z-BottomofFormChar"/>
    <w:hidden/>
    <w:uiPriority w:val="99"/>
    <w:semiHidden/>
    <w:unhideWhenUsed/>
    <w:rsid w:val="00F672DB"/>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672DB"/>
    <w:rPr>
      <w:rFonts w:ascii="Arial" w:eastAsia="Times New Roman" w:hAnsi="Arial" w:cs="Arial"/>
      <w:vanish/>
      <w:sz w:val="16"/>
      <w:szCs w:val="16"/>
      <w:lang w:eastAsia="en-GB"/>
    </w:rPr>
  </w:style>
  <w:style w:type="character" w:customStyle="1" w:styleId="ts-alignment-element">
    <w:name w:val="ts-alignment-element"/>
    <w:basedOn w:val="DefaultParagraphFont"/>
    <w:rsid w:val="00F672DB"/>
  </w:style>
  <w:style w:type="character" w:styleId="PlaceholderText">
    <w:name w:val="Placeholder Text"/>
    <w:basedOn w:val="DefaultParagraphFont"/>
    <w:uiPriority w:val="99"/>
    <w:semiHidden/>
    <w:rsid w:val="00F672DB"/>
    <w:rPr>
      <w:color w:val="808080"/>
    </w:rPr>
  </w:style>
  <w:style w:type="table" w:customStyle="1" w:styleId="TableGrid7">
    <w:name w:val="Table Grid7"/>
    <w:basedOn w:val="TableNormal"/>
    <w:next w:val="TableGrid"/>
    <w:uiPriority w:val="59"/>
    <w:rsid w:val="00E250D1"/>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20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
    <w:name w:val="Imported Style 802"/>
    <w:rsid w:val="00182883"/>
  </w:style>
  <w:style w:type="numbering" w:customStyle="1" w:styleId="ImportedStyle1152">
    <w:name w:val="Imported Style 1152"/>
    <w:rsid w:val="00182883"/>
  </w:style>
  <w:style w:type="table" w:customStyle="1" w:styleId="TableGrid9">
    <w:name w:val="Table Grid9"/>
    <w:basedOn w:val="TableNormal"/>
    <w:next w:val="TableGrid"/>
    <w:uiPriority w:val="39"/>
    <w:rsid w:val="001F01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504C8"/>
  </w:style>
  <w:style w:type="table" w:customStyle="1" w:styleId="TableGrid10">
    <w:name w:val="Table Grid10"/>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uiPriority w:val="99"/>
    <w:semiHidden/>
    <w:unhideWhenUsed/>
    <w:rsid w:val="00A504C8"/>
    <w:rPr>
      <w:color w:val="605E5C"/>
      <w:shd w:val="clear" w:color="auto" w:fill="E1DFDD"/>
    </w:rPr>
  </w:style>
  <w:style w:type="numbering" w:customStyle="1" w:styleId="ImportedStyle781">
    <w:name w:val="Imported Style 781"/>
    <w:rsid w:val="00A504C8"/>
  </w:style>
  <w:style w:type="numbering" w:customStyle="1" w:styleId="ImportedStyle7801">
    <w:name w:val="Imported Style 78.01"/>
    <w:rsid w:val="00A504C8"/>
  </w:style>
  <w:style w:type="numbering" w:customStyle="1" w:styleId="ImportedStyle801">
    <w:name w:val="Imported Style 801"/>
    <w:rsid w:val="00A504C8"/>
  </w:style>
  <w:style w:type="numbering" w:customStyle="1" w:styleId="ImportedStyle821">
    <w:name w:val="Imported Style 821"/>
    <w:rsid w:val="00A504C8"/>
  </w:style>
  <w:style w:type="numbering" w:customStyle="1" w:styleId="ImportedStyle831">
    <w:name w:val="Imported Style 831"/>
    <w:rsid w:val="00A504C8"/>
  </w:style>
  <w:style w:type="numbering" w:customStyle="1" w:styleId="ImportedStyle1141">
    <w:name w:val="Imported Style 1141"/>
    <w:rsid w:val="00A504C8"/>
  </w:style>
  <w:style w:type="numbering" w:customStyle="1" w:styleId="ImportedStyle1151">
    <w:name w:val="Imported Style 1151"/>
    <w:rsid w:val="00A504C8"/>
  </w:style>
  <w:style w:type="numbering" w:customStyle="1" w:styleId="ImportedStyle1161">
    <w:name w:val="Imported Style 1161"/>
    <w:rsid w:val="00A504C8"/>
  </w:style>
  <w:style w:type="table" w:customStyle="1" w:styleId="TableNormal11">
    <w:name w:val="Table Normal11"/>
    <w:rsid w:val="00A504C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
    <w:name w:val="Imported Style 11"/>
    <w:rsid w:val="00A504C8"/>
  </w:style>
  <w:style w:type="numbering" w:customStyle="1" w:styleId="ImportedStyle21">
    <w:name w:val="Imported Style 21"/>
    <w:rsid w:val="00A504C8"/>
  </w:style>
  <w:style w:type="numbering" w:customStyle="1" w:styleId="ImportedStyle310">
    <w:name w:val="Imported Style 31"/>
    <w:rsid w:val="00A504C8"/>
  </w:style>
  <w:style w:type="table" w:customStyle="1" w:styleId="TableGrid13">
    <w:name w:val="Table Grid13"/>
    <w:basedOn w:val="TableNormal"/>
    <w:next w:val="TableGrid"/>
    <w:uiPriority w:val="39"/>
    <w:rsid w:val="00A504C8"/>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A504C8"/>
  </w:style>
  <w:style w:type="table" w:customStyle="1" w:styleId="TableGrid21">
    <w:name w:val="Table Grid21"/>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A504C8"/>
  </w:style>
  <w:style w:type="table" w:customStyle="1" w:styleId="TableGrid31">
    <w:name w:val="Table Grid31"/>
    <w:basedOn w:val="TableNormal"/>
    <w:next w:val="TableGrid"/>
    <w:uiPriority w:val="5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
    <w:name w:val="No List113"/>
    <w:next w:val="NoList"/>
    <w:uiPriority w:val="99"/>
    <w:semiHidden/>
    <w:unhideWhenUsed/>
    <w:rsid w:val="00A504C8"/>
  </w:style>
  <w:style w:type="numbering" w:customStyle="1" w:styleId="NoList1111">
    <w:name w:val="No List1111"/>
    <w:next w:val="NoList"/>
    <w:uiPriority w:val="99"/>
    <w:semiHidden/>
    <w:unhideWhenUsed/>
    <w:rsid w:val="00A504C8"/>
  </w:style>
  <w:style w:type="table" w:customStyle="1" w:styleId="TableGrid111">
    <w:name w:val="Table Grid111"/>
    <w:basedOn w:val="TableNormal"/>
    <w:next w:val="TableGrid"/>
    <w:uiPriority w:val="5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A504C8"/>
  </w:style>
  <w:style w:type="numbering" w:customStyle="1" w:styleId="Stilimportat11">
    <w:name w:val="Stil importat 11"/>
    <w:rsid w:val="00A504C8"/>
  </w:style>
  <w:style w:type="numbering" w:customStyle="1" w:styleId="Stilimportat21">
    <w:name w:val="Stil importat 21"/>
    <w:rsid w:val="00A504C8"/>
  </w:style>
  <w:style w:type="numbering" w:customStyle="1" w:styleId="Stilimportat31">
    <w:name w:val="Stil importat 31"/>
    <w:rsid w:val="00A504C8"/>
  </w:style>
  <w:style w:type="numbering" w:customStyle="1" w:styleId="Stilimportat41">
    <w:name w:val="Stil importat 41"/>
    <w:rsid w:val="00A504C8"/>
  </w:style>
  <w:style w:type="numbering" w:customStyle="1" w:styleId="Stilimportat51">
    <w:name w:val="Stil importat 51"/>
    <w:rsid w:val="00A504C8"/>
  </w:style>
  <w:style w:type="numbering" w:customStyle="1" w:styleId="Stilimportat61">
    <w:name w:val="Stil importat 61"/>
    <w:rsid w:val="00A504C8"/>
    <w:pPr>
      <w:numPr>
        <w:numId w:val="51"/>
      </w:numPr>
    </w:pPr>
  </w:style>
  <w:style w:type="numbering" w:customStyle="1" w:styleId="Stilimportat71">
    <w:name w:val="Stil importat 71"/>
    <w:rsid w:val="00A504C8"/>
    <w:pPr>
      <w:numPr>
        <w:numId w:val="52"/>
      </w:numPr>
    </w:pPr>
  </w:style>
  <w:style w:type="numbering" w:customStyle="1" w:styleId="NoList41">
    <w:name w:val="No List41"/>
    <w:next w:val="NoList"/>
    <w:uiPriority w:val="99"/>
    <w:semiHidden/>
    <w:unhideWhenUsed/>
    <w:rsid w:val="00A504C8"/>
  </w:style>
  <w:style w:type="numbering" w:customStyle="1" w:styleId="NoList121">
    <w:name w:val="No List121"/>
    <w:next w:val="NoList"/>
    <w:uiPriority w:val="99"/>
    <w:semiHidden/>
    <w:unhideWhenUsed/>
    <w:rsid w:val="00A504C8"/>
  </w:style>
  <w:style w:type="table" w:customStyle="1" w:styleId="TableGrid41">
    <w:name w:val="Table Grid41"/>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A504C8"/>
  </w:style>
  <w:style w:type="numbering" w:customStyle="1" w:styleId="NoList1121">
    <w:name w:val="No List1121"/>
    <w:next w:val="NoList"/>
    <w:uiPriority w:val="99"/>
    <w:semiHidden/>
    <w:unhideWhenUsed/>
    <w:rsid w:val="00A504C8"/>
  </w:style>
  <w:style w:type="table" w:customStyle="1" w:styleId="TableGrid121">
    <w:name w:val="Table Grid121"/>
    <w:basedOn w:val="TableNormal"/>
    <w:next w:val="TableGrid"/>
    <w:uiPriority w:val="39"/>
    <w:rsid w:val="00A504C8"/>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NoList"/>
    <w:uiPriority w:val="99"/>
    <w:semiHidden/>
    <w:unhideWhenUsed/>
    <w:rsid w:val="00A504C8"/>
  </w:style>
  <w:style w:type="table" w:customStyle="1" w:styleId="TableGrid51">
    <w:name w:val="Table Grid51"/>
    <w:basedOn w:val="TableNormal"/>
    <w:next w:val="TableGrid"/>
    <w:uiPriority w:val="59"/>
    <w:rsid w:val="00A504C8"/>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FD7621"/>
  </w:style>
  <w:style w:type="character" w:customStyle="1" w:styleId="jlqj4b">
    <w:name w:val="jlqj4b"/>
    <w:basedOn w:val="DefaultParagraphFont"/>
    <w:uiPriority w:val="99"/>
    <w:rsid w:val="00FD7621"/>
    <w:rPr>
      <w:rFonts w:cs="Times New Roman"/>
    </w:rPr>
  </w:style>
  <w:style w:type="character" w:customStyle="1" w:styleId="fszzbb">
    <w:name w:val="fszzbb"/>
    <w:basedOn w:val="DefaultParagraphFont"/>
    <w:uiPriority w:val="99"/>
    <w:rsid w:val="00FD7621"/>
    <w:rPr>
      <w:rFonts w:cs="Times New Roman"/>
    </w:rPr>
  </w:style>
  <w:style w:type="character" w:customStyle="1" w:styleId="UnresolvedMention2">
    <w:name w:val="Unresolved Mention2"/>
    <w:basedOn w:val="DefaultParagraphFont"/>
    <w:uiPriority w:val="99"/>
    <w:semiHidden/>
    <w:unhideWhenUsed/>
    <w:rsid w:val="00FD7621"/>
    <w:rPr>
      <w:color w:val="605E5C"/>
      <w:shd w:val="clear" w:color="auto" w:fill="E1DFDD"/>
    </w:rPr>
  </w:style>
  <w:style w:type="character" w:styleId="Emphasis">
    <w:name w:val="Emphasis"/>
    <w:basedOn w:val="DefaultParagraphFont"/>
    <w:uiPriority w:val="20"/>
    <w:qFormat/>
    <w:rsid w:val="00FD7621"/>
    <w:rPr>
      <w:i/>
      <w:iCs/>
    </w:rPr>
  </w:style>
  <w:style w:type="table" w:customStyle="1" w:styleId="TableGrid14">
    <w:name w:val="Table Grid14"/>
    <w:basedOn w:val="TableNormal"/>
    <w:next w:val="TableGrid"/>
    <w:unhideWhenUsed/>
    <w:locked/>
    <w:rsid w:val="00FD7621"/>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6E7FB5"/>
  </w:style>
  <w:style w:type="table" w:customStyle="1" w:styleId="TableGrid15">
    <w:name w:val="Table Grid15"/>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
    <w:name w:val="Imported Style 782"/>
    <w:rsid w:val="006E7FB5"/>
  </w:style>
  <w:style w:type="numbering" w:customStyle="1" w:styleId="ImportedStyle7802">
    <w:name w:val="Imported Style 78.02"/>
    <w:rsid w:val="006E7FB5"/>
  </w:style>
  <w:style w:type="numbering" w:customStyle="1" w:styleId="ImportedStyle803">
    <w:name w:val="Imported Style 803"/>
    <w:rsid w:val="006E7FB5"/>
  </w:style>
  <w:style w:type="numbering" w:customStyle="1" w:styleId="ImportedStyle822">
    <w:name w:val="Imported Style 822"/>
    <w:rsid w:val="006E7FB5"/>
  </w:style>
  <w:style w:type="numbering" w:customStyle="1" w:styleId="ImportedStyle832">
    <w:name w:val="Imported Style 832"/>
    <w:rsid w:val="006E7FB5"/>
  </w:style>
  <w:style w:type="numbering" w:customStyle="1" w:styleId="ImportedStyle1142">
    <w:name w:val="Imported Style 1142"/>
    <w:rsid w:val="006E7FB5"/>
  </w:style>
  <w:style w:type="numbering" w:customStyle="1" w:styleId="ImportedStyle1153">
    <w:name w:val="Imported Style 1153"/>
    <w:rsid w:val="006E7FB5"/>
  </w:style>
  <w:style w:type="numbering" w:customStyle="1" w:styleId="ImportedStyle1162">
    <w:name w:val="Imported Style 1162"/>
    <w:rsid w:val="006E7FB5"/>
  </w:style>
  <w:style w:type="table" w:customStyle="1" w:styleId="TableNormal12">
    <w:name w:val="Table Normal12"/>
    <w:rsid w:val="006E7FB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
    <w:name w:val="Imported Style 12"/>
    <w:rsid w:val="006E7FB5"/>
  </w:style>
  <w:style w:type="numbering" w:customStyle="1" w:styleId="ImportedStyle22">
    <w:name w:val="Imported Style 22"/>
    <w:rsid w:val="006E7FB5"/>
  </w:style>
  <w:style w:type="numbering" w:customStyle="1" w:styleId="ImportedStyle32">
    <w:name w:val="Imported Style 32"/>
    <w:rsid w:val="006E7FB5"/>
  </w:style>
  <w:style w:type="table" w:customStyle="1" w:styleId="TableGrid16">
    <w:name w:val="Table Grid16"/>
    <w:basedOn w:val="TableNormal"/>
    <w:next w:val="TableGrid"/>
    <w:uiPriority w:val="39"/>
    <w:rsid w:val="006E7FB5"/>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6E7FB5"/>
  </w:style>
  <w:style w:type="table" w:customStyle="1" w:styleId="TableGrid22">
    <w:name w:val="Table Grid22"/>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6E7FB5"/>
  </w:style>
  <w:style w:type="table" w:customStyle="1" w:styleId="TableGrid32">
    <w:name w:val="Table Grid32"/>
    <w:basedOn w:val="TableNormal"/>
    <w:next w:val="TableGrid"/>
    <w:uiPriority w:val="5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
    <w:name w:val="No List114"/>
    <w:next w:val="NoList"/>
    <w:uiPriority w:val="99"/>
    <w:semiHidden/>
    <w:unhideWhenUsed/>
    <w:rsid w:val="006E7FB5"/>
  </w:style>
  <w:style w:type="numbering" w:customStyle="1" w:styleId="NoList1112">
    <w:name w:val="No List1112"/>
    <w:next w:val="NoList"/>
    <w:uiPriority w:val="99"/>
    <w:semiHidden/>
    <w:unhideWhenUsed/>
    <w:rsid w:val="006E7FB5"/>
  </w:style>
  <w:style w:type="table" w:customStyle="1" w:styleId="TableGrid112">
    <w:name w:val="Table Grid112"/>
    <w:basedOn w:val="TableNormal"/>
    <w:next w:val="TableGrid"/>
    <w:uiPriority w:val="5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6E7FB5"/>
  </w:style>
  <w:style w:type="numbering" w:customStyle="1" w:styleId="Stilimportat12">
    <w:name w:val="Stil importat 12"/>
    <w:rsid w:val="006E7FB5"/>
  </w:style>
  <w:style w:type="numbering" w:customStyle="1" w:styleId="Stilimportat22">
    <w:name w:val="Stil importat 22"/>
    <w:rsid w:val="006E7FB5"/>
  </w:style>
  <w:style w:type="numbering" w:customStyle="1" w:styleId="Stilimportat32">
    <w:name w:val="Stil importat 32"/>
    <w:rsid w:val="006E7FB5"/>
  </w:style>
  <w:style w:type="numbering" w:customStyle="1" w:styleId="Stilimportat42">
    <w:name w:val="Stil importat 42"/>
    <w:rsid w:val="006E7FB5"/>
  </w:style>
  <w:style w:type="numbering" w:customStyle="1" w:styleId="Stilimportat52">
    <w:name w:val="Stil importat 52"/>
    <w:rsid w:val="006E7FB5"/>
  </w:style>
  <w:style w:type="numbering" w:customStyle="1" w:styleId="Stilimportat62">
    <w:name w:val="Stil importat 62"/>
    <w:rsid w:val="006E7FB5"/>
  </w:style>
  <w:style w:type="numbering" w:customStyle="1" w:styleId="Stilimportat72">
    <w:name w:val="Stil importat 72"/>
    <w:rsid w:val="006E7FB5"/>
  </w:style>
  <w:style w:type="numbering" w:customStyle="1" w:styleId="NoList42">
    <w:name w:val="No List42"/>
    <w:next w:val="NoList"/>
    <w:uiPriority w:val="99"/>
    <w:semiHidden/>
    <w:unhideWhenUsed/>
    <w:rsid w:val="006E7FB5"/>
  </w:style>
  <w:style w:type="numbering" w:customStyle="1" w:styleId="NoList122">
    <w:name w:val="No List122"/>
    <w:next w:val="NoList"/>
    <w:uiPriority w:val="99"/>
    <w:semiHidden/>
    <w:unhideWhenUsed/>
    <w:rsid w:val="006E7FB5"/>
  </w:style>
  <w:style w:type="table" w:customStyle="1" w:styleId="TableGrid42">
    <w:name w:val="Table Grid42"/>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
    <w:name w:val="No List212"/>
    <w:next w:val="NoList"/>
    <w:uiPriority w:val="99"/>
    <w:semiHidden/>
    <w:unhideWhenUsed/>
    <w:rsid w:val="006E7FB5"/>
  </w:style>
  <w:style w:type="numbering" w:customStyle="1" w:styleId="NoList1122">
    <w:name w:val="No List1122"/>
    <w:next w:val="NoList"/>
    <w:uiPriority w:val="99"/>
    <w:semiHidden/>
    <w:unhideWhenUsed/>
    <w:rsid w:val="006E7FB5"/>
  </w:style>
  <w:style w:type="table" w:customStyle="1" w:styleId="TableGrid122">
    <w:name w:val="Table Grid122"/>
    <w:basedOn w:val="TableNormal"/>
    <w:next w:val="TableGrid"/>
    <w:uiPriority w:val="39"/>
    <w:rsid w:val="006E7F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
    <w:name w:val="No List52"/>
    <w:next w:val="NoList"/>
    <w:uiPriority w:val="99"/>
    <w:semiHidden/>
    <w:unhideWhenUsed/>
    <w:rsid w:val="006E7FB5"/>
  </w:style>
  <w:style w:type="table" w:customStyle="1" w:styleId="TableGrid52">
    <w:name w:val="Table Grid52"/>
    <w:basedOn w:val="TableNormal"/>
    <w:next w:val="TableGrid"/>
    <w:uiPriority w:val="59"/>
    <w:rsid w:val="006E7FB5"/>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A0A5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111">
    <w:name w:val="Imported Style 82111"/>
    <w:rsid w:val="00D40119"/>
  </w:style>
  <w:style w:type="numbering" w:customStyle="1" w:styleId="ImportedStyle83112">
    <w:name w:val="Imported Style 83112"/>
    <w:rsid w:val="00D40119"/>
  </w:style>
  <w:style w:type="table" w:customStyle="1" w:styleId="TableGrid18">
    <w:name w:val="Table Grid18"/>
    <w:basedOn w:val="TableNormal"/>
    <w:next w:val="TableGrid"/>
    <w:uiPriority w:val="39"/>
    <w:rsid w:val="007D6682"/>
    <w:pPr>
      <w:spacing w:after="0" w:line="240" w:lineRule="auto"/>
    </w:pPr>
    <w:rPr>
      <w:rFonts w:ascii="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F47B80"/>
  </w:style>
  <w:style w:type="paragraph" w:styleId="BodyTextIndent">
    <w:name w:val="Body Text Indent"/>
    <w:basedOn w:val="Normal"/>
    <w:link w:val="BodyTextIndentChar"/>
    <w:uiPriority w:val="99"/>
    <w:unhideWhenUsed/>
    <w:rsid w:val="00F47B80"/>
    <w:pPr>
      <w:numPr>
        <w:numId w:val="55"/>
      </w:numPr>
      <w:adjustRightInd w:val="0"/>
      <w:spacing w:after="240" w:line="240" w:lineRule="auto"/>
      <w:jc w:val="both"/>
    </w:pPr>
    <w:rPr>
      <w:rFonts w:ascii="Times New Roman" w:eastAsia="STZhongsong" w:hAnsi="Times New Roman" w:cs="Times New Roman"/>
      <w:szCs w:val="20"/>
      <w:lang w:val="en-GB" w:eastAsia="zh-CN"/>
    </w:rPr>
  </w:style>
  <w:style w:type="character" w:customStyle="1" w:styleId="BodyTextIndentChar">
    <w:name w:val="Body Text Indent Char"/>
    <w:basedOn w:val="DefaultParagraphFont"/>
    <w:link w:val="BodyTextIndent"/>
    <w:uiPriority w:val="99"/>
    <w:rsid w:val="00F47B80"/>
    <w:rPr>
      <w:rFonts w:ascii="Times New Roman" w:eastAsia="STZhongsong" w:hAnsi="Times New Roman" w:cs="Times New Roman"/>
      <w:szCs w:val="20"/>
      <w:lang w:val="en-GB" w:eastAsia="zh-CN"/>
    </w:rPr>
  </w:style>
  <w:style w:type="paragraph" w:styleId="BodyTextIndent2">
    <w:name w:val="Body Text Indent 2"/>
    <w:basedOn w:val="Normal"/>
    <w:link w:val="BodyTextIndent2Char"/>
    <w:semiHidden/>
    <w:unhideWhenUsed/>
    <w:rsid w:val="00F47B80"/>
    <w:pPr>
      <w:numPr>
        <w:ilvl w:val="1"/>
        <w:numId w:val="55"/>
      </w:numPr>
      <w:adjustRightInd w:val="0"/>
      <w:spacing w:after="240" w:line="240" w:lineRule="auto"/>
      <w:jc w:val="both"/>
    </w:pPr>
    <w:rPr>
      <w:rFonts w:ascii="Times New Roman" w:eastAsia="STZhongsong" w:hAnsi="Times New Roman" w:cs="Times New Roman"/>
      <w:szCs w:val="20"/>
      <w:lang w:val="en-GB" w:eastAsia="zh-CN"/>
    </w:rPr>
  </w:style>
  <w:style w:type="character" w:customStyle="1" w:styleId="BodyTextIndent2Char">
    <w:name w:val="Body Text Indent 2 Char"/>
    <w:basedOn w:val="DefaultParagraphFont"/>
    <w:link w:val="BodyTextIndent2"/>
    <w:semiHidden/>
    <w:rsid w:val="00F47B80"/>
    <w:rPr>
      <w:rFonts w:ascii="Times New Roman" w:eastAsia="STZhongsong" w:hAnsi="Times New Roman" w:cs="Times New Roman"/>
      <w:szCs w:val="20"/>
      <w:lang w:val="en-GB" w:eastAsia="zh-CN"/>
    </w:rPr>
  </w:style>
  <w:style w:type="paragraph" w:styleId="BlockText">
    <w:name w:val="Block Text"/>
    <w:basedOn w:val="Normal"/>
    <w:semiHidden/>
    <w:unhideWhenUsed/>
    <w:rsid w:val="00F47B80"/>
    <w:pPr>
      <w:tabs>
        <w:tab w:val="num" w:pos="2880"/>
      </w:tabs>
      <w:overflowPunct w:val="0"/>
      <w:autoSpaceDE w:val="0"/>
      <w:autoSpaceDN w:val="0"/>
      <w:adjustRightInd w:val="0"/>
      <w:spacing w:after="120" w:line="360" w:lineRule="auto"/>
      <w:ind w:left="1440" w:right="1440"/>
      <w:jc w:val="both"/>
    </w:pPr>
    <w:rPr>
      <w:rFonts w:ascii="Times New Roman" w:eastAsia="Times New Roman" w:hAnsi="Times New Roman" w:cs="Times New Roman"/>
      <w:szCs w:val="20"/>
      <w:lang w:val="en-GB"/>
    </w:rPr>
  </w:style>
  <w:style w:type="paragraph" w:styleId="Bibliography">
    <w:name w:val="Bibliography"/>
    <w:basedOn w:val="Normal"/>
    <w:next w:val="Normal"/>
    <w:uiPriority w:val="37"/>
    <w:semiHidden/>
    <w:unhideWhenUsed/>
    <w:rsid w:val="00F47B80"/>
    <w:pPr>
      <w:tabs>
        <w:tab w:val="num" w:pos="2880"/>
      </w:tabs>
      <w:overflowPunct w:val="0"/>
      <w:autoSpaceDE w:val="0"/>
      <w:autoSpaceDN w:val="0"/>
      <w:adjustRightInd w:val="0"/>
      <w:spacing w:after="240" w:line="360" w:lineRule="auto"/>
      <w:jc w:val="both"/>
    </w:pPr>
    <w:rPr>
      <w:rFonts w:ascii="Times New Roman" w:eastAsia="Times New Roman" w:hAnsi="Times New Roman" w:cs="Times New Roman"/>
      <w:szCs w:val="20"/>
      <w:lang w:val="en-GB"/>
    </w:rPr>
  </w:style>
  <w:style w:type="paragraph" w:customStyle="1" w:styleId="MarginText">
    <w:name w:val="Margin Text"/>
    <w:basedOn w:val="Normal"/>
    <w:rsid w:val="00F47B80"/>
    <w:pPr>
      <w:adjustRightInd w:val="0"/>
      <w:spacing w:after="240" w:line="240" w:lineRule="auto"/>
      <w:jc w:val="both"/>
    </w:pPr>
    <w:rPr>
      <w:rFonts w:ascii="Times New Roman" w:eastAsia="STZhongsong" w:hAnsi="Times New Roman" w:cs="Times New Roman"/>
      <w:szCs w:val="20"/>
      <w:lang w:val="en-GB" w:eastAsia="zh-CN"/>
    </w:rPr>
  </w:style>
  <w:style w:type="paragraph" w:customStyle="1" w:styleId="DefinitionNumbering1">
    <w:name w:val="Definition Numbering 1"/>
    <w:basedOn w:val="Normal"/>
    <w:rsid w:val="00F47B80"/>
    <w:pPr>
      <w:numPr>
        <w:ilvl w:val="2"/>
        <w:numId w:val="55"/>
      </w:numPr>
      <w:adjustRightInd w:val="0"/>
      <w:spacing w:after="240" w:line="240" w:lineRule="auto"/>
      <w:jc w:val="both"/>
      <w:outlineLvl w:val="0"/>
    </w:pPr>
    <w:rPr>
      <w:rFonts w:ascii="Times New Roman" w:eastAsia="STZhongsong" w:hAnsi="Times New Roman" w:cs="Times New Roman"/>
      <w:szCs w:val="20"/>
      <w:lang w:val="en-GB" w:eastAsia="zh-CN"/>
    </w:rPr>
  </w:style>
  <w:style w:type="paragraph" w:customStyle="1" w:styleId="DefinitionNumbering2">
    <w:name w:val="Definition Numbering 2"/>
    <w:basedOn w:val="Normal"/>
    <w:rsid w:val="00F47B80"/>
    <w:pPr>
      <w:numPr>
        <w:ilvl w:val="3"/>
        <w:numId w:val="55"/>
      </w:numPr>
      <w:adjustRightInd w:val="0"/>
      <w:spacing w:after="240" w:line="240" w:lineRule="auto"/>
      <w:jc w:val="both"/>
      <w:outlineLvl w:val="1"/>
    </w:pPr>
    <w:rPr>
      <w:rFonts w:ascii="Times New Roman" w:eastAsia="STZhongsong" w:hAnsi="Times New Roman" w:cs="Times New Roman"/>
      <w:szCs w:val="20"/>
      <w:lang w:val="en-GB" w:eastAsia="zh-CN"/>
    </w:rPr>
  </w:style>
  <w:style w:type="paragraph" w:customStyle="1" w:styleId="DefinitionNumbering3">
    <w:name w:val="Definition Numbering 3"/>
    <w:basedOn w:val="Normal"/>
    <w:rsid w:val="00F47B80"/>
    <w:pPr>
      <w:numPr>
        <w:ilvl w:val="4"/>
        <w:numId w:val="55"/>
      </w:numPr>
      <w:adjustRightInd w:val="0"/>
      <w:spacing w:after="240" w:line="240" w:lineRule="auto"/>
      <w:jc w:val="both"/>
      <w:outlineLvl w:val="2"/>
    </w:pPr>
    <w:rPr>
      <w:rFonts w:ascii="Times New Roman" w:eastAsia="STZhongsong" w:hAnsi="Times New Roman" w:cs="Times New Roman"/>
      <w:szCs w:val="20"/>
      <w:lang w:val="en-GB" w:eastAsia="zh-CN"/>
    </w:rPr>
  </w:style>
  <w:style w:type="paragraph" w:customStyle="1" w:styleId="DefinitionNumbering4">
    <w:name w:val="Definition Numbering 4"/>
    <w:basedOn w:val="Normal"/>
    <w:rsid w:val="00F47B80"/>
    <w:pPr>
      <w:numPr>
        <w:ilvl w:val="5"/>
        <w:numId w:val="55"/>
      </w:numPr>
      <w:adjustRightInd w:val="0"/>
      <w:spacing w:after="240" w:line="240" w:lineRule="auto"/>
      <w:jc w:val="both"/>
      <w:outlineLvl w:val="3"/>
    </w:pPr>
    <w:rPr>
      <w:rFonts w:ascii="Times New Roman" w:eastAsia="STZhongsong" w:hAnsi="Times New Roman" w:cs="Times New Roman"/>
      <w:szCs w:val="20"/>
      <w:lang w:val="en-GB" w:eastAsia="zh-CN"/>
    </w:rPr>
  </w:style>
  <w:style w:type="paragraph" w:customStyle="1" w:styleId="DefinitionNumbering5">
    <w:name w:val="Definition Numbering 5"/>
    <w:basedOn w:val="Normal"/>
    <w:rsid w:val="00F47B80"/>
    <w:pPr>
      <w:numPr>
        <w:ilvl w:val="6"/>
        <w:numId w:val="55"/>
      </w:numPr>
      <w:adjustRightInd w:val="0"/>
      <w:spacing w:after="240" w:line="240" w:lineRule="auto"/>
      <w:jc w:val="both"/>
      <w:outlineLvl w:val="4"/>
    </w:pPr>
    <w:rPr>
      <w:rFonts w:ascii="Times New Roman" w:eastAsia="STZhongsong" w:hAnsi="Times New Roman" w:cs="Times New Roman"/>
      <w:szCs w:val="20"/>
      <w:lang w:val="en-GB" w:eastAsia="zh-CN"/>
    </w:rPr>
  </w:style>
  <w:style w:type="paragraph" w:customStyle="1" w:styleId="DefinitionNumbering6">
    <w:name w:val="Definition Numbering 6"/>
    <w:basedOn w:val="Normal"/>
    <w:rsid w:val="00F47B80"/>
    <w:pPr>
      <w:numPr>
        <w:ilvl w:val="7"/>
        <w:numId w:val="55"/>
      </w:numPr>
      <w:adjustRightInd w:val="0"/>
      <w:spacing w:after="240" w:line="240" w:lineRule="auto"/>
      <w:jc w:val="both"/>
      <w:outlineLvl w:val="5"/>
    </w:pPr>
    <w:rPr>
      <w:rFonts w:ascii="Times New Roman" w:eastAsia="STZhongsong" w:hAnsi="Times New Roman" w:cs="Times New Roman"/>
      <w:szCs w:val="20"/>
      <w:lang w:val="en-GB" w:eastAsia="zh-CN"/>
    </w:rPr>
  </w:style>
  <w:style w:type="paragraph" w:customStyle="1" w:styleId="DefinitionNumbering7">
    <w:name w:val="Definition Numbering 7"/>
    <w:basedOn w:val="Normal"/>
    <w:rsid w:val="00F47B80"/>
    <w:pPr>
      <w:numPr>
        <w:ilvl w:val="8"/>
        <w:numId w:val="55"/>
      </w:numPr>
      <w:adjustRightInd w:val="0"/>
      <w:spacing w:after="240" w:line="240" w:lineRule="auto"/>
      <w:jc w:val="both"/>
      <w:outlineLvl w:val="6"/>
    </w:pPr>
    <w:rPr>
      <w:rFonts w:ascii="Times New Roman" w:eastAsia="STZhongsong" w:hAnsi="Times New Roman" w:cs="Times New Roman"/>
      <w:szCs w:val="20"/>
      <w:lang w:val="en-GB" w:eastAsia="zh-CN"/>
    </w:rPr>
  </w:style>
  <w:style w:type="paragraph" w:customStyle="1" w:styleId="AppPart">
    <w:name w:val="AppPart"/>
    <w:basedOn w:val="Normal"/>
    <w:rsid w:val="00F47B80"/>
    <w:pPr>
      <w:tabs>
        <w:tab w:val="num" w:pos="0"/>
        <w:tab w:val="num" w:pos="1800"/>
      </w:tabs>
      <w:adjustRightInd w:val="0"/>
      <w:spacing w:after="240" w:line="240" w:lineRule="auto"/>
      <w:jc w:val="center"/>
      <w:outlineLvl w:val="1"/>
    </w:pPr>
    <w:rPr>
      <w:rFonts w:ascii="Times New Roman" w:eastAsia="STZhongsong" w:hAnsi="Times New Roman" w:cs="Times New Roman"/>
      <w:b/>
      <w:szCs w:val="20"/>
      <w:lang w:val="en-GB" w:eastAsia="zh-CN"/>
    </w:rPr>
  </w:style>
  <w:style w:type="paragraph" w:customStyle="1" w:styleId="RecitalNumbering2">
    <w:name w:val="Recital Numbering 2"/>
    <w:basedOn w:val="Normal"/>
    <w:rsid w:val="00F47B80"/>
    <w:pPr>
      <w:tabs>
        <w:tab w:val="num" w:pos="1800"/>
        <w:tab w:val="num" w:pos="2880"/>
      </w:tabs>
      <w:overflowPunct w:val="0"/>
      <w:autoSpaceDE w:val="0"/>
      <w:autoSpaceDN w:val="0"/>
      <w:adjustRightInd w:val="0"/>
      <w:spacing w:after="240" w:line="240" w:lineRule="auto"/>
      <w:ind w:left="1800" w:hanging="1080"/>
      <w:jc w:val="both"/>
    </w:pPr>
    <w:rPr>
      <w:rFonts w:ascii="Times New Roman" w:eastAsia="STZhongsong" w:hAnsi="Times New Roman" w:cs="Times New Roman"/>
      <w:szCs w:val="20"/>
      <w:lang w:val="en-GB" w:eastAsia="zh-CN"/>
    </w:rPr>
  </w:style>
  <w:style w:type="paragraph" w:customStyle="1" w:styleId="RecitalNumbering3">
    <w:name w:val="Recital Numbering 3"/>
    <w:basedOn w:val="Normal"/>
    <w:rsid w:val="00F47B80"/>
    <w:pPr>
      <w:tabs>
        <w:tab w:val="num" w:pos="2880"/>
        <w:tab w:val="num" w:pos="3600"/>
      </w:tabs>
      <w:overflowPunct w:val="0"/>
      <w:autoSpaceDE w:val="0"/>
      <w:autoSpaceDN w:val="0"/>
      <w:adjustRightInd w:val="0"/>
      <w:spacing w:after="240" w:line="240" w:lineRule="auto"/>
      <w:ind w:left="2880" w:hanging="1080"/>
      <w:jc w:val="both"/>
    </w:pPr>
    <w:rPr>
      <w:rFonts w:ascii="Times New Roman" w:eastAsia="STZhongsong" w:hAnsi="Times New Roman" w:cs="Times New Roman"/>
      <w:szCs w:val="20"/>
      <w:lang w:val="en-GB" w:eastAsia="zh-CN"/>
    </w:rPr>
  </w:style>
  <w:style w:type="character" w:customStyle="1" w:styleId="bodyChar">
    <w:name w:val="body Char"/>
    <w:link w:val="body0"/>
    <w:locked/>
    <w:rsid w:val="00F47B80"/>
    <w:rPr>
      <w:szCs w:val="24"/>
      <w:lang w:val="en-GB" w:eastAsia="en-GB"/>
    </w:rPr>
  </w:style>
  <w:style w:type="paragraph" w:customStyle="1" w:styleId="body0">
    <w:name w:val="body"/>
    <w:basedOn w:val="Normal"/>
    <w:link w:val="bodyChar"/>
    <w:rsid w:val="00F47B80"/>
    <w:pPr>
      <w:spacing w:after="0" w:line="240" w:lineRule="auto"/>
    </w:pPr>
    <w:rPr>
      <w:szCs w:val="24"/>
      <w:lang w:val="en-GB" w:eastAsia="en-GB"/>
    </w:rPr>
  </w:style>
  <w:style w:type="character" w:customStyle="1" w:styleId="bodystrongChar">
    <w:name w:val="body strong Char"/>
    <w:link w:val="bodystrong"/>
    <w:locked/>
    <w:rsid w:val="00F47B80"/>
    <w:rPr>
      <w:b/>
      <w:szCs w:val="24"/>
      <w:lang w:val="en-GB" w:eastAsia="en-GB"/>
    </w:rPr>
  </w:style>
  <w:style w:type="paragraph" w:customStyle="1" w:styleId="bodystrong">
    <w:name w:val="body strong"/>
    <w:basedOn w:val="body0"/>
    <w:link w:val="bodystrongChar"/>
    <w:rsid w:val="00F47B80"/>
    <w:rPr>
      <w:b/>
    </w:rPr>
  </w:style>
  <w:style w:type="paragraph" w:customStyle="1" w:styleId="bodysmallright">
    <w:name w:val="body small right"/>
    <w:basedOn w:val="Normal"/>
    <w:rsid w:val="00F47B80"/>
    <w:pPr>
      <w:spacing w:after="0" w:line="240" w:lineRule="auto"/>
      <w:jc w:val="right"/>
    </w:pPr>
    <w:rPr>
      <w:rFonts w:ascii="Times New Roman" w:eastAsia="Times New Roman" w:hAnsi="Times New Roman" w:cs="Times New Roman"/>
      <w:sz w:val="16"/>
      <w:szCs w:val="24"/>
      <w:lang w:val="en-GB" w:eastAsia="en-GB"/>
    </w:rPr>
  </w:style>
  <w:style w:type="paragraph" w:customStyle="1" w:styleId="bodystrongright">
    <w:name w:val="body strong right"/>
    <w:basedOn w:val="bodystrong"/>
    <w:rsid w:val="00F47B80"/>
    <w:pPr>
      <w:jc w:val="right"/>
    </w:pPr>
  </w:style>
  <w:style w:type="paragraph" w:customStyle="1" w:styleId="bodyright">
    <w:name w:val="body right"/>
    <w:basedOn w:val="body0"/>
    <w:rsid w:val="00F47B80"/>
    <w:pPr>
      <w:jc w:val="right"/>
    </w:pPr>
  </w:style>
  <w:style w:type="character" w:customStyle="1" w:styleId="tlid-translation">
    <w:name w:val="tlid-translation"/>
    <w:rsid w:val="00F47B80"/>
  </w:style>
  <w:style w:type="character" w:customStyle="1" w:styleId="spar">
    <w:name w:val="s_par"/>
    <w:rsid w:val="00F47B80"/>
  </w:style>
  <w:style w:type="table" w:customStyle="1" w:styleId="TableGrid19">
    <w:name w:val="Table Grid19"/>
    <w:basedOn w:val="TableNormal"/>
    <w:next w:val="TableGrid"/>
    <w:uiPriority w:val="39"/>
    <w:rsid w:val="00F47B80"/>
    <w:pPr>
      <w:spacing w:after="0" w:line="240" w:lineRule="auto"/>
    </w:pPr>
    <w:rPr>
      <w:rFonts w:ascii="Arial" w:eastAsia="Calibri"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F47B80"/>
  </w:style>
  <w:style w:type="numbering" w:customStyle="1" w:styleId="Stilimportat1121">
    <w:name w:val="Stil importat 1121"/>
    <w:rsid w:val="002D1DB0"/>
  </w:style>
  <w:style w:type="numbering" w:customStyle="1" w:styleId="ImportedStyle151">
    <w:name w:val="Imported Style 151"/>
    <w:rsid w:val="002D1DB0"/>
  </w:style>
  <w:style w:type="table" w:customStyle="1" w:styleId="TableGrid27">
    <w:name w:val="Table Grid27"/>
    <w:basedOn w:val="TableNormal"/>
    <w:next w:val="TableGrid"/>
    <w:uiPriority w:val="39"/>
    <w:rsid w:val="002D1DB0"/>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52">
    <w:name w:val="Imported Style 8252"/>
    <w:rsid w:val="002D1DB0"/>
  </w:style>
  <w:style w:type="numbering" w:customStyle="1" w:styleId="ImportedStyle8352">
    <w:name w:val="Imported Style 8352"/>
    <w:rsid w:val="002D1DB0"/>
  </w:style>
  <w:style w:type="numbering" w:customStyle="1" w:styleId="ImportedStyle11453">
    <w:name w:val="Imported Style 11453"/>
    <w:rsid w:val="002D1DB0"/>
  </w:style>
  <w:style w:type="numbering" w:customStyle="1" w:styleId="ImportedStyle11562">
    <w:name w:val="Imported Style 11562"/>
    <w:rsid w:val="002D1DB0"/>
  </w:style>
  <w:style w:type="numbering" w:customStyle="1" w:styleId="ImportedStyle11652">
    <w:name w:val="Imported Style 11652"/>
    <w:rsid w:val="002D1DB0"/>
  </w:style>
  <w:style w:type="numbering" w:customStyle="1" w:styleId="ImportedStyle252">
    <w:name w:val="Imported Style 252"/>
    <w:rsid w:val="002D1DB0"/>
  </w:style>
  <w:style w:type="numbering" w:customStyle="1" w:styleId="Stilimportat251">
    <w:name w:val="Stil importat 251"/>
    <w:rsid w:val="002D1DB0"/>
  </w:style>
  <w:style w:type="numbering" w:customStyle="1" w:styleId="ImportedStyle78231">
    <w:name w:val="Imported Style 78231"/>
    <w:rsid w:val="002D1DB0"/>
  </w:style>
  <w:style w:type="numbering" w:customStyle="1" w:styleId="ImportedStyle115621">
    <w:name w:val="Imported Style 115621"/>
    <w:rsid w:val="002D1DB0"/>
  </w:style>
  <w:style w:type="numbering" w:customStyle="1" w:styleId="ImportedStyle352">
    <w:name w:val="Imported Style 352"/>
    <w:rsid w:val="002D1DB0"/>
  </w:style>
  <w:style w:type="numbering" w:customStyle="1" w:styleId="Stilimportat152">
    <w:name w:val="Stil importat 152"/>
    <w:rsid w:val="002D1DB0"/>
  </w:style>
  <w:style w:type="numbering" w:customStyle="1" w:styleId="ImportedStyle7802311">
    <w:name w:val="Imported Style 78.02311"/>
    <w:rsid w:val="002D1DB0"/>
  </w:style>
  <w:style w:type="numbering" w:customStyle="1" w:styleId="ImportedStyle803211">
    <w:name w:val="Imported Style 803211"/>
    <w:rsid w:val="002D1DB0"/>
  </w:style>
  <w:style w:type="numbering" w:customStyle="1" w:styleId="ImportedStyle82211111">
    <w:name w:val="Imported Style 82211111"/>
    <w:rsid w:val="002D1DB0"/>
  </w:style>
  <w:style w:type="table" w:customStyle="1" w:styleId="TableGrid20">
    <w:name w:val="Table Grid20"/>
    <w:basedOn w:val="TableNormal"/>
    <w:next w:val="TableGrid"/>
    <w:uiPriority w:val="39"/>
    <w:rsid w:val="00D74AA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69177C"/>
    <w:rPr>
      <w:rFonts w:asciiTheme="majorHAnsi" w:eastAsiaTheme="majorEastAsia" w:hAnsiTheme="majorHAnsi" w:cstheme="majorBidi"/>
      <w:color w:val="1F4D78" w:themeColor="accent1" w:themeShade="7F"/>
      <w:lang w:val="en-GB"/>
    </w:rPr>
  </w:style>
  <w:style w:type="character" w:customStyle="1" w:styleId="Heading7Char">
    <w:name w:val="Heading 7 Char"/>
    <w:basedOn w:val="DefaultParagraphFont"/>
    <w:link w:val="Heading7"/>
    <w:uiPriority w:val="9"/>
    <w:semiHidden/>
    <w:rsid w:val="0069177C"/>
    <w:rPr>
      <w:rFonts w:asciiTheme="majorHAnsi" w:eastAsiaTheme="majorEastAsia" w:hAnsiTheme="majorHAnsi" w:cstheme="majorBidi"/>
      <w:i/>
      <w:iCs/>
      <w:color w:val="1F4D78" w:themeColor="accent1" w:themeShade="7F"/>
      <w:lang w:val="en-GB"/>
    </w:rPr>
  </w:style>
  <w:style w:type="character" w:customStyle="1" w:styleId="Heading8Char">
    <w:name w:val="Heading 8 Char"/>
    <w:basedOn w:val="DefaultParagraphFont"/>
    <w:link w:val="Heading8"/>
    <w:uiPriority w:val="9"/>
    <w:semiHidden/>
    <w:rsid w:val="0069177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69177C"/>
    <w:rPr>
      <w:rFonts w:asciiTheme="majorHAnsi" w:eastAsiaTheme="majorEastAsia" w:hAnsiTheme="majorHAnsi" w:cstheme="majorBidi"/>
      <w:i/>
      <w:iCs/>
      <w:color w:val="272727" w:themeColor="text1" w:themeTint="D8"/>
      <w:sz w:val="21"/>
      <w:szCs w:val="21"/>
      <w:lang w:val="en-GB"/>
    </w:rPr>
  </w:style>
  <w:style w:type="paragraph" w:customStyle="1" w:styleId="paragraph">
    <w:name w:val="paragraph"/>
    <w:basedOn w:val="Normal"/>
    <w:rsid w:val="0069177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69177C"/>
  </w:style>
  <w:style w:type="character" w:customStyle="1" w:styleId="spellingerror">
    <w:name w:val="spellingerror"/>
    <w:basedOn w:val="DefaultParagraphFont"/>
    <w:rsid w:val="0069177C"/>
  </w:style>
  <w:style w:type="character" w:customStyle="1" w:styleId="eop">
    <w:name w:val="eop"/>
    <w:basedOn w:val="DefaultParagraphFont"/>
    <w:rsid w:val="0069177C"/>
  </w:style>
  <w:style w:type="table" w:customStyle="1" w:styleId="TableGrid23">
    <w:name w:val="Table Grid23"/>
    <w:basedOn w:val="TableNormal"/>
    <w:next w:val="TableGrid"/>
    <w:uiPriority w:val="39"/>
    <w:rsid w:val="008623C0"/>
    <w:pPr>
      <w:spacing w:after="0" w:line="240" w:lineRule="auto"/>
    </w:pPr>
    <w:rPr>
      <w:rFonts w:eastAsia="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B4CDC"/>
  </w:style>
  <w:style w:type="character" w:customStyle="1" w:styleId="il">
    <w:name w:val="il"/>
    <w:basedOn w:val="DefaultParagraphFont"/>
    <w:rsid w:val="008B4CDC"/>
  </w:style>
  <w:style w:type="paragraph" w:styleId="IntenseQuote">
    <w:name w:val="Intense Quote"/>
    <w:basedOn w:val="Normal"/>
    <w:next w:val="Normal"/>
    <w:link w:val="IntenseQuoteChar"/>
    <w:uiPriority w:val="30"/>
    <w:qFormat/>
    <w:rsid w:val="008B4CDC"/>
    <w:pPr>
      <w:pBdr>
        <w:bottom w:val="single" w:sz="4" w:space="4" w:color="5B9BD5" w:themeColor="accent1"/>
      </w:pBdr>
      <w:spacing w:before="200" w:after="280" w:line="276" w:lineRule="auto"/>
      <w:ind w:left="936" w:right="936"/>
    </w:pPr>
    <w:rPr>
      <w:b/>
      <w:bCs/>
      <w:i/>
      <w:iCs/>
      <w:color w:val="5B9BD5" w:themeColor="accent1"/>
      <w:lang w:val="en-US"/>
    </w:rPr>
  </w:style>
  <w:style w:type="character" w:customStyle="1" w:styleId="IntenseQuoteChar">
    <w:name w:val="Intense Quote Char"/>
    <w:basedOn w:val="DefaultParagraphFont"/>
    <w:link w:val="IntenseQuote"/>
    <w:uiPriority w:val="30"/>
    <w:rsid w:val="008B4CDC"/>
    <w:rPr>
      <w:b/>
      <w:bCs/>
      <w:i/>
      <w:iCs/>
      <w:color w:val="5B9BD5" w:themeColor="accent1"/>
      <w:lang w:val="en-US"/>
    </w:rPr>
  </w:style>
  <w:style w:type="character" w:customStyle="1" w:styleId="st1">
    <w:name w:val="st1"/>
    <w:basedOn w:val="DefaultParagraphFont"/>
    <w:rsid w:val="008B4CDC"/>
  </w:style>
  <w:style w:type="paragraph" w:customStyle="1" w:styleId="Style1">
    <w:name w:val="Style1"/>
    <w:basedOn w:val="Normal"/>
    <w:link w:val="Style1Char"/>
    <w:qFormat/>
    <w:rsid w:val="008B4CDC"/>
    <w:pPr>
      <w:spacing w:after="200" w:line="276" w:lineRule="auto"/>
      <w:ind w:left="360"/>
      <w:jc w:val="both"/>
    </w:pPr>
    <w:rPr>
      <w:rFonts w:ascii="Times New Roman" w:hAnsi="Times New Roman"/>
      <w:color w:val="000000"/>
      <w:sz w:val="24"/>
      <w:szCs w:val="24"/>
    </w:rPr>
  </w:style>
  <w:style w:type="character" w:styleId="IntenseEmphasis">
    <w:name w:val="Intense Emphasis"/>
    <w:basedOn w:val="DefaultParagraphFont"/>
    <w:uiPriority w:val="21"/>
    <w:qFormat/>
    <w:rsid w:val="008B4CDC"/>
    <w:rPr>
      <w:b/>
      <w:bCs/>
      <w:i/>
      <w:iCs/>
      <w:color w:val="5B9BD5" w:themeColor="accent1"/>
    </w:rPr>
  </w:style>
  <w:style w:type="character" w:customStyle="1" w:styleId="Style1Char">
    <w:name w:val="Style1 Char"/>
    <w:basedOn w:val="DefaultParagraphFont"/>
    <w:link w:val="Style1"/>
    <w:rsid w:val="008B4CDC"/>
    <w:rPr>
      <w:rFonts w:ascii="Times New Roman" w:hAnsi="Times New Roman"/>
      <w:color w:val="000000"/>
      <w:sz w:val="24"/>
      <w:szCs w:val="24"/>
    </w:rPr>
  </w:style>
  <w:style w:type="paragraph" w:customStyle="1" w:styleId="m-8849048667240634319gmail-msolistparagraph">
    <w:name w:val="m_-8849048667240634319gmail-msolistparagraph"/>
    <w:basedOn w:val="Normal"/>
    <w:rsid w:val="008B4C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ms">
    <w:name w:val="ams"/>
    <w:basedOn w:val="DefaultParagraphFont"/>
    <w:rsid w:val="008B4CDC"/>
  </w:style>
  <w:style w:type="character" w:customStyle="1" w:styleId="hps">
    <w:name w:val="hps"/>
    <w:rsid w:val="008B4CDC"/>
  </w:style>
  <w:style w:type="character" w:customStyle="1" w:styleId="element-invisible">
    <w:name w:val="element-invisible"/>
    <w:basedOn w:val="DefaultParagraphFont"/>
    <w:rsid w:val="008B4CDC"/>
  </w:style>
  <w:style w:type="character" w:customStyle="1" w:styleId="hb">
    <w:name w:val="hb"/>
    <w:basedOn w:val="DefaultParagraphFont"/>
    <w:rsid w:val="008B4CDC"/>
  </w:style>
  <w:style w:type="character" w:customStyle="1" w:styleId="g2">
    <w:name w:val="g2"/>
    <w:basedOn w:val="DefaultParagraphFont"/>
    <w:rsid w:val="008B4CDC"/>
  </w:style>
  <w:style w:type="numbering" w:customStyle="1" w:styleId="Stilimportat3411">
    <w:name w:val="Stil importat 3411"/>
    <w:rsid w:val="007D7981"/>
  </w:style>
  <w:style w:type="numbering" w:customStyle="1" w:styleId="Stilimportat4411">
    <w:name w:val="Stil importat 4411"/>
    <w:rsid w:val="007D7981"/>
    <w:pPr>
      <w:numPr>
        <w:numId w:val="69"/>
      </w:numPr>
    </w:pPr>
  </w:style>
  <w:style w:type="character" w:customStyle="1" w:styleId="markedcontent">
    <w:name w:val="markedcontent"/>
    <w:basedOn w:val="DefaultParagraphFont"/>
    <w:rsid w:val="00724D2E"/>
  </w:style>
  <w:style w:type="character" w:customStyle="1" w:styleId="highlight">
    <w:name w:val="highlight"/>
    <w:basedOn w:val="DefaultParagraphFont"/>
    <w:rsid w:val="00724D2E"/>
  </w:style>
  <w:style w:type="paragraph" w:customStyle="1" w:styleId="alignmentl">
    <w:name w:val="alignment_l"/>
    <w:basedOn w:val="Normal"/>
    <w:rsid w:val="007B3FC6"/>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Title1">
    <w:name w:val="Title1"/>
    <w:basedOn w:val="Normal"/>
    <w:rsid w:val="00543C1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sc">
    <w:name w:val="desc"/>
    <w:basedOn w:val="Normal"/>
    <w:rsid w:val="00543C1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tails">
    <w:name w:val="details"/>
    <w:basedOn w:val="Normal"/>
    <w:rsid w:val="00543C1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rnl">
    <w:name w:val="jrnl"/>
    <w:basedOn w:val="DefaultParagraphFont"/>
    <w:rsid w:val="00543C11"/>
  </w:style>
  <w:style w:type="character" w:styleId="HTMLCite">
    <w:name w:val="HTML Cite"/>
    <w:basedOn w:val="DefaultParagraphFont"/>
    <w:uiPriority w:val="99"/>
    <w:semiHidden/>
    <w:unhideWhenUsed/>
    <w:rsid w:val="00543C11"/>
    <w:rPr>
      <w:i/>
      <w:iCs/>
    </w:rPr>
  </w:style>
  <w:style w:type="character" w:customStyle="1" w:styleId="A8">
    <w:name w:val="A8"/>
    <w:uiPriority w:val="99"/>
    <w:rsid w:val="00543C11"/>
    <w:rPr>
      <w:rFonts w:cs="Sabon"/>
      <w:color w:val="0080AC"/>
      <w:sz w:val="14"/>
      <w:szCs w:val="14"/>
    </w:rPr>
  </w:style>
  <w:style w:type="character" w:customStyle="1" w:styleId="u-font-serif">
    <w:name w:val="u-font-serif"/>
    <w:basedOn w:val="DefaultParagraphFont"/>
    <w:rsid w:val="003913BC"/>
  </w:style>
  <w:style w:type="character" w:customStyle="1" w:styleId="html-italic">
    <w:name w:val="html-italic"/>
    <w:basedOn w:val="DefaultParagraphFont"/>
    <w:rsid w:val="003913BC"/>
  </w:style>
  <w:style w:type="numbering" w:customStyle="1" w:styleId="Stilimportat11211">
    <w:name w:val="Stil importat 11211"/>
    <w:rsid w:val="005D3C7A"/>
  </w:style>
  <w:style w:type="numbering" w:customStyle="1" w:styleId="ImportedStyle1511">
    <w:name w:val="Imported Style 1511"/>
    <w:rsid w:val="005D3C7A"/>
  </w:style>
  <w:style w:type="table" w:customStyle="1" w:styleId="TableGrid271">
    <w:name w:val="Table Grid271"/>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2521">
    <w:name w:val="Imported Style 82521"/>
    <w:rsid w:val="005D3C7A"/>
  </w:style>
  <w:style w:type="numbering" w:customStyle="1" w:styleId="ImportedStyle83521">
    <w:name w:val="Imported Style 83521"/>
    <w:rsid w:val="005D3C7A"/>
  </w:style>
  <w:style w:type="numbering" w:customStyle="1" w:styleId="ImportedStyle114531">
    <w:name w:val="Imported Style 114531"/>
    <w:rsid w:val="005D3C7A"/>
  </w:style>
  <w:style w:type="numbering" w:customStyle="1" w:styleId="ImportedStyle116521">
    <w:name w:val="Imported Style 116521"/>
    <w:rsid w:val="005D3C7A"/>
  </w:style>
  <w:style w:type="numbering" w:customStyle="1" w:styleId="ImportedStyle2521">
    <w:name w:val="Imported Style 2521"/>
    <w:rsid w:val="005D3C7A"/>
  </w:style>
  <w:style w:type="numbering" w:customStyle="1" w:styleId="ImportedStyle3521">
    <w:name w:val="Imported Style 3521"/>
    <w:rsid w:val="005D3C7A"/>
  </w:style>
  <w:style w:type="numbering" w:customStyle="1" w:styleId="Stilimportat1521">
    <w:name w:val="Stil importat 1521"/>
    <w:rsid w:val="005D3C7A"/>
  </w:style>
  <w:style w:type="numbering" w:customStyle="1" w:styleId="ImportedStyle1156211">
    <w:name w:val="Imported Style 1156211"/>
    <w:rsid w:val="005D3C7A"/>
  </w:style>
  <w:style w:type="numbering" w:customStyle="1" w:styleId="NoList16">
    <w:name w:val="No List16"/>
    <w:next w:val="NoList"/>
    <w:uiPriority w:val="99"/>
    <w:semiHidden/>
    <w:unhideWhenUsed/>
    <w:rsid w:val="005D3C7A"/>
  </w:style>
  <w:style w:type="table" w:customStyle="1" w:styleId="TableGrid24">
    <w:name w:val="Table Grid24"/>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Anchor">
    <w:name w:val="Footnote Anchor"/>
    <w:rsid w:val="005D3C7A"/>
    <w:rPr>
      <w:vertAlign w:val="superscript"/>
    </w:rPr>
  </w:style>
  <w:style w:type="paragraph" w:customStyle="1" w:styleId="TableContents">
    <w:name w:val="Table Contents"/>
    <w:basedOn w:val="Normal"/>
    <w:rsid w:val="005D3C7A"/>
    <w:pPr>
      <w:suppressAutoHyphens/>
      <w:spacing w:after="200" w:line="276" w:lineRule="auto"/>
    </w:pPr>
    <w:rPr>
      <w:rFonts w:ascii="Calibri" w:eastAsia="Times New Roman" w:hAnsi="Calibri" w:cs="Times New Roman"/>
      <w:color w:val="00000A"/>
      <w:lang w:val="en-US"/>
    </w:rPr>
  </w:style>
  <w:style w:type="paragraph" w:customStyle="1" w:styleId="TableHeading">
    <w:name w:val="Table Heading"/>
    <w:basedOn w:val="TableContents"/>
    <w:rsid w:val="005D3C7A"/>
  </w:style>
  <w:style w:type="paragraph" w:customStyle="1" w:styleId="Footnote">
    <w:name w:val="Footnote"/>
    <w:basedOn w:val="Normal"/>
    <w:rsid w:val="005D3C7A"/>
    <w:pPr>
      <w:suppressAutoHyphens/>
      <w:spacing w:after="200" w:line="276" w:lineRule="auto"/>
    </w:pPr>
    <w:rPr>
      <w:rFonts w:ascii="Calibri" w:eastAsia="Times New Roman" w:hAnsi="Calibri" w:cs="Times New Roman"/>
      <w:color w:val="00000A"/>
      <w:lang w:val="en-US"/>
    </w:rPr>
  </w:style>
  <w:style w:type="paragraph" w:customStyle="1" w:styleId="HeaderFooter">
    <w:name w:val="Header &amp; Footer"/>
    <w:rsid w:val="005D3C7A"/>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val="en-US"/>
    </w:rPr>
  </w:style>
  <w:style w:type="paragraph" w:customStyle="1" w:styleId="Listparagraf1">
    <w:name w:val="Listă paragraf1"/>
    <w:basedOn w:val="Normal"/>
    <w:rsid w:val="005D3C7A"/>
    <w:pPr>
      <w:spacing w:after="0" w:line="240" w:lineRule="auto"/>
      <w:ind w:left="720"/>
      <w:contextualSpacing/>
    </w:pPr>
    <w:rPr>
      <w:rFonts w:ascii="Times New Roman" w:eastAsia="Calibri" w:hAnsi="Times New Roman" w:cs="Times New Roman"/>
      <w:sz w:val="24"/>
      <w:szCs w:val="24"/>
      <w:lang w:eastAsia="ro-RO"/>
    </w:rPr>
  </w:style>
  <w:style w:type="character" w:customStyle="1" w:styleId="st">
    <w:name w:val="st"/>
    <w:basedOn w:val="DefaultParagraphFont"/>
    <w:rsid w:val="005D3C7A"/>
  </w:style>
  <w:style w:type="numbering" w:customStyle="1" w:styleId="NoList17">
    <w:name w:val="No List17"/>
    <w:next w:val="NoList"/>
    <w:uiPriority w:val="99"/>
    <w:semiHidden/>
    <w:unhideWhenUsed/>
    <w:rsid w:val="005D3C7A"/>
  </w:style>
  <w:style w:type="table" w:customStyle="1" w:styleId="TableGrid110">
    <w:name w:val="Table Grid110"/>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5D3C7A"/>
  </w:style>
  <w:style w:type="numbering" w:customStyle="1" w:styleId="NoList33">
    <w:name w:val="No List33"/>
    <w:next w:val="NoList"/>
    <w:uiPriority w:val="99"/>
    <w:semiHidden/>
    <w:unhideWhenUsed/>
    <w:rsid w:val="005D3C7A"/>
  </w:style>
  <w:style w:type="numbering" w:customStyle="1" w:styleId="NoList43">
    <w:name w:val="No List43"/>
    <w:next w:val="NoList"/>
    <w:uiPriority w:val="99"/>
    <w:semiHidden/>
    <w:unhideWhenUsed/>
    <w:rsid w:val="005D3C7A"/>
  </w:style>
  <w:style w:type="numbering" w:customStyle="1" w:styleId="NoList53">
    <w:name w:val="No List53"/>
    <w:next w:val="NoList"/>
    <w:uiPriority w:val="99"/>
    <w:semiHidden/>
    <w:unhideWhenUsed/>
    <w:rsid w:val="005D3C7A"/>
  </w:style>
  <w:style w:type="paragraph" w:styleId="BodyText2">
    <w:name w:val="Body Text 2"/>
    <w:basedOn w:val="Normal"/>
    <w:link w:val="BodyText2Char"/>
    <w:rsid w:val="005D3C7A"/>
    <w:pPr>
      <w:spacing w:after="0" w:line="240" w:lineRule="auto"/>
      <w:jc w:val="both"/>
    </w:pPr>
    <w:rPr>
      <w:rFonts w:ascii="Arial" w:eastAsia="Times New Roman" w:hAnsi="Arial" w:cs="Times New Roman"/>
      <w:sz w:val="24"/>
      <w:szCs w:val="20"/>
      <w:lang w:val="fr-FR"/>
    </w:rPr>
  </w:style>
  <w:style w:type="character" w:customStyle="1" w:styleId="BodyText2Char">
    <w:name w:val="Body Text 2 Char"/>
    <w:basedOn w:val="DefaultParagraphFont"/>
    <w:link w:val="BodyText2"/>
    <w:rsid w:val="005D3C7A"/>
    <w:rPr>
      <w:rFonts w:ascii="Arial" w:eastAsia="Times New Roman" w:hAnsi="Arial" w:cs="Times New Roman"/>
      <w:sz w:val="24"/>
      <w:szCs w:val="20"/>
      <w:lang w:val="fr-FR"/>
    </w:rPr>
  </w:style>
  <w:style w:type="paragraph" w:styleId="BodyText3">
    <w:name w:val="Body Text 3"/>
    <w:basedOn w:val="Normal"/>
    <w:link w:val="BodyText3Char"/>
    <w:rsid w:val="005D3C7A"/>
    <w:pPr>
      <w:spacing w:after="0" w:line="240" w:lineRule="auto"/>
      <w:jc w:val="both"/>
    </w:pPr>
    <w:rPr>
      <w:rFonts w:ascii="Arial" w:eastAsia="Times New Roman" w:hAnsi="Arial" w:cs="Times New Roman"/>
      <w:i/>
      <w:sz w:val="24"/>
      <w:szCs w:val="20"/>
      <w:lang w:val="fr-FR"/>
    </w:rPr>
  </w:style>
  <w:style w:type="character" w:customStyle="1" w:styleId="BodyText3Char">
    <w:name w:val="Body Text 3 Char"/>
    <w:basedOn w:val="DefaultParagraphFont"/>
    <w:link w:val="BodyText3"/>
    <w:rsid w:val="005D3C7A"/>
    <w:rPr>
      <w:rFonts w:ascii="Arial" w:eastAsia="Times New Roman" w:hAnsi="Arial" w:cs="Times New Roman"/>
      <w:i/>
      <w:sz w:val="24"/>
      <w:szCs w:val="20"/>
      <w:lang w:val="fr-FR"/>
    </w:rPr>
  </w:style>
  <w:style w:type="paragraph" w:styleId="EndnoteText">
    <w:name w:val="endnote text"/>
    <w:basedOn w:val="Normal"/>
    <w:link w:val="EndnoteTextChar"/>
    <w:semiHidden/>
    <w:rsid w:val="005D3C7A"/>
    <w:pPr>
      <w:overflowPunct w:val="0"/>
      <w:autoSpaceDE w:val="0"/>
      <w:autoSpaceDN w:val="0"/>
      <w:adjustRightInd w:val="0"/>
      <w:spacing w:after="0" w:line="360" w:lineRule="auto"/>
      <w:ind w:left="227" w:hanging="227"/>
      <w:jc w:val="both"/>
      <w:textAlignment w:val="baseline"/>
    </w:pPr>
    <w:rPr>
      <w:rFonts w:ascii="Verdana" w:eastAsia="Times New Roman" w:hAnsi="Verdana" w:cs="Times New Roman"/>
      <w:spacing w:val="8"/>
      <w:sz w:val="18"/>
      <w:szCs w:val="20"/>
      <w:lang w:val="en-GB" w:eastAsia="da-DK"/>
    </w:rPr>
  </w:style>
  <w:style w:type="character" w:customStyle="1" w:styleId="EndnoteTextChar">
    <w:name w:val="Endnote Text Char"/>
    <w:basedOn w:val="DefaultParagraphFont"/>
    <w:link w:val="EndnoteText"/>
    <w:semiHidden/>
    <w:rsid w:val="005D3C7A"/>
    <w:rPr>
      <w:rFonts w:ascii="Verdana" w:eastAsia="Times New Roman" w:hAnsi="Verdana" w:cs="Times New Roman"/>
      <w:spacing w:val="8"/>
      <w:sz w:val="18"/>
      <w:szCs w:val="20"/>
      <w:lang w:val="en-GB" w:eastAsia="da-DK"/>
    </w:rPr>
  </w:style>
  <w:style w:type="character" w:styleId="EndnoteReference">
    <w:name w:val="endnote reference"/>
    <w:semiHidden/>
    <w:rsid w:val="005D3C7A"/>
    <w:rPr>
      <w:vertAlign w:val="superscript"/>
    </w:rPr>
  </w:style>
  <w:style w:type="paragraph" w:customStyle="1" w:styleId="CM2">
    <w:name w:val="CM2"/>
    <w:basedOn w:val="Normal"/>
    <w:next w:val="Normal"/>
    <w:rsid w:val="005D3C7A"/>
    <w:pPr>
      <w:widowControl w:val="0"/>
      <w:autoSpaceDE w:val="0"/>
      <w:autoSpaceDN w:val="0"/>
      <w:adjustRightInd w:val="0"/>
      <w:spacing w:after="0" w:line="253" w:lineRule="atLeast"/>
    </w:pPr>
    <w:rPr>
      <w:rFonts w:ascii="Arial" w:eastAsia="Times New Roman" w:hAnsi="Arial" w:cs="Arial"/>
      <w:sz w:val="24"/>
      <w:szCs w:val="24"/>
      <w:lang w:val="en-US"/>
    </w:rPr>
  </w:style>
  <w:style w:type="paragraph" w:customStyle="1" w:styleId="CM11">
    <w:name w:val="CM11"/>
    <w:basedOn w:val="Normal"/>
    <w:next w:val="Normal"/>
    <w:rsid w:val="005D3C7A"/>
    <w:pPr>
      <w:widowControl w:val="0"/>
      <w:autoSpaceDE w:val="0"/>
      <w:autoSpaceDN w:val="0"/>
      <w:adjustRightInd w:val="0"/>
      <w:spacing w:after="0" w:line="540" w:lineRule="atLeast"/>
    </w:pPr>
    <w:rPr>
      <w:rFonts w:ascii="Times New Roman" w:eastAsia="Times New Roman" w:hAnsi="Times New Roman" w:cs="Times New Roman"/>
      <w:sz w:val="24"/>
      <w:szCs w:val="24"/>
      <w:lang w:val="en-US"/>
    </w:rPr>
  </w:style>
  <w:style w:type="paragraph" w:customStyle="1" w:styleId="CM13">
    <w:name w:val="CM13"/>
    <w:basedOn w:val="Default"/>
    <w:next w:val="Default"/>
    <w:rsid w:val="005D3C7A"/>
    <w:pPr>
      <w:widowControl w:val="0"/>
      <w:spacing w:after="273"/>
    </w:pPr>
    <w:rPr>
      <w:rFonts w:ascii="Times New Roman" w:eastAsia="Times New Roman" w:hAnsi="Times New Roman" w:cs="Times New Roman"/>
      <w:color w:val="auto"/>
    </w:rPr>
  </w:style>
  <w:style w:type="paragraph" w:customStyle="1" w:styleId="CM15">
    <w:name w:val="CM15"/>
    <w:basedOn w:val="Default"/>
    <w:next w:val="Default"/>
    <w:rsid w:val="005D3C7A"/>
    <w:pPr>
      <w:widowControl w:val="0"/>
      <w:spacing w:after="530"/>
    </w:pPr>
    <w:rPr>
      <w:rFonts w:ascii="Times New Roman" w:eastAsia="Times New Roman" w:hAnsi="Times New Roman" w:cs="Times New Roman"/>
      <w:color w:val="auto"/>
    </w:rPr>
  </w:style>
  <w:style w:type="paragraph" w:customStyle="1" w:styleId="CM14">
    <w:name w:val="CM14"/>
    <w:basedOn w:val="Default"/>
    <w:next w:val="Default"/>
    <w:rsid w:val="005D3C7A"/>
    <w:pPr>
      <w:widowControl w:val="0"/>
      <w:spacing w:after="810"/>
    </w:pPr>
    <w:rPr>
      <w:rFonts w:ascii="Times New Roman" w:eastAsia="Times New Roman" w:hAnsi="Times New Roman" w:cs="Times New Roman"/>
      <w:color w:val="auto"/>
    </w:rPr>
  </w:style>
  <w:style w:type="paragraph" w:customStyle="1" w:styleId="gmail-normal">
    <w:name w:val="gmail-normal"/>
    <w:basedOn w:val="Normal"/>
    <w:rsid w:val="005D3C7A"/>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DepartamentIT">
    <w:name w:val="Departament IT"/>
    <w:semiHidden/>
    <w:rsid w:val="005D3C7A"/>
    <w:rPr>
      <w:rFonts w:ascii="Arial" w:hAnsi="Arial" w:cs="Arial"/>
      <w:b w:val="0"/>
      <w:bCs w:val="0"/>
      <w:i w:val="0"/>
      <w:iCs w:val="0"/>
      <w:strike w:val="0"/>
      <w:color w:val="000080"/>
      <w:sz w:val="22"/>
      <w:szCs w:val="22"/>
      <w:u w:val="none"/>
    </w:rPr>
  </w:style>
  <w:style w:type="paragraph" w:styleId="PlainText">
    <w:name w:val="Plain Text"/>
    <w:basedOn w:val="Normal"/>
    <w:link w:val="PlainTextChar"/>
    <w:rsid w:val="005D3C7A"/>
    <w:pPr>
      <w:spacing w:after="0" w:line="240" w:lineRule="auto"/>
    </w:pPr>
    <w:rPr>
      <w:rFonts w:ascii="Arial" w:eastAsia="Times New Roman" w:hAnsi="Arial" w:cs="Arial"/>
      <w:color w:val="000080"/>
      <w:lang w:val="en-US"/>
    </w:rPr>
  </w:style>
  <w:style w:type="character" w:customStyle="1" w:styleId="PlainTextChar">
    <w:name w:val="Plain Text Char"/>
    <w:basedOn w:val="DefaultParagraphFont"/>
    <w:link w:val="PlainText"/>
    <w:rsid w:val="005D3C7A"/>
    <w:rPr>
      <w:rFonts w:ascii="Arial" w:eastAsia="Times New Roman" w:hAnsi="Arial" w:cs="Arial"/>
      <w:color w:val="000080"/>
      <w:lang w:val="en-US"/>
    </w:rPr>
  </w:style>
  <w:style w:type="character" w:styleId="LineNumber">
    <w:name w:val="line number"/>
    <w:basedOn w:val="DefaultParagraphFont"/>
    <w:rsid w:val="005D3C7A"/>
  </w:style>
  <w:style w:type="paragraph" w:customStyle="1" w:styleId="al">
    <w:name w:val="a_l"/>
    <w:rsid w:val="005D3C7A"/>
    <w:pPr>
      <w:pBdr>
        <w:top w:val="nil"/>
        <w:left w:val="nil"/>
        <w:bottom w:val="nil"/>
        <w:right w:val="nil"/>
        <w:between w:val="nil"/>
        <w:bar w:val="nil"/>
      </w:pBdr>
      <w:spacing w:before="100" w:after="100" w:line="240" w:lineRule="auto"/>
    </w:pPr>
    <w:rPr>
      <w:rFonts w:ascii="Times New Roman" w:eastAsia="Times New Roman" w:hAnsi="Times New Roman" w:cs="Times New Roman"/>
      <w:color w:val="000000"/>
      <w:sz w:val="24"/>
      <w:szCs w:val="24"/>
      <w:u w:color="000000"/>
      <w:bdr w:val="nil"/>
      <w:lang w:val="en-US" w:eastAsia="ro-RO"/>
    </w:rPr>
  </w:style>
  <w:style w:type="numbering" w:customStyle="1" w:styleId="ImportedStyle111">
    <w:name w:val="Imported Style 111"/>
    <w:rsid w:val="005D3C7A"/>
  </w:style>
  <w:style w:type="numbering" w:customStyle="1" w:styleId="ImportedStyle311">
    <w:name w:val="Imported Style 311"/>
    <w:rsid w:val="005D3C7A"/>
  </w:style>
  <w:style w:type="numbering" w:customStyle="1" w:styleId="ImportedStyle44">
    <w:name w:val="Imported Style 44"/>
    <w:rsid w:val="005D3C7A"/>
  </w:style>
  <w:style w:type="paragraph" w:customStyle="1" w:styleId="Table">
    <w:name w:val="Table"/>
    <w:aliases w:val="9 pt,10 pt  Bold,10 pt,table text 10 pt + Arial,Bold,Normal + (Latin) Arial,(Complex) Arial,9 pt Char Char,9pt,9,legendpt,Table pt,Normal + Courier New,Courier New,Not Bold,Text + Courier New,legendt,After:  1 pt,Line spacing:  Exactly 9 pt"/>
    <w:basedOn w:val="Normal"/>
    <w:link w:val="TableChar"/>
    <w:qFormat/>
    <w:rsid w:val="005D3C7A"/>
    <w:pPr>
      <w:keepLines/>
      <w:tabs>
        <w:tab w:val="left" w:pos="284"/>
      </w:tabs>
      <w:spacing w:before="40" w:after="20" w:line="240" w:lineRule="auto"/>
    </w:pPr>
    <w:rPr>
      <w:rFonts w:ascii="Arial" w:eastAsia="MS Mincho" w:hAnsi="Arial" w:cs="Times New Roman"/>
      <w:snapToGrid w:val="0"/>
      <w:sz w:val="24"/>
      <w:szCs w:val="20"/>
      <w:lang w:val="x-none" w:eastAsia="x-none"/>
    </w:rPr>
  </w:style>
  <w:style w:type="character" w:customStyle="1" w:styleId="TableChar">
    <w:name w:val="Table Char"/>
    <w:aliases w:val="10 pt Char,10 pt  Bold Char,9 pt Char,9pt Char,9 Char,legendpt Char,table text 10 pt + Arial Char,Bold Char,Normal + (Latin) Arial Char,(Complex) Arial Char,Table pt Char,Normal + Courier New Char,After:  1 pt Char"/>
    <w:link w:val="Table"/>
    <w:locked/>
    <w:rsid w:val="005D3C7A"/>
    <w:rPr>
      <w:rFonts w:ascii="Arial" w:eastAsia="MS Mincho" w:hAnsi="Arial" w:cs="Times New Roman"/>
      <w:snapToGrid w:val="0"/>
      <w:sz w:val="24"/>
      <w:szCs w:val="20"/>
      <w:lang w:val="x-none" w:eastAsia="x-none"/>
    </w:rPr>
  </w:style>
  <w:style w:type="character" w:customStyle="1" w:styleId="ln2litera">
    <w:name w:val="ln2litera"/>
    <w:basedOn w:val="DefaultParagraphFont"/>
    <w:rsid w:val="005D3C7A"/>
  </w:style>
  <w:style w:type="character" w:customStyle="1" w:styleId="ln2tlitera">
    <w:name w:val="ln2tlitera"/>
    <w:basedOn w:val="DefaultParagraphFont"/>
    <w:rsid w:val="005D3C7A"/>
  </w:style>
  <w:style w:type="character" w:customStyle="1" w:styleId="ln2paragraf">
    <w:name w:val="ln2paragraf"/>
    <w:basedOn w:val="DefaultParagraphFont"/>
    <w:rsid w:val="005D3C7A"/>
  </w:style>
  <w:style w:type="character" w:customStyle="1" w:styleId="ln2tparagraf">
    <w:name w:val="ln2tparagraf"/>
    <w:basedOn w:val="DefaultParagraphFont"/>
    <w:rsid w:val="005D3C7A"/>
  </w:style>
  <w:style w:type="character" w:customStyle="1" w:styleId="psearchhighlight">
    <w:name w:val="psearchhighlight"/>
    <w:basedOn w:val="DefaultParagraphFont"/>
    <w:rsid w:val="005D3C7A"/>
  </w:style>
  <w:style w:type="paragraph" w:customStyle="1" w:styleId="Standard">
    <w:name w:val="Standard"/>
    <w:rsid w:val="005D3C7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numbering" w:customStyle="1" w:styleId="ImportedStyle783">
    <w:name w:val="Imported Style 783"/>
    <w:rsid w:val="005D3C7A"/>
  </w:style>
  <w:style w:type="numbering" w:customStyle="1" w:styleId="ImportedStyle7803">
    <w:name w:val="Imported Style 78.03"/>
    <w:rsid w:val="005D3C7A"/>
  </w:style>
  <w:style w:type="numbering" w:customStyle="1" w:styleId="ImportedStyle804">
    <w:name w:val="Imported Style 804"/>
    <w:rsid w:val="005D3C7A"/>
  </w:style>
  <w:style w:type="numbering" w:customStyle="1" w:styleId="ImportedStyle823">
    <w:name w:val="Imported Style 823"/>
    <w:rsid w:val="005D3C7A"/>
  </w:style>
  <w:style w:type="numbering" w:customStyle="1" w:styleId="ImportedStyle833">
    <w:name w:val="Imported Style 833"/>
    <w:rsid w:val="005D3C7A"/>
  </w:style>
  <w:style w:type="numbering" w:customStyle="1" w:styleId="ImportedStyle1143">
    <w:name w:val="Imported Style 1143"/>
    <w:rsid w:val="005D3C7A"/>
  </w:style>
  <w:style w:type="numbering" w:customStyle="1" w:styleId="ImportedStyle1154">
    <w:name w:val="Imported Style 1154"/>
    <w:rsid w:val="005D3C7A"/>
  </w:style>
  <w:style w:type="numbering" w:customStyle="1" w:styleId="ImportedStyle1163">
    <w:name w:val="Imported Style 1163"/>
    <w:rsid w:val="005D3C7A"/>
  </w:style>
  <w:style w:type="table" w:customStyle="1" w:styleId="TableNormal13">
    <w:name w:val="Table Normal13"/>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3">
    <w:name w:val="Imported Style 13"/>
    <w:rsid w:val="005D3C7A"/>
  </w:style>
  <w:style w:type="numbering" w:customStyle="1" w:styleId="ImportedStyle23">
    <w:name w:val="Imported Style 23"/>
    <w:rsid w:val="005D3C7A"/>
  </w:style>
  <w:style w:type="numbering" w:customStyle="1" w:styleId="ImportedStyle33">
    <w:name w:val="Imported Style 33"/>
    <w:rsid w:val="005D3C7A"/>
    <w:pPr>
      <w:numPr>
        <w:numId w:val="349"/>
      </w:numPr>
    </w:pPr>
  </w:style>
  <w:style w:type="table" w:customStyle="1" w:styleId="TableGrid25">
    <w:name w:val="Table Grid2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5">
    <w:name w:val="No List115"/>
    <w:next w:val="NoList"/>
    <w:uiPriority w:val="99"/>
    <w:semiHidden/>
    <w:unhideWhenUsed/>
    <w:rsid w:val="005D3C7A"/>
  </w:style>
  <w:style w:type="numbering" w:customStyle="1" w:styleId="NoList1113">
    <w:name w:val="No List1113"/>
    <w:next w:val="NoList"/>
    <w:uiPriority w:val="99"/>
    <w:semiHidden/>
    <w:unhideWhenUsed/>
    <w:rsid w:val="005D3C7A"/>
  </w:style>
  <w:style w:type="table" w:customStyle="1" w:styleId="TableGrid113">
    <w:name w:val="Table Grid11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importat13">
    <w:name w:val="Stil importat 13"/>
    <w:rsid w:val="005D3C7A"/>
  </w:style>
  <w:style w:type="numbering" w:customStyle="1" w:styleId="Stilimportat23">
    <w:name w:val="Stil importat 23"/>
    <w:rsid w:val="005D3C7A"/>
  </w:style>
  <w:style w:type="numbering" w:customStyle="1" w:styleId="Stilimportat33">
    <w:name w:val="Stil importat 33"/>
    <w:rsid w:val="005D3C7A"/>
  </w:style>
  <w:style w:type="numbering" w:customStyle="1" w:styleId="Stilimportat43">
    <w:name w:val="Stil importat 43"/>
    <w:rsid w:val="005D3C7A"/>
  </w:style>
  <w:style w:type="numbering" w:customStyle="1" w:styleId="Stilimportat53">
    <w:name w:val="Stil importat 53"/>
    <w:rsid w:val="005D3C7A"/>
  </w:style>
  <w:style w:type="numbering" w:customStyle="1" w:styleId="Stilimportat63">
    <w:name w:val="Stil importat 63"/>
    <w:rsid w:val="005D3C7A"/>
  </w:style>
  <w:style w:type="numbering" w:customStyle="1" w:styleId="Stilimportat73">
    <w:name w:val="Stil importat 73"/>
    <w:rsid w:val="005D3C7A"/>
  </w:style>
  <w:style w:type="numbering" w:customStyle="1" w:styleId="NoList123">
    <w:name w:val="No List123"/>
    <w:next w:val="NoList"/>
    <w:uiPriority w:val="99"/>
    <w:semiHidden/>
    <w:unhideWhenUsed/>
    <w:rsid w:val="005D3C7A"/>
  </w:style>
  <w:style w:type="table" w:customStyle="1" w:styleId="TableGrid43">
    <w:name w:val="Table Grid4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3">
    <w:name w:val="No List213"/>
    <w:next w:val="NoList"/>
    <w:uiPriority w:val="99"/>
    <w:semiHidden/>
    <w:unhideWhenUsed/>
    <w:rsid w:val="005D3C7A"/>
  </w:style>
  <w:style w:type="numbering" w:customStyle="1" w:styleId="NoList1123">
    <w:name w:val="No List1123"/>
    <w:next w:val="NoList"/>
    <w:uiPriority w:val="99"/>
    <w:semiHidden/>
    <w:unhideWhenUsed/>
    <w:rsid w:val="005D3C7A"/>
  </w:style>
  <w:style w:type="table" w:customStyle="1" w:styleId="TableGrid123">
    <w:name w:val="Table Grid1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5D3C7A"/>
  </w:style>
  <w:style w:type="table" w:customStyle="1" w:styleId="TableGrid61">
    <w:name w:val="Table Grid61"/>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1">
    <w:name w:val="Imported Style 8021"/>
    <w:rsid w:val="005D3C7A"/>
  </w:style>
  <w:style w:type="numbering" w:customStyle="1" w:styleId="ImportedStyle11521">
    <w:name w:val="Imported Style 11521"/>
    <w:rsid w:val="005D3C7A"/>
  </w:style>
  <w:style w:type="table" w:customStyle="1" w:styleId="TableGrid91">
    <w:name w:val="Table Grid91"/>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5D3C7A"/>
  </w:style>
  <w:style w:type="table" w:customStyle="1" w:styleId="TableGrid101">
    <w:name w:val="Table Grid10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1">
    <w:name w:val="Imported Style 7811"/>
    <w:rsid w:val="005D3C7A"/>
  </w:style>
  <w:style w:type="numbering" w:customStyle="1" w:styleId="ImportedStyle78011">
    <w:name w:val="Imported Style 78.011"/>
    <w:rsid w:val="005D3C7A"/>
  </w:style>
  <w:style w:type="numbering" w:customStyle="1" w:styleId="ImportedStyle8011">
    <w:name w:val="Imported Style 8011"/>
    <w:rsid w:val="005D3C7A"/>
  </w:style>
  <w:style w:type="numbering" w:customStyle="1" w:styleId="ImportedStyle8211">
    <w:name w:val="Imported Style 8211"/>
    <w:rsid w:val="005D3C7A"/>
  </w:style>
  <w:style w:type="numbering" w:customStyle="1" w:styleId="ImportedStyle8311">
    <w:name w:val="Imported Style 8311"/>
    <w:rsid w:val="005D3C7A"/>
  </w:style>
  <w:style w:type="numbering" w:customStyle="1" w:styleId="ImportedStyle11411">
    <w:name w:val="Imported Style 11411"/>
    <w:rsid w:val="005D3C7A"/>
  </w:style>
  <w:style w:type="numbering" w:customStyle="1" w:styleId="ImportedStyle11511">
    <w:name w:val="Imported Style 11511"/>
    <w:rsid w:val="005D3C7A"/>
  </w:style>
  <w:style w:type="numbering" w:customStyle="1" w:styleId="ImportedStyle11611">
    <w:name w:val="Imported Style 11611"/>
    <w:rsid w:val="005D3C7A"/>
  </w:style>
  <w:style w:type="table" w:customStyle="1" w:styleId="TableNormal111">
    <w:name w:val="Table Normal11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211">
    <w:name w:val="Imported Style 211"/>
    <w:rsid w:val="005D3C7A"/>
  </w:style>
  <w:style w:type="table" w:customStyle="1" w:styleId="TableGrid131">
    <w:name w:val="Table Grid13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5D3C7A"/>
  </w:style>
  <w:style w:type="table" w:customStyle="1" w:styleId="TableGrid211">
    <w:name w:val="Table Grid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5D3C7A"/>
  </w:style>
  <w:style w:type="table" w:customStyle="1" w:styleId="TableGrid311">
    <w:name w:val="Table Grid3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1">
    <w:name w:val="No List1131"/>
    <w:next w:val="NoList"/>
    <w:uiPriority w:val="99"/>
    <w:semiHidden/>
    <w:unhideWhenUsed/>
    <w:rsid w:val="005D3C7A"/>
  </w:style>
  <w:style w:type="numbering" w:customStyle="1" w:styleId="NoList11111">
    <w:name w:val="No List11111"/>
    <w:next w:val="NoList"/>
    <w:uiPriority w:val="99"/>
    <w:semiHidden/>
    <w:unhideWhenUsed/>
    <w:rsid w:val="005D3C7A"/>
  </w:style>
  <w:style w:type="table" w:customStyle="1" w:styleId="TableGrid1111">
    <w:name w:val="Table Grid11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
    <w:name w:val="No List311"/>
    <w:next w:val="NoList"/>
    <w:uiPriority w:val="99"/>
    <w:semiHidden/>
    <w:unhideWhenUsed/>
    <w:rsid w:val="005D3C7A"/>
  </w:style>
  <w:style w:type="numbering" w:customStyle="1" w:styleId="Stilimportat111">
    <w:name w:val="Stil importat 111"/>
    <w:rsid w:val="005D3C7A"/>
  </w:style>
  <w:style w:type="numbering" w:customStyle="1" w:styleId="Stilimportat211">
    <w:name w:val="Stil importat 211"/>
    <w:rsid w:val="005D3C7A"/>
  </w:style>
  <w:style w:type="numbering" w:customStyle="1" w:styleId="Stilimportat311">
    <w:name w:val="Stil importat 311"/>
    <w:rsid w:val="005D3C7A"/>
  </w:style>
  <w:style w:type="numbering" w:customStyle="1" w:styleId="Stilimportat411">
    <w:name w:val="Stil importat 411"/>
    <w:rsid w:val="005D3C7A"/>
  </w:style>
  <w:style w:type="numbering" w:customStyle="1" w:styleId="Stilimportat511">
    <w:name w:val="Stil importat 511"/>
    <w:rsid w:val="005D3C7A"/>
  </w:style>
  <w:style w:type="numbering" w:customStyle="1" w:styleId="Stilimportat611">
    <w:name w:val="Stil importat 611"/>
    <w:rsid w:val="005D3C7A"/>
  </w:style>
  <w:style w:type="numbering" w:customStyle="1" w:styleId="Stilimportat711">
    <w:name w:val="Stil importat 711"/>
    <w:rsid w:val="005D3C7A"/>
  </w:style>
  <w:style w:type="numbering" w:customStyle="1" w:styleId="NoList411">
    <w:name w:val="No List411"/>
    <w:next w:val="NoList"/>
    <w:uiPriority w:val="99"/>
    <w:semiHidden/>
    <w:unhideWhenUsed/>
    <w:rsid w:val="005D3C7A"/>
  </w:style>
  <w:style w:type="numbering" w:customStyle="1" w:styleId="NoList1211">
    <w:name w:val="No List1211"/>
    <w:next w:val="NoList"/>
    <w:uiPriority w:val="99"/>
    <w:semiHidden/>
    <w:unhideWhenUsed/>
    <w:rsid w:val="005D3C7A"/>
  </w:style>
  <w:style w:type="table" w:customStyle="1" w:styleId="TableGrid411">
    <w:name w:val="Table Grid4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1">
    <w:name w:val="No List2111"/>
    <w:next w:val="NoList"/>
    <w:uiPriority w:val="99"/>
    <w:semiHidden/>
    <w:unhideWhenUsed/>
    <w:rsid w:val="005D3C7A"/>
  </w:style>
  <w:style w:type="numbering" w:customStyle="1" w:styleId="NoList11211">
    <w:name w:val="No List11211"/>
    <w:next w:val="NoList"/>
    <w:uiPriority w:val="99"/>
    <w:semiHidden/>
    <w:unhideWhenUsed/>
    <w:rsid w:val="005D3C7A"/>
  </w:style>
  <w:style w:type="table" w:customStyle="1" w:styleId="TableGrid1211">
    <w:name w:val="Table Grid1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
    <w:name w:val="No List511"/>
    <w:next w:val="NoList"/>
    <w:uiPriority w:val="99"/>
    <w:semiHidden/>
    <w:unhideWhenUsed/>
    <w:rsid w:val="005D3C7A"/>
  </w:style>
  <w:style w:type="table" w:customStyle="1" w:styleId="TableGrid511">
    <w:name w:val="Table Grid5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5D3C7A"/>
  </w:style>
  <w:style w:type="table" w:customStyle="1" w:styleId="TableGrid141">
    <w:name w:val="Table Grid141"/>
    <w:basedOn w:val="TableNormal"/>
    <w:next w:val="TableGrid"/>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5D3C7A"/>
  </w:style>
  <w:style w:type="table" w:customStyle="1" w:styleId="TableGrid151">
    <w:name w:val="Table Grid15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1">
    <w:name w:val="Imported Style 7821"/>
    <w:rsid w:val="005D3C7A"/>
  </w:style>
  <w:style w:type="numbering" w:customStyle="1" w:styleId="ImportedStyle78021">
    <w:name w:val="Imported Style 78.021"/>
    <w:rsid w:val="005D3C7A"/>
  </w:style>
  <w:style w:type="numbering" w:customStyle="1" w:styleId="ImportedStyle8031">
    <w:name w:val="Imported Style 8031"/>
    <w:rsid w:val="005D3C7A"/>
  </w:style>
  <w:style w:type="numbering" w:customStyle="1" w:styleId="ImportedStyle8221">
    <w:name w:val="Imported Style 8221"/>
    <w:rsid w:val="005D3C7A"/>
  </w:style>
  <w:style w:type="numbering" w:customStyle="1" w:styleId="ImportedStyle8321">
    <w:name w:val="Imported Style 8321"/>
    <w:rsid w:val="005D3C7A"/>
  </w:style>
  <w:style w:type="numbering" w:customStyle="1" w:styleId="ImportedStyle11421">
    <w:name w:val="Imported Style 11421"/>
    <w:rsid w:val="005D3C7A"/>
  </w:style>
  <w:style w:type="numbering" w:customStyle="1" w:styleId="ImportedStyle11531">
    <w:name w:val="Imported Style 11531"/>
    <w:rsid w:val="005D3C7A"/>
  </w:style>
  <w:style w:type="numbering" w:customStyle="1" w:styleId="ImportedStyle11621">
    <w:name w:val="Imported Style 11621"/>
    <w:rsid w:val="005D3C7A"/>
  </w:style>
  <w:style w:type="table" w:customStyle="1" w:styleId="TableNormal121">
    <w:name w:val="Table Normal12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1">
    <w:name w:val="Imported Style 121"/>
    <w:rsid w:val="005D3C7A"/>
  </w:style>
  <w:style w:type="numbering" w:customStyle="1" w:styleId="ImportedStyle221">
    <w:name w:val="Imported Style 221"/>
    <w:rsid w:val="005D3C7A"/>
  </w:style>
  <w:style w:type="numbering" w:customStyle="1" w:styleId="ImportedStyle321">
    <w:name w:val="Imported Style 321"/>
    <w:rsid w:val="005D3C7A"/>
  </w:style>
  <w:style w:type="table" w:customStyle="1" w:styleId="TableGrid161">
    <w:name w:val="Table Grid16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5D3C7A"/>
  </w:style>
  <w:style w:type="table" w:customStyle="1" w:styleId="TableGrid221">
    <w:name w:val="Table Grid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NoList"/>
    <w:uiPriority w:val="99"/>
    <w:semiHidden/>
    <w:unhideWhenUsed/>
    <w:rsid w:val="005D3C7A"/>
  </w:style>
  <w:style w:type="table" w:customStyle="1" w:styleId="TableGrid321">
    <w:name w:val="Table Grid3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1">
    <w:name w:val="No List1141"/>
    <w:next w:val="NoList"/>
    <w:uiPriority w:val="99"/>
    <w:semiHidden/>
    <w:unhideWhenUsed/>
    <w:rsid w:val="005D3C7A"/>
  </w:style>
  <w:style w:type="numbering" w:customStyle="1" w:styleId="NoList11121">
    <w:name w:val="No List11121"/>
    <w:next w:val="NoList"/>
    <w:uiPriority w:val="99"/>
    <w:semiHidden/>
    <w:unhideWhenUsed/>
    <w:rsid w:val="005D3C7A"/>
  </w:style>
  <w:style w:type="table" w:customStyle="1" w:styleId="TableGrid1121">
    <w:name w:val="Table Grid11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5D3C7A"/>
  </w:style>
  <w:style w:type="numbering" w:customStyle="1" w:styleId="Stilimportat121">
    <w:name w:val="Stil importat 121"/>
    <w:rsid w:val="005D3C7A"/>
  </w:style>
  <w:style w:type="numbering" w:customStyle="1" w:styleId="Stilimportat221">
    <w:name w:val="Stil importat 221"/>
    <w:rsid w:val="005D3C7A"/>
  </w:style>
  <w:style w:type="numbering" w:customStyle="1" w:styleId="Stilimportat321">
    <w:name w:val="Stil importat 321"/>
    <w:rsid w:val="005D3C7A"/>
  </w:style>
  <w:style w:type="numbering" w:customStyle="1" w:styleId="Stilimportat421">
    <w:name w:val="Stil importat 421"/>
    <w:rsid w:val="005D3C7A"/>
  </w:style>
  <w:style w:type="numbering" w:customStyle="1" w:styleId="Stilimportat521">
    <w:name w:val="Stil importat 521"/>
    <w:rsid w:val="005D3C7A"/>
  </w:style>
  <w:style w:type="numbering" w:customStyle="1" w:styleId="Stilimportat621">
    <w:name w:val="Stil importat 621"/>
    <w:rsid w:val="005D3C7A"/>
  </w:style>
  <w:style w:type="numbering" w:customStyle="1" w:styleId="Stilimportat721">
    <w:name w:val="Stil importat 721"/>
    <w:rsid w:val="005D3C7A"/>
  </w:style>
  <w:style w:type="numbering" w:customStyle="1" w:styleId="NoList421">
    <w:name w:val="No List421"/>
    <w:next w:val="NoList"/>
    <w:uiPriority w:val="99"/>
    <w:semiHidden/>
    <w:unhideWhenUsed/>
    <w:rsid w:val="005D3C7A"/>
  </w:style>
  <w:style w:type="numbering" w:customStyle="1" w:styleId="NoList1221">
    <w:name w:val="No List1221"/>
    <w:next w:val="NoList"/>
    <w:uiPriority w:val="99"/>
    <w:semiHidden/>
    <w:unhideWhenUsed/>
    <w:rsid w:val="005D3C7A"/>
  </w:style>
  <w:style w:type="table" w:customStyle="1" w:styleId="TableGrid421">
    <w:name w:val="Table Grid4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1">
    <w:name w:val="No List2121"/>
    <w:next w:val="NoList"/>
    <w:uiPriority w:val="99"/>
    <w:semiHidden/>
    <w:unhideWhenUsed/>
    <w:rsid w:val="005D3C7A"/>
  </w:style>
  <w:style w:type="numbering" w:customStyle="1" w:styleId="NoList11221">
    <w:name w:val="No List11221"/>
    <w:next w:val="NoList"/>
    <w:uiPriority w:val="99"/>
    <w:semiHidden/>
    <w:unhideWhenUsed/>
    <w:rsid w:val="005D3C7A"/>
  </w:style>
  <w:style w:type="table" w:customStyle="1" w:styleId="TableGrid1221">
    <w:name w:val="Table Grid1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1">
    <w:name w:val="No List521"/>
    <w:next w:val="NoList"/>
    <w:uiPriority w:val="99"/>
    <w:semiHidden/>
    <w:unhideWhenUsed/>
    <w:rsid w:val="005D3C7A"/>
  </w:style>
  <w:style w:type="table" w:customStyle="1" w:styleId="TableGrid521">
    <w:name w:val="Table Grid52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
    <w:name w:val="Fără Listare1"/>
    <w:next w:val="NoList"/>
    <w:uiPriority w:val="99"/>
    <w:semiHidden/>
    <w:unhideWhenUsed/>
    <w:rsid w:val="005D3C7A"/>
  </w:style>
  <w:style w:type="table" w:customStyle="1" w:styleId="GrilTabel1">
    <w:name w:val="Grilă Tabel1"/>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31">
    <w:name w:val="Imported Style 7831"/>
    <w:rsid w:val="005D3C7A"/>
  </w:style>
  <w:style w:type="numbering" w:customStyle="1" w:styleId="ImportedStyle78031">
    <w:name w:val="Imported Style 78.031"/>
    <w:rsid w:val="005D3C7A"/>
  </w:style>
  <w:style w:type="numbering" w:customStyle="1" w:styleId="ImportedStyle8041">
    <w:name w:val="Imported Style 8041"/>
    <w:rsid w:val="005D3C7A"/>
  </w:style>
  <w:style w:type="numbering" w:customStyle="1" w:styleId="ImportedStyle8231">
    <w:name w:val="Imported Style 8231"/>
    <w:rsid w:val="005D3C7A"/>
  </w:style>
  <w:style w:type="numbering" w:customStyle="1" w:styleId="ImportedStyle8331">
    <w:name w:val="Imported Style 8331"/>
    <w:rsid w:val="005D3C7A"/>
  </w:style>
  <w:style w:type="numbering" w:customStyle="1" w:styleId="ImportedStyle11431">
    <w:name w:val="Imported Style 11431"/>
    <w:rsid w:val="005D3C7A"/>
  </w:style>
  <w:style w:type="numbering" w:customStyle="1" w:styleId="ImportedStyle11541">
    <w:name w:val="Imported Style 11541"/>
    <w:rsid w:val="005D3C7A"/>
  </w:style>
  <w:style w:type="numbering" w:customStyle="1" w:styleId="ImportedStyle11631">
    <w:name w:val="Imported Style 11631"/>
    <w:rsid w:val="005D3C7A"/>
  </w:style>
  <w:style w:type="numbering" w:customStyle="1" w:styleId="ImportedStyle131">
    <w:name w:val="Imported Style 131"/>
    <w:rsid w:val="005D3C7A"/>
  </w:style>
  <w:style w:type="numbering" w:customStyle="1" w:styleId="ImportedStyle231">
    <w:name w:val="Imported Style 231"/>
    <w:rsid w:val="005D3C7A"/>
  </w:style>
  <w:style w:type="numbering" w:customStyle="1" w:styleId="ImportedStyle331">
    <w:name w:val="Imported Style 331"/>
    <w:rsid w:val="005D3C7A"/>
  </w:style>
  <w:style w:type="table" w:customStyle="1" w:styleId="TableGrid171">
    <w:name w:val="Table Grid171"/>
    <w:basedOn w:val="TableNormal"/>
    <w:next w:val="TableGrid"/>
    <w:uiPriority w:val="5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5D3C7A"/>
  </w:style>
  <w:style w:type="numbering" w:customStyle="1" w:styleId="NoList241">
    <w:name w:val="No List241"/>
    <w:next w:val="NoList"/>
    <w:uiPriority w:val="99"/>
    <w:semiHidden/>
    <w:unhideWhenUsed/>
    <w:rsid w:val="005D3C7A"/>
  </w:style>
  <w:style w:type="numbering" w:customStyle="1" w:styleId="NoList1151">
    <w:name w:val="No List1151"/>
    <w:next w:val="NoList"/>
    <w:uiPriority w:val="99"/>
    <w:semiHidden/>
    <w:unhideWhenUsed/>
    <w:rsid w:val="005D3C7A"/>
  </w:style>
  <w:style w:type="numbering" w:customStyle="1" w:styleId="NoList11131">
    <w:name w:val="No List11131"/>
    <w:next w:val="NoList"/>
    <w:uiPriority w:val="99"/>
    <w:semiHidden/>
    <w:unhideWhenUsed/>
    <w:rsid w:val="005D3C7A"/>
  </w:style>
  <w:style w:type="numbering" w:customStyle="1" w:styleId="NoList331">
    <w:name w:val="No List331"/>
    <w:next w:val="NoList"/>
    <w:uiPriority w:val="99"/>
    <w:semiHidden/>
    <w:unhideWhenUsed/>
    <w:rsid w:val="005D3C7A"/>
  </w:style>
  <w:style w:type="numbering" w:customStyle="1" w:styleId="Stilimportat131">
    <w:name w:val="Stil importat 131"/>
    <w:rsid w:val="005D3C7A"/>
  </w:style>
  <w:style w:type="numbering" w:customStyle="1" w:styleId="Stilimportat231">
    <w:name w:val="Stil importat 231"/>
    <w:rsid w:val="005D3C7A"/>
  </w:style>
  <w:style w:type="numbering" w:customStyle="1" w:styleId="Stilimportat331">
    <w:name w:val="Stil importat 331"/>
    <w:rsid w:val="005D3C7A"/>
  </w:style>
  <w:style w:type="numbering" w:customStyle="1" w:styleId="Stilimportat431">
    <w:name w:val="Stil importat 431"/>
    <w:rsid w:val="005D3C7A"/>
  </w:style>
  <w:style w:type="numbering" w:customStyle="1" w:styleId="Stilimportat531">
    <w:name w:val="Stil importat 531"/>
    <w:rsid w:val="005D3C7A"/>
  </w:style>
  <w:style w:type="numbering" w:customStyle="1" w:styleId="Stilimportat631">
    <w:name w:val="Stil importat 631"/>
    <w:rsid w:val="005D3C7A"/>
  </w:style>
  <w:style w:type="numbering" w:customStyle="1" w:styleId="Stilimportat731">
    <w:name w:val="Stil importat 731"/>
    <w:rsid w:val="005D3C7A"/>
  </w:style>
  <w:style w:type="numbering" w:customStyle="1" w:styleId="NoList431">
    <w:name w:val="No List431"/>
    <w:next w:val="NoList"/>
    <w:uiPriority w:val="99"/>
    <w:semiHidden/>
    <w:unhideWhenUsed/>
    <w:rsid w:val="005D3C7A"/>
  </w:style>
  <w:style w:type="numbering" w:customStyle="1" w:styleId="NoList1231">
    <w:name w:val="No List1231"/>
    <w:next w:val="NoList"/>
    <w:uiPriority w:val="99"/>
    <w:semiHidden/>
    <w:unhideWhenUsed/>
    <w:rsid w:val="005D3C7A"/>
  </w:style>
  <w:style w:type="numbering" w:customStyle="1" w:styleId="NoList2131">
    <w:name w:val="No List2131"/>
    <w:next w:val="NoList"/>
    <w:uiPriority w:val="99"/>
    <w:semiHidden/>
    <w:unhideWhenUsed/>
    <w:rsid w:val="005D3C7A"/>
  </w:style>
  <w:style w:type="numbering" w:customStyle="1" w:styleId="NoList11231">
    <w:name w:val="No List11231"/>
    <w:next w:val="NoList"/>
    <w:uiPriority w:val="99"/>
    <w:semiHidden/>
    <w:unhideWhenUsed/>
    <w:rsid w:val="005D3C7A"/>
  </w:style>
  <w:style w:type="numbering" w:customStyle="1" w:styleId="NoList531">
    <w:name w:val="No List531"/>
    <w:next w:val="NoList"/>
    <w:uiPriority w:val="99"/>
    <w:semiHidden/>
    <w:unhideWhenUsed/>
    <w:rsid w:val="005D3C7A"/>
  </w:style>
  <w:style w:type="numbering" w:customStyle="1" w:styleId="NoList611">
    <w:name w:val="No List611"/>
    <w:next w:val="NoList"/>
    <w:uiPriority w:val="99"/>
    <w:semiHidden/>
    <w:unhideWhenUsed/>
    <w:rsid w:val="005D3C7A"/>
  </w:style>
  <w:style w:type="numbering" w:customStyle="1" w:styleId="ImportedStyle80211">
    <w:name w:val="Imported Style 80211"/>
    <w:rsid w:val="005D3C7A"/>
  </w:style>
  <w:style w:type="numbering" w:customStyle="1" w:styleId="ImportedStyle115211">
    <w:name w:val="Imported Style 115211"/>
    <w:rsid w:val="005D3C7A"/>
  </w:style>
  <w:style w:type="numbering" w:customStyle="1" w:styleId="NoList711">
    <w:name w:val="No List711"/>
    <w:next w:val="NoList"/>
    <w:uiPriority w:val="99"/>
    <w:semiHidden/>
    <w:unhideWhenUsed/>
    <w:rsid w:val="005D3C7A"/>
  </w:style>
  <w:style w:type="numbering" w:customStyle="1" w:styleId="ImportedStyle78111">
    <w:name w:val="Imported Style 78111"/>
    <w:rsid w:val="005D3C7A"/>
  </w:style>
  <w:style w:type="numbering" w:customStyle="1" w:styleId="ImportedStyle780111">
    <w:name w:val="Imported Style 78.0111"/>
    <w:rsid w:val="005D3C7A"/>
  </w:style>
  <w:style w:type="numbering" w:customStyle="1" w:styleId="ImportedStyle80111">
    <w:name w:val="Imported Style 80111"/>
    <w:rsid w:val="005D3C7A"/>
  </w:style>
  <w:style w:type="numbering" w:customStyle="1" w:styleId="ImportedStyle82112">
    <w:name w:val="Imported Style 82112"/>
    <w:rsid w:val="005D3C7A"/>
  </w:style>
  <w:style w:type="numbering" w:customStyle="1" w:styleId="ImportedStyle83111">
    <w:name w:val="Imported Style 83111"/>
    <w:rsid w:val="005D3C7A"/>
  </w:style>
  <w:style w:type="numbering" w:customStyle="1" w:styleId="ImportedStyle114111">
    <w:name w:val="Imported Style 114111"/>
    <w:rsid w:val="005D3C7A"/>
  </w:style>
  <w:style w:type="numbering" w:customStyle="1" w:styleId="ImportedStyle115111">
    <w:name w:val="Imported Style 115111"/>
    <w:rsid w:val="005D3C7A"/>
  </w:style>
  <w:style w:type="numbering" w:customStyle="1" w:styleId="ImportedStyle116111">
    <w:name w:val="Imported Style 116111"/>
    <w:rsid w:val="005D3C7A"/>
  </w:style>
  <w:style w:type="numbering" w:customStyle="1" w:styleId="ImportedStyle1111">
    <w:name w:val="Imported Style 1111"/>
    <w:rsid w:val="005D3C7A"/>
  </w:style>
  <w:style w:type="numbering" w:customStyle="1" w:styleId="ImportedStyle2111">
    <w:name w:val="Imported Style 2111"/>
    <w:rsid w:val="005D3C7A"/>
  </w:style>
  <w:style w:type="numbering" w:customStyle="1" w:styleId="ImportedStyle3111">
    <w:name w:val="Imported Style 3111"/>
    <w:rsid w:val="005D3C7A"/>
  </w:style>
  <w:style w:type="numbering" w:customStyle="1" w:styleId="NoList1311">
    <w:name w:val="No List1311"/>
    <w:next w:val="NoList"/>
    <w:uiPriority w:val="99"/>
    <w:semiHidden/>
    <w:unhideWhenUsed/>
    <w:rsid w:val="005D3C7A"/>
  </w:style>
  <w:style w:type="numbering" w:customStyle="1" w:styleId="NoList2211">
    <w:name w:val="No List2211"/>
    <w:next w:val="NoList"/>
    <w:uiPriority w:val="99"/>
    <w:semiHidden/>
    <w:unhideWhenUsed/>
    <w:rsid w:val="005D3C7A"/>
  </w:style>
  <w:style w:type="numbering" w:customStyle="1" w:styleId="NoList11311">
    <w:name w:val="No List11311"/>
    <w:next w:val="NoList"/>
    <w:uiPriority w:val="99"/>
    <w:semiHidden/>
    <w:unhideWhenUsed/>
    <w:rsid w:val="005D3C7A"/>
  </w:style>
  <w:style w:type="numbering" w:customStyle="1" w:styleId="NoList111111">
    <w:name w:val="No List111111"/>
    <w:next w:val="NoList"/>
    <w:uiPriority w:val="99"/>
    <w:semiHidden/>
    <w:unhideWhenUsed/>
    <w:rsid w:val="005D3C7A"/>
  </w:style>
  <w:style w:type="numbering" w:customStyle="1" w:styleId="NoList3111">
    <w:name w:val="No List3111"/>
    <w:next w:val="NoList"/>
    <w:uiPriority w:val="99"/>
    <w:semiHidden/>
    <w:unhideWhenUsed/>
    <w:rsid w:val="005D3C7A"/>
  </w:style>
  <w:style w:type="numbering" w:customStyle="1" w:styleId="Stilimportat1111">
    <w:name w:val="Stil importat 1111"/>
    <w:rsid w:val="005D3C7A"/>
  </w:style>
  <w:style w:type="numbering" w:customStyle="1" w:styleId="Stilimportat2111">
    <w:name w:val="Stil importat 2111"/>
    <w:rsid w:val="005D3C7A"/>
  </w:style>
  <w:style w:type="numbering" w:customStyle="1" w:styleId="Stilimportat3111">
    <w:name w:val="Stil importat 3111"/>
    <w:rsid w:val="005D3C7A"/>
  </w:style>
  <w:style w:type="numbering" w:customStyle="1" w:styleId="Stilimportat4111">
    <w:name w:val="Stil importat 4111"/>
    <w:rsid w:val="005D3C7A"/>
  </w:style>
  <w:style w:type="numbering" w:customStyle="1" w:styleId="Stilimportat5111">
    <w:name w:val="Stil importat 5111"/>
    <w:rsid w:val="005D3C7A"/>
  </w:style>
  <w:style w:type="numbering" w:customStyle="1" w:styleId="Stilimportat6111">
    <w:name w:val="Stil importat 6111"/>
    <w:rsid w:val="005D3C7A"/>
  </w:style>
  <w:style w:type="numbering" w:customStyle="1" w:styleId="Stilimportat7111">
    <w:name w:val="Stil importat 7111"/>
    <w:rsid w:val="005D3C7A"/>
  </w:style>
  <w:style w:type="numbering" w:customStyle="1" w:styleId="NoList4111">
    <w:name w:val="No List4111"/>
    <w:next w:val="NoList"/>
    <w:uiPriority w:val="99"/>
    <w:semiHidden/>
    <w:unhideWhenUsed/>
    <w:rsid w:val="005D3C7A"/>
  </w:style>
  <w:style w:type="numbering" w:customStyle="1" w:styleId="NoList12111">
    <w:name w:val="No List12111"/>
    <w:next w:val="NoList"/>
    <w:uiPriority w:val="99"/>
    <w:semiHidden/>
    <w:unhideWhenUsed/>
    <w:rsid w:val="005D3C7A"/>
  </w:style>
  <w:style w:type="numbering" w:customStyle="1" w:styleId="NoList21111">
    <w:name w:val="No List21111"/>
    <w:next w:val="NoList"/>
    <w:uiPriority w:val="99"/>
    <w:semiHidden/>
    <w:unhideWhenUsed/>
    <w:rsid w:val="005D3C7A"/>
  </w:style>
  <w:style w:type="numbering" w:customStyle="1" w:styleId="NoList112111">
    <w:name w:val="No List112111"/>
    <w:next w:val="NoList"/>
    <w:uiPriority w:val="99"/>
    <w:semiHidden/>
    <w:unhideWhenUsed/>
    <w:rsid w:val="005D3C7A"/>
  </w:style>
  <w:style w:type="numbering" w:customStyle="1" w:styleId="NoList5111">
    <w:name w:val="No List5111"/>
    <w:next w:val="NoList"/>
    <w:uiPriority w:val="99"/>
    <w:semiHidden/>
    <w:unhideWhenUsed/>
    <w:rsid w:val="005D3C7A"/>
  </w:style>
  <w:style w:type="numbering" w:customStyle="1" w:styleId="NoList811">
    <w:name w:val="No List811"/>
    <w:next w:val="NoList"/>
    <w:uiPriority w:val="99"/>
    <w:semiHidden/>
    <w:unhideWhenUsed/>
    <w:rsid w:val="005D3C7A"/>
  </w:style>
  <w:style w:type="numbering" w:customStyle="1" w:styleId="NoList911">
    <w:name w:val="No List911"/>
    <w:next w:val="NoList"/>
    <w:uiPriority w:val="99"/>
    <w:semiHidden/>
    <w:unhideWhenUsed/>
    <w:rsid w:val="005D3C7A"/>
  </w:style>
  <w:style w:type="numbering" w:customStyle="1" w:styleId="ImportedStyle78211">
    <w:name w:val="Imported Style 78211"/>
    <w:rsid w:val="005D3C7A"/>
  </w:style>
  <w:style w:type="numbering" w:customStyle="1" w:styleId="ImportedStyle780211">
    <w:name w:val="Imported Style 78.0211"/>
    <w:rsid w:val="005D3C7A"/>
  </w:style>
  <w:style w:type="numbering" w:customStyle="1" w:styleId="ImportedStyle80311">
    <w:name w:val="Imported Style 80311"/>
    <w:rsid w:val="005D3C7A"/>
  </w:style>
  <w:style w:type="numbering" w:customStyle="1" w:styleId="ImportedStyle82211">
    <w:name w:val="Imported Style 82211"/>
    <w:rsid w:val="005D3C7A"/>
  </w:style>
  <w:style w:type="numbering" w:customStyle="1" w:styleId="ImportedStyle83211">
    <w:name w:val="Imported Style 83211"/>
    <w:rsid w:val="005D3C7A"/>
  </w:style>
  <w:style w:type="numbering" w:customStyle="1" w:styleId="ImportedStyle114211">
    <w:name w:val="Imported Style 114211"/>
    <w:rsid w:val="005D3C7A"/>
  </w:style>
  <w:style w:type="numbering" w:customStyle="1" w:styleId="ImportedStyle115311">
    <w:name w:val="Imported Style 115311"/>
    <w:rsid w:val="005D3C7A"/>
  </w:style>
  <w:style w:type="numbering" w:customStyle="1" w:styleId="ImportedStyle116211">
    <w:name w:val="Imported Style 116211"/>
    <w:rsid w:val="005D3C7A"/>
  </w:style>
  <w:style w:type="numbering" w:customStyle="1" w:styleId="ImportedStyle1211">
    <w:name w:val="Imported Style 1211"/>
    <w:rsid w:val="005D3C7A"/>
  </w:style>
  <w:style w:type="numbering" w:customStyle="1" w:styleId="ImportedStyle2211">
    <w:name w:val="Imported Style 2211"/>
    <w:rsid w:val="005D3C7A"/>
  </w:style>
  <w:style w:type="numbering" w:customStyle="1" w:styleId="ImportedStyle3211">
    <w:name w:val="Imported Style 3211"/>
    <w:rsid w:val="005D3C7A"/>
  </w:style>
  <w:style w:type="numbering" w:customStyle="1" w:styleId="NoList1411">
    <w:name w:val="No List1411"/>
    <w:next w:val="NoList"/>
    <w:uiPriority w:val="99"/>
    <w:semiHidden/>
    <w:unhideWhenUsed/>
    <w:rsid w:val="005D3C7A"/>
  </w:style>
  <w:style w:type="numbering" w:customStyle="1" w:styleId="NoList2311">
    <w:name w:val="No List2311"/>
    <w:next w:val="NoList"/>
    <w:uiPriority w:val="99"/>
    <w:semiHidden/>
    <w:unhideWhenUsed/>
    <w:rsid w:val="005D3C7A"/>
  </w:style>
  <w:style w:type="numbering" w:customStyle="1" w:styleId="NoList11411">
    <w:name w:val="No List11411"/>
    <w:next w:val="NoList"/>
    <w:uiPriority w:val="99"/>
    <w:semiHidden/>
    <w:unhideWhenUsed/>
    <w:rsid w:val="005D3C7A"/>
  </w:style>
  <w:style w:type="numbering" w:customStyle="1" w:styleId="NoList111211">
    <w:name w:val="No List111211"/>
    <w:next w:val="NoList"/>
    <w:uiPriority w:val="99"/>
    <w:semiHidden/>
    <w:unhideWhenUsed/>
    <w:rsid w:val="005D3C7A"/>
  </w:style>
  <w:style w:type="numbering" w:customStyle="1" w:styleId="NoList3211">
    <w:name w:val="No List3211"/>
    <w:next w:val="NoList"/>
    <w:uiPriority w:val="99"/>
    <w:semiHidden/>
    <w:unhideWhenUsed/>
    <w:rsid w:val="005D3C7A"/>
  </w:style>
  <w:style w:type="numbering" w:customStyle="1" w:styleId="Stilimportat1211">
    <w:name w:val="Stil importat 1211"/>
    <w:rsid w:val="005D3C7A"/>
  </w:style>
  <w:style w:type="numbering" w:customStyle="1" w:styleId="Stilimportat2211">
    <w:name w:val="Stil importat 2211"/>
    <w:rsid w:val="005D3C7A"/>
  </w:style>
  <w:style w:type="numbering" w:customStyle="1" w:styleId="Stilimportat3211">
    <w:name w:val="Stil importat 3211"/>
    <w:rsid w:val="005D3C7A"/>
  </w:style>
  <w:style w:type="numbering" w:customStyle="1" w:styleId="Stilimportat4211">
    <w:name w:val="Stil importat 4211"/>
    <w:rsid w:val="005D3C7A"/>
  </w:style>
  <w:style w:type="numbering" w:customStyle="1" w:styleId="Stilimportat5211">
    <w:name w:val="Stil importat 5211"/>
    <w:rsid w:val="005D3C7A"/>
  </w:style>
  <w:style w:type="numbering" w:customStyle="1" w:styleId="Stilimportat6211">
    <w:name w:val="Stil importat 6211"/>
    <w:rsid w:val="005D3C7A"/>
  </w:style>
  <w:style w:type="numbering" w:customStyle="1" w:styleId="Stilimportat7211">
    <w:name w:val="Stil importat 7211"/>
    <w:rsid w:val="005D3C7A"/>
  </w:style>
  <w:style w:type="numbering" w:customStyle="1" w:styleId="NoList4211">
    <w:name w:val="No List4211"/>
    <w:next w:val="NoList"/>
    <w:uiPriority w:val="99"/>
    <w:semiHidden/>
    <w:unhideWhenUsed/>
    <w:rsid w:val="005D3C7A"/>
  </w:style>
  <w:style w:type="numbering" w:customStyle="1" w:styleId="NoList12211">
    <w:name w:val="No List12211"/>
    <w:next w:val="NoList"/>
    <w:uiPriority w:val="99"/>
    <w:semiHidden/>
    <w:unhideWhenUsed/>
    <w:rsid w:val="005D3C7A"/>
  </w:style>
  <w:style w:type="numbering" w:customStyle="1" w:styleId="NoList21211">
    <w:name w:val="No List21211"/>
    <w:next w:val="NoList"/>
    <w:uiPriority w:val="99"/>
    <w:semiHidden/>
    <w:unhideWhenUsed/>
    <w:rsid w:val="005D3C7A"/>
  </w:style>
  <w:style w:type="numbering" w:customStyle="1" w:styleId="NoList112211">
    <w:name w:val="No List112211"/>
    <w:next w:val="NoList"/>
    <w:uiPriority w:val="99"/>
    <w:semiHidden/>
    <w:unhideWhenUsed/>
    <w:rsid w:val="005D3C7A"/>
  </w:style>
  <w:style w:type="numbering" w:customStyle="1" w:styleId="NoList5211">
    <w:name w:val="No List5211"/>
    <w:next w:val="NoList"/>
    <w:uiPriority w:val="99"/>
    <w:semiHidden/>
    <w:unhideWhenUsed/>
    <w:rsid w:val="005D3C7A"/>
  </w:style>
  <w:style w:type="table" w:customStyle="1" w:styleId="TableGrid1711">
    <w:name w:val="Table Grid1711"/>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5D3C7A"/>
  </w:style>
  <w:style w:type="table" w:customStyle="1" w:styleId="TableGrid181">
    <w:name w:val="Table Grid181"/>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5D3C7A"/>
  </w:style>
  <w:style w:type="table" w:customStyle="1" w:styleId="TableGrid191">
    <w:name w:val="Table Grid191"/>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
    <w:name w:val="No List2411"/>
    <w:next w:val="NoList"/>
    <w:uiPriority w:val="99"/>
    <w:semiHidden/>
    <w:unhideWhenUsed/>
    <w:rsid w:val="005D3C7A"/>
  </w:style>
  <w:style w:type="numbering" w:customStyle="1" w:styleId="NoList3311">
    <w:name w:val="No List3311"/>
    <w:next w:val="NoList"/>
    <w:uiPriority w:val="99"/>
    <w:semiHidden/>
    <w:unhideWhenUsed/>
    <w:rsid w:val="005D3C7A"/>
  </w:style>
  <w:style w:type="numbering" w:customStyle="1" w:styleId="NoList4311">
    <w:name w:val="No List4311"/>
    <w:next w:val="NoList"/>
    <w:uiPriority w:val="99"/>
    <w:semiHidden/>
    <w:unhideWhenUsed/>
    <w:rsid w:val="005D3C7A"/>
  </w:style>
  <w:style w:type="numbering" w:customStyle="1" w:styleId="NoList5311">
    <w:name w:val="No List5311"/>
    <w:next w:val="NoList"/>
    <w:uiPriority w:val="99"/>
    <w:semiHidden/>
    <w:unhideWhenUsed/>
    <w:rsid w:val="005D3C7A"/>
  </w:style>
  <w:style w:type="numbering" w:customStyle="1" w:styleId="ImportedStyle11111">
    <w:name w:val="Imported Style 11111"/>
    <w:rsid w:val="005D3C7A"/>
  </w:style>
  <w:style w:type="numbering" w:customStyle="1" w:styleId="ImportedStyle31111">
    <w:name w:val="Imported Style 31111"/>
    <w:rsid w:val="005D3C7A"/>
  </w:style>
  <w:style w:type="numbering" w:customStyle="1" w:styleId="ImportedStyle441">
    <w:name w:val="Imported Style 441"/>
    <w:rsid w:val="005D3C7A"/>
  </w:style>
  <w:style w:type="numbering" w:customStyle="1" w:styleId="ImportedStyle78311">
    <w:name w:val="Imported Style 78311"/>
    <w:rsid w:val="005D3C7A"/>
  </w:style>
  <w:style w:type="numbering" w:customStyle="1" w:styleId="ImportedStyle780311">
    <w:name w:val="Imported Style 78.0311"/>
    <w:rsid w:val="005D3C7A"/>
  </w:style>
  <w:style w:type="numbering" w:customStyle="1" w:styleId="ImportedStyle80411">
    <w:name w:val="Imported Style 80411"/>
    <w:rsid w:val="005D3C7A"/>
  </w:style>
  <w:style w:type="numbering" w:customStyle="1" w:styleId="ImportedStyle82311">
    <w:name w:val="Imported Style 82311"/>
    <w:rsid w:val="005D3C7A"/>
  </w:style>
  <w:style w:type="numbering" w:customStyle="1" w:styleId="ImportedStyle83311">
    <w:name w:val="Imported Style 83311"/>
    <w:rsid w:val="005D3C7A"/>
  </w:style>
  <w:style w:type="numbering" w:customStyle="1" w:styleId="ImportedStyle114311">
    <w:name w:val="Imported Style 114311"/>
    <w:rsid w:val="005D3C7A"/>
  </w:style>
  <w:style w:type="numbering" w:customStyle="1" w:styleId="ImportedStyle115411">
    <w:name w:val="Imported Style 115411"/>
    <w:rsid w:val="005D3C7A"/>
  </w:style>
  <w:style w:type="numbering" w:customStyle="1" w:styleId="ImportedStyle116311">
    <w:name w:val="Imported Style 116311"/>
    <w:rsid w:val="005D3C7A"/>
  </w:style>
  <w:style w:type="numbering" w:customStyle="1" w:styleId="ImportedStyle1311">
    <w:name w:val="Imported Style 1311"/>
    <w:rsid w:val="005D3C7A"/>
  </w:style>
  <w:style w:type="numbering" w:customStyle="1" w:styleId="ImportedStyle2311">
    <w:name w:val="Imported Style 2311"/>
    <w:rsid w:val="005D3C7A"/>
  </w:style>
  <w:style w:type="numbering" w:customStyle="1" w:styleId="ImportedStyle3311">
    <w:name w:val="Imported Style 3311"/>
    <w:rsid w:val="005D3C7A"/>
  </w:style>
  <w:style w:type="numbering" w:customStyle="1" w:styleId="NoList11511">
    <w:name w:val="No List11511"/>
    <w:next w:val="NoList"/>
    <w:uiPriority w:val="99"/>
    <w:semiHidden/>
    <w:unhideWhenUsed/>
    <w:rsid w:val="005D3C7A"/>
  </w:style>
  <w:style w:type="numbering" w:customStyle="1" w:styleId="NoList111311">
    <w:name w:val="No List111311"/>
    <w:next w:val="NoList"/>
    <w:uiPriority w:val="99"/>
    <w:semiHidden/>
    <w:unhideWhenUsed/>
    <w:rsid w:val="005D3C7A"/>
  </w:style>
  <w:style w:type="numbering" w:customStyle="1" w:styleId="Stilimportat1311">
    <w:name w:val="Stil importat 1311"/>
    <w:rsid w:val="005D3C7A"/>
  </w:style>
  <w:style w:type="numbering" w:customStyle="1" w:styleId="Stilimportat2311">
    <w:name w:val="Stil importat 2311"/>
    <w:rsid w:val="005D3C7A"/>
  </w:style>
  <w:style w:type="numbering" w:customStyle="1" w:styleId="Stilimportat3311">
    <w:name w:val="Stil importat 3311"/>
    <w:rsid w:val="005D3C7A"/>
  </w:style>
  <w:style w:type="numbering" w:customStyle="1" w:styleId="Stilimportat4311">
    <w:name w:val="Stil importat 4311"/>
    <w:rsid w:val="005D3C7A"/>
  </w:style>
  <w:style w:type="numbering" w:customStyle="1" w:styleId="Stilimportat5311">
    <w:name w:val="Stil importat 5311"/>
    <w:rsid w:val="005D3C7A"/>
  </w:style>
  <w:style w:type="numbering" w:customStyle="1" w:styleId="Stilimportat6311">
    <w:name w:val="Stil importat 6311"/>
    <w:rsid w:val="005D3C7A"/>
  </w:style>
  <w:style w:type="numbering" w:customStyle="1" w:styleId="Stilimportat7311">
    <w:name w:val="Stil importat 7311"/>
    <w:rsid w:val="005D3C7A"/>
  </w:style>
  <w:style w:type="numbering" w:customStyle="1" w:styleId="NoList12311">
    <w:name w:val="No List12311"/>
    <w:next w:val="NoList"/>
    <w:uiPriority w:val="99"/>
    <w:semiHidden/>
    <w:unhideWhenUsed/>
    <w:rsid w:val="005D3C7A"/>
  </w:style>
  <w:style w:type="numbering" w:customStyle="1" w:styleId="NoList21311">
    <w:name w:val="No List21311"/>
    <w:next w:val="NoList"/>
    <w:uiPriority w:val="99"/>
    <w:semiHidden/>
    <w:unhideWhenUsed/>
    <w:rsid w:val="005D3C7A"/>
  </w:style>
  <w:style w:type="numbering" w:customStyle="1" w:styleId="NoList112311">
    <w:name w:val="No List112311"/>
    <w:next w:val="NoList"/>
    <w:uiPriority w:val="99"/>
    <w:semiHidden/>
    <w:unhideWhenUsed/>
    <w:rsid w:val="005D3C7A"/>
  </w:style>
  <w:style w:type="numbering" w:customStyle="1" w:styleId="NoList6111">
    <w:name w:val="No List6111"/>
    <w:next w:val="NoList"/>
    <w:uiPriority w:val="99"/>
    <w:semiHidden/>
    <w:unhideWhenUsed/>
    <w:rsid w:val="005D3C7A"/>
  </w:style>
  <w:style w:type="numbering" w:customStyle="1" w:styleId="ImportedStyle802111">
    <w:name w:val="Imported Style 802111"/>
    <w:rsid w:val="005D3C7A"/>
  </w:style>
  <w:style w:type="numbering" w:customStyle="1" w:styleId="ImportedStyle1152111">
    <w:name w:val="Imported Style 1152111"/>
    <w:rsid w:val="005D3C7A"/>
  </w:style>
  <w:style w:type="numbering" w:customStyle="1" w:styleId="NoList7111">
    <w:name w:val="No List7111"/>
    <w:next w:val="NoList"/>
    <w:uiPriority w:val="99"/>
    <w:semiHidden/>
    <w:unhideWhenUsed/>
    <w:rsid w:val="005D3C7A"/>
  </w:style>
  <w:style w:type="numbering" w:customStyle="1" w:styleId="ImportedStyle781111">
    <w:name w:val="Imported Style 781111"/>
    <w:rsid w:val="005D3C7A"/>
  </w:style>
  <w:style w:type="numbering" w:customStyle="1" w:styleId="ImportedStyle7801111">
    <w:name w:val="Imported Style 78.01111"/>
    <w:rsid w:val="005D3C7A"/>
  </w:style>
  <w:style w:type="numbering" w:customStyle="1" w:styleId="ImportedStyle801111">
    <w:name w:val="Imported Style 801111"/>
    <w:rsid w:val="005D3C7A"/>
  </w:style>
  <w:style w:type="numbering" w:customStyle="1" w:styleId="ImportedStyle821111">
    <w:name w:val="Imported Style 821111"/>
    <w:rsid w:val="005D3C7A"/>
  </w:style>
  <w:style w:type="numbering" w:customStyle="1" w:styleId="ImportedStyle831111">
    <w:name w:val="Imported Style 831111"/>
    <w:rsid w:val="005D3C7A"/>
  </w:style>
  <w:style w:type="numbering" w:customStyle="1" w:styleId="ImportedStyle1141111">
    <w:name w:val="Imported Style 1141111"/>
    <w:rsid w:val="005D3C7A"/>
  </w:style>
  <w:style w:type="numbering" w:customStyle="1" w:styleId="ImportedStyle1151111">
    <w:name w:val="Imported Style 1151111"/>
    <w:rsid w:val="005D3C7A"/>
  </w:style>
  <w:style w:type="numbering" w:customStyle="1" w:styleId="ImportedStyle1161111">
    <w:name w:val="Imported Style 1161111"/>
    <w:rsid w:val="005D3C7A"/>
  </w:style>
  <w:style w:type="numbering" w:customStyle="1" w:styleId="ImportedStyle21111">
    <w:name w:val="Imported Style 21111"/>
    <w:rsid w:val="005D3C7A"/>
  </w:style>
  <w:style w:type="numbering" w:customStyle="1" w:styleId="NoList13111">
    <w:name w:val="No List13111"/>
    <w:next w:val="NoList"/>
    <w:uiPriority w:val="99"/>
    <w:semiHidden/>
    <w:unhideWhenUsed/>
    <w:rsid w:val="005D3C7A"/>
  </w:style>
  <w:style w:type="numbering" w:customStyle="1" w:styleId="NoList22111">
    <w:name w:val="No List22111"/>
    <w:next w:val="NoList"/>
    <w:uiPriority w:val="99"/>
    <w:semiHidden/>
    <w:unhideWhenUsed/>
    <w:rsid w:val="005D3C7A"/>
  </w:style>
  <w:style w:type="numbering" w:customStyle="1" w:styleId="NoList113111">
    <w:name w:val="No List113111"/>
    <w:next w:val="NoList"/>
    <w:uiPriority w:val="99"/>
    <w:semiHidden/>
    <w:unhideWhenUsed/>
    <w:rsid w:val="005D3C7A"/>
  </w:style>
  <w:style w:type="numbering" w:customStyle="1" w:styleId="NoList1111111">
    <w:name w:val="No List1111111"/>
    <w:next w:val="NoList"/>
    <w:uiPriority w:val="99"/>
    <w:semiHidden/>
    <w:unhideWhenUsed/>
    <w:rsid w:val="005D3C7A"/>
  </w:style>
  <w:style w:type="numbering" w:customStyle="1" w:styleId="NoList31111">
    <w:name w:val="No List31111"/>
    <w:next w:val="NoList"/>
    <w:uiPriority w:val="99"/>
    <w:semiHidden/>
    <w:unhideWhenUsed/>
    <w:rsid w:val="005D3C7A"/>
  </w:style>
  <w:style w:type="numbering" w:customStyle="1" w:styleId="Stilimportat11111">
    <w:name w:val="Stil importat 11111"/>
    <w:rsid w:val="005D3C7A"/>
  </w:style>
  <w:style w:type="numbering" w:customStyle="1" w:styleId="Stilimportat21111">
    <w:name w:val="Stil importat 21111"/>
    <w:rsid w:val="005D3C7A"/>
  </w:style>
  <w:style w:type="numbering" w:customStyle="1" w:styleId="Stilimportat31111">
    <w:name w:val="Stil importat 31111"/>
    <w:rsid w:val="005D3C7A"/>
  </w:style>
  <w:style w:type="numbering" w:customStyle="1" w:styleId="Stilimportat41111">
    <w:name w:val="Stil importat 41111"/>
    <w:rsid w:val="005D3C7A"/>
  </w:style>
  <w:style w:type="numbering" w:customStyle="1" w:styleId="Stilimportat51111">
    <w:name w:val="Stil importat 51111"/>
    <w:rsid w:val="005D3C7A"/>
  </w:style>
  <w:style w:type="numbering" w:customStyle="1" w:styleId="Stilimportat61111">
    <w:name w:val="Stil importat 61111"/>
    <w:rsid w:val="005D3C7A"/>
  </w:style>
  <w:style w:type="numbering" w:customStyle="1" w:styleId="Stilimportat71111">
    <w:name w:val="Stil importat 71111"/>
    <w:rsid w:val="005D3C7A"/>
  </w:style>
  <w:style w:type="numbering" w:customStyle="1" w:styleId="NoList41111">
    <w:name w:val="No List41111"/>
    <w:next w:val="NoList"/>
    <w:uiPriority w:val="99"/>
    <w:semiHidden/>
    <w:unhideWhenUsed/>
    <w:rsid w:val="005D3C7A"/>
  </w:style>
  <w:style w:type="numbering" w:customStyle="1" w:styleId="NoList121111">
    <w:name w:val="No List121111"/>
    <w:next w:val="NoList"/>
    <w:uiPriority w:val="99"/>
    <w:semiHidden/>
    <w:unhideWhenUsed/>
    <w:rsid w:val="005D3C7A"/>
  </w:style>
  <w:style w:type="numbering" w:customStyle="1" w:styleId="NoList211111">
    <w:name w:val="No List211111"/>
    <w:next w:val="NoList"/>
    <w:uiPriority w:val="99"/>
    <w:semiHidden/>
    <w:unhideWhenUsed/>
    <w:rsid w:val="005D3C7A"/>
  </w:style>
  <w:style w:type="numbering" w:customStyle="1" w:styleId="NoList1121111">
    <w:name w:val="No List1121111"/>
    <w:next w:val="NoList"/>
    <w:uiPriority w:val="99"/>
    <w:semiHidden/>
    <w:unhideWhenUsed/>
    <w:rsid w:val="005D3C7A"/>
  </w:style>
  <w:style w:type="numbering" w:customStyle="1" w:styleId="NoList51111">
    <w:name w:val="No List51111"/>
    <w:next w:val="NoList"/>
    <w:uiPriority w:val="99"/>
    <w:semiHidden/>
    <w:unhideWhenUsed/>
    <w:rsid w:val="005D3C7A"/>
  </w:style>
  <w:style w:type="numbering" w:customStyle="1" w:styleId="NoList8111">
    <w:name w:val="No List8111"/>
    <w:next w:val="NoList"/>
    <w:uiPriority w:val="99"/>
    <w:semiHidden/>
    <w:unhideWhenUsed/>
    <w:rsid w:val="005D3C7A"/>
  </w:style>
  <w:style w:type="numbering" w:customStyle="1" w:styleId="NoList9111">
    <w:name w:val="No List9111"/>
    <w:next w:val="NoList"/>
    <w:uiPriority w:val="99"/>
    <w:semiHidden/>
    <w:unhideWhenUsed/>
    <w:rsid w:val="005D3C7A"/>
  </w:style>
  <w:style w:type="numbering" w:customStyle="1" w:styleId="ImportedStyle782111">
    <w:name w:val="Imported Style 782111"/>
    <w:rsid w:val="005D3C7A"/>
  </w:style>
  <w:style w:type="numbering" w:customStyle="1" w:styleId="ImportedStyle7802111">
    <w:name w:val="Imported Style 78.02111"/>
    <w:rsid w:val="005D3C7A"/>
  </w:style>
  <w:style w:type="numbering" w:customStyle="1" w:styleId="ImportedStyle803111">
    <w:name w:val="Imported Style 803111"/>
    <w:rsid w:val="005D3C7A"/>
  </w:style>
  <w:style w:type="numbering" w:customStyle="1" w:styleId="ImportedStyle822111">
    <w:name w:val="Imported Style 822111"/>
    <w:rsid w:val="005D3C7A"/>
  </w:style>
  <w:style w:type="numbering" w:customStyle="1" w:styleId="ImportedStyle832111">
    <w:name w:val="Imported Style 832111"/>
    <w:rsid w:val="005D3C7A"/>
  </w:style>
  <w:style w:type="numbering" w:customStyle="1" w:styleId="ImportedStyle1142111">
    <w:name w:val="Imported Style 1142111"/>
    <w:rsid w:val="005D3C7A"/>
  </w:style>
  <w:style w:type="numbering" w:customStyle="1" w:styleId="ImportedStyle1153111">
    <w:name w:val="Imported Style 1153111"/>
    <w:rsid w:val="005D3C7A"/>
  </w:style>
  <w:style w:type="numbering" w:customStyle="1" w:styleId="ImportedStyle1162111">
    <w:name w:val="Imported Style 1162111"/>
    <w:rsid w:val="005D3C7A"/>
  </w:style>
  <w:style w:type="numbering" w:customStyle="1" w:styleId="ImportedStyle12111">
    <w:name w:val="Imported Style 12111"/>
    <w:rsid w:val="005D3C7A"/>
  </w:style>
  <w:style w:type="numbering" w:customStyle="1" w:styleId="ImportedStyle22111">
    <w:name w:val="Imported Style 22111"/>
    <w:rsid w:val="005D3C7A"/>
  </w:style>
  <w:style w:type="numbering" w:customStyle="1" w:styleId="ImportedStyle32111">
    <w:name w:val="Imported Style 32111"/>
    <w:rsid w:val="005D3C7A"/>
  </w:style>
  <w:style w:type="numbering" w:customStyle="1" w:styleId="NoList14111">
    <w:name w:val="No List14111"/>
    <w:next w:val="NoList"/>
    <w:uiPriority w:val="99"/>
    <w:semiHidden/>
    <w:unhideWhenUsed/>
    <w:rsid w:val="005D3C7A"/>
  </w:style>
  <w:style w:type="numbering" w:customStyle="1" w:styleId="NoList23111">
    <w:name w:val="No List23111"/>
    <w:next w:val="NoList"/>
    <w:uiPriority w:val="99"/>
    <w:semiHidden/>
    <w:unhideWhenUsed/>
    <w:rsid w:val="005D3C7A"/>
  </w:style>
  <w:style w:type="numbering" w:customStyle="1" w:styleId="NoList114111">
    <w:name w:val="No List114111"/>
    <w:next w:val="NoList"/>
    <w:uiPriority w:val="99"/>
    <w:semiHidden/>
    <w:unhideWhenUsed/>
    <w:rsid w:val="005D3C7A"/>
  </w:style>
  <w:style w:type="numbering" w:customStyle="1" w:styleId="NoList1112111">
    <w:name w:val="No List1112111"/>
    <w:next w:val="NoList"/>
    <w:uiPriority w:val="99"/>
    <w:semiHidden/>
    <w:unhideWhenUsed/>
    <w:rsid w:val="005D3C7A"/>
  </w:style>
  <w:style w:type="numbering" w:customStyle="1" w:styleId="NoList32111">
    <w:name w:val="No List32111"/>
    <w:next w:val="NoList"/>
    <w:uiPriority w:val="99"/>
    <w:semiHidden/>
    <w:unhideWhenUsed/>
    <w:rsid w:val="005D3C7A"/>
  </w:style>
  <w:style w:type="numbering" w:customStyle="1" w:styleId="Stilimportat12111">
    <w:name w:val="Stil importat 12111"/>
    <w:rsid w:val="005D3C7A"/>
  </w:style>
  <w:style w:type="numbering" w:customStyle="1" w:styleId="Stilimportat22111">
    <w:name w:val="Stil importat 22111"/>
    <w:rsid w:val="005D3C7A"/>
  </w:style>
  <w:style w:type="numbering" w:customStyle="1" w:styleId="Stilimportat32111">
    <w:name w:val="Stil importat 32111"/>
    <w:rsid w:val="005D3C7A"/>
  </w:style>
  <w:style w:type="numbering" w:customStyle="1" w:styleId="Stilimportat42111">
    <w:name w:val="Stil importat 42111"/>
    <w:rsid w:val="005D3C7A"/>
  </w:style>
  <w:style w:type="numbering" w:customStyle="1" w:styleId="Stilimportat52111">
    <w:name w:val="Stil importat 52111"/>
    <w:rsid w:val="005D3C7A"/>
  </w:style>
  <w:style w:type="numbering" w:customStyle="1" w:styleId="Stilimportat62111">
    <w:name w:val="Stil importat 62111"/>
    <w:rsid w:val="005D3C7A"/>
  </w:style>
  <w:style w:type="numbering" w:customStyle="1" w:styleId="Stilimportat72111">
    <w:name w:val="Stil importat 72111"/>
    <w:rsid w:val="005D3C7A"/>
  </w:style>
  <w:style w:type="numbering" w:customStyle="1" w:styleId="NoList42111">
    <w:name w:val="No List42111"/>
    <w:next w:val="NoList"/>
    <w:uiPriority w:val="99"/>
    <w:semiHidden/>
    <w:unhideWhenUsed/>
    <w:rsid w:val="005D3C7A"/>
  </w:style>
  <w:style w:type="numbering" w:customStyle="1" w:styleId="NoList122111">
    <w:name w:val="No List122111"/>
    <w:next w:val="NoList"/>
    <w:uiPriority w:val="99"/>
    <w:semiHidden/>
    <w:unhideWhenUsed/>
    <w:rsid w:val="005D3C7A"/>
  </w:style>
  <w:style w:type="numbering" w:customStyle="1" w:styleId="NoList212111">
    <w:name w:val="No List212111"/>
    <w:next w:val="NoList"/>
    <w:uiPriority w:val="99"/>
    <w:semiHidden/>
    <w:unhideWhenUsed/>
    <w:rsid w:val="005D3C7A"/>
  </w:style>
  <w:style w:type="numbering" w:customStyle="1" w:styleId="NoList1122111">
    <w:name w:val="No List1122111"/>
    <w:next w:val="NoList"/>
    <w:uiPriority w:val="99"/>
    <w:semiHidden/>
    <w:unhideWhenUsed/>
    <w:rsid w:val="005D3C7A"/>
  </w:style>
  <w:style w:type="numbering" w:customStyle="1" w:styleId="NoList52111">
    <w:name w:val="No List52111"/>
    <w:next w:val="NoList"/>
    <w:uiPriority w:val="99"/>
    <w:semiHidden/>
    <w:unhideWhenUsed/>
    <w:rsid w:val="005D3C7A"/>
  </w:style>
  <w:style w:type="numbering" w:customStyle="1" w:styleId="ImportedStyle78011111">
    <w:name w:val="Imported Style 78.011111"/>
    <w:rsid w:val="005D3C7A"/>
  </w:style>
  <w:style w:type="numbering" w:customStyle="1" w:styleId="ImportedStyle8311111">
    <w:name w:val="Imported Style 8311111"/>
    <w:rsid w:val="005D3C7A"/>
  </w:style>
  <w:style w:type="numbering" w:customStyle="1" w:styleId="ImportedStyle11411111">
    <w:name w:val="Imported Style 11411111"/>
    <w:rsid w:val="005D3C7A"/>
  </w:style>
  <w:style w:type="numbering" w:customStyle="1" w:styleId="NoList161">
    <w:name w:val="No List161"/>
    <w:next w:val="NoList"/>
    <w:uiPriority w:val="99"/>
    <w:semiHidden/>
    <w:unhideWhenUsed/>
    <w:rsid w:val="005D3C7A"/>
  </w:style>
  <w:style w:type="numbering" w:customStyle="1" w:styleId="NoList171">
    <w:name w:val="No List171"/>
    <w:next w:val="NoList"/>
    <w:uiPriority w:val="99"/>
    <w:semiHidden/>
    <w:unhideWhenUsed/>
    <w:rsid w:val="005D3C7A"/>
  </w:style>
  <w:style w:type="numbering" w:customStyle="1" w:styleId="Stilimportat14">
    <w:name w:val="Stil importat 14"/>
    <w:rsid w:val="005D3C7A"/>
  </w:style>
  <w:style w:type="numbering" w:customStyle="1" w:styleId="Stilimportat24">
    <w:name w:val="Stil importat 24"/>
    <w:rsid w:val="005D3C7A"/>
  </w:style>
  <w:style w:type="numbering" w:customStyle="1" w:styleId="Stilimportat34">
    <w:name w:val="Stil importat 34"/>
    <w:rsid w:val="005D3C7A"/>
  </w:style>
  <w:style w:type="numbering" w:customStyle="1" w:styleId="Stilimportat44">
    <w:name w:val="Stil importat 44"/>
    <w:rsid w:val="005D3C7A"/>
  </w:style>
  <w:style w:type="numbering" w:customStyle="1" w:styleId="Stilimportat54">
    <w:name w:val="Stil importat 54"/>
    <w:rsid w:val="005D3C7A"/>
  </w:style>
  <w:style w:type="numbering" w:customStyle="1" w:styleId="Stilimportat64">
    <w:name w:val="Stil importat 64"/>
    <w:rsid w:val="005D3C7A"/>
  </w:style>
  <w:style w:type="numbering" w:customStyle="1" w:styleId="Stilimportat74">
    <w:name w:val="Stil importat 74"/>
    <w:rsid w:val="005D3C7A"/>
  </w:style>
  <w:style w:type="table" w:customStyle="1" w:styleId="TableGrid201">
    <w:name w:val="Table Grid20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39"/>
    <w:rsid w:val="005D3C7A"/>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4">
    <w:name w:val="Imported Style 14"/>
    <w:rsid w:val="005D3C7A"/>
  </w:style>
  <w:style w:type="numbering" w:customStyle="1" w:styleId="ImportedStyle24">
    <w:name w:val="Imported Style 24"/>
    <w:rsid w:val="005D3C7A"/>
  </w:style>
  <w:style w:type="numbering" w:customStyle="1" w:styleId="ImportedStyle34">
    <w:name w:val="Imported Style 34"/>
    <w:rsid w:val="005D3C7A"/>
  </w:style>
  <w:style w:type="paragraph" w:customStyle="1" w:styleId="Heading41">
    <w:name w:val="Heading 41"/>
    <w:basedOn w:val="Normal"/>
    <w:next w:val="Normal"/>
    <w:uiPriority w:val="9"/>
    <w:unhideWhenUsed/>
    <w:qFormat/>
    <w:rsid w:val="005D3C7A"/>
    <w:pPr>
      <w:keepNext/>
      <w:keepLines/>
      <w:spacing w:before="40" w:after="0"/>
      <w:outlineLvl w:val="3"/>
    </w:pPr>
    <w:rPr>
      <w:rFonts w:ascii="Calibri Light" w:eastAsia="Times New Roman" w:hAnsi="Calibri Light" w:cs="Times New Roman"/>
      <w:i/>
      <w:iCs/>
      <w:color w:val="2E74B5"/>
    </w:rPr>
  </w:style>
  <w:style w:type="numbering" w:customStyle="1" w:styleId="NoList116">
    <w:name w:val="No List116"/>
    <w:next w:val="NoList"/>
    <w:uiPriority w:val="99"/>
    <w:semiHidden/>
    <w:unhideWhenUsed/>
    <w:rsid w:val="005D3C7A"/>
  </w:style>
  <w:style w:type="table" w:customStyle="1" w:styleId="TableGrid531">
    <w:name w:val="Table Grid5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4">
    <w:name w:val="Imported Style 784"/>
    <w:rsid w:val="005D3C7A"/>
  </w:style>
  <w:style w:type="numbering" w:customStyle="1" w:styleId="ImportedStyle7804">
    <w:name w:val="Imported Style 78.04"/>
    <w:rsid w:val="005D3C7A"/>
  </w:style>
  <w:style w:type="numbering" w:customStyle="1" w:styleId="ImportedStyle805">
    <w:name w:val="Imported Style 805"/>
    <w:rsid w:val="005D3C7A"/>
  </w:style>
  <w:style w:type="numbering" w:customStyle="1" w:styleId="ImportedStyle824">
    <w:name w:val="Imported Style 824"/>
    <w:rsid w:val="005D3C7A"/>
  </w:style>
  <w:style w:type="numbering" w:customStyle="1" w:styleId="ImportedStyle834">
    <w:name w:val="Imported Style 834"/>
    <w:rsid w:val="005D3C7A"/>
  </w:style>
  <w:style w:type="numbering" w:customStyle="1" w:styleId="ImportedStyle1144">
    <w:name w:val="Imported Style 1144"/>
    <w:rsid w:val="005D3C7A"/>
  </w:style>
  <w:style w:type="numbering" w:customStyle="1" w:styleId="ImportedStyle1155">
    <w:name w:val="Imported Style 1155"/>
    <w:rsid w:val="005D3C7A"/>
  </w:style>
  <w:style w:type="numbering" w:customStyle="1" w:styleId="ImportedStyle1164">
    <w:name w:val="Imported Style 1164"/>
    <w:rsid w:val="005D3C7A"/>
  </w:style>
  <w:style w:type="numbering" w:customStyle="1" w:styleId="ImportedStyle112">
    <w:name w:val="Imported Style 112"/>
    <w:rsid w:val="005D3C7A"/>
  </w:style>
  <w:style w:type="numbering" w:customStyle="1" w:styleId="ImportedStyle212">
    <w:name w:val="Imported Style 212"/>
    <w:rsid w:val="005D3C7A"/>
  </w:style>
  <w:style w:type="numbering" w:customStyle="1" w:styleId="ImportedStyle312">
    <w:name w:val="Imported Style 312"/>
    <w:rsid w:val="005D3C7A"/>
  </w:style>
  <w:style w:type="table" w:customStyle="1" w:styleId="TableGrid1131">
    <w:name w:val="Table Grid113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5D3C7A"/>
  </w:style>
  <w:style w:type="numbering" w:customStyle="1" w:styleId="NoList25">
    <w:name w:val="No List25"/>
    <w:next w:val="NoList"/>
    <w:uiPriority w:val="99"/>
    <w:semiHidden/>
    <w:unhideWhenUsed/>
    <w:rsid w:val="005D3C7A"/>
  </w:style>
  <w:style w:type="numbering" w:customStyle="1" w:styleId="NoList11112">
    <w:name w:val="No List11112"/>
    <w:next w:val="NoList"/>
    <w:uiPriority w:val="99"/>
    <w:semiHidden/>
    <w:unhideWhenUsed/>
    <w:rsid w:val="005D3C7A"/>
  </w:style>
  <w:style w:type="numbering" w:customStyle="1" w:styleId="NoList11111111">
    <w:name w:val="No List11111111"/>
    <w:next w:val="NoList"/>
    <w:uiPriority w:val="99"/>
    <w:semiHidden/>
    <w:unhideWhenUsed/>
    <w:rsid w:val="005D3C7A"/>
  </w:style>
  <w:style w:type="numbering" w:customStyle="1" w:styleId="NoList34">
    <w:name w:val="No List34"/>
    <w:next w:val="NoList"/>
    <w:uiPriority w:val="99"/>
    <w:semiHidden/>
    <w:unhideWhenUsed/>
    <w:rsid w:val="005D3C7A"/>
  </w:style>
  <w:style w:type="numbering" w:customStyle="1" w:styleId="Stilimportat112">
    <w:name w:val="Stil importat 112"/>
    <w:rsid w:val="005D3C7A"/>
  </w:style>
  <w:style w:type="numbering" w:customStyle="1" w:styleId="Stilimportat212">
    <w:name w:val="Stil importat 212"/>
    <w:rsid w:val="005D3C7A"/>
  </w:style>
  <w:style w:type="numbering" w:customStyle="1" w:styleId="Stilimportat312">
    <w:name w:val="Stil importat 312"/>
    <w:rsid w:val="005D3C7A"/>
  </w:style>
  <w:style w:type="numbering" w:customStyle="1" w:styleId="Stilimportat412">
    <w:name w:val="Stil importat 412"/>
    <w:rsid w:val="005D3C7A"/>
    <w:pPr>
      <w:numPr>
        <w:numId w:val="291"/>
      </w:numPr>
    </w:pPr>
  </w:style>
  <w:style w:type="numbering" w:customStyle="1" w:styleId="Stilimportat512">
    <w:name w:val="Stil importat 512"/>
    <w:rsid w:val="005D3C7A"/>
    <w:pPr>
      <w:numPr>
        <w:numId w:val="293"/>
      </w:numPr>
    </w:pPr>
  </w:style>
  <w:style w:type="numbering" w:customStyle="1" w:styleId="Stilimportat612">
    <w:name w:val="Stil importat 612"/>
    <w:rsid w:val="005D3C7A"/>
    <w:pPr>
      <w:numPr>
        <w:numId w:val="295"/>
      </w:numPr>
    </w:pPr>
  </w:style>
  <w:style w:type="numbering" w:customStyle="1" w:styleId="Stilimportat712">
    <w:name w:val="Stil importat 712"/>
    <w:rsid w:val="005D3C7A"/>
    <w:pPr>
      <w:numPr>
        <w:numId w:val="297"/>
      </w:numPr>
    </w:pPr>
  </w:style>
  <w:style w:type="numbering" w:customStyle="1" w:styleId="NoList44">
    <w:name w:val="No List44"/>
    <w:next w:val="NoList"/>
    <w:uiPriority w:val="99"/>
    <w:semiHidden/>
    <w:unhideWhenUsed/>
    <w:rsid w:val="005D3C7A"/>
  </w:style>
  <w:style w:type="numbering" w:customStyle="1" w:styleId="NoList124">
    <w:name w:val="No List124"/>
    <w:next w:val="NoList"/>
    <w:uiPriority w:val="99"/>
    <w:semiHidden/>
    <w:unhideWhenUsed/>
    <w:rsid w:val="005D3C7A"/>
  </w:style>
  <w:style w:type="numbering" w:customStyle="1" w:styleId="NoList214">
    <w:name w:val="No List214"/>
    <w:next w:val="NoList"/>
    <w:uiPriority w:val="99"/>
    <w:semiHidden/>
    <w:unhideWhenUsed/>
    <w:rsid w:val="005D3C7A"/>
  </w:style>
  <w:style w:type="numbering" w:customStyle="1" w:styleId="NoList1124">
    <w:name w:val="No List1124"/>
    <w:next w:val="NoList"/>
    <w:uiPriority w:val="99"/>
    <w:semiHidden/>
    <w:unhideWhenUsed/>
    <w:rsid w:val="005D3C7A"/>
  </w:style>
  <w:style w:type="numbering" w:customStyle="1" w:styleId="NoList54">
    <w:name w:val="No List54"/>
    <w:next w:val="NoList"/>
    <w:uiPriority w:val="99"/>
    <w:semiHidden/>
    <w:unhideWhenUsed/>
    <w:rsid w:val="005D3C7A"/>
  </w:style>
  <w:style w:type="character" w:customStyle="1" w:styleId="Heading4Char1">
    <w:name w:val="Heading 4 Char1"/>
    <w:uiPriority w:val="9"/>
    <w:semiHidden/>
    <w:rsid w:val="005D3C7A"/>
    <w:rPr>
      <w:rFonts w:ascii="Calibri" w:eastAsia="Times New Roman" w:hAnsi="Calibri" w:cs="Times New Roman"/>
      <w:b/>
      <w:bCs/>
      <w:sz w:val="28"/>
      <w:szCs w:val="28"/>
    </w:rPr>
  </w:style>
  <w:style w:type="numbering" w:customStyle="1" w:styleId="NoList62">
    <w:name w:val="No List62"/>
    <w:next w:val="NoList"/>
    <w:uiPriority w:val="99"/>
    <w:semiHidden/>
    <w:unhideWhenUsed/>
    <w:rsid w:val="005D3C7A"/>
  </w:style>
  <w:style w:type="table" w:customStyle="1" w:styleId="TableGrid711">
    <w:name w:val="Table Grid7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12">
    <w:name w:val="Imported Style 7812"/>
    <w:rsid w:val="005D3C7A"/>
  </w:style>
  <w:style w:type="numbering" w:customStyle="1" w:styleId="ImportedStyle78012">
    <w:name w:val="Imported Style 78.012"/>
    <w:rsid w:val="005D3C7A"/>
  </w:style>
  <w:style w:type="numbering" w:customStyle="1" w:styleId="ImportedStyle8012">
    <w:name w:val="Imported Style 8012"/>
    <w:rsid w:val="005D3C7A"/>
  </w:style>
  <w:style w:type="numbering" w:customStyle="1" w:styleId="ImportedStyle8212">
    <w:name w:val="Imported Style 8212"/>
    <w:rsid w:val="005D3C7A"/>
  </w:style>
  <w:style w:type="numbering" w:customStyle="1" w:styleId="ImportedStyle8312">
    <w:name w:val="Imported Style 8312"/>
    <w:rsid w:val="005D3C7A"/>
  </w:style>
  <w:style w:type="numbering" w:customStyle="1" w:styleId="ImportedStyle11412">
    <w:name w:val="Imported Style 11412"/>
    <w:rsid w:val="005D3C7A"/>
  </w:style>
  <w:style w:type="numbering" w:customStyle="1" w:styleId="ImportedStyle11512">
    <w:name w:val="Imported Style 11512"/>
    <w:rsid w:val="005D3C7A"/>
  </w:style>
  <w:style w:type="numbering" w:customStyle="1" w:styleId="ImportedStyle11612">
    <w:name w:val="Imported Style 11612"/>
    <w:rsid w:val="005D3C7A"/>
  </w:style>
  <w:style w:type="numbering" w:customStyle="1" w:styleId="ImportedStyle122">
    <w:name w:val="Imported Style 122"/>
    <w:rsid w:val="005D3C7A"/>
  </w:style>
  <w:style w:type="numbering" w:customStyle="1" w:styleId="ImportedStyle222">
    <w:name w:val="Imported Style 222"/>
    <w:rsid w:val="005D3C7A"/>
  </w:style>
  <w:style w:type="numbering" w:customStyle="1" w:styleId="ImportedStyle322">
    <w:name w:val="Imported Style 322"/>
    <w:rsid w:val="005D3C7A"/>
  </w:style>
  <w:style w:type="numbering" w:customStyle="1" w:styleId="NoList132">
    <w:name w:val="No List132"/>
    <w:next w:val="NoList"/>
    <w:uiPriority w:val="99"/>
    <w:semiHidden/>
    <w:unhideWhenUsed/>
    <w:rsid w:val="005D3C7A"/>
  </w:style>
  <w:style w:type="numbering" w:customStyle="1" w:styleId="NoList222">
    <w:name w:val="No List222"/>
    <w:next w:val="NoList"/>
    <w:uiPriority w:val="99"/>
    <w:semiHidden/>
    <w:unhideWhenUsed/>
    <w:rsid w:val="005D3C7A"/>
  </w:style>
  <w:style w:type="numbering" w:customStyle="1" w:styleId="NoList1132">
    <w:name w:val="No List1132"/>
    <w:next w:val="NoList"/>
    <w:uiPriority w:val="99"/>
    <w:semiHidden/>
    <w:unhideWhenUsed/>
    <w:rsid w:val="005D3C7A"/>
  </w:style>
  <w:style w:type="numbering" w:customStyle="1" w:styleId="NoList11122">
    <w:name w:val="No List11122"/>
    <w:next w:val="NoList"/>
    <w:uiPriority w:val="99"/>
    <w:semiHidden/>
    <w:unhideWhenUsed/>
    <w:rsid w:val="005D3C7A"/>
  </w:style>
  <w:style w:type="numbering" w:customStyle="1" w:styleId="NoList312">
    <w:name w:val="No List312"/>
    <w:next w:val="NoList"/>
    <w:uiPriority w:val="99"/>
    <w:semiHidden/>
    <w:unhideWhenUsed/>
    <w:rsid w:val="005D3C7A"/>
  </w:style>
  <w:style w:type="numbering" w:customStyle="1" w:styleId="Stilimportat122">
    <w:name w:val="Stil importat 122"/>
    <w:rsid w:val="005D3C7A"/>
  </w:style>
  <w:style w:type="numbering" w:customStyle="1" w:styleId="Stilimportat222">
    <w:name w:val="Stil importat 222"/>
    <w:rsid w:val="005D3C7A"/>
  </w:style>
  <w:style w:type="numbering" w:customStyle="1" w:styleId="Stilimportat322">
    <w:name w:val="Stil importat 322"/>
    <w:rsid w:val="005D3C7A"/>
  </w:style>
  <w:style w:type="numbering" w:customStyle="1" w:styleId="Stilimportat422">
    <w:name w:val="Stil importat 422"/>
    <w:rsid w:val="005D3C7A"/>
  </w:style>
  <w:style w:type="numbering" w:customStyle="1" w:styleId="Stilimportat522">
    <w:name w:val="Stil importat 522"/>
    <w:rsid w:val="005D3C7A"/>
  </w:style>
  <w:style w:type="numbering" w:customStyle="1" w:styleId="Stilimportat622">
    <w:name w:val="Stil importat 622"/>
    <w:rsid w:val="005D3C7A"/>
  </w:style>
  <w:style w:type="numbering" w:customStyle="1" w:styleId="Stilimportat722">
    <w:name w:val="Stil importat 722"/>
    <w:rsid w:val="005D3C7A"/>
  </w:style>
  <w:style w:type="numbering" w:customStyle="1" w:styleId="NoList412">
    <w:name w:val="No List412"/>
    <w:next w:val="NoList"/>
    <w:uiPriority w:val="99"/>
    <w:semiHidden/>
    <w:unhideWhenUsed/>
    <w:rsid w:val="005D3C7A"/>
  </w:style>
  <w:style w:type="numbering" w:customStyle="1" w:styleId="NoList1212">
    <w:name w:val="No List1212"/>
    <w:next w:val="NoList"/>
    <w:uiPriority w:val="99"/>
    <w:semiHidden/>
    <w:unhideWhenUsed/>
    <w:rsid w:val="005D3C7A"/>
  </w:style>
  <w:style w:type="numbering" w:customStyle="1" w:styleId="NoList2112">
    <w:name w:val="No List2112"/>
    <w:next w:val="NoList"/>
    <w:uiPriority w:val="99"/>
    <w:semiHidden/>
    <w:unhideWhenUsed/>
    <w:rsid w:val="005D3C7A"/>
  </w:style>
  <w:style w:type="numbering" w:customStyle="1" w:styleId="NoList11212">
    <w:name w:val="No List11212"/>
    <w:next w:val="NoList"/>
    <w:uiPriority w:val="99"/>
    <w:semiHidden/>
    <w:unhideWhenUsed/>
    <w:rsid w:val="005D3C7A"/>
  </w:style>
  <w:style w:type="numbering" w:customStyle="1" w:styleId="NoList512">
    <w:name w:val="No List512"/>
    <w:next w:val="NoList"/>
    <w:uiPriority w:val="99"/>
    <w:semiHidden/>
    <w:unhideWhenUsed/>
    <w:rsid w:val="005D3C7A"/>
  </w:style>
  <w:style w:type="numbering" w:customStyle="1" w:styleId="NoList72">
    <w:name w:val="No List72"/>
    <w:next w:val="NoList"/>
    <w:uiPriority w:val="99"/>
    <w:semiHidden/>
    <w:unhideWhenUsed/>
    <w:rsid w:val="005D3C7A"/>
  </w:style>
  <w:style w:type="table" w:customStyle="1" w:styleId="TableGrid811">
    <w:name w:val="Table Grid8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22">
    <w:name w:val="Imported Style 7822"/>
    <w:rsid w:val="005D3C7A"/>
  </w:style>
  <w:style w:type="numbering" w:customStyle="1" w:styleId="ImportedStyle78022">
    <w:name w:val="Imported Style 78.022"/>
    <w:rsid w:val="005D3C7A"/>
  </w:style>
  <w:style w:type="numbering" w:customStyle="1" w:styleId="ImportedStyle8022">
    <w:name w:val="Imported Style 8022"/>
    <w:rsid w:val="005D3C7A"/>
  </w:style>
  <w:style w:type="numbering" w:customStyle="1" w:styleId="ImportedStyle8222">
    <w:name w:val="Imported Style 8222"/>
    <w:rsid w:val="005D3C7A"/>
  </w:style>
  <w:style w:type="numbering" w:customStyle="1" w:styleId="ImportedStyle8322">
    <w:name w:val="Imported Style 8322"/>
    <w:rsid w:val="005D3C7A"/>
  </w:style>
  <w:style w:type="numbering" w:customStyle="1" w:styleId="ImportedStyle11422">
    <w:name w:val="Imported Style 11422"/>
    <w:rsid w:val="005D3C7A"/>
  </w:style>
  <w:style w:type="numbering" w:customStyle="1" w:styleId="ImportedStyle11522">
    <w:name w:val="Imported Style 11522"/>
    <w:rsid w:val="005D3C7A"/>
  </w:style>
  <w:style w:type="numbering" w:customStyle="1" w:styleId="ImportedStyle11622">
    <w:name w:val="Imported Style 11622"/>
    <w:rsid w:val="005D3C7A"/>
  </w:style>
  <w:style w:type="numbering" w:customStyle="1" w:styleId="ImportedStyle13111">
    <w:name w:val="Imported Style 13111"/>
    <w:rsid w:val="005D3C7A"/>
  </w:style>
  <w:style w:type="numbering" w:customStyle="1" w:styleId="ImportedStyle23111">
    <w:name w:val="Imported Style 23111"/>
    <w:rsid w:val="005D3C7A"/>
  </w:style>
  <w:style w:type="numbering" w:customStyle="1" w:styleId="ImportedStyle33111">
    <w:name w:val="Imported Style 33111"/>
    <w:rsid w:val="005D3C7A"/>
  </w:style>
  <w:style w:type="table" w:customStyle="1" w:styleId="TableGrid1411">
    <w:name w:val="Table Grid141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uiPriority w:val="99"/>
    <w:semiHidden/>
    <w:unhideWhenUsed/>
    <w:rsid w:val="005D3C7A"/>
  </w:style>
  <w:style w:type="table" w:customStyle="1" w:styleId="TableGrid2311">
    <w:name w:val="Table Grid23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2">
    <w:name w:val="No List232"/>
    <w:next w:val="NoList"/>
    <w:uiPriority w:val="99"/>
    <w:semiHidden/>
    <w:unhideWhenUsed/>
    <w:rsid w:val="005D3C7A"/>
  </w:style>
  <w:style w:type="table" w:customStyle="1" w:styleId="TableGrid3311">
    <w:name w:val="Table Grid33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2">
    <w:name w:val="No List1142"/>
    <w:next w:val="NoList"/>
    <w:uiPriority w:val="99"/>
    <w:semiHidden/>
    <w:unhideWhenUsed/>
    <w:rsid w:val="005D3C7A"/>
  </w:style>
  <w:style w:type="numbering" w:customStyle="1" w:styleId="NoList1113111">
    <w:name w:val="No List1113111"/>
    <w:next w:val="NoList"/>
    <w:uiPriority w:val="99"/>
    <w:semiHidden/>
    <w:unhideWhenUsed/>
    <w:rsid w:val="005D3C7A"/>
  </w:style>
  <w:style w:type="table" w:customStyle="1" w:styleId="TableGrid11311">
    <w:name w:val="Table Grid113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2">
    <w:name w:val="No List322"/>
    <w:next w:val="NoList"/>
    <w:uiPriority w:val="99"/>
    <w:semiHidden/>
    <w:unhideWhenUsed/>
    <w:rsid w:val="005D3C7A"/>
  </w:style>
  <w:style w:type="numbering" w:customStyle="1" w:styleId="Stilimportat13111">
    <w:name w:val="Stil importat 13111"/>
    <w:rsid w:val="005D3C7A"/>
    <w:pPr>
      <w:numPr>
        <w:numId w:val="300"/>
      </w:numPr>
    </w:pPr>
  </w:style>
  <w:style w:type="numbering" w:customStyle="1" w:styleId="Stilimportat23111">
    <w:name w:val="Stil importat 23111"/>
    <w:rsid w:val="005D3C7A"/>
  </w:style>
  <w:style w:type="numbering" w:customStyle="1" w:styleId="Stilimportat33111">
    <w:name w:val="Stil importat 33111"/>
    <w:rsid w:val="005D3C7A"/>
    <w:pPr>
      <w:numPr>
        <w:numId w:val="292"/>
      </w:numPr>
    </w:pPr>
  </w:style>
  <w:style w:type="numbering" w:customStyle="1" w:styleId="Stilimportat43111">
    <w:name w:val="Stil importat 43111"/>
    <w:rsid w:val="005D3C7A"/>
    <w:pPr>
      <w:numPr>
        <w:numId w:val="294"/>
      </w:numPr>
    </w:pPr>
  </w:style>
  <w:style w:type="numbering" w:customStyle="1" w:styleId="Stilimportat53111">
    <w:name w:val="Stil importat 53111"/>
    <w:rsid w:val="005D3C7A"/>
    <w:pPr>
      <w:numPr>
        <w:numId w:val="296"/>
      </w:numPr>
    </w:pPr>
  </w:style>
  <w:style w:type="numbering" w:customStyle="1" w:styleId="Stilimportat63111">
    <w:name w:val="Stil importat 63111"/>
    <w:rsid w:val="005D3C7A"/>
    <w:pPr>
      <w:numPr>
        <w:numId w:val="298"/>
      </w:numPr>
    </w:pPr>
  </w:style>
  <w:style w:type="numbering" w:customStyle="1" w:styleId="Stilimportat73111">
    <w:name w:val="Stil importat 73111"/>
    <w:rsid w:val="005D3C7A"/>
    <w:pPr>
      <w:numPr>
        <w:numId w:val="299"/>
      </w:numPr>
    </w:pPr>
  </w:style>
  <w:style w:type="numbering" w:customStyle="1" w:styleId="NoList422">
    <w:name w:val="No List422"/>
    <w:next w:val="NoList"/>
    <w:uiPriority w:val="99"/>
    <w:semiHidden/>
    <w:unhideWhenUsed/>
    <w:rsid w:val="005D3C7A"/>
  </w:style>
  <w:style w:type="numbering" w:customStyle="1" w:styleId="NoList1222">
    <w:name w:val="No List1222"/>
    <w:next w:val="NoList"/>
    <w:uiPriority w:val="99"/>
    <w:semiHidden/>
    <w:unhideWhenUsed/>
    <w:rsid w:val="005D3C7A"/>
  </w:style>
  <w:style w:type="table" w:customStyle="1" w:styleId="TableGrid4311">
    <w:name w:val="Table Grid43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2">
    <w:name w:val="No List2122"/>
    <w:next w:val="NoList"/>
    <w:uiPriority w:val="99"/>
    <w:semiHidden/>
    <w:unhideWhenUsed/>
    <w:rsid w:val="005D3C7A"/>
  </w:style>
  <w:style w:type="numbering" w:customStyle="1" w:styleId="NoList11222">
    <w:name w:val="No List11222"/>
    <w:next w:val="NoList"/>
    <w:uiPriority w:val="99"/>
    <w:semiHidden/>
    <w:unhideWhenUsed/>
    <w:rsid w:val="005D3C7A"/>
  </w:style>
  <w:style w:type="numbering" w:customStyle="1" w:styleId="NoList522">
    <w:name w:val="No List522"/>
    <w:next w:val="NoList"/>
    <w:uiPriority w:val="99"/>
    <w:semiHidden/>
    <w:unhideWhenUsed/>
    <w:rsid w:val="005D3C7A"/>
  </w:style>
  <w:style w:type="table" w:customStyle="1" w:styleId="TableGrid5311">
    <w:name w:val="Table Grid53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mportat141">
    <w:name w:val="Stil importat 141"/>
    <w:rsid w:val="005D3C7A"/>
    <w:pPr>
      <w:numPr>
        <w:numId w:val="301"/>
      </w:numPr>
    </w:pPr>
  </w:style>
  <w:style w:type="numbering" w:customStyle="1" w:styleId="Stilimportat241">
    <w:name w:val="Stil importat 241"/>
    <w:rsid w:val="005D3C7A"/>
    <w:pPr>
      <w:numPr>
        <w:numId w:val="302"/>
      </w:numPr>
    </w:pPr>
  </w:style>
  <w:style w:type="numbering" w:customStyle="1" w:styleId="Stilimportat341">
    <w:name w:val="Stil importat 341"/>
    <w:rsid w:val="005D3C7A"/>
    <w:pPr>
      <w:numPr>
        <w:numId w:val="303"/>
      </w:numPr>
    </w:pPr>
  </w:style>
  <w:style w:type="numbering" w:customStyle="1" w:styleId="Stilimportat441">
    <w:name w:val="Stil importat 441"/>
    <w:rsid w:val="005D3C7A"/>
    <w:pPr>
      <w:numPr>
        <w:numId w:val="304"/>
      </w:numPr>
    </w:pPr>
  </w:style>
  <w:style w:type="numbering" w:customStyle="1" w:styleId="Stilimportat541">
    <w:name w:val="Stil importat 541"/>
    <w:rsid w:val="005D3C7A"/>
    <w:pPr>
      <w:numPr>
        <w:numId w:val="305"/>
      </w:numPr>
    </w:pPr>
  </w:style>
  <w:style w:type="numbering" w:customStyle="1" w:styleId="Stilimportat641">
    <w:name w:val="Stil importat 641"/>
    <w:rsid w:val="005D3C7A"/>
    <w:pPr>
      <w:numPr>
        <w:numId w:val="306"/>
      </w:numPr>
    </w:pPr>
  </w:style>
  <w:style w:type="numbering" w:customStyle="1" w:styleId="Stilimportat741">
    <w:name w:val="Stil importat 741"/>
    <w:rsid w:val="005D3C7A"/>
    <w:pPr>
      <w:numPr>
        <w:numId w:val="307"/>
      </w:numPr>
    </w:pPr>
  </w:style>
  <w:style w:type="numbering" w:customStyle="1" w:styleId="ImportedStyle8031111">
    <w:name w:val="Imported Style 8031111"/>
    <w:rsid w:val="005D3C7A"/>
  </w:style>
  <w:style w:type="numbering" w:customStyle="1" w:styleId="NoList18">
    <w:name w:val="No List18"/>
    <w:next w:val="NoList"/>
    <w:uiPriority w:val="99"/>
    <w:semiHidden/>
    <w:unhideWhenUsed/>
    <w:rsid w:val="005D3C7A"/>
  </w:style>
  <w:style w:type="table" w:customStyle="1" w:styleId="TableGrid241">
    <w:name w:val="Table Grid241"/>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5">
    <w:name w:val="Imported Style 785"/>
    <w:rsid w:val="005D3C7A"/>
  </w:style>
  <w:style w:type="numbering" w:customStyle="1" w:styleId="ImportedStyle7805">
    <w:name w:val="Imported Style 78.05"/>
    <w:rsid w:val="005D3C7A"/>
  </w:style>
  <w:style w:type="numbering" w:customStyle="1" w:styleId="ImportedStyle806">
    <w:name w:val="Imported Style 806"/>
    <w:rsid w:val="005D3C7A"/>
  </w:style>
  <w:style w:type="numbering" w:customStyle="1" w:styleId="ImportedStyle825">
    <w:name w:val="Imported Style 825"/>
    <w:rsid w:val="005D3C7A"/>
  </w:style>
  <w:style w:type="numbering" w:customStyle="1" w:styleId="ImportedStyle835">
    <w:name w:val="Imported Style 835"/>
    <w:rsid w:val="005D3C7A"/>
  </w:style>
  <w:style w:type="numbering" w:customStyle="1" w:styleId="ImportedStyle1145">
    <w:name w:val="Imported Style 1145"/>
    <w:rsid w:val="005D3C7A"/>
  </w:style>
  <w:style w:type="numbering" w:customStyle="1" w:styleId="ImportedStyle1156">
    <w:name w:val="Imported Style 1156"/>
    <w:rsid w:val="005D3C7A"/>
  </w:style>
  <w:style w:type="numbering" w:customStyle="1" w:styleId="ImportedStyle1165">
    <w:name w:val="Imported Style 1165"/>
    <w:rsid w:val="005D3C7A"/>
  </w:style>
  <w:style w:type="table" w:customStyle="1" w:styleId="TableNormal14">
    <w:name w:val="Table Normal14"/>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5">
    <w:name w:val="Imported Style 15"/>
    <w:rsid w:val="005D3C7A"/>
  </w:style>
  <w:style w:type="numbering" w:customStyle="1" w:styleId="ImportedStyle25">
    <w:name w:val="Imported Style 25"/>
    <w:rsid w:val="005D3C7A"/>
  </w:style>
  <w:style w:type="numbering" w:customStyle="1" w:styleId="ImportedStyle35">
    <w:name w:val="Imported Style 35"/>
    <w:rsid w:val="005D3C7A"/>
  </w:style>
  <w:style w:type="table" w:customStyle="1" w:styleId="TableGrid114">
    <w:name w:val="Table Grid114"/>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5D3C7A"/>
  </w:style>
  <w:style w:type="numbering" w:customStyle="1" w:styleId="NoList26">
    <w:name w:val="No List26"/>
    <w:next w:val="NoList"/>
    <w:uiPriority w:val="99"/>
    <w:semiHidden/>
    <w:unhideWhenUsed/>
    <w:rsid w:val="005D3C7A"/>
  </w:style>
  <w:style w:type="table" w:customStyle="1" w:styleId="TableGrid34">
    <w:name w:val="Table Grid34"/>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7">
    <w:name w:val="No List117"/>
    <w:next w:val="NoList"/>
    <w:uiPriority w:val="99"/>
    <w:semiHidden/>
    <w:unhideWhenUsed/>
    <w:rsid w:val="005D3C7A"/>
  </w:style>
  <w:style w:type="numbering" w:customStyle="1" w:styleId="NoList1115">
    <w:name w:val="No List1115"/>
    <w:next w:val="NoList"/>
    <w:uiPriority w:val="99"/>
    <w:semiHidden/>
    <w:unhideWhenUsed/>
    <w:rsid w:val="005D3C7A"/>
  </w:style>
  <w:style w:type="table" w:customStyle="1" w:styleId="TableGrid115">
    <w:name w:val="Table Grid115"/>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5D3C7A"/>
  </w:style>
  <w:style w:type="numbering" w:customStyle="1" w:styleId="Stilimportat15">
    <w:name w:val="Stil importat 15"/>
    <w:rsid w:val="005D3C7A"/>
  </w:style>
  <w:style w:type="numbering" w:customStyle="1" w:styleId="Stilimportat25">
    <w:name w:val="Stil importat 25"/>
    <w:rsid w:val="005D3C7A"/>
  </w:style>
  <w:style w:type="numbering" w:customStyle="1" w:styleId="Stilimportat35">
    <w:name w:val="Stil importat 35"/>
    <w:rsid w:val="005D3C7A"/>
  </w:style>
  <w:style w:type="numbering" w:customStyle="1" w:styleId="Stilimportat45">
    <w:name w:val="Stil importat 45"/>
    <w:rsid w:val="005D3C7A"/>
  </w:style>
  <w:style w:type="numbering" w:customStyle="1" w:styleId="Stilimportat55">
    <w:name w:val="Stil importat 55"/>
    <w:rsid w:val="005D3C7A"/>
  </w:style>
  <w:style w:type="numbering" w:customStyle="1" w:styleId="Stilimportat65">
    <w:name w:val="Stil importat 65"/>
    <w:rsid w:val="005D3C7A"/>
  </w:style>
  <w:style w:type="numbering" w:customStyle="1" w:styleId="Stilimportat75">
    <w:name w:val="Stil importat 75"/>
    <w:rsid w:val="005D3C7A"/>
  </w:style>
  <w:style w:type="numbering" w:customStyle="1" w:styleId="NoList45">
    <w:name w:val="No List45"/>
    <w:next w:val="NoList"/>
    <w:uiPriority w:val="99"/>
    <w:semiHidden/>
    <w:unhideWhenUsed/>
    <w:rsid w:val="005D3C7A"/>
  </w:style>
  <w:style w:type="numbering" w:customStyle="1" w:styleId="NoList125">
    <w:name w:val="No List125"/>
    <w:next w:val="NoList"/>
    <w:uiPriority w:val="99"/>
    <w:semiHidden/>
    <w:unhideWhenUsed/>
    <w:rsid w:val="005D3C7A"/>
  </w:style>
  <w:style w:type="table" w:customStyle="1" w:styleId="TableGrid44">
    <w:name w:val="Table Grid44"/>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5">
    <w:name w:val="No List215"/>
    <w:next w:val="NoList"/>
    <w:uiPriority w:val="99"/>
    <w:semiHidden/>
    <w:unhideWhenUsed/>
    <w:rsid w:val="005D3C7A"/>
  </w:style>
  <w:style w:type="numbering" w:customStyle="1" w:styleId="NoList1125">
    <w:name w:val="No List1125"/>
    <w:next w:val="NoList"/>
    <w:uiPriority w:val="99"/>
    <w:semiHidden/>
    <w:unhideWhenUsed/>
    <w:rsid w:val="005D3C7A"/>
  </w:style>
  <w:style w:type="table" w:customStyle="1" w:styleId="TableGrid124">
    <w:name w:val="Table Grid124"/>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
    <w:name w:val="No List55"/>
    <w:next w:val="NoList"/>
    <w:uiPriority w:val="99"/>
    <w:semiHidden/>
    <w:unhideWhenUsed/>
    <w:rsid w:val="005D3C7A"/>
  </w:style>
  <w:style w:type="table" w:customStyle="1" w:styleId="TableGrid54">
    <w:name w:val="Table Grid54"/>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5D3C7A"/>
  </w:style>
  <w:style w:type="table" w:customStyle="1" w:styleId="TableGrid62">
    <w:name w:val="Table Grid62"/>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3">
    <w:name w:val="Imported Style 8023"/>
    <w:rsid w:val="005D3C7A"/>
  </w:style>
  <w:style w:type="numbering" w:customStyle="1" w:styleId="ImportedStyle11523">
    <w:name w:val="Imported Style 11523"/>
    <w:rsid w:val="005D3C7A"/>
  </w:style>
  <w:style w:type="numbering" w:customStyle="1" w:styleId="NoList73">
    <w:name w:val="No List73"/>
    <w:next w:val="NoList"/>
    <w:uiPriority w:val="99"/>
    <w:semiHidden/>
    <w:unhideWhenUsed/>
    <w:rsid w:val="005D3C7A"/>
  </w:style>
  <w:style w:type="numbering" w:customStyle="1" w:styleId="ImportedStyle7813">
    <w:name w:val="Imported Style 7813"/>
    <w:rsid w:val="005D3C7A"/>
  </w:style>
  <w:style w:type="numbering" w:customStyle="1" w:styleId="ImportedStyle78013">
    <w:name w:val="Imported Style 78.013"/>
    <w:rsid w:val="005D3C7A"/>
  </w:style>
  <w:style w:type="numbering" w:customStyle="1" w:styleId="ImportedStyle8013">
    <w:name w:val="Imported Style 8013"/>
    <w:rsid w:val="005D3C7A"/>
  </w:style>
  <w:style w:type="numbering" w:customStyle="1" w:styleId="ImportedStyle8213">
    <w:name w:val="Imported Style 8213"/>
    <w:rsid w:val="005D3C7A"/>
  </w:style>
  <w:style w:type="numbering" w:customStyle="1" w:styleId="ImportedStyle8313">
    <w:name w:val="Imported Style 8313"/>
    <w:rsid w:val="005D3C7A"/>
  </w:style>
  <w:style w:type="numbering" w:customStyle="1" w:styleId="ImportedStyle11413">
    <w:name w:val="Imported Style 11413"/>
    <w:rsid w:val="005D3C7A"/>
  </w:style>
  <w:style w:type="numbering" w:customStyle="1" w:styleId="ImportedStyle11513">
    <w:name w:val="Imported Style 11513"/>
    <w:rsid w:val="005D3C7A"/>
  </w:style>
  <w:style w:type="numbering" w:customStyle="1" w:styleId="ImportedStyle11613">
    <w:name w:val="Imported Style 11613"/>
    <w:rsid w:val="005D3C7A"/>
  </w:style>
  <w:style w:type="table" w:customStyle="1" w:styleId="TableNormal112">
    <w:name w:val="Table Normal112"/>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3">
    <w:name w:val="Imported Style 113"/>
    <w:rsid w:val="005D3C7A"/>
  </w:style>
  <w:style w:type="numbering" w:customStyle="1" w:styleId="ImportedStyle213">
    <w:name w:val="Imported Style 213"/>
    <w:rsid w:val="005D3C7A"/>
  </w:style>
  <w:style w:type="numbering" w:customStyle="1" w:styleId="ImportedStyle313">
    <w:name w:val="Imported Style 313"/>
    <w:rsid w:val="005D3C7A"/>
  </w:style>
  <w:style w:type="table" w:customStyle="1" w:styleId="TableGrid132">
    <w:name w:val="Table Grid132"/>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5D3C7A"/>
  </w:style>
  <w:style w:type="table" w:customStyle="1" w:styleId="TableGrid212">
    <w:name w:val="Table Grid21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
    <w:name w:val="No List223"/>
    <w:next w:val="NoList"/>
    <w:uiPriority w:val="99"/>
    <w:semiHidden/>
    <w:unhideWhenUsed/>
    <w:rsid w:val="005D3C7A"/>
  </w:style>
  <w:style w:type="table" w:customStyle="1" w:styleId="TableGrid312">
    <w:name w:val="Table Grid31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3">
    <w:name w:val="No List1133"/>
    <w:next w:val="NoList"/>
    <w:uiPriority w:val="99"/>
    <w:semiHidden/>
    <w:unhideWhenUsed/>
    <w:rsid w:val="005D3C7A"/>
  </w:style>
  <w:style w:type="numbering" w:customStyle="1" w:styleId="NoList11113">
    <w:name w:val="No List11113"/>
    <w:next w:val="NoList"/>
    <w:uiPriority w:val="99"/>
    <w:semiHidden/>
    <w:unhideWhenUsed/>
    <w:rsid w:val="005D3C7A"/>
  </w:style>
  <w:style w:type="table" w:customStyle="1" w:styleId="TableGrid1112">
    <w:name w:val="Table Grid111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
    <w:name w:val="No List313"/>
    <w:next w:val="NoList"/>
    <w:uiPriority w:val="99"/>
    <w:semiHidden/>
    <w:unhideWhenUsed/>
    <w:rsid w:val="005D3C7A"/>
  </w:style>
  <w:style w:type="numbering" w:customStyle="1" w:styleId="Stilimportat113">
    <w:name w:val="Stil importat 113"/>
    <w:rsid w:val="005D3C7A"/>
  </w:style>
  <w:style w:type="numbering" w:customStyle="1" w:styleId="Stilimportat213">
    <w:name w:val="Stil importat 213"/>
    <w:rsid w:val="005D3C7A"/>
  </w:style>
  <w:style w:type="numbering" w:customStyle="1" w:styleId="Stilimportat313">
    <w:name w:val="Stil importat 313"/>
    <w:rsid w:val="005D3C7A"/>
  </w:style>
  <w:style w:type="numbering" w:customStyle="1" w:styleId="Stilimportat413">
    <w:name w:val="Stil importat 413"/>
    <w:rsid w:val="005D3C7A"/>
  </w:style>
  <w:style w:type="numbering" w:customStyle="1" w:styleId="Stilimportat513">
    <w:name w:val="Stil importat 513"/>
    <w:rsid w:val="005D3C7A"/>
  </w:style>
  <w:style w:type="numbering" w:customStyle="1" w:styleId="Stilimportat613">
    <w:name w:val="Stil importat 613"/>
    <w:rsid w:val="005D3C7A"/>
  </w:style>
  <w:style w:type="numbering" w:customStyle="1" w:styleId="Stilimportat713">
    <w:name w:val="Stil importat 713"/>
    <w:rsid w:val="005D3C7A"/>
  </w:style>
  <w:style w:type="numbering" w:customStyle="1" w:styleId="NoList413">
    <w:name w:val="No List413"/>
    <w:next w:val="NoList"/>
    <w:uiPriority w:val="99"/>
    <w:semiHidden/>
    <w:unhideWhenUsed/>
    <w:rsid w:val="005D3C7A"/>
  </w:style>
  <w:style w:type="numbering" w:customStyle="1" w:styleId="NoList1213">
    <w:name w:val="No List1213"/>
    <w:next w:val="NoList"/>
    <w:uiPriority w:val="99"/>
    <w:semiHidden/>
    <w:unhideWhenUsed/>
    <w:rsid w:val="005D3C7A"/>
  </w:style>
  <w:style w:type="table" w:customStyle="1" w:styleId="TableGrid412">
    <w:name w:val="Table Grid41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3">
    <w:name w:val="No List2113"/>
    <w:next w:val="NoList"/>
    <w:uiPriority w:val="99"/>
    <w:semiHidden/>
    <w:unhideWhenUsed/>
    <w:rsid w:val="005D3C7A"/>
  </w:style>
  <w:style w:type="numbering" w:customStyle="1" w:styleId="NoList11213">
    <w:name w:val="No List11213"/>
    <w:next w:val="NoList"/>
    <w:uiPriority w:val="99"/>
    <w:semiHidden/>
    <w:unhideWhenUsed/>
    <w:rsid w:val="005D3C7A"/>
  </w:style>
  <w:style w:type="table" w:customStyle="1" w:styleId="TableGrid1212">
    <w:name w:val="Table Grid121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
    <w:name w:val="No List513"/>
    <w:next w:val="NoList"/>
    <w:uiPriority w:val="99"/>
    <w:semiHidden/>
    <w:unhideWhenUsed/>
    <w:rsid w:val="005D3C7A"/>
  </w:style>
  <w:style w:type="table" w:customStyle="1" w:styleId="TableGrid512">
    <w:name w:val="Table Grid512"/>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5D3C7A"/>
  </w:style>
  <w:style w:type="table" w:customStyle="1" w:styleId="TableGrid142">
    <w:name w:val="Table Grid142"/>
    <w:basedOn w:val="TableNormal"/>
    <w:next w:val="TableGrid"/>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5D3C7A"/>
  </w:style>
  <w:style w:type="numbering" w:customStyle="1" w:styleId="ImportedStyle7823">
    <w:name w:val="Imported Style 7823"/>
    <w:rsid w:val="005D3C7A"/>
  </w:style>
  <w:style w:type="numbering" w:customStyle="1" w:styleId="ImportedStyle78023">
    <w:name w:val="Imported Style 78.023"/>
    <w:rsid w:val="005D3C7A"/>
  </w:style>
  <w:style w:type="numbering" w:customStyle="1" w:styleId="ImportedStyle8032">
    <w:name w:val="Imported Style 8032"/>
    <w:rsid w:val="005D3C7A"/>
  </w:style>
  <w:style w:type="numbering" w:customStyle="1" w:styleId="ImportedStyle8223">
    <w:name w:val="Imported Style 8223"/>
    <w:rsid w:val="005D3C7A"/>
  </w:style>
  <w:style w:type="numbering" w:customStyle="1" w:styleId="ImportedStyle8323">
    <w:name w:val="Imported Style 8323"/>
    <w:rsid w:val="005D3C7A"/>
  </w:style>
  <w:style w:type="numbering" w:customStyle="1" w:styleId="ImportedStyle11423">
    <w:name w:val="Imported Style 11423"/>
    <w:rsid w:val="005D3C7A"/>
  </w:style>
  <w:style w:type="numbering" w:customStyle="1" w:styleId="ImportedStyle11532">
    <w:name w:val="Imported Style 11532"/>
    <w:rsid w:val="005D3C7A"/>
  </w:style>
  <w:style w:type="numbering" w:customStyle="1" w:styleId="ImportedStyle11623">
    <w:name w:val="Imported Style 11623"/>
    <w:rsid w:val="005D3C7A"/>
  </w:style>
  <w:style w:type="table" w:customStyle="1" w:styleId="TableNormal122">
    <w:name w:val="Table Normal122"/>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3">
    <w:name w:val="Imported Style 123"/>
    <w:rsid w:val="005D3C7A"/>
  </w:style>
  <w:style w:type="numbering" w:customStyle="1" w:styleId="ImportedStyle223">
    <w:name w:val="Imported Style 223"/>
    <w:rsid w:val="005D3C7A"/>
  </w:style>
  <w:style w:type="numbering" w:customStyle="1" w:styleId="ImportedStyle323">
    <w:name w:val="Imported Style 323"/>
    <w:rsid w:val="005D3C7A"/>
  </w:style>
  <w:style w:type="numbering" w:customStyle="1" w:styleId="NoList143">
    <w:name w:val="No List143"/>
    <w:next w:val="NoList"/>
    <w:uiPriority w:val="99"/>
    <w:semiHidden/>
    <w:unhideWhenUsed/>
    <w:rsid w:val="005D3C7A"/>
  </w:style>
  <w:style w:type="table" w:customStyle="1" w:styleId="TableGrid222">
    <w:name w:val="Table Grid22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3">
    <w:name w:val="No List233"/>
    <w:next w:val="NoList"/>
    <w:uiPriority w:val="99"/>
    <w:semiHidden/>
    <w:unhideWhenUsed/>
    <w:rsid w:val="005D3C7A"/>
  </w:style>
  <w:style w:type="table" w:customStyle="1" w:styleId="TableGrid322">
    <w:name w:val="Table Grid32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3">
    <w:name w:val="No List1143"/>
    <w:next w:val="NoList"/>
    <w:uiPriority w:val="99"/>
    <w:semiHidden/>
    <w:unhideWhenUsed/>
    <w:rsid w:val="005D3C7A"/>
  </w:style>
  <w:style w:type="numbering" w:customStyle="1" w:styleId="NoList11123">
    <w:name w:val="No List11123"/>
    <w:next w:val="NoList"/>
    <w:uiPriority w:val="99"/>
    <w:semiHidden/>
    <w:unhideWhenUsed/>
    <w:rsid w:val="005D3C7A"/>
  </w:style>
  <w:style w:type="table" w:customStyle="1" w:styleId="TableGrid1122">
    <w:name w:val="Table Grid112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
    <w:name w:val="No List323"/>
    <w:next w:val="NoList"/>
    <w:uiPriority w:val="99"/>
    <w:semiHidden/>
    <w:unhideWhenUsed/>
    <w:rsid w:val="005D3C7A"/>
  </w:style>
  <w:style w:type="numbering" w:customStyle="1" w:styleId="Stilimportat123">
    <w:name w:val="Stil importat 123"/>
    <w:rsid w:val="005D3C7A"/>
  </w:style>
  <w:style w:type="numbering" w:customStyle="1" w:styleId="Stilimportat223">
    <w:name w:val="Stil importat 223"/>
    <w:rsid w:val="005D3C7A"/>
  </w:style>
  <w:style w:type="numbering" w:customStyle="1" w:styleId="Stilimportat323">
    <w:name w:val="Stil importat 323"/>
    <w:rsid w:val="005D3C7A"/>
  </w:style>
  <w:style w:type="numbering" w:customStyle="1" w:styleId="Stilimportat423">
    <w:name w:val="Stil importat 423"/>
    <w:rsid w:val="005D3C7A"/>
  </w:style>
  <w:style w:type="numbering" w:customStyle="1" w:styleId="Stilimportat523">
    <w:name w:val="Stil importat 523"/>
    <w:rsid w:val="005D3C7A"/>
  </w:style>
  <w:style w:type="numbering" w:customStyle="1" w:styleId="Stilimportat623">
    <w:name w:val="Stil importat 623"/>
    <w:rsid w:val="005D3C7A"/>
  </w:style>
  <w:style w:type="numbering" w:customStyle="1" w:styleId="Stilimportat723">
    <w:name w:val="Stil importat 723"/>
    <w:rsid w:val="005D3C7A"/>
  </w:style>
  <w:style w:type="numbering" w:customStyle="1" w:styleId="NoList423">
    <w:name w:val="No List423"/>
    <w:next w:val="NoList"/>
    <w:uiPriority w:val="99"/>
    <w:semiHidden/>
    <w:unhideWhenUsed/>
    <w:rsid w:val="005D3C7A"/>
  </w:style>
  <w:style w:type="numbering" w:customStyle="1" w:styleId="NoList1223">
    <w:name w:val="No List1223"/>
    <w:next w:val="NoList"/>
    <w:uiPriority w:val="99"/>
    <w:semiHidden/>
    <w:unhideWhenUsed/>
    <w:rsid w:val="005D3C7A"/>
  </w:style>
  <w:style w:type="table" w:customStyle="1" w:styleId="TableGrid422">
    <w:name w:val="Table Grid42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3">
    <w:name w:val="No List2123"/>
    <w:next w:val="NoList"/>
    <w:uiPriority w:val="99"/>
    <w:semiHidden/>
    <w:unhideWhenUsed/>
    <w:rsid w:val="005D3C7A"/>
  </w:style>
  <w:style w:type="numbering" w:customStyle="1" w:styleId="NoList11223">
    <w:name w:val="No List11223"/>
    <w:next w:val="NoList"/>
    <w:uiPriority w:val="99"/>
    <w:semiHidden/>
    <w:unhideWhenUsed/>
    <w:rsid w:val="005D3C7A"/>
  </w:style>
  <w:style w:type="table" w:customStyle="1" w:styleId="TableGrid1222">
    <w:name w:val="Table Grid122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
    <w:name w:val="No List523"/>
    <w:next w:val="NoList"/>
    <w:uiPriority w:val="99"/>
    <w:semiHidden/>
    <w:unhideWhenUsed/>
    <w:rsid w:val="005D3C7A"/>
  </w:style>
  <w:style w:type="table" w:customStyle="1" w:styleId="TableGrid522">
    <w:name w:val="Table Grid522"/>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5D3C7A"/>
  </w:style>
  <w:style w:type="numbering" w:customStyle="1" w:styleId="NoList15111">
    <w:name w:val="No List15111"/>
    <w:next w:val="NoList"/>
    <w:uiPriority w:val="99"/>
    <w:semiHidden/>
    <w:unhideWhenUsed/>
    <w:rsid w:val="005D3C7A"/>
  </w:style>
  <w:style w:type="numbering" w:customStyle="1" w:styleId="NoList24111">
    <w:name w:val="No List24111"/>
    <w:next w:val="NoList"/>
    <w:uiPriority w:val="99"/>
    <w:semiHidden/>
    <w:unhideWhenUsed/>
    <w:rsid w:val="005D3C7A"/>
  </w:style>
  <w:style w:type="numbering" w:customStyle="1" w:styleId="NoList33111">
    <w:name w:val="No List33111"/>
    <w:next w:val="NoList"/>
    <w:uiPriority w:val="99"/>
    <w:semiHidden/>
    <w:unhideWhenUsed/>
    <w:rsid w:val="005D3C7A"/>
  </w:style>
  <w:style w:type="numbering" w:customStyle="1" w:styleId="NoList43111">
    <w:name w:val="No List43111"/>
    <w:next w:val="NoList"/>
    <w:uiPriority w:val="99"/>
    <w:semiHidden/>
    <w:unhideWhenUsed/>
    <w:rsid w:val="005D3C7A"/>
  </w:style>
  <w:style w:type="numbering" w:customStyle="1" w:styleId="NoList53111">
    <w:name w:val="No List53111"/>
    <w:next w:val="NoList"/>
    <w:uiPriority w:val="99"/>
    <w:semiHidden/>
    <w:unhideWhenUsed/>
    <w:rsid w:val="005D3C7A"/>
  </w:style>
  <w:style w:type="numbering" w:customStyle="1" w:styleId="ImportedStyle111111">
    <w:name w:val="Imported Style 111111"/>
    <w:rsid w:val="005D3C7A"/>
  </w:style>
  <w:style w:type="numbering" w:customStyle="1" w:styleId="ImportedStyle311111">
    <w:name w:val="Imported Style 311111"/>
    <w:rsid w:val="005D3C7A"/>
  </w:style>
  <w:style w:type="numbering" w:customStyle="1" w:styleId="ImportedStyle4411">
    <w:name w:val="Imported Style 4411"/>
    <w:rsid w:val="005D3C7A"/>
  </w:style>
  <w:style w:type="numbering" w:customStyle="1" w:styleId="ImportedStyle783111">
    <w:name w:val="Imported Style 783111"/>
    <w:rsid w:val="005D3C7A"/>
  </w:style>
  <w:style w:type="numbering" w:customStyle="1" w:styleId="ImportedStyle7803111">
    <w:name w:val="Imported Style 78.03111"/>
    <w:rsid w:val="005D3C7A"/>
  </w:style>
  <w:style w:type="numbering" w:customStyle="1" w:styleId="ImportedStyle804111">
    <w:name w:val="Imported Style 804111"/>
    <w:rsid w:val="005D3C7A"/>
  </w:style>
  <w:style w:type="numbering" w:customStyle="1" w:styleId="ImportedStyle823111">
    <w:name w:val="Imported Style 823111"/>
    <w:rsid w:val="005D3C7A"/>
  </w:style>
  <w:style w:type="numbering" w:customStyle="1" w:styleId="ImportedStyle833111">
    <w:name w:val="Imported Style 833111"/>
    <w:rsid w:val="005D3C7A"/>
  </w:style>
  <w:style w:type="numbering" w:customStyle="1" w:styleId="ImportedStyle1143111">
    <w:name w:val="Imported Style 1143111"/>
    <w:rsid w:val="005D3C7A"/>
  </w:style>
  <w:style w:type="numbering" w:customStyle="1" w:styleId="ImportedStyle1154111">
    <w:name w:val="Imported Style 1154111"/>
    <w:rsid w:val="005D3C7A"/>
  </w:style>
  <w:style w:type="numbering" w:customStyle="1" w:styleId="ImportedStyle1163111">
    <w:name w:val="Imported Style 1163111"/>
    <w:rsid w:val="005D3C7A"/>
  </w:style>
  <w:style w:type="numbering" w:customStyle="1" w:styleId="ImportedStyle132">
    <w:name w:val="Imported Style 132"/>
    <w:rsid w:val="005D3C7A"/>
  </w:style>
  <w:style w:type="numbering" w:customStyle="1" w:styleId="ImportedStyle232">
    <w:name w:val="Imported Style 232"/>
    <w:rsid w:val="005D3C7A"/>
  </w:style>
  <w:style w:type="numbering" w:customStyle="1" w:styleId="ImportedStyle332">
    <w:name w:val="Imported Style 332"/>
    <w:rsid w:val="005D3C7A"/>
  </w:style>
  <w:style w:type="numbering" w:customStyle="1" w:styleId="NoList115111">
    <w:name w:val="No List115111"/>
    <w:next w:val="NoList"/>
    <w:uiPriority w:val="99"/>
    <w:semiHidden/>
    <w:unhideWhenUsed/>
    <w:rsid w:val="005D3C7A"/>
  </w:style>
  <w:style w:type="numbering" w:customStyle="1" w:styleId="NoList11132">
    <w:name w:val="No List11132"/>
    <w:next w:val="NoList"/>
    <w:uiPriority w:val="99"/>
    <w:semiHidden/>
    <w:unhideWhenUsed/>
    <w:rsid w:val="005D3C7A"/>
  </w:style>
  <w:style w:type="numbering" w:customStyle="1" w:styleId="Stilimportat132">
    <w:name w:val="Stil importat 132"/>
    <w:rsid w:val="005D3C7A"/>
  </w:style>
  <w:style w:type="numbering" w:customStyle="1" w:styleId="Stilimportat232">
    <w:name w:val="Stil importat 232"/>
    <w:rsid w:val="005D3C7A"/>
  </w:style>
  <w:style w:type="numbering" w:customStyle="1" w:styleId="Stilimportat332">
    <w:name w:val="Stil importat 332"/>
    <w:rsid w:val="005D3C7A"/>
  </w:style>
  <w:style w:type="numbering" w:customStyle="1" w:styleId="Stilimportat432">
    <w:name w:val="Stil importat 432"/>
    <w:rsid w:val="005D3C7A"/>
  </w:style>
  <w:style w:type="numbering" w:customStyle="1" w:styleId="Stilimportat532">
    <w:name w:val="Stil importat 532"/>
    <w:rsid w:val="005D3C7A"/>
  </w:style>
  <w:style w:type="numbering" w:customStyle="1" w:styleId="Stilimportat632">
    <w:name w:val="Stil importat 632"/>
    <w:rsid w:val="005D3C7A"/>
  </w:style>
  <w:style w:type="numbering" w:customStyle="1" w:styleId="Stilimportat732">
    <w:name w:val="Stil importat 732"/>
    <w:rsid w:val="005D3C7A"/>
  </w:style>
  <w:style w:type="numbering" w:customStyle="1" w:styleId="NoList123111">
    <w:name w:val="No List123111"/>
    <w:next w:val="NoList"/>
    <w:uiPriority w:val="99"/>
    <w:semiHidden/>
    <w:unhideWhenUsed/>
    <w:rsid w:val="005D3C7A"/>
  </w:style>
  <w:style w:type="numbering" w:customStyle="1" w:styleId="NoList213111">
    <w:name w:val="No List213111"/>
    <w:next w:val="NoList"/>
    <w:uiPriority w:val="99"/>
    <w:semiHidden/>
    <w:unhideWhenUsed/>
    <w:rsid w:val="005D3C7A"/>
  </w:style>
  <w:style w:type="numbering" w:customStyle="1" w:styleId="NoList1123111">
    <w:name w:val="No List1123111"/>
    <w:next w:val="NoList"/>
    <w:uiPriority w:val="99"/>
    <w:semiHidden/>
    <w:unhideWhenUsed/>
    <w:rsid w:val="005D3C7A"/>
  </w:style>
  <w:style w:type="numbering" w:customStyle="1" w:styleId="NoList61111">
    <w:name w:val="No List61111"/>
    <w:next w:val="NoList"/>
    <w:uiPriority w:val="99"/>
    <w:semiHidden/>
    <w:unhideWhenUsed/>
    <w:rsid w:val="005D3C7A"/>
  </w:style>
  <w:style w:type="numbering" w:customStyle="1" w:styleId="ImportedStyle8021111">
    <w:name w:val="Imported Style 8021111"/>
    <w:rsid w:val="005D3C7A"/>
  </w:style>
  <w:style w:type="numbering" w:customStyle="1" w:styleId="ImportedStyle11521111">
    <w:name w:val="Imported Style 11521111"/>
    <w:rsid w:val="005D3C7A"/>
  </w:style>
  <w:style w:type="numbering" w:customStyle="1" w:styleId="NoList71111">
    <w:name w:val="No List71111"/>
    <w:next w:val="NoList"/>
    <w:uiPriority w:val="99"/>
    <w:semiHidden/>
    <w:unhideWhenUsed/>
    <w:rsid w:val="005D3C7A"/>
  </w:style>
  <w:style w:type="numbering" w:customStyle="1" w:styleId="ImportedStyle7811111">
    <w:name w:val="Imported Style 7811111"/>
    <w:rsid w:val="005D3C7A"/>
  </w:style>
  <w:style w:type="numbering" w:customStyle="1" w:styleId="ImportedStyle780112">
    <w:name w:val="Imported Style 78.0112"/>
    <w:rsid w:val="005D3C7A"/>
  </w:style>
  <w:style w:type="numbering" w:customStyle="1" w:styleId="ImportedStyle8011111">
    <w:name w:val="Imported Style 8011111"/>
    <w:rsid w:val="005D3C7A"/>
  </w:style>
  <w:style w:type="numbering" w:customStyle="1" w:styleId="ImportedStyle8211111">
    <w:name w:val="Imported Style 8211111"/>
    <w:rsid w:val="005D3C7A"/>
  </w:style>
  <w:style w:type="numbering" w:customStyle="1" w:styleId="ImportedStyle831121">
    <w:name w:val="Imported Style 831121"/>
    <w:rsid w:val="005D3C7A"/>
  </w:style>
  <w:style w:type="numbering" w:customStyle="1" w:styleId="ImportedStyle114112">
    <w:name w:val="Imported Style 114112"/>
    <w:rsid w:val="005D3C7A"/>
  </w:style>
  <w:style w:type="numbering" w:customStyle="1" w:styleId="ImportedStyle11511111">
    <w:name w:val="Imported Style 11511111"/>
    <w:rsid w:val="005D3C7A"/>
  </w:style>
  <w:style w:type="numbering" w:customStyle="1" w:styleId="ImportedStyle11611111">
    <w:name w:val="Imported Style 11611111"/>
    <w:rsid w:val="005D3C7A"/>
  </w:style>
  <w:style w:type="numbering" w:customStyle="1" w:styleId="ImportedStyle211111">
    <w:name w:val="Imported Style 211111"/>
    <w:rsid w:val="005D3C7A"/>
  </w:style>
  <w:style w:type="numbering" w:customStyle="1" w:styleId="NoList131111">
    <w:name w:val="No List131111"/>
    <w:next w:val="NoList"/>
    <w:uiPriority w:val="99"/>
    <w:semiHidden/>
    <w:unhideWhenUsed/>
    <w:rsid w:val="005D3C7A"/>
  </w:style>
  <w:style w:type="numbering" w:customStyle="1" w:styleId="NoList221111">
    <w:name w:val="No List221111"/>
    <w:next w:val="NoList"/>
    <w:uiPriority w:val="99"/>
    <w:semiHidden/>
    <w:unhideWhenUsed/>
    <w:rsid w:val="005D3C7A"/>
  </w:style>
  <w:style w:type="numbering" w:customStyle="1" w:styleId="NoList1131111">
    <w:name w:val="No List1131111"/>
    <w:next w:val="NoList"/>
    <w:uiPriority w:val="99"/>
    <w:semiHidden/>
    <w:unhideWhenUsed/>
    <w:rsid w:val="005D3C7A"/>
  </w:style>
  <w:style w:type="numbering" w:customStyle="1" w:styleId="NoList111112">
    <w:name w:val="No List111112"/>
    <w:next w:val="NoList"/>
    <w:uiPriority w:val="99"/>
    <w:semiHidden/>
    <w:unhideWhenUsed/>
    <w:rsid w:val="005D3C7A"/>
  </w:style>
  <w:style w:type="numbering" w:customStyle="1" w:styleId="NoList311111">
    <w:name w:val="No List311111"/>
    <w:next w:val="NoList"/>
    <w:uiPriority w:val="99"/>
    <w:semiHidden/>
    <w:unhideWhenUsed/>
    <w:rsid w:val="005D3C7A"/>
  </w:style>
  <w:style w:type="numbering" w:customStyle="1" w:styleId="Stilimportat111111">
    <w:name w:val="Stil importat 111111"/>
    <w:rsid w:val="005D3C7A"/>
  </w:style>
  <w:style w:type="numbering" w:customStyle="1" w:styleId="Stilimportat211111">
    <w:name w:val="Stil importat 211111"/>
    <w:rsid w:val="005D3C7A"/>
  </w:style>
  <w:style w:type="numbering" w:customStyle="1" w:styleId="Stilimportat311111">
    <w:name w:val="Stil importat 311111"/>
    <w:rsid w:val="005D3C7A"/>
  </w:style>
  <w:style w:type="numbering" w:customStyle="1" w:styleId="Stilimportat411111">
    <w:name w:val="Stil importat 411111"/>
    <w:rsid w:val="005D3C7A"/>
  </w:style>
  <w:style w:type="numbering" w:customStyle="1" w:styleId="Stilimportat511111">
    <w:name w:val="Stil importat 511111"/>
    <w:rsid w:val="005D3C7A"/>
  </w:style>
  <w:style w:type="numbering" w:customStyle="1" w:styleId="Stilimportat611111">
    <w:name w:val="Stil importat 611111"/>
    <w:rsid w:val="005D3C7A"/>
  </w:style>
  <w:style w:type="numbering" w:customStyle="1" w:styleId="Stilimportat711111">
    <w:name w:val="Stil importat 711111"/>
    <w:rsid w:val="005D3C7A"/>
  </w:style>
  <w:style w:type="numbering" w:customStyle="1" w:styleId="NoList411111">
    <w:name w:val="No List411111"/>
    <w:next w:val="NoList"/>
    <w:uiPriority w:val="99"/>
    <w:semiHidden/>
    <w:unhideWhenUsed/>
    <w:rsid w:val="005D3C7A"/>
  </w:style>
  <w:style w:type="numbering" w:customStyle="1" w:styleId="NoList1211111">
    <w:name w:val="No List1211111"/>
    <w:next w:val="NoList"/>
    <w:uiPriority w:val="99"/>
    <w:semiHidden/>
    <w:unhideWhenUsed/>
    <w:rsid w:val="005D3C7A"/>
  </w:style>
  <w:style w:type="numbering" w:customStyle="1" w:styleId="NoList2111111">
    <w:name w:val="No List2111111"/>
    <w:next w:val="NoList"/>
    <w:uiPriority w:val="99"/>
    <w:semiHidden/>
    <w:unhideWhenUsed/>
    <w:rsid w:val="005D3C7A"/>
  </w:style>
  <w:style w:type="numbering" w:customStyle="1" w:styleId="NoList11211111">
    <w:name w:val="No List11211111"/>
    <w:next w:val="NoList"/>
    <w:uiPriority w:val="99"/>
    <w:semiHidden/>
    <w:unhideWhenUsed/>
    <w:rsid w:val="005D3C7A"/>
  </w:style>
  <w:style w:type="numbering" w:customStyle="1" w:styleId="NoList511111">
    <w:name w:val="No List511111"/>
    <w:next w:val="NoList"/>
    <w:uiPriority w:val="99"/>
    <w:semiHidden/>
    <w:unhideWhenUsed/>
    <w:rsid w:val="005D3C7A"/>
  </w:style>
  <w:style w:type="numbering" w:customStyle="1" w:styleId="NoList81111">
    <w:name w:val="No List81111"/>
    <w:next w:val="NoList"/>
    <w:uiPriority w:val="99"/>
    <w:semiHidden/>
    <w:unhideWhenUsed/>
    <w:rsid w:val="005D3C7A"/>
  </w:style>
  <w:style w:type="numbering" w:customStyle="1" w:styleId="NoList91111">
    <w:name w:val="No List91111"/>
    <w:next w:val="NoList"/>
    <w:uiPriority w:val="99"/>
    <w:semiHidden/>
    <w:unhideWhenUsed/>
    <w:rsid w:val="005D3C7A"/>
  </w:style>
  <w:style w:type="numbering" w:customStyle="1" w:styleId="ImportedStyle7821111">
    <w:name w:val="Imported Style 7821111"/>
    <w:rsid w:val="005D3C7A"/>
  </w:style>
  <w:style w:type="numbering" w:customStyle="1" w:styleId="ImportedStyle78021111">
    <w:name w:val="Imported Style 78.021111"/>
    <w:rsid w:val="005D3C7A"/>
  </w:style>
  <w:style w:type="numbering" w:customStyle="1" w:styleId="ImportedStyle80312">
    <w:name w:val="Imported Style 80312"/>
    <w:rsid w:val="005D3C7A"/>
  </w:style>
  <w:style w:type="numbering" w:customStyle="1" w:styleId="ImportedStyle8221111">
    <w:name w:val="Imported Style 8221111"/>
    <w:rsid w:val="005D3C7A"/>
  </w:style>
  <w:style w:type="numbering" w:customStyle="1" w:styleId="ImportedStyle8321111">
    <w:name w:val="Imported Style 8321111"/>
    <w:rsid w:val="005D3C7A"/>
  </w:style>
  <w:style w:type="numbering" w:customStyle="1" w:styleId="ImportedStyle11421111">
    <w:name w:val="Imported Style 11421111"/>
    <w:rsid w:val="005D3C7A"/>
  </w:style>
  <w:style w:type="numbering" w:customStyle="1" w:styleId="ImportedStyle11531111">
    <w:name w:val="Imported Style 11531111"/>
    <w:rsid w:val="005D3C7A"/>
  </w:style>
  <w:style w:type="numbering" w:customStyle="1" w:styleId="ImportedStyle11621111">
    <w:name w:val="Imported Style 11621111"/>
    <w:rsid w:val="005D3C7A"/>
  </w:style>
  <w:style w:type="numbering" w:customStyle="1" w:styleId="ImportedStyle121111">
    <w:name w:val="Imported Style 121111"/>
    <w:rsid w:val="005D3C7A"/>
  </w:style>
  <w:style w:type="numbering" w:customStyle="1" w:styleId="ImportedStyle221111">
    <w:name w:val="Imported Style 221111"/>
    <w:rsid w:val="005D3C7A"/>
  </w:style>
  <w:style w:type="numbering" w:customStyle="1" w:styleId="ImportedStyle321111">
    <w:name w:val="Imported Style 321111"/>
    <w:rsid w:val="005D3C7A"/>
  </w:style>
  <w:style w:type="numbering" w:customStyle="1" w:styleId="NoList141111">
    <w:name w:val="No List141111"/>
    <w:next w:val="NoList"/>
    <w:uiPriority w:val="99"/>
    <w:semiHidden/>
    <w:unhideWhenUsed/>
    <w:rsid w:val="005D3C7A"/>
  </w:style>
  <w:style w:type="numbering" w:customStyle="1" w:styleId="NoList231111">
    <w:name w:val="No List231111"/>
    <w:next w:val="NoList"/>
    <w:uiPriority w:val="99"/>
    <w:semiHidden/>
    <w:unhideWhenUsed/>
    <w:rsid w:val="005D3C7A"/>
  </w:style>
  <w:style w:type="numbering" w:customStyle="1" w:styleId="NoList1141111">
    <w:name w:val="No List1141111"/>
    <w:next w:val="NoList"/>
    <w:uiPriority w:val="99"/>
    <w:semiHidden/>
    <w:unhideWhenUsed/>
    <w:rsid w:val="005D3C7A"/>
  </w:style>
  <w:style w:type="numbering" w:customStyle="1" w:styleId="NoList11121111">
    <w:name w:val="No List11121111"/>
    <w:next w:val="NoList"/>
    <w:uiPriority w:val="99"/>
    <w:semiHidden/>
    <w:unhideWhenUsed/>
    <w:rsid w:val="005D3C7A"/>
  </w:style>
  <w:style w:type="numbering" w:customStyle="1" w:styleId="NoList321111">
    <w:name w:val="No List321111"/>
    <w:next w:val="NoList"/>
    <w:uiPriority w:val="99"/>
    <w:semiHidden/>
    <w:unhideWhenUsed/>
    <w:rsid w:val="005D3C7A"/>
  </w:style>
  <w:style w:type="numbering" w:customStyle="1" w:styleId="Stilimportat121111">
    <w:name w:val="Stil importat 121111"/>
    <w:rsid w:val="005D3C7A"/>
  </w:style>
  <w:style w:type="numbering" w:customStyle="1" w:styleId="Stilimportat221111">
    <w:name w:val="Stil importat 221111"/>
    <w:rsid w:val="005D3C7A"/>
  </w:style>
  <w:style w:type="numbering" w:customStyle="1" w:styleId="Stilimportat321111">
    <w:name w:val="Stil importat 321111"/>
    <w:rsid w:val="005D3C7A"/>
  </w:style>
  <w:style w:type="numbering" w:customStyle="1" w:styleId="Stilimportat421111">
    <w:name w:val="Stil importat 421111"/>
    <w:rsid w:val="005D3C7A"/>
  </w:style>
  <w:style w:type="numbering" w:customStyle="1" w:styleId="Stilimportat521111">
    <w:name w:val="Stil importat 521111"/>
    <w:rsid w:val="005D3C7A"/>
  </w:style>
  <w:style w:type="numbering" w:customStyle="1" w:styleId="Stilimportat621111">
    <w:name w:val="Stil importat 621111"/>
    <w:rsid w:val="005D3C7A"/>
  </w:style>
  <w:style w:type="numbering" w:customStyle="1" w:styleId="Stilimportat721111">
    <w:name w:val="Stil importat 721111"/>
    <w:rsid w:val="005D3C7A"/>
  </w:style>
  <w:style w:type="numbering" w:customStyle="1" w:styleId="NoList421111">
    <w:name w:val="No List421111"/>
    <w:next w:val="NoList"/>
    <w:uiPriority w:val="99"/>
    <w:semiHidden/>
    <w:unhideWhenUsed/>
    <w:rsid w:val="005D3C7A"/>
  </w:style>
  <w:style w:type="numbering" w:customStyle="1" w:styleId="NoList1221111">
    <w:name w:val="No List1221111"/>
    <w:next w:val="NoList"/>
    <w:uiPriority w:val="99"/>
    <w:semiHidden/>
    <w:unhideWhenUsed/>
    <w:rsid w:val="005D3C7A"/>
  </w:style>
  <w:style w:type="numbering" w:customStyle="1" w:styleId="NoList2121111">
    <w:name w:val="No List2121111"/>
    <w:next w:val="NoList"/>
    <w:uiPriority w:val="99"/>
    <w:semiHidden/>
    <w:unhideWhenUsed/>
    <w:rsid w:val="005D3C7A"/>
  </w:style>
  <w:style w:type="numbering" w:customStyle="1" w:styleId="NoList11221111">
    <w:name w:val="No List11221111"/>
    <w:next w:val="NoList"/>
    <w:uiPriority w:val="99"/>
    <w:semiHidden/>
    <w:unhideWhenUsed/>
    <w:rsid w:val="005D3C7A"/>
  </w:style>
  <w:style w:type="numbering" w:customStyle="1" w:styleId="NoList521111">
    <w:name w:val="No List521111"/>
    <w:next w:val="NoList"/>
    <w:uiPriority w:val="99"/>
    <w:semiHidden/>
    <w:unhideWhenUsed/>
    <w:rsid w:val="005D3C7A"/>
  </w:style>
  <w:style w:type="paragraph" w:customStyle="1" w:styleId="Heading71">
    <w:name w:val="Heading 71"/>
    <w:basedOn w:val="Normal"/>
    <w:next w:val="Normal"/>
    <w:uiPriority w:val="9"/>
    <w:semiHidden/>
    <w:unhideWhenUsed/>
    <w:qFormat/>
    <w:rsid w:val="005D3C7A"/>
    <w:pPr>
      <w:tabs>
        <w:tab w:val="num" w:pos="360"/>
      </w:tabs>
      <w:spacing w:before="240" w:after="60" w:line="240" w:lineRule="auto"/>
      <w:outlineLvl w:val="6"/>
    </w:pPr>
    <w:rPr>
      <w:rFonts w:ascii="Calibri" w:eastAsia="Times New Roman" w:hAnsi="Calibri" w:cs="Times New Roman"/>
      <w:sz w:val="24"/>
      <w:szCs w:val="24"/>
      <w:lang w:val="en-US"/>
    </w:rPr>
  </w:style>
  <w:style w:type="paragraph" w:customStyle="1" w:styleId="Heading81">
    <w:name w:val="Heading 81"/>
    <w:basedOn w:val="Normal"/>
    <w:next w:val="Normal"/>
    <w:uiPriority w:val="9"/>
    <w:semiHidden/>
    <w:unhideWhenUsed/>
    <w:qFormat/>
    <w:rsid w:val="005D3C7A"/>
    <w:pPr>
      <w:tabs>
        <w:tab w:val="num" w:pos="360"/>
      </w:tabs>
      <w:spacing w:before="240" w:after="60" w:line="240" w:lineRule="auto"/>
      <w:outlineLvl w:val="7"/>
    </w:pPr>
    <w:rPr>
      <w:rFonts w:ascii="Calibri" w:eastAsia="Times New Roman" w:hAnsi="Calibri" w:cs="Times New Roman"/>
      <w:i/>
      <w:iCs/>
      <w:sz w:val="24"/>
      <w:szCs w:val="24"/>
      <w:lang w:val="en-US"/>
    </w:rPr>
  </w:style>
  <w:style w:type="paragraph" w:customStyle="1" w:styleId="Heading91">
    <w:name w:val="Heading 91"/>
    <w:basedOn w:val="Normal"/>
    <w:next w:val="Normal"/>
    <w:uiPriority w:val="9"/>
    <w:semiHidden/>
    <w:unhideWhenUsed/>
    <w:qFormat/>
    <w:rsid w:val="005D3C7A"/>
    <w:pPr>
      <w:tabs>
        <w:tab w:val="num" w:pos="360"/>
      </w:tabs>
      <w:spacing w:before="240" w:after="60" w:line="240" w:lineRule="auto"/>
      <w:outlineLvl w:val="8"/>
    </w:pPr>
    <w:rPr>
      <w:rFonts w:ascii="Calibri Light" w:eastAsia="Times New Roman" w:hAnsi="Calibri Light" w:cs="Times New Roman"/>
      <w:lang w:val="en-US"/>
    </w:rPr>
  </w:style>
  <w:style w:type="numbering" w:customStyle="1" w:styleId="NoList20">
    <w:name w:val="No List20"/>
    <w:next w:val="NoList"/>
    <w:uiPriority w:val="99"/>
    <w:semiHidden/>
    <w:unhideWhenUsed/>
    <w:rsid w:val="005D3C7A"/>
  </w:style>
  <w:style w:type="character" w:customStyle="1" w:styleId="Heading7Char1">
    <w:name w:val="Heading 7 Char1"/>
    <w:basedOn w:val="DefaultParagraphFont"/>
    <w:uiPriority w:val="9"/>
    <w:semiHidden/>
    <w:rsid w:val="005D3C7A"/>
    <w:rPr>
      <w:rFonts w:ascii="Calibri Light" w:eastAsia="Times New Roman" w:hAnsi="Calibri Light" w:cs="Times New Roman"/>
      <w:i/>
      <w:iCs/>
      <w:color w:val="1F4D78"/>
    </w:rPr>
  </w:style>
  <w:style w:type="character" w:customStyle="1" w:styleId="Heading8Char1">
    <w:name w:val="Heading 8 Char1"/>
    <w:basedOn w:val="DefaultParagraphFont"/>
    <w:uiPriority w:val="9"/>
    <w:semiHidden/>
    <w:rsid w:val="005D3C7A"/>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5D3C7A"/>
    <w:rPr>
      <w:rFonts w:ascii="Calibri Light" w:eastAsia="Times New Roman" w:hAnsi="Calibri Light" w:cs="Times New Roman"/>
      <w:i/>
      <w:iCs/>
      <w:color w:val="272727"/>
      <w:sz w:val="21"/>
      <w:szCs w:val="21"/>
    </w:rPr>
  </w:style>
  <w:style w:type="numbering" w:customStyle="1" w:styleId="FrListare2">
    <w:name w:val="Fără Listare2"/>
    <w:next w:val="NoList"/>
    <w:uiPriority w:val="99"/>
    <w:semiHidden/>
    <w:unhideWhenUsed/>
    <w:rsid w:val="005D3C7A"/>
  </w:style>
  <w:style w:type="table" w:customStyle="1" w:styleId="GrilTabel2">
    <w:name w:val="Grilă Tabel2"/>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6">
    <w:name w:val="Imported Style 786"/>
    <w:rsid w:val="005D3C7A"/>
  </w:style>
  <w:style w:type="numbering" w:customStyle="1" w:styleId="ImportedStyle7806">
    <w:name w:val="Imported Style 78.06"/>
    <w:rsid w:val="005D3C7A"/>
  </w:style>
  <w:style w:type="numbering" w:customStyle="1" w:styleId="ImportedStyle807">
    <w:name w:val="Imported Style 807"/>
    <w:rsid w:val="005D3C7A"/>
  </w:style>
  <w:style w:type="numbering" w:customStyle="1" w:styleId="ImportedStyle826">
    <w:name w:val="Imported Style 826"/>
    <w:rsid w:val="005D3C7A"/>
  </w:style>
  <w:style w:type="numbering" w:customStyle="1" w:styleId="ImportedStyle836">
    <w:name w:val="Imported Style 836"/>
    <w:rsid w:val="005D3C7A"/>
  </w:style>
  <w:style w:type="numbering" w:customStyle="1" w:styleId="ImportedStyle1146">
    <w:name w:val="Imported Style 1146"/>
    <w:rsid w:val="005D3C7A"/>
    <w:pPr>
      <w:numPr>
        <w:numId w:val="343"/>
      </w:numPr>
    </w:pPr>
  </w:style>
  <w:style w:type="numbering" w:customStyle="1" w:styleId="ImportedStyle1157">
    <w:name w:val="Imported Style 1157"/>
    <w:rsid w:val="005D3C7A"/>
    <w:pPr>
      <w:numPr>
        <w:numId w:val="344"/>
      </w:numPr>
    </w:pPr>
  </w:style>
  <w:style w:type="numbering" w:customStyle="1" w:styleId="ImportedStyle1166">
    <w:name w:val="Imported Style 1166"/>
    <w:rsid w:val="005D3C7A"/>
    <w:pPr>
      <w:numPr>
        <w:numId w:val="345"/>
      </w:numPr>
    </w:pPr>
  </w:style>
  <w:style w:type="numbering" w:customStyle="1" w:styleId="ImportedStyle16">
    <w:name w:val="Imported Style 16"/>
    <w:rsid w:val="005D3C7A"/>
  </w:style>
  <w:style w:type="numbering" w:customStyle="1" w:styleId="ImportedStyle26">
    <w:name w:val="Imported Style 26"/>
    <w:rsid w:val="005D3C7A"/>
  </w:style>
  <w:style w:type="numbering" w:customStyle="1" w:styleId="ImportedStyle36">
    <w:name w:val="Imported Style 36"/>
    <w:rsid w:val="005D3C7A"/>
  </w:style>
  <w:style w:type="table" w:customStyle="1" w:styleId="TableGrid116">
    <w:name w:val="Table Grid116"/>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5D3C7A"/>
  </w:style>
  <w:style w:type="numbering" w:customStyle="1" w:styleId="NoList27">
    <w:name w:val="No List27"/>
    <w:next w:val="NoList"/>
    <w:uiPriority w:val="99"/>
    <w:semiHidden/>
    <w:unhideWhenUsed/>
    <w:rsid w:val="005D3C7A"/>
  </w:style>
  <w:style w:type="numbering" w:customStyle="1" w:styleId="NoList118">
    <w:name w:val="No List118"/>
    <w:next w:val="NoList"/>
    <w:uiPriority w:val="99"/>
    <w:semiHidden/>
    <w:unhideWhenUsed/>
    <w:rsid w:val="005D3C7A"/>
  </w:style>
  <w:style w:type="numbering" w:customStyle="1" w:styleId="NoList1116">
    <w:name w:val="No List1116"/>
    <w:next w:val="NoList"/>
    <w:uiPriority w:val="99"/>
    <w:semiHidden/>
    <w:unhideWhenUsed/>
    <w:rsid w:val="005D3C7A"/>
  </w:style>
  <w:style w:type="numbering" w:customStyle="1" w:styleId="NoList36">
    <w:name w:val="No List36"/>
    <w:next w:val="NoList"/>
    <w:uiPriority w:val="99"/>
    <w:semiHidden/>
    <w:unhideWhenUsed/>
    <w:rsid w:val="005D3C7A"/>
  </w:style>
  <w:style w:type="numbering" w:customStyle="1" w:styleId="Stilimportat16">
    <w:name w:val="Stil importat 16"/>
    <w:rsid w:val="005D3C7A"/>
    <w:pPr>
      <w:numPr>
        <w:numId w:val="366"/>
      </w:numPr>
    </w:pPr>
  </w:style>
  <w:style w:type="numbering" w:customStyle="1" w:styleId="Stilimportat26">
    <w:name w:val="Stil importat 26"/>
    <w:rsid w:val="005D3C7A"/>
    <w:pPr>
      <w:numPr>
        <w:numId w:val="367"/>
      </w:numPr>
    </w:pPr>
  </w:style>
  <w:style w:type="numbering" w:customStyle="1" w:styleId="Stilimportat36">
    <w:name w:val="Stil importat 36"/>
    <w:rsid w:val="005D3C7A"/>
    <w:pPr>
      <w:numPr>
        <w:numId w:val="368"/>
      </w:numPr>
    </w:pPr>
  </w:style>
  <w:style w:type="numbering" w:customStyle="1" w:styleId="Stilimportat46">
    <w:name w:val="Stil importat 46"/>
    <w:rsid w:val="005D3C7A"/>
    <w:pPr>
      <w:numPr>
        <w:numId w:val="369"/>
      </w:numPr>
    </w:pPr>
  </w:style>
  <w:style w:type="numbering" w:customStyle="1" w:styleId="Stilimportat56">
    <w:name w:val="Stil importat 56"/>
    <w:rsid w:val="005D3C7A"/>
    <w:pPr>
      <w:numPr>
        <w:numId w:val="370"/>
      </w:numPr>
    </w:pPr>
  </w:style>
  <w:style w:type="numbering" w:customStyle="1" w:styleId="Stilimportat66">
    <w:name w:val="Stil importat 66"/>
    <w:rsid w:val="005D3C7A"/>
    <w:pPr>
      <w:numPr>
        <w:numId w:val="371"/>
      </w:numPr>
    </w:pPr>
  </w:style>
  <w:style w:type="numbering" w:customStyle="1" w:styleId="Stilimportat76">
    <w:name w:val="Stil importat 76"/>
    <w:rsid w:val="005D3C7A"/>
    <w:pPr>
      <w:numPr>
        <w:numId w:val="372"/>
      </w:numPr>
    </w:pPr>
  </w:style>
  <w:style w:type="numbering" w:customStyle="1" w:styleId="NoList46">
    <w:name w:val="No List46"/>
    <w:next w:val="NoList"/>
    <w:uiPriority w:val="99"/>
    <w:semiHidden/>
    <w:unhideWhenUsed/>
    <w:rsid w:val="005D3C7A"/>
  </w:style>
  <w:style w:type="numbering" w:customStyle="1" w:styleId="NoList126">
    <w:name w:val="No List126"/>
    <w:next w:val="NoList"/>
    <w:uiPriority w:val="99"/>
    <w:semiHidden/>
    <w:unhideWhenUsed/>
    <w:rsid w:val="005D3C7A"/>
  </w:style>
  <w:style w:type="numbering" w:customStyle="1" w:styleId="NoList216">
    <w:name w:val="No List216"/>
    <w:next w:val="NoList"/>
    <w:uiPriority w:val="99"/>
    <w:semiHidden/>
    <w:unhideWhenUsed/>
    <w:rsid w:val="005D3C7A"/>
  </w:style>
  <w:style w:type="numbering" w:customStyle="1" w:styleId="NoList1126">
    <w:name w:val="No List1126"/>
    <w:next w:val="NoList"/>
    <w:uiPriority w:val="99"/>
    <w:semiHidden/>
    <w:unhideWhenUsed/>
    <w:rsid w:val="005D3C7A"/>
  </w:style>
  <w:style w:type="numbering" w:customStyle="1" w:styleId="NoList56">
    <w:name w:val="No List56"/>
    <w:next w:val="NoList"/>
    <w:uiPriority w:val="99"/>
    <w:semiHidden/>
    <w:unhideWhenUsed/>
    <w:rsid w:val="005D3C7A"/>
  </w:style>
  <w:style w:type="numbering" w:customStyle="1" w:styleId="NoList64">
    <w:name w:val="No List64"/>
    <w:next w:val="NoList"/>
    <w:uiPriority w:val="99"/>
    <w:semiHidden/>
    <w:unhideWhenUsed/>
    <w:rsid w:val="005D3C7A"/>
  </w:style>
  <w:style w:type="numbering" w:customStyle="1" w:styleId="ImportedStyle8024">
    <w:name w:val="Imported Style 8024"/>
    <w:rsid w:val="005D3C7A"/>
  </w:style>
  <w:style w:type="numbering" w:customStyle="1" w:styleId="ImportedStyle11524">
    <w:name w:val="Imported Style 11524"/>
    <w:rsid w:val="005D3C7A"/>
  </w:style>
  <w:style w:type="numbering" w:customStyle="1" w:styleId="NoList74">
    <w:name w:val="No List74"/>
    <w:next w:val="NoList"/>
    <w:uiPriority w:val="99"/>
    <w:semiHidden/>
    <w:unhideWhenUsed/>
    <w:rsid w:val="005D3C7A"/>
  </w:style>
  <w:style w:type="numbering" w:customStyle="1" w:styleId="ImportedStyle7814">
    <w:name w:val="Imported Style 7814"/>
    <w:rsid w:val="005D3C7A"/>
    <w:pPr>
      <w:numPr>
        <w:numId w:val="373"/>
      </w:numPr>
    </w:pPr>
  </w:style>
  <w:style w:type="numbering" w:customStyle="1" w:styleId="ImportedStyle78014">
    <w:name w:val="Imported Style 78.014"/>
    <w:rsid w:val="005D3C7A"/>
    <w:pPr>
      <w:numPr>
        <w:numId w:val="374"/>
      </w:numPr>
    </w:pPr>
  </w:style>
  <w:style w:type="numbering" w:customStyle="1" w:styleId="ImportedStyle8014">
    <w:name w:val="Imported Style 8014"/>
    <w:rsid w:val="005D3C7A"/>
    <w:pPr>
      <w:numPr>
        <w:numId w:val="375"/>
      </w:numPr>
    </w:pPr>
  </w:style>
  <w:style w:type="numbering" w:customStyle="1" w:styleId="ImportedStyle8214">
    <w:name w:val="Imported Style 8214"/>
    <w:rsid w:val="005D3C7A"/>
    <w:pPr>
      <w:numPr>
        <w:numId w:val="376"/>
      </w:numPr>
    </w:pPr>
  </w:style>
  <w:style w:type="numbering" w:customStyle="1" w:styleId="ImportedStyle8314">
    <w:name w:val="Imported Style 8314"/>
    <w:rsid w:val="005D3C7A"/>
    <w:pPr>
      <w:numPr>
        <w:numId w:val="377"/>
      </w:numPr>
    </w:pPr>
  </w:style>
  <w:style w:type="numbering" w:customStyle="1" w:styleId="ImportedStyle11414">
    <w:name w:val="Imported Style 11414"/>
    <w:rsid w:val="005D3C7A"/>
    <w:pPr>
      <w:numPr>
        <w:numId w:val="378"/>
      </w:numPr>
    </w:pPr>
  </w:style>
  <w:style w:type="numbering" w:customStyle="1" w:styleId="ImportedStyle11514">
    <w:name w:val="Imported Style 11514"/>
    <w:rsid w:val="005D3C7A"/>
    <w:pPr>
      <w:numPr>
        <w:numId w:val="379"/>
      </w:numPr>
    </w:pPr>
  </w:style>
  <w:style w:type="numbering" w:customStyle="1" w:styleId="ImportedStyle11614">
    <w:name w:val="Imported Style 11614"/>
    <w:rsid w:val="005D3C7A"/>
    <w:pPr>
      <w:numPr>
        <w:numId w:val="380"/>
      </w:numPr>
    </w:pPr>
  </w:style>
  <w:style w:type="numbering" w:customStyle="1" w:styleId="ImportedStyle117">
    <w:name w:val="Imported Style 117"/>
    <w:rsid w:val="005D3C7A"/>
  </w:style>
  <w:style w:type="numbering" w:customStyle="1" w:styleId="ImportedStyle214">
    <w:name w:val="Imported Style 214"/>
    <w:rsid w:val="005D3C7A"/>
    <w:pPr>
      <w:numPr>
        <w:numId w:val="392"/>
      </w:numPr>
    </w:pPr>
  </w:style>
  <w:style w:type="numbering" w:customStyle="1" w:styleId="ImportedStyle314">
    <w:name w:val="Imported Style 314"/>
    <w:rsid w:val="005D3C7A"/>
  </w:style>
  <w:style w:type="numbering" w:customStyle="1" w:styleId="NoList134">
    <w:name w:val="No List134"/>
    <w:next w:val="NoList"/>
    <w:uiPriority w:val="99"/>
    <w:semiHidden/>
    <w:unhideWhenUsed/>
    <w:rsid w:val="005D3C7A"/>
  </w:style>
  <w:style w:type="numbering" w:customStyle="1" w:styleId="NoList224">
    <w:name w:val="No List224"/>
    <w:next w:val="NoList"/>
    <w:uiPriority w:val="99"/>
    <w:semiHidden/>
    <w:unhideWhenUsed/>
    <w:rsid w:val="005D3C7A"/>
  </w:style>
  <w:style w:type="numbering" w:customStyle="1" w:styleId="NoList1134">
    <w:name w:val="No List1134"/>
    <w:next w:val="NoList"/>
    <w:uiPriority w:val="99"/>
    <w:semiHidden/>
    <w:unhideWhenUsed/>
    <w:rsid w:val="005D3C7A"/>
  </w:style>
  <w:style w:type="numbering" w:customStyle="1" w:styleId="NoList11114">
    <w:name w:val="No List11114"/>
    <w:next w:val="NoList"/>
    <w:uiPriority w:val="99"/>
    <w:semiHidden/>
    <w:unhideWhenUsed/>
    <w:rsid w:val="005D3C7A"/>
  </w:style>
  <w:style w:type="numbering" w:customStyle="1" w:styleId="NoList314">
    <w:name w:val="No List314"/>
    <w:next w:val="NoList"/>
    <w:uiPriority w:val="99"/>
    <w:semiHidden/>
    <w:unhideWhenUsed/>
    <w:rsid w:val="005D3C7A"/>
  </w:style>
  <w:style w:type="numbering" w:customStyle="1" w:styleId="Stilimportat114">
    <w:name w:val="Stil importat 114"/>
    <w:rsid w:val="005D3C7A"/>
    <w:pPr>
      <w:numPr>
        <w:numId w:val="351"/>
      </w:numPr>
    </w:pPr>
  </w:style>
  <w:style w:type="numbering" w:customStyle="1" w:styleId="Stilimportat214">
    <w:name w:val="Stil importat 214"/>
    <w:rsid w:val="005D3C7A"/>
    <w:pPr>
      <w:numPr>
        <w:numId w:val="352"/>
      </w:numPr>
    </w:pPr>
  </w:style>
  <w:style w:type="numbering" w:customStyle="1" w:styleId="Stilimportat314">
    <w:name w:val="Stil importat 314"/>
    <w:rsid w:val="005D3C7A"/>
    <w:pPr>
      <w:numPr>
        <w:numId w:val="353"/>
      </w:numPr>
    </w:pPr>
  </w:style>
  <w:style w:type="numbering" w:customStyle="1" w:styleId="Stilimportat414">
    <w:name w:val="Stil importat 414"/>
    <w:rsid w:val="005D3C7A"/>
    <w:pPr>
      <w:numPr>
        <w:numId w:val="354"/>
      </w:numPr>
    </w:pPr>
  </w:style>
  <w:style w:type="numbering" w:customStyle="1" w:styleId="Stilimportat514">
    <w:name w:val="Stil importat 514"/>
    <w:rsid w:val="005D3C7A"/>
    <w:pPr>
      <w:numPr>
        <w:numId w:val="355"/>
      </w:numPr>
    </w:pPr>
  </w:style>
  <w:style w:type="numbering" w:customStyle="1" w:styleId="Stilimportat614">
    <w:name w:val="Stil importat 614"/>
    <w:rsid w:val="005D3C7A"/>
    <w:pPr>
      <w:numPr>
        <w:numId w:val="356"/>
      </w:numPr>
    </w:pPr>
  </w:style>
  <w:style w:type="numbering" w:customStyle="1" w:styleId="Stilimportat714">
    <w:name w:val="Stil importat 714"/>
    <w:rsid w:val="005D3C7A"/>
    <w:pPr>
      <w:numPr>
        <w:numId w:val="357"/>
      </w:numPr>
    </w:pPr>
  </w:style>
  <w:style w:type="numbering" w:customStyle="1" w:styleId="NoList414">
    <w:name w:val="No List414"/>
    <w:next w:val="NoList"/>
    <w:uiPriority w:val="99"/>
    <w:semiHidden/>
    <w:unhideWhenUsed/>
    <w:rsid w:val="005D3C7A"/>
  </w:style>
  <w:style w:type="numbering" w:customStyle="1" w:styleId="NoList1214">
    <w:name w:val="No List1214"/>
    <w:next w:val="NoList"/>
    <w:uiPriority w:val="99"/>
    <w:semiHidden/>
    <w:unhideWhenUsed/>
    <w:rsid w:val="005D3C7A"/>
  </w:style>
  <w:style w:type="numbering" w:customStyle="1" w:styleId="NoList2114">
    <w:name w:val="No List2114"/>
    <w:next w:val="NoList"/>
    <w:uiPriority w:val="99"/>
    <w:semiHidden/>
    <w:unhideWhenUsed/>
    <w:rsid w:val="005D3C7A"/>
  </w:style>
  <w:style w:type="numbering" w:customStyle="1" w:styleId="NoList11214">
    <w:name w:val="No List11214"/>
    <w:next w:val="NoList"/>
    <w:uiPriority w:val="99"/>
    <w:semiHidden/>
    <w:unhideWhenUsed/>
    <w:rsid w:val="005D3C7A"/>
  </w:style>
  <w:style w:type="numbering" w:customStyle="1" w:styleId="NoList514">
    <w:name w:val="No List514"/>
    <w:next w:val="NoList"/>
    <w:uiPriority w:val="99"/>
    <w:semiHidden/>
    <w:unhideWhenUsed/>
    <w:rsid w:val="005D3C7A"/>
  </w:style>
  <w:style w:type="numbering" w:customStyle="1" w:styleId="NoList83">
    <w:name w:val="No List83"/>
    <w:next w:val="NoList"/>
    <w:semiHidden/>
    <w:unhideWhenUsed/>
    <w:rsid w:val="005D3C7A"/>
  </w:style>
  <w:style w:type="numbering" w:customStyle="1" w:styleId="NoList93">
    <w:name w:val="No List93"/>
    <w:next w:val="NoList"/>
    <w:uiPriority w:val="99"/>
    <w:semiHidden/>
    <w:unhideWhenUsed/>
    <w:rsid w:val="005D3C7A"/>
  </w:style>
  <w:style w:type="numbering" w:customStyle="1" w:styleId="ImportedStyle7824">
    <w:name w:val="Imported Style 7824"/>
    <w:rsid w:val="005D3C7A"/>
    <w:pPr>
      <w:numPr>
        <w:numId w:val="346"/>
      </w:numPr>
    </w:pPr>
  </w:style>
  <w:style w:type="numbering" w:customStyle="1" w:styleId="ImportedStyle78024">
    <w:name w:val="Imported Style 78.024"/>
    <w:rsid w:val="005D3C7A"/>
  </w:style>
  <w:style w:type="numbering" w:customStyle="1" w:styleId="ImportedStyle8033">
    <w:name w:val="Imported Style 8033"/>
    <w:rsid w:val="005D3C7A"/>
  </w:style>
  <w:style w:type="numbering" w:customStyle="1" w:styleId="ImportedStyle8224">
    <w:name w:val="Imported Style 8224"/>
    <w:rsid w:val="005D3C7A"/>
  </w:style>
  <w:style w:type="numbering" w:customStyle="1" w:styleId="ImportedStyle8324">
    <w:name w:val="Imported Style 8324"/>
    <w:rsid w:val="005D3C7A"/>
  </w:style>
  <w:style w:type="numbering" w:customStyle="1" w:styleId="ImportedStyle11424">
    <w:name w:val="Imported Style 11424"/>
    <w:rsid w:val="005D3C7A"/>
    <w:pPr>
      <w:numPr>
        <w:numId w:val="347"/>
      </w:numPr>
    </w:pPr>
  </w:style>
  <w:style w:type="numbering" w:customStyle="1" w:styleId="ImportedStyle11533">
    <w:name w:val="Imported Style 11533"/>
    <w:rsid w:val="005D3C7A"/>
  </w:style>
  <w:style w:type="numbering" w:customStyle="1" w:styleId="ImportedStyle11624">
    <w:name w:val="Imported Style 11624"/>
    <w:rsid w:val="005D3C7A"/>
    <w:pPr>
      <w:numPr>
        <w:numId w:val="348"/>
      </w:numPr>
    </w:pPr>
  </w:style>
  <w:style w:type="numbering" w:customStyle="1" w:styleId="ImportedStyle124">
    <w:name w:val="Imported Style 124"/>
    <w:rsid w:val="005D3C7A"/>
    <w:pPr>
      <w:numPr>
        <w:numId w:val="383"/>
      </w:numPr>
    </w:pPr>
  </w:style>
  <w:style w:type="numbering" w:customStyle="1" w:styleId="ImportedStyle224">
    <w:name w:val="Imported Style 224"/>
    <w:rsid w:val="005D3C7A"/>
    <w:pPr>
      <w:numPr>
        <w:numId w:val="393"/>
      </w:numPr>
    </w:pPr>
  </w:style>
  <w:style w:type="numbering" w:customStyle="1" w:styleId="ImportedStyle324">
    <w:name w:val="Imported Style 324"/>
    <w:rsid w:val="005D3C7A"/>
    <w:pPr>
      <w:numPr>
        <w:numId w:val="405"/>
      </w:numPr>
    </w:pPr>
  </w:style>
  <w:style w:type="numbering" w:customStyle="1" w:styleId="NoList144">
    <w:name w:val="No List144"/>
    <w:next w:val="NoList"/>
    <w:uiPriority w:val="99"/>
    <w:semiHidden/>
    <w:unhideWhenUsed/>
    <w:rsid w:val="005D3C7A"/>
  </w:style>
  <w:style w:type="numbering" w:customStyle="1" w:styleId="NoList234">
    <w:name w:val="No List234"/>
    <w:next w:val="NoList"/>
    <w:uiPriority w:val="99"/>
    <w:semiHidden/>
    <w:unhideWhenUsed/>
    <w:rsid w:val="005D3C7A"/>
  </w:style>
  <w:style w:type="numbering" w:customStyle="1" w:styleId="NoList1144">
    <w:name w:val="No List1144"/>
    <w:next w:val="NoList"/>
    <w:uiPriority w:val="99"/>
    <w:semiHidden/>
    <w:unhideWhenUsed/>
    <w:rsid w:val="005D3C7A"/>
  </w:style>
  <w:style w:type="numbering" w:customStyle="1" w:styleId="NoList11124">
    <w:name w:val="No List11124"/>
    <w:next w:val="NoList"/>
    <w:uiPriority w:val="99"/>
    <w:semiHidden/>
    <w:unhideWhenUsed/>
    <w:rsid w:val="005D3C7A"/>
  </w:style>
  <w:style w:type="numbering" w:customStyle="1" w:styleId="NoList324">
    <w:name w:val="No List324"/>
    <w:next w:val="NoList"/>
    <w:uiPriority w:val="99"/>
    <w:semiHidden/>
    <w:unhideWhenUsed/>
    <w:rsid w:val="005D3C7A"/>
  </w:style>
  <w:style w:type="numbering" w:customStyle="1" w:styleId="Stilimportat124">
    <w:name w:val="Stil importat 124"/>
    <w:rsid w:val="005D3C7A"/>
    <w:pPr>
      <w:numPr>
        <w:numId w:val="496"/>
      </w:numPr>
    </w:pPr>
  </w:style>
  <w:style w:type="numbering" w:customStyle="1" w:styleId="Stilimportat224">
    <w:name w:val="Stil importat 224"/>
    <w:rsid w:val="005D3C7A"/>
  </w:style>
  <w:style w:type="numbering" w:customStyle="1" w:styleId="Stilimportat324">
    <w:name w:val="Stil importat 324"/>
    <w:rsid w:val="005D3C7A"/>
  </w:style>
  <w:style w:type="numbering" w:customStyle="1" w:styleId="Stilimportat424">
    <w:name w:val="Stil importat 424"/>
    <w:rsid w:val="005D3C7A"/>
  </w:style>
  <w:style w:type="numbering" w:customStyle="1" w:styleId="Stilimportat524">
    <w:name w:val="Stil importat 524"/>
    <w:rsid w:val="005D3C7A"/>
  </w:style>
  <w:style w:type="numbering" w:customStyle="1" w:styleId="Stilimportat624">
    <w:name w:val="Stil importat 624"/>
    <w:rsid w:val="005D3C7A"/>
  </w:style>
  <w:style w:type="numbering" w:customStyle="1" w:styleId="Stilimportat724">
    <w:name w:val="Stil importat 724"/>
    <w:rsid w:val="005D3C7A"/>
  </w:style>
  <w:style w:type="numbering" w:customStyle="1" w:styleId="NoList424">
    <w:name w:val="No List424"/>
    <w:next w:val="NoList"/>
    <w:uiPriority w:val="99"/>
    <w:semiHidden/>
    <w:unhideWhenUsed/>
    <w:rsid w:val="005D3C7A"/>
  </w:style>
  <w:style w:type="numbering" w:customStyle="1" w:styleId="NoList1224">
    <w:name w:val="No List1224"/>
    <w:next w:val="NoList"/>
    <w:uiPriority w:val="99"/>
    <w:semiHidden/>
    <w:unhideWhenUsed/>
    <w:rsid w:val="005D3C7A"/>
  </w:style>
  <w:style w:type="numbering" w:customStyle="1" w:styleId="NoList2124">
    <w:name w:val="No List2124"/>
    <w:next w:val="NoList"/>
    <w:uiPriority w:val="99"/>
    <w:semiHidden/>
    <w:unhideWhenUsed/>
    <w:rsid w:val="005D3C7A"/>
  </w:style>
  <w:style w:type="numbering" w:customStyle="1" w:styleId="NoList11224">
    <w:name w:val="No List11224"/>
    <w:next w:val="NoList"/>
    <w:uiPriority w:val="99"/>
    <w:semiHidden/>
    <w:unhideWhenUsed/>
    <w:rsid w:val="005D3C7A"/>
  </w:style>
  <w:style w:type="numbering" w:customStyle="1" w:styleId="NoList524">
    <w:name w:val="No List524"/>
    <w:next w:val="NoList"/>
    <w:uiPriority w:val="99"/>
    <w:semiHidden/>
    <w:unhideWhenUsed/>
    <w:rsid w:val="005D3C7A"/>
  </w:style>
  <w:style w:type="table" w:customStyle="1" w:styleId="TableGrid172">
    <w:name w:val="Table Grid172"/>
    <w:basedOn w:val="TableNormal"/>
    <w:next w:val="TableGrid"/>
    <w:uiPriority w:val="5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5D3C7A"/>
  </w:style>
  <w:style w:type="numbering" w:customStyle="1" w:styleId="NoList152">
    <w:name w:val="No List152"/>
    <w:next w:val="NoList"/>
    <w:uiPriority w:val="99"/>
    <w:semiHidden/>
    <w:unhideWhenUsed/>
    <w:rsid w:val="005D3C7A"/>
  </w:style>
  <w:style w:type="numbering" w:customStyle="1" w:styleId="NoList242">
    <w:name w:val="No List242"/>
    <w:next w:val="NoList"/>
    <w:uiPriority w:val="99"/>
    <w:semiHidden/>
    <w:unhideWhenUsed/>
    <w:rsid w:val="005D3C7A"/>
  </w:style>
  <w:style w:type="numbering" w:customStyle="1" w:styleId="NoList332">
    <w:name w:val="No List332"/>
    <w:next w:val="NoList"/>
    <w:uiPriority w:val="99"/>
    <w:semiHidden/>
    <w:unhideWhenUsed/>
    <w:rsid w:val="005D3C7A"/>
  </w:style>
  <w:style w:type="numbering" w:customStyle="1" w:styleId="NoList432">
    <w:name w:val="No List432"/>
    <w:next w:val="NoList"/>
    <w:uiPriority w:val="99"/>
    <w:semiHidden/>
    <w:unhideWhenUsed/>
    <w:rsid w:val="005D3C7A"/>
  </w:style>
  <w:style w:type="numbering" w:customStyle="1" w:styleId="NoList532">
    <w:name w:val="No List532"/>
    <w:next w:val="NoList"/>
    <w:uiPriority w:val="99"/>
    <w:semiHidden/>
    <w:unhideWhenUsed/>
    <w:rsid w:val="005D3C7A"/>
  </w:style>
  <w:style w:type="numbering" w:customStyle="1" w:styleId="ImportedStyle1112">
    <w:name w:val="Imported Style 1112"/>
    <w:rsid w:val="005D3C7A"/>
    <w:pPr>
      <w:numPr>
        <w:numId w:val="487"/>
      </w:numPr>
    </w:pPr>
  </w:style>
  <w:style w:type="numbering" w:customStyle="1" w:styleId="ImportedStyle3112">
    <w:name w:val="Imported Style 3112"/>
    <w:rsid w:val="005D3C7A"/>
  </w:style>
  <w:style w:type="numbering" w:customStyle="1" w:styleId="ImportedStyle442">
    <w:name w:val="Imported Style 442"/>
    <w:rsid w:val="005D3C7A"/>
  </w:style>
  <w:style w:type="numbering" w:customStyle="1" w:styleId="ImportedStyle7832">
    <w:name w:val="Imported Style 7832"/>
    <w:rsid w:val="005D3C7A"/>
  </w:style>
  <w:style w:type="numbering" w:customStyle="1" w:styleId="ImportedStyle78032">
    <w:name w:val="Imported Style 78.032"/>
    <w:rsid w:val="005D3C7A"/>
  </w:style>
  <w:style w:type="numbering" w:customStyle="1" w:styleId="ImportedStyle8042">
    <w:name w:val="Imported Style 8042"/>
    <w:rsid w:val="005D3C7A"/>
  </w:style>
  <w:style w:type="numbering" w:customStyle="1" w:styleId="ImportedStyle8232">
    <w:name w:val="Imported Style 8232"/>
    <w:rsid w:val="005D3C7A"/>
  </w:style>
  <w:style w:type="numbering" w:customStyle="1" w:styleId="ImportedStyle8332">
    <w:name w:val="Imported Style 8332"/>
    <w:rsid w:val="005D3C7A"/>
  </w:style>
  <w:style w:type="numbering" w:customStyle="1" w:styleId="ImportedStyle11432">
    <w:name w:val="Imported Style 11432"/>
    <w:rsid w:val="005D3C7A"/>
  </w:style>
  <w:style w:type="numbering" w:customStyle="1" w:styleId="ImportedStyle11542">
    <w:name w:val="Imported Style 11542"/>
    <w:rsid w:val="005D3C7A"/>
  </w:style>
  <w:style w:type="numbering" w:customStyle="1" w:styleId="ImportedStyle11632">
    <w:name w:val="Imported Style 11632"/>
    <w:rsid w:val="005D3C7A"/>
  </w:style>
  <w:style w:type="numbering" w:customStyle="1" w:styleId="ImportedStyle133">
    <w:name w:val="Imported Style 133"/>
    <w:rsid w:val="005D3C7A"/>
    <w:pPr>
      <w:numPr>
        <w:numId w:val="384"/>
      </w:numPr>
    </w:pPr>
  </w:style>
  <w:style w:type="numbering" w:customStyle="1" w:styleId="ImportedStyle233">
    <w:name w:val="Imported Style 233"/>
    <w:rsid w:val="005D3C7A"/>
    <w:pPr>
      <w:numPr>
        <w:numId w:val="394"/>
      </w:numPr>
    </w:pPr>
  </w:style>
  <w:style w:type="numbering" w:customStyle="1" w:styleId="ImportedStyle333">
    <w:name w:val="Imported Style 333"/>
    <w:rsid w:val="005D3C7A"/>
    <w:pPr>
      <w:numPr>
        <w:numId w:val="406"/>
      </w:numPr>
    </w:pPr>
  </w:style>
  <w:style w:type="numbering" w:customStyle="1" w:styleId="NoList1152">
    <w:name w:val="No List1152"/>
    <w:next w:val="NoList"/>
    <w:uiPriority w:val="99"/>
    <w:semiHidden/>
    <w:unhideWhenUsed/>
    <w:rsid w:val="005D3C7A"/>
  </w:style>
  <w:style w:type="numbering" w:customStyle="1" w:styleId="NoList11133">
    <w:name w:val="No List11133"/>
    <w:next w:val="NoList"/>
    <w:uiPriority w:val="99"/>
    <w:semiHidden/>
    <w:unhideWhenUsed/>
    <w:rsid w:val="005D3C7A"/>
  </w:style>
  <w:style w:type="numbering" w:customStyle="1" w:styleId="Stilimportat133">
    <w:name w:val="Stil importat 133"/>
    <w:rsid w:val="005D3C7A"/>
    <w:pPr>
      <w:numPr>
        <w:numId w:val="358"/>
      </w:numPr>
    </w:pPr>
  </w:style>
  <w:style w:type="numbering" w:customStyle="1" w:styleId="Stilimportat233">
    <w:name w:val="Stil importat 233"/>
    <w:rsid w:val="005D3C7A"/>
    <w:pPr>
      <w:numPr>
        <w:numId w:val="497"/>
      </w:numPr>
    </w:pPr>
  </w:style>
  <w:style w:type="numbering" w:customStyle="1" w:styleId="Stilimportat333">
    <w:name w:val="Stil importat 333"/>
    <w:rsid w:val="005D3C7A"/>
    <w:pPr>
      <w:numPr>
        <w:numId w:val="498"/>
      </w:numPr>
    </w:pPr>
  </w:style>
  <w:style w:type="numbering" w:customStyle="1" w:styleId="Stilimportat433">
    <w:name w:val="Stil importat 433"/>
    <w:rsid w:val="005D3C7A"/>
    <w:pPr>
      <w:numPr>
        <w:numId w:val="499"/>
      </w:numPr>
    </w:pPr>
  </w:style>
  <w:style w:type="numbering" w:customStyle="1" w:styleId="Stilimportat533">
    <w:name w:val="Stil importat 533"/>
    <w:rsid w:val="005D3C7A"/>
    <w:pPr>
      <w:numPr>
        <w:numId w:val="500"/>
      </w:numPr>
    </w:pPr>
  </w:style>
  <w:style w:type="numbering" w:customStyle="1" w:styleId="Stilimportat633">
    <w:name w:val="Stil importat 633"/>
    <w:rsid w:val="005D3C7A"/>
    <w:pPr>
      <w:numPr>
        <w:numId w:val="501"/>
      </w:numPr>
    </w:pPr>
  </w:style>
  <w:style w:type="numbering" w:customStyle="1" w:styleId="Stilimportat733">
    <w:name w:val="Stil importat 733"/>
    <w:rsid w:val="005D3C7A"/>
    <w:pPr>
      <w:numPr>
        <w:numId w:val="502"/>
      </w:numPr>
    </w:pPr>
  </w:style>
  <w:style w:type="numbering" w:customStyle="1" w:styleId="NoList1232">
    <w:name w:val="No List1232"/>
    <w:next w:val="NoList"/>
    <w:uiPriority w:val="99"/>
    <w:semiHidden/>
    <w:unhideWhenUsed/>
    <w:rsid w:val="005D3C7A"/>
  </w:style>
  <w:style w:type="numbering" w:customStyle="1" w:styleId="NoList2132">
    <w:name w:val="No List2132"/>
    <w:next w:val="NoList"/>
    <w:uiPriority w:val="99"/>
    <w:semiHidden/>
    <w:unhideWhenUsed/>
    <w:rsid w:val="005D3C7A"/>
  </w:style>
  <w:style w:type="numbering" w:customStyle="1" w:styleId="NoList11232">
    <w:name w:val="No List11232"/>
    <w:next w:val="NoList"/>
    <w:uiPriority w:val="99"/>
    <w:semiHidden/>
    <w:unhideWhenUsed/>
    <w:rsid w:val="005D3C7A"/>
  </w:style>
  <w:style w:type="numbering" w:customStyle="1" w:styleId="NoList612">
    <w:name w:val="No List612"/>
    <w:next w:val="NoList"/>
    <w:uiPriority w:val="99"/>
    <w:semiHidden/>
    <w:unhideWhenUsed/>
    <w:rsid w:val="005D3C7A"/>
  </w:style>
  <w:style w:type="numbering" w:customStyle="1" w:styleId="ImportedStyle80212">
    <w:name w:val="Imported Style 80212"/>
    <w:rsid w:val="005D3C7A"/>
  </w:style>
  <w:style w:type="numbering" w:customStyle="1" w:styleId="ImportedStyle115212">
    <w:name w:val="Imported Style 115212"/>
    <w:rsid w:val="005D3C7A"/>
  </w:style>
  <w:style w:type="numbering" w:customStyle="1" w:styleId="NoList712">
    <w:name w:val="No List712"/>
    <w:next w:val="NoList"/>
    <w:uiPriority w:val="99"/>
    <w:semiHidden/>
    <w:unhideWhenUsed/>
    <w:rsid w:val="005D3C7A"/>
  </w:style>
  <w:style w:type="numbering" w:customStyle="1" w:styleId="ImportedStyle78112">
    <w:name w:val="Imported Style 78112"/>
    <w:rsid w:val="005D3C7A"/>
  </w:style>
  <w:style w:type="numbering" w:customStyle="1" w:styleId="ImportedStyle780113">
    <w:name w:val="Imported Style 78.0113"/>
    <w:rsid w:val="005D3C7A"/>
  </w:style>
  <w:style w:type="numbering" w:customStyle="1" w:styleId="ImportedStyle80112">
    <w:name w:val="Imported Style 80112"/>
    <w:rsid w:val="005D3C7A"/>
  </w:style>
  <w:style w:type="numbering" w:customStyle="1" w:styleId="ImportedStyle821121">
    <w:name w:val="Imported Style 821121"/>
    <w:rsid w:val="005D3C7A"/>
  </w:style>
  <w:style w:type="numbering" w:customStyle="1" w:styleId="ImportedStyle83113">
    <w:name w:val="Imported Style 83113"/>
    <w:rsid w:val="005D3C7A"/>
  </w:style>
  <w:style w:type="numbering" w:customStyle="1" w:styleId="ImportedStyle114113">
    <w:name w:val="Imported Style 114113"/>
    <w:rsid w:val="005D3C7A"/>
  </w:style>
  <w:style w:type="numbering" w:customStyle="1" w:styleId="ImportedStyle115112">
    <w:name w:val="Imported Style 115112"/>
    <w:rsid w:val="005D3C7A"/>
  </w:style>
  <w:style w:type="numbering" w:customStyle="1" w:styleId="ImportedStyle116112">
    <w:name w:val="Imported Style 116112"/>
    <w:rsid w:val="005D3C7A"/>
  </w:style>
  <w:style w:type="numbering" w:customStyle="1" w:styleId="ImportedStyle2112">
    <w:name w:val="Imported Style 2112"/>
    <w:rsid w:val="005D3C7A"/>
  </w:style>
  <w:style w:type="numbering" w:customStyle="1" w:styleId="NoList1312">
    <w:name w:val="No List1312"/>
    <w:next w:val="NoList"/>
    <w:uiPriority w:val="99"/>
    <w:semiHidden/>
    <w:unhideWhenUsed/>
    <w:rsid w:val="005D3C7A"/>
  </w:style>
  <w:style w:type="numbering" w:customStyle="1" w:styleId="NoList2212">
    <w:name w:val="No List2212"/>
    <w:next w:val="NoList"/>
    <w:uiPriority w:val="99"/>
    <w:semiHidden/>
    <w:unhideWhenUsed/>
    <w:rsid w:val="005D3C7A"/>
  </w:style>
  <w:style w:type="numbering" w:customStyle="1" w:styleId="NoList11312">
    <w:name w:val="No List11312"/>
    <w:next w:val="NoList"/>
    <w:uiPriority w:val="99"/>
    <w:semiHidden/>
    <w:unhideWhenUsed/>
    <w:rsid w:val="005D3C7A"/>
  </w:style>
  <w:style w:type="numbering" w:customStyle="1" w:styleId="NoList111113">
    <w:name w:val="No List111113"/>
    <w:next w:val="NoList"/>
    <w:uiPriority w:val="99"/>
    <w:semiHidden/>
    <w:unhideWhenUsed/>
    <w:rsid w:val="005D3C7A"/>
  </w:style>
  <w:style w:type="numbering" w:customStyle="1" w:styleId="NoList3112">
    <w:name w:val="No List3112"/>
    <w:next w:val="NoList"/>
    <w:uiPriority w:val="99"/>
    <w:semiHidden/>
    <w:unhideWhenUsed/>
    <w:rsid w:val="005D3C7A"/>
  </w:style>
  <w:style w:type="numbering" w:customStyle="1" w:styleId="Stilimportat1112">
    <w:name w:val="Stil importat 1112"/>
    <w:rsid w:val="005D3C7A"/>
  </w:style>
  <w:style w:type="numbering" w:customStyle="1" w:styleId="Stilimportat2112">
    <w:name w:val="Stil importat 2112"/>
    <w:rsid w:val="005D3C7A"/>
  </w:style>
  <w:style w:type="numbering" w:customStyle="1" w:styleId="Stilimportat3112">
    <w:name w:val="Stil importat 3112"/>
    <w:rsid w:val="005D3C7A"/>
  </w:style>
  <w:style w:type="numbering" w:customStyle="1" w:styleId="Stilimportat4112">
    <w:name w:val="Stil importat 4112"/>
    <w:rsid w:val="005D3C7A"/>
  </w:style>
  <w:style w:type="numbering" w:customStyle="1" w:styleId="Stilimportat5112">
    <w:name w:val="Stil importat 5112"/>
    <w:rsid w:val="005D3C7A"/>
  </w:style>
  <w:style w:type="numbering" w:customStyle="1" w:styleId="Stilimportat6112">
    <w:name w:val="Stil importat 6112"/>
    <w:rsid w:val="005D3C7A"/>
  </w:style>
  <w:style w:type="numbering" w:customStyle="1" w:styleId="Stilimportat7112">
    <w:name w:val="Stil importat 7112"/>
    <w:rsid w:val="005D3C7A"/>
  </w:style>
  <w:style w:type="numbering" w:customStyle="1" w:styleId="NoList4112">
    <w:name w:val="No List4112"/>
    <w:next w:val="NoList"/>
    <w:uiPriority w:val="99"/>
    <w:semiHidden/>
    <w:unhideWhenUsed/>
    <w:rsid w:val="005D3C7A"/>
  </w:style>
  <w:style w:type="numbering" w:customStyle="1" w:styleId="NoList12112">
    <w:name w:val="No List12112"/>
    <w:next w:val="NoList"/>
    <w:uiPriority w:val="99"/>
    <w:semiHidden/>
    <w:unhideWhenUsed/>
    <w:rsid w:val="005D3C7A"/>
  </w:style>
  <w:style w:type="numbering" w:customStyle="1" w:styleId="NoList21112">
    <w:name w:val="No List21112"/>
    <w:next w:val="NoList"/>
    <w:uiPriority w:val="99"/>
    <w:semiHidden/>
    <w:unhideWhenUsed/>
    <w:rsid w:val="005D3C7A"/>
  </w:style>
  <w:style w:type="numbering" w:customStyle="1" w:styleId="NoList112112">
    <w:name w:val="No List112112"/>
    <w:next w:val="NoList"/>
    <w:uiPriority w:val="99"/>
    <w:semiHidden/>
    <w:unhideWhenUsed/>
    <w:rsid w:val="005D3C7A"/>
  </w:style>
  <w:style w:type="numbering" w:customStyle="1" w:styleId="NoList5112">
    <w:name w:val="No List5112"/>
    <w:next w:val="NoList"/>
    <w:uiPriority w:val="99"/>
    <w:semiHidden/>
    <w:unhideWhenUsed/>
    <w:rsid w:val="005D3C7A"/>
  </w:style>
  <w:style w:type="numbering" w:customStyle="1" w:styleId="NoList812">
    <w:name w:val="No List812"/>
    <w:next w:val="NoList"/>
    <w:uiPriority w:val="99"/>
    <w:semiHidden/>
    <w:unhideWhenUsed/>
    <w:rsid w:val="005D3C7A"/>
  </w:style>
  <w:style w:type="numbering" w:customStyle="1" w:styleId="NoList912">
    <w:name w:val="No List912"/>
    <w:next w:val="NoList"/>
    <w:uiPriority w:val="99"/>
    <w:semiHidden/>
    <w:unhideWhenUsed/>
    <w:rsid w:val="005D3C7A"/>
  </w:style>
  <w:style w:type="numbering" w:customStyle="1" w:styleId="ImportedStyle78212">
    <w:name w:val="Imported Style 78212"/>
    <w:rsid w:val="005D3C7A"/>
  </w:style>
  <w:style w:type="numbering" w:customStyle="1" w:styleId="ImportedStyle780212">
    <w:name w:val="Imported Style 78.0212"/>
    <w:rsid w:val="005D3C7A"/>
  </w:style>
  <w:style w:type="numbering" w:customStyle="1" w:styleId="ImportedStyle80313">
    <w:name w:val="Imported Style 80313"/>
    <w:rsid w:val="005D3C7A"/>
  </w:style>
  <w:style w:type="numbering" w:customStyle="1" w:styleId="ImportedStyle82212">
    <w:name w:val="Imported Style 82212"/>
    <w:rsid w:val="005D3C7A"/>
  </w:style>
  <w:style w:type="numbering" w:customStyle="1" w:styleId="ImportedStyle83212">
    <w:name w:val="Imported Style 83212"/>
    <w:rsid w:val="005D3C7A"/>
  </w:style>
  <w:style w:type="numbering" w:customStyle="1" w:styleId="ImportedStyle114212">
    <w:name w:val="Imported Style 114212"/>
    <w:rsid w:val="005D3C7A"/>
  </w:style>
  <w:style w:type="numbering" w:customStyle="1" w:styleId="ImportedStyle115312">
    <w:name w:val="Imported Style 115312"/>
    <w:rsid w:val="005D3C7A"/>
  </w:style>
  <w:style w:type="numbering" w:customStyle="1" w:styleId="ImportedStyle116212">
    <w:name w:val="Imported Style 116212"/>
    <w:rsid w:val="005D3C7A"/>
  </w:style>
  <w:style w:type="numbering" w:customStyle="1" w:styleId="ImportedStyle1212">
    <w:name w:val="Imported Style 1212"/>
    <w:rsid w:val="005D3C7A"/>
    <w:pPr>
      <w:numPr>
        <w:numId w:val="494"/>
      </w:numPr>
    </w:pPr>
  </w:style>
  <w:style w:type="numbering" w:customStyle="1" w:styleId="ImportedStyle2212">
    <w:name w:val="Imported Style 2212"/>
    <w:rsid w:val="005D3C7A"/>
  </w:style>
  <w:style w:type="numbering" w:customStyle="1" w:styleId="ImportedStyle3212">
    <w:name w:val="Imported Style 3212"/>
    <w:rsid w:val="005D3C7A"/>
  </w:style>
  <w:style w:type="numbering" w:customStyle="1" w:styleId="NoList1412">
    <w:name w:val="No List1412"/>
    <w:next w:val="NoList"/>
    <w:uiPriority w:val="99"/>
    <w:semiHidden/>
    <w:unhideWhenUsed/>
    <w:rsid w:val="005D3C7A"/>
  </w:style>
  <w:style w:type="numbering" w:customStyle="1" w:styleId="NoList2312">
    <w:name w:val="No List2312"/>
    <w:next w:val="NoList"/>
    <w:uiPriority w:val="99"/>
    <w:semiHidden/>
    <w:unhideWhenUsed/>
    <w:rsid w:val="005D3C7A"/>
  </w:style>
  <w:style w:type="numbering" w:customStyle="1" w:styleId="NoList11412">
    <w:name w:val="No List11412"/>
    <w:next w:val="NoList"/>
    <w:uiPriority w:val="99"/>
    <w:semiHidden/>
    <w:unhideWhenUsed/>
    <w:rsid w:val="005D3C7A"/>
  </w:style>
  <w:style w:type="numbering" w:customStyle="1" w:styleId="NoList111212">
    <w:name w:val="No List111212"/>
    <w:next w:val="NoList"/>
    <w:uiPriority w:val="99"/>
    <w:semiHidden/>
    <w:unhideWhenUsed/>
    <w:rsid w:val="005D3C7A"/>
  </w:style>
  <w:style w:type="numbering" w:customStyle="1" w:styleId="NoList3212">
    <w:name w:val="No List3212"/>
    <w:next w:val="NoList"/>
    <w:uiPriority w:val="99"/>
    <w:semiHidden/>
    <w:unhideWhenUsed/>
    <w:rsid w:val="005D3C7A"/>
  </w:style>
  <w:style w:type="numbering" w:customStyle="1" w:styleId="Stilimportat1212">
    <w:name w:val="Stil importat 1212"/>
    <w:rsid w:val="005D3C7A"/>
  </w:style>
  <w:style w:type="numbering" w:customStyle="1" w:styleId="Stilimportat2212">
    <w:name w:val="Stil importat 2212"/>
    <w:rsid w:val="005D3C7A"/>
  </w:style>
  <w:style w:type="numbering" w:customStyle="1" w:styleId="Stilimportat3212">
    <w:name w:val="Stil importat 3212"/>
    <w:rsid w:val="005D3C7A"/>
  </w:style>
  <w:style w:type="numbering" w:customStyle="1" w:styleId="Stilimportat4212">
    <w:name w:val="Stil importat 4212"/>
    <w:rsid w:val="005D3C7A"/>
  </w:style>
  <w:style w:type="numbering" w:customStyle="1" w:styleId="Stilimportat5212">
    <w:name w:val="Stil importat 5212"/>
    <w:rsid w:val="005D3C7A"/>
  </w:style>
  <w:style w:type="numbering" w:customStyle="1" w:styleId="Stilimportat6212">
    <w:name w:val="Stil importat 6212"/>
    <w:rsid w:val="005D3C7A"/>
  </w:style>
  <w:style w:type="numbering" w:customStyle="1" w:styleId="Stilimportat7212">
    <w:name w:val="Stil importat 7212"/>
    <w:rsid w:val="005D3C7A"/>
  </w:style>
  <w:style w:type="numbering" w:customStyle="1" w:styleId="NoList4212">
    <w:name w:val="No List4212"/>
    <w:next w:val="NoList"/>
    <w:uiPriority w:val="99"/>
    <w:semiHidden/>
    <w:unhideWhenUsed/>
    <w:rsid w:val="005D3C7A"/>
  </w:style>
  <w:style w:type="numbering" w:customStyle="1" w:styleId="NoList12212">
    <w:name w:val="No List12212"/>
    <w:next w:val="NoList"/>
    <w:uiPriority w:val="99"/>
    <w:semiHidden/>
    <w:unhideWhenUsed/>
    <w:rsid w:val="005D3C7A"/>
  </w:style>
  <w:style w:type="numbering" w:customStyle="1" w:styleId="NoList21212">
    <w:name w:val="No List21212"/>
    <w:next w:val="NoList"/>
    <w:uiPriority w:val="99"/>
    <w:semiHidden/>
    <w:unhideWhenUsed/>
    <w:rsid w:val="005D3C7A"/>
  </w:style>
  <w:style w:type="numbering" w:customStyle="1" w:styleId="NoList112212">
    <w:name w:val="No List112212"/>
    <w:next w:val="NoList"/>
    <w:uiPriority w:val="99"/>
    <w:semiHidden/>
    <w:unhideWhenUsed/>
    <w:rsid w:val="005D3C7A"/>
  </w:style>
  <w:style w:type="numbering" w:customStyle="1" w:styleId="NoList5212">
    <w:name w:val="No List5212"/>
    <w:next w:val="NoList"/>
    <w:uiPriority w:val="99"/>
    <w:semiHidden/>
    <w:unhideWhenUsed/>
    <w:rsid w:val="005D3C7A"/>
  </w:style>
  <w:style w:type="numbering" w:customStyle="1" w:styleId="ImportedStyle7801112">
    <w:name w:val="Imported Style 78.01112"/>
    <w:rsid w:val="005D3C7A"/>
  </w:style>
  <w:style w:type="numbering" w:customStyle="1" w:styleId="ImportedStyle831112">
    <w:name w:val="Imported Style 831112"/>
    <w:rsid w:val="005D3C7A"/>
  </w:style>
  <w:style w:type="numbering" w:customStyle="1" w:styleId="ImportedStyle1141112">
    <w:name w:val="Imported Style 1141112"/>
    <w:rsid w:val="005D3C7A"/>
  </w:style>
  <w:style w:type="numbering" w:customStyle="1" w:styleId="NoList1611">
    <w:name w:val="No List1611"/>
    <w:next w:val="NoList"/>
    <w:uiPriority w:val="99"/>
    <w:semiHidden/>
    <w:unhideWhenUsed/>
    <w:rsid w:val="005D3C7A"/>
  </w:style>
  <w:style w:type="numbering" w:customStyle="1" w:styleId="NoList1711">
    <w:name w:val="No List1711"/>
    <w:next w:val="NoList"/>
    <w:uiPriority w:val="99"/>
    <w:semiHidden/>
    <w:unhideWhenUsed/>
    <w:rsid w:val="005D3C7A"/>
  </w:style>
  <w:style w:type="numbering" w:customStyle="1" w:styleId="Stilimportat142">
    <w:name w:val="Stil importat 142"/>
    <w:rsid w:val="005D3C7A"/>
    <w:pPr>
      <w:numPr>
        <w:numId w:val="359"/>
      </w:numPr>
    </w:pPr>
  </w:style>
  <w:style w:type="numbering" w:customStyle="1" w:styleId="Stilimportat242">
    <w:name w:val="Stil importat 242"/>
    <w:rsid w:val="005D3C7A"/>
    <w:pPr>
      <w:numPr>
        <w:numId w:val="360"/>
      </w:numPr>
    </w:pPr>
  </w:style>
  <w:style w:type="numbering" w:customStyle="1" w:styleId="Stilimportat342">
    <w:name w:val="Stil importat 342"/>
    <w:rsid w:val="005D3C7A"/>
    <w:pPr>
      <w:numPr>
        <w:numId w:val="361"/>
      </w:numPr>
    </w:pPr>
  </w:style>
  <w:style w:type="numbering" w:customStyle="1" w:styleId="Stilimportat442">
    <w:name w:val="Stil importat 442"/>
    <w:rsid w:val="005D3C7A"/>
    <w:pPr>
      <w:numPr>
        <w:numId w:val="362"/>
      </w:numPr>
    </w:pPr>
  </w:style>
  <w:style w:type="numbering" w:customStyle="1" w:styleId="Stilimportat542">
    <w:name w:val="Stil importat 542"/>
    <w:rsid w:val="005D3C7A"/>
    <w:pPr>
      <w:numPr>
        <w:numId w:val="363"/>
      </w:numPr>
    </w:pPr>
  </w:style>
  <w:style w:type="numbering" w:customStyle="1" w:styleId="Stilimportat642">
    <w:name w:val="Stil importat 642"/>
    <w:rsid w:val="005D3C7A"/>
    <w:pPr>
      <w:numPr>
        <w:numId w:val="364"/>
      </w:numPr>
    </w:pPr>
  </w:style>
  <w:style w:type="numbering" w:customStyle="1" w:styleId="Stilimportat742">
    <w:name w:val="Stil importat 742"/>
    <w:rsid w:val="005D3C7A"/>
    <w:pPr>
      <w:numPr>
        <w:numId w:val="365"/>
      </w:numPr>
    </w:pPr>
  </w:style>
  <w:style w:type="numbering" w:customStyle="1" w:styleId="ImportedStyle141">
    <w:name w:val="Imported Style 141"/>
    <w:rsid w:val="005D3C7A"/>
    <w:pPr>
      <w:numPr>
        <w:numId w:val="385"/>
      </w:numPr>
    </w:pPr>
  </w:style>
  <w:style w:type="numbering" w:customStyle="1" w:styleId="ImportedStyle241">
    <w:name w:val="Imported Style 241"/>
    <w:rsid w:val="005D3C7A"/>
    <w:pPr>
      <w:numPr>
        <w:numId w:val="395"/>
      </w:numPr>
    </w:pPr>
  </w:style>
  <w:style w:type="numbering" w:customStyle="1" w:styleId="ImportedStyle341">
    <w:name w:val="Imported Style 341"/>
    <w:rsid w:val="005D3C7A"/>
    <w:pPr>
      <w:numPr>
        <w:numId w:val="407"/>
      </w:numPr>
    </w:pPr>
  </w:style>
  <w:style w:type="numbering" w:customStyle="1" w:styleId="NoList1161">
    <w:name w:val="No List1161"/>
    <w:next w:val="NoList"/>
    <w:uiPriority w:val="99"/>
    <w:semiHidden/>
    <w:unhideWhenUsed/>
    <w:rsid w:val="005D3C7A"/>
  </w:style>
  <w:style w:type="numbering" w:customStyle="1" w:styleId="ImportedStyle7841">
    <w:name w:val="Imported Style 7841"/>
    <w:rsid w:val="005D3C7A"/>
  </w:style>
  <w:style w:type="numbering" w:customStyle="1" w:styleId="ImportedStyle78041">
    <w:name w:val="Imported Style 78.041"/>
    <w:rsid w:val="005D3C7A"/>
  </w:style>
  <w:style w:type="numbering" w:customStyle="1" w:styleId="ImportedStyle8051">
    <w:name w:val="Imported Style 8051"/>
    <w:rsid w:val="005D3C7A"/>
  </w:style>
  <w:style w:type="numbering" w:customStyle="1" w:styleId="ImportedStyle8241">
    <w:name w:val="Imported Style 8241"/>
    <w:rsid w:val="005D3C7A"/>
  </w:style>
  <w:style w:type="numbering" w:customStyle="1" w:styleId="ImportedStyle8341">
    <w:name w:val="Imported Style 8341"/>
    <w:rsid w:val="005D3C7A"/>
  </w:style>
  <w:style w:type="numbering" w:customStyle="1" w:styleId="ImportedStyle11441">
    <w:name w:val="Imported Style 11441"/>
    <w:rsid w:val="005D3C7A"/>
  </w:style>
  <w:style w:type="numbering" w:customStyle="1" w:styleId="ImportedStyle11551">
    <w:name w:val="Imported Style 11551"/>
    <w:rsid w:val="005D3C7A"/>
  </w:style>
  <w:style w:type="numbering" w:customStyle="1" w:styleId="ImportedStyle11641">
    <w:name w:val="Imported Style 11641"/>
    <w:rsid w:val="005D3C7A"/>
  </w:style>
  <w:style w:type="numbering" w:customStyle="1" w:styleId="ImportedStyle1121">
    <w:name w:val="Imported Style 1121"/>
    <w:rsid w:val="005D3C7A"/>
    <w:pPr>
      <w:numPr>
        <w:numId w:val="488"/>
      </w:numPr>
    </w:pPr>
  </w:style>
  <w:style w:type="numbering" w:customStyle="1" w:styleId="ImportedStyle2121">
    <w:name w:val="Imported Style 2121"/>
    <w:rsid w:val="005D3C7A"/>
  </w:style>
  <w:style w:type="numbering" w:customStyle="1" w:styleId="ImportedStyle3121">
    <w:name w:val="Imported Style 3121"/>
    <w:rsid w:val="005D3C7A"/>
  </w:style>
  <w:style w:type="numbering" w:customStyle="1" w:styleId="NoList11141">
    <w:name w:val="No List11141"/>
    <w:next w:val="NoList"/>
    <w:uiPriority w:val="99"/>
    <w:semiHidden/>
    <w:unhideWhenUsed/>
    <w:rsid w:val="005D3C7A"/>
  </w:style>
  <w:style w:type="numbering" w:customStyle="1" w:styleId="NoList251">
    <w:name w:val="No List251"/>
    <w:next w:val="NoList"/>
    <w:uiPriority w:val="99"/>
    <w:semiHidden/>
    <w:unhideWhenUsed/>
    <w:rsid w:val="005D3C7A"/>
  </w:style>
  <w:style w:type="numbering" w:customStyle="1" w:styleId="NoList111121">
    <w:name w:val="No List111121"/>
    <w:next w:val="NoList"/>
    <w:uiPriority w:val="99"/>
    <w:semiHidden/>
    <w:unhideWhenUsed/>
    <w:rsid w:val="005D3C7A"/>
  </w:style>
  <w:style w:type="numbering" w:customStyle="1" w:styleId="NoList1111112">
    <w:name w:val="No List1111112"/>
    <w:next w:val="NoList"/>
    <w:uiPriority w:val="99"/>
    <w:semiHidden/>
    <w:unhideWhenUsed/>
    <w:rsid w:val="005D3C7A"/>
  </w:style>
  <w:style w:type="numbering" w:customStyle="1" w:styleId="NoList341">
    <w:name w:val="No List341"/>
    <w:next w:val="NoList"/>
    <w:uiPriority w:val="99"/>
    <w:semiHidden/>
    <w:unhideWhenUsed/>
    <w:rsid w:val="005D3C7A"/>
  </w:style>
  <w:style w:type="numbering" w:customStyle="1" w:styleId="Stilimportat11212">
    <w:name w:val="Stil importat 11212"/>
    <w:rsid w:val="005D3C7A"/>
    <w:pPr>
      <w:numPr>
        <w:numId w:val="95"/>
      </w:numPr>
    </w:pPr>
  </w:style>
  <w:style w:type="numbering" w:customStyle="1" w:styleId="Stilimportat2121">
    <w:name w:val="Stil importat 2121"/>
    <w:rsid w:val="005D3C7A"/>
    <w:pPr>
      <w:numPr>
        <w:numId w:val="270"/>
      </w:numPr>
    </w:pPr>
  </w:style>
  <w:style w:type="numbering" w:customStyle="1" w:styleId="Stilimportat3121">
    <w:name w:val="Stil importat 3121"/>
    <w:rsid w:val="005D3C7A"/>
  </w:style>
  <w:style w:type="numbering" w:customStyle="1" w:styleId="Stilimportat4121">
    <w:name w:val="Stil importat 4121"/>
    <w:rsid w:val="005D3C7A"/>
  </w:style>
  <w:style w:type="numbering" w:customStyle="1" w:styleId="Stilimportat5121">
    <w:name w:val="Stil importat 5121"/>
    <w:rsid w:val="005D3C7A"/>
  </w:style>
  <w:style w:type="numbering" w:customStyle="1" w:styleId="Stilimportat6121">
    <w:name w:val="Stil importat 6121"/>
    <w:rsid w:val="005D3C7A"/>
  </w:style>
  <w:style w:type="numbering" w:customStyle="1" w:styleId="Stilimportat7121">
    <w:name w:val="Stil importat 7121"/>
    <w:rsid w:val="005D3C7A"/>
  </w:style>
  <w:style w:type="numbering" w:customStyle="1" w:styleId="NoList441">
    <w:name w:val="No List441"/>
    <w:next w:val="NoList"/>
    <w:uiPriority w:val="99"/>
    <w:semiHidden/>
    <w:unhideWhenUsed/>
    <w:rsid w:val="005D3C7A"/>
  </w:style>
  <w:style w:type="numbering" w:customStyle="1" w:styleId="NoList1241">
    <w:name w:val="No List1241"/>
    <w:next w:val="NoList"/>
    <w:uiPriority w:val="99"/>
    <w:semiHidden/>
    <w:unhideWhenUsed/>
    <w:rsid w:val="005D3C7A"/>
  </w:style>
  <w:style w:type="numbering" w:customStyle="1" w:styleId="NoList2141">
    <w:name w:val="No List2141"/>
    <w:next w:val="NoList"/>
    <w:uiPriority w:val="99"/>
    <w:semiHidden/>
    <w:unhideWhenUsed/>
    <w:rsid w:val="005D3C7A"/>
  </w:style>
  <w:style w:type="numbering" w:customStyle="1" w:styleId="NoList11241">
    <w:name w:val="No List11241"/>
    <w:next w:val="NoList"/>
    <w:uiPriority w:val="99"/>
    <w:semiHidden/>
    <w:unhideWhenUsed/>
    <w:rsid w:val="005D3C7A"/>
  </w:style>
  <w:style w:type="numbering" w:customStyle="1" w:styleId="NoList541">
    <w:name w:val="No List541"/>
    <w:next w:val="NoList"/>
    <w:uiPriority w:val="99"/>
    <w:semiHidden/>
    <w:unhideWhenUsed/>
    <w:rsid w:val="005D3C7A"/>
  </w:style>
  <w:style w:type="numbering" w:customStyle="1" w:styleId="NoList621">
    <w:name w:val="No List621"/>
    <w:next w:val="NoList"/>
    <w:uiPriority w:val="99"/>
    <w:semiHidden/>
    <w:unhideWhenUsed/>
    <w:rsid w:val="005D3C7A"/>
  </w:style>
  <w:style w:type="numbering" w:customStyle="1" w:styleId="ImportedStyle78121">
    <w:name w:val="Imported Style 78121"/>
    <w:rsid w:val="005D3C7A"/>
  </w:style>
  <w:style w:type="numbering" w:customStyle="1" w:styleId="ImportedStyle780121">
    <w:name w:val="Imported Style 78.0121"/>
    <w:rsid w:val="005D3C7A"/>
  </w:style>
  <w:style w:type="numbering" w:customStyle="1" w:styleId="ImportedStyle80121">
    <w:name w:val="Imported Style 80121"/>
    <w:rsid w:val="005D3C7A"/>
  </w:style>
  <w:style w:type="numbering" w:customStyle="1" w:styleId="ImportedStyle82121">
    <w:name w:val="Imported Style 82121"/>
    <w:rsid w:val="005D3C7A"/>
  </w:style>
  <w:style w:type="numbering" w:customStyle="1" w:styleId="ImportedStyle83121">
    <w:name w:val="Imported Style 83121"/>
    <w:rsid w:val="005D3C7A"/>
  </w:style>
  <w:style w:type="numbering" w:customStyle="1" w:styleId="ImportedStyle114121">
    <w:name w:val="Imported Style 114121"/>
    <w:rsid w:val="005D3C7A"/>
  </w:style>
  <w:style w:type="numbering" w:customStyle="1" w:styleId="ImportedStyle115121">
    <w:name w:val="Imported Style 115121"/>
    <w:rsid w:val="005D3C7A"/>
  </w:style>
  <w:style w:type="numbering" w:customStyle="1" w:styleId="ImportedStyle116121">
    <w:name w:val="Imported Style 116121"/>
    <w:rsid w:val="005D3C7A"/>
  </w:style>
  <w:style w:type="numbering" w:customStyle="1" w:styleId="ImportedStyle1221">
    <w:name w:val="Imported Style 1221"/>
    <w:rsid w:val="005D3C7A"/>
    <w:pPr>
      <w:numPr>
        <w:numId w:val="495"/>
      </w:numPr>
    </w:pPr>
  </w:style>
  <w:style w:type="numbering" w:customStyle="1" w:styleId="ImportedStyle2221">
    <w:name w:val="Imported Style 2221"/>
    <w:rsid w:val="005D3C7A"/>
  </w:style>
  <w:style w:type="numbering" w:customStyle="1" w:styleId="ImportedStyle3221">
    <w:name w:val="Imported Style 3221"/>
    <w:rsid w:val="005D3C7A"/>
  </w:style>
  <w:style w:type="numbering" w:customStyle="1" w:styleId="NoList1321">
    <w:name w:val="No List1321"/>
    <w:next w:val="NoList"/>
    <w:uiPriority w:val="99"/>
    <w:semiHidden/>
    <w:unhideWhenUsed/>
    <w:rsid w:val="005D3C7A"/>
  </w:style>
  <w:style w:type="numbering" w:customStyle="1" w:styleId="NoList2221">
    <w:name w:val="No List2221"/>
    <w:next w:val="NoList"/>
    <w:uiPriority w:val="99"/>
    <w:semiHidden/>
    <w:unhideWhenUsed/>
    <w:rsid w:val="005D3C7A"/>
  </w:style>
  <w:style w:type="numbering" w:customStyle="1" w:styleId="NoList11321">
    <w:name w:val="No List11321"/>
    <w:next w:val="NoList"/>
    <w:uiPriority w:val="99"/>
    <w:semiHidden/>
    <w:unhideWhenUsed/>
    <w:rsid w:val="005D3C7A"/>
  </w:style>
  <w:style w:type="numbering" w:customStyle="1" w:styleId="NoList111221">
    <w:name w:val="No List111221"/>
    <w:next w:val="NoList"/>
    <w:uiPriority w:val="99"/>
    <w:semiHidden/>
    <w:unhideWhenUsed/>
    <w:rsid w:val="005D3C7A"/>
  </w:style>
  <w:style w:type="numbering" w:customStyle="1" w:styleId="NoList3121">
    <w:name w:val="No List3121"/>
    <w:next w:val="NoList"/>
    <w:uiPriority w:val="99"/>
    <w:semiHidden/>
    <w:unhideWhenUsed/>
    <w:rsid w:val="005D3C7A"/>
  </w:style>
  <w:style w:type="numbering" w:customStyle="1" w:styleId="Stilimportat1221">
    <w:name w:val="Stil importat 1221"/>
    <w:rsid w:val="005D3C7A"/>
  </w:style>
  <w:style w:type="numbering" w:customStyle="1" w:styleId="Stilimportat2221">
    <w:name w:val="Stil importat 2221"/>
    <w:rsid w:val="005D3C7A"/>
  </w:style>
  <w:style w:type="numbering" w:customStyle="1" w:styleId="Stilimportat3221">
    <w:name w:val="Stil importat 3221"/>
    <w:rsid w:val="005D3C7A"/>
  </w:style>
  <w:style w:type="numbering" w:customStyle="1" w:styleId="Stilimportat4221">
    <w:name w:val="Stil importat 4221"/>
    <w:rsid w:val="005D3C7A"/>
  </w:style>
  <w:style w:type="numbering" w:customStyle="1" w:styleId="Stilimportat5221">
    <w:name w:val="Stil importat 5221"/>
    <w:rsid w:val="005D3C7A"/>
  </w:style>
  <w:style w:type="numbering" w:customStyle="1" w:styleId="Stilimportat6221">
    <w:name w:val="Stil importat 6221"/>
    <w:rsid w:val="005D3C7A"/>
  </w:style>
  <w:style w:type="numbering" w:customStyle="1" w:styleId="Stilimportat7221">
    <w:name w:val="Stil importat 7221"/>
    <w:rsid w:val="005D3C7A"/>
  </w:style>
  <w:style w:type="numbering" w:customStyle="1" w:styleId="NoList4121">
    <w:name w:val="No List4121"/>
    <w:next w:val="NoList"/>
    <w:uiPriority w:val="99"/>
    <w:semiHidden/>
    <w:unhideWhenUsed/>
    <w:rsid w:val="005D3C7A"/>
  </w:style>
  <w:style w:type="numbering" w:customStyle="1" w:styleId="NoList12121">
    <w:name w:val="No List12121"/>
    <w:next w:val="NoList"/>
    <w:uiPriority w:val="99"/>
    <w:semiHidden/>
    <w:unhideWhenUsed/>
    <w:rsid w:val="005D3C7A"/>
  </w:style>
  <w:style w:type="numbering" w:customStyle="1" w:styleId="NoList21121">
    <w:name w:val="No List21121"/>
    <w:next w:val="NoList"/>
    <w:uiPriority w:val="99"/>
    <w:semiHidden/>
    <w:unhideWhenUsed/>
    <w:rsid w:val="005D3C7A"/>
  </w:style>
  <w:style w:type="numbering" w:customStyle="1" w:styleId="NoList112121">
    <w:name w:val="No List112121"/>
    <w:next w:val="NoList"/>
    <w:uiPriority w:val="99"/>
    <w:semiHidden/>
    <w:unhideWhenUsed/>
    <w:rsid w:val="005D3C7A"/>
  </w:style>
  <w:style w:type="numbering" w:customStyle="1" w:styleId="NoList5121">
    <w:name w:val="No List5121"/>
    <w:next w:val="NoList"/>
    <w:uiPriority w:val="99"/>
    <w:semiHidden/>
    <w:unhideWhenUsed/>
    <w:rsid w:val="005D3C7A"/>
  </w:style>
  <w:style w:type="numbering" w:customStyle="1" w:styleId="NoList721">
    <w:name w:val="No List721"/>
    <w:next w:val="NoList"/>
    <w:uiPriority w:val="99"/>
    <w:semiHidden/>
    <w:unhideWhenUsed/>
    <w:rsid w:val="005D3C7A"/>
  </w:style>
  <w:style w:type="numbering" w:customStyle="1" w:styleId="ImportedStyle78221">
    <w:name w:val="Imported Style 78221"/>
    <w:rsid w:val="005D3C7A"/>
  </w:style>
  <w:style w:type="numbering" w:customStyle="1" w:styleId="ImportedStyle780221">
    <w:name w:val="Imported Style 78.0221"/>
    <w:rsid w:val="005D3C7A"/>
    <w:pPr>
      <w:numPr>
        <w:numId w:val="262"/>
      </w:numPr>
    </w:pPr>
  </w:style>
  <w:style w:type="numbering" w:customStyle="1" w:styleId="ImportedStyle80221">
    <w:name w:val="Imported Style 80221"/>
    <w:rsid w:val="005D3C7A"/>
  </w:style>
  <w:style w:type="numbering" w:customStyle="1" w:styleId="ImportedStyle82221">
    <w:name w:val="Imported Style 82221"/>
    <w:rsid w:val="005D3C7A"/>
    <w:pPr>
      <w:numPr>
        <w:numId w:val="263"/>
      </w:numPr>
    </w:pPr>
  </w:style>
  <w:style w:type="numbering" w:customStyle="1" w:styleId="ImportedStyle83221">
    <w:name w:val="Imported Style 83221"/>
    <w:rsid w:val="005D3C7A"/>
    <w:pPr>
      <w:numPr>
        <w:numId w:val="264"/>
      </w:numPr>
    </w:pPr>
  </w:style>
  <w:style w:type="numbering" w:customStyle="1" w:styleId="ImportedStyle114221">
    <w:name w:val="Imported Style 114221"/>
    <w:rsid w:val="005D3C7A"/>
    <w:pPr>
      <w:numPr>
        <w:numId w:val="265"/>
      </w:numPr>
    </w:pPr>
  </w:style>
  <w:style w:type="numbering" w:customStyle="1" w:styleId="ImportedStyle115221">
    <w:name w:val="Imported Style 115221"/>
    <w:rsid w:val="005D3C7A"/>
  </w:style>
  <w:style w:type="numbering" w:customStyle="1" w:styleId="ImportedStyle116221">
    <w:name w:val="Imported Style 116221"/>
    <w:rsid w:val="005D3C7A"/>
    <w:pPr>
      <w:numPr>
        <w:numId w:val="266"/>
      </w:numPr>
    </w:pPr>
  </w:style>
  <w:style w:type="numbering" w:customStyle="1" w:styleId="ImportedStyle1312">
    <w:name w:val="Imported Style 1312"/>
    <w:rsid w:val="005D3C7A"/>
    <w:pPr>
      <w:numPr>
        <w:numId w:val="267"/>
      </w:numPr>
    </w:pPr>
  </w:style>
  <w:style w:type="numbering" w:customStyle="1" w:styleId="ImportedStyle2312">
    <w:name w:val="Imported Style 2312"/>
    <w:rsid w:val="005D3C7A"/>
    <w:pPr>
      <w:numPr>
        <w:numId w:val="268"/>
      </w:numPr>
    </w:pPr>
  </w:style>
  <w:style w:type="numbering" w:customStyle="1" w:styleId="ImportedStyle3312">
    <w:name w:val="Imported Style 3312"/>
    <w:rsid w:val="005D3C7A"/>
    <w:pPr>
      <w:numPr>
        <w:numId w:val="269"/>
      </w:numPr>
    </w:pPr>
  </w:style>
  <w:style w:type="numbering" w:customStyle="1" w:styleId="NoList1421">
    <w:name w:val="No List1421"/>
    <w:next w:val="NoList"/>
    <w:uiPriority w:val="99"/>
    <w:semiHidden/>
    <w:unhideWhenUsed/>
    <w:rsid w:val="005D3C7A"/>
  </w:style>
  <w:style w:type="numbering" w:customStyle="1" w:styleId="NoList2321">
    <w:name w:val="No List2321"/>
    <w:next w:val="NoList"/>
    <w:uiPriority w:val="99"/>
    <w:semiHidden/>
    <w:unhideWhenUsed/>
    <w:rsid w:val="005D3C7A"/>
  </w:style>
  <w:style w:type="numbering" w:customStyle="1" w:styleId="NoList11421">
    <w:name w:val="No List11421"/>
    <w:next w:val="NoList"/>
    <w:uiPriority w:val="99"/>
    <w:semiHidden/>
    <w:unhideWhenUsed/>
    <w:rsid w:val="005D3C7A"/>
  </w:style>
  <w:style w:type="numbering" w:customStyle="1" w:styleId="NoList111312">
    <w:name w:val="No List111312"/>
    <w:next w:val="NoList"/>
    <w:uiPriority w:val="99"/>
    <w:semiHidden/>
    <w:unhideWhenUsed/>
    <w:rsid w:val="005D3C7A"/>
  </w:style>
  <w:style w:type="numbering" w:customStyle="1" w:styleId="NoList3221">
    <w:name w:val="No List3221"/>
    <w:next w:val="NoList"/>
    <w:uiPriority w:val="99"/>
    <w:semiHidden/>
    <w:unhideWhenUsed/>
    <w:rsid w:val="005D3C7A"/>
  </w:style>
  <w:style w:type="numbering" w:customStyle="1" w:styleId="Stilimportat1312">
    <w:name w:val="Stil importat 1312"/>
    <w:rsid w:val="005D3C7A"/>
  </w:style>
  <w:style w:type="numbering" w:customStyle="1" w:styleId="Stilimportat2312">
    <w:name w:val="Stil importat 2312"/>
    <w:rsid w:val="005D3C7A"/>
  </w:style>
  <w:style w:type="numbering" w:customStyle="1" w:styleId="Stilimportat3312">
    <w:name w:val="Stil importat 3312"/>
    <w:rsid w:val="005D3C7A"/>
  </w:style>
  <w:style w:type="numbering" w:customStyle="1" w:styleId="Stilimportat4312">
    <w:name w:val="Stil importat 4312"/>
    <w:rsid w:val="005D3C7A"/>
  </w:style>
  <w:style w:type="numbering" w:customStyle="1" w:styleId="Stilimportat5312">
    <w:name w:val="Stil importat 5312"/>
    <w:rsid w:val="005D3C7A"/>
  </w:style>
  <w:style w:type="numbering" w:customStyle="1" w:styleId="Stilimportat6312">
    <w:name w:val="Stil importat 6312"/>
    <w:rsid w:val="005D3C7A"/>
  </w:style>
  <w:style w:type="numbering" w:customStyle="1" w:styleId="Stilimportat7312">
    <w:name w:val="Stil importat 7312"/>
    <w:rsid w:val="005D3C7A"/>
  </w:style>
  <w:style w:type="numbering" w:customStyle="1" w:styleId="NoList4221">
    <w:name w:val="No List4221"/>
    <w:next w:val="NoList"/>
    <w:uiPriority w:val="99"/>
    <w:semiHidden/>
    <w:unhideWhenUsed/>
    <w:rsid w:val="005D3C7A"/>
  </w:style>
  <w:style w:type="numbering" w:customStyle="1" w:styleId="NoList12221">
    <w:name w:val="No List12221"/>
    <w:next w:val="NoList"/>
    <w:uiPriority w:val="99"/>
    <w:semiHidden/>
    <w:unhideWhenUsed/>
    <w:rsid w:val="005D3C7A"/>
  </w:style>
  <w:style w:type="numbering" w:customStyle="1" w:styleId="NoList21221">
    <w:name w:val="No List21221"/>
    <w:next w:val="NoList"/>
    <w:uiPriority w:val="99"/>
    <w:semiHidden/>
    <w:unhideWhenUsed/>
    <w:rsid w:val="005D3C7A"/>
  </w:style>
  <w:style w:type="numbering" w:customStyle="1" w:styleId="NoList112221">
    <w:name w:val="No List112221"/>
    <w:next w:val="NoList"/>
    <w:uiPriority w:val="99"/>
    <w:semiHidden/>
    <w:unhideWhenUsed/>
    <w:rsid w:val="005D3C7A"/>
  </w:style>
  <w:style w:type="numbering" w:customStyle="1" w:styleId="NoList5221">
    <w:name w:val="No List5221"/>
    <w:next w:val="NoList"/>
    <w:uiPriority w:val="99"/>
    <w:semiHidden/>
    <w:unhideWhenUsed/>
    <w:rsid w:val="005D3C7A"/>
  </w:style>
  <w:style w:type="numbering" w:customStyle="1" w:styleId="Stilimportat1411">
    <w:name w:val="Stil importat 1411"/>
    <w:rsid w:val="005D3C7A"/>
  </w:style>
  <w:style w:type="numbering" w:customStyle="1" w:styleId="Stilimportat2411">
    <w:name w:val="Stil importat 2411"/>
    <w:rsid w:val="005D3C7A"/>
  </w:style>
  <w:style w:type="numbering" w:customStyle="1" w:styleId="Stilimportat34111">
    <w:name w:val="Stil importat 34111"/>
    <w:rsid w:val="005D3C7A"/>
  </w:style>
  <w:style w:type="numbering" w:customStyle="1" w:styleId="Stilimportat44111">
    <w:name w:val="Stil importat 44111"/>
    <w:rsid w:val="005D3C7A"/>
  </w:style>
  <w:style w:type="numbering" w:customStyle="1" w:styleId="Stilimportat5411">
    <w:name w:val="Stil importat 5411"/>
    <w:rsid w:val="005D3C7A"/>
  </w:style>
  <w:style w:type="numbering" w:customStyle="1" w:styleId="Stilimportat6411">
    <w:name w:val="Stil importat 6411"/>
    <w:rsid w:val="005D3C7A"/>
  </w:style>
  <w:style w:type="numbering" w:customStyle="1" w:styleId="Stilimportat7411">
    <w:name w:val="Stil importat 7411"/>
    <w:rsid w:val="005D3C7A"/>
  </w:style>
  <w:style w:type="numbering" w:customStyle="1" w:styleId="ImportedStyle803112">
    <w:name w:val="Imported Style 803112"/>
    <w:rsid w:val="005D3C7A"/>
  </w:style>
  <w:style w:type="numbering" w:customStyle="1" w:styleId="NoList181">
    <w:name w:val="No List181"/>
    <w:next w:val="NoList"/>
    <w:uiPriority w:val="99"/>
    <w:semiHidden/>
    <w:unhideWhenUsed/>
    <w:rsid w:val="005D3C7A"/>
  </w:style>
  <w:style w:type="numbering" w:customStyle="1" w:styleId="ImportedStyle7851">
    <w:name w:val="Imported Style 7851"/>
    <w:rsid w:val="005D3C7A"/>
  </w:style>
  <w:style w:type="numbering" w:customStyle="1" w:styleId="ImportedStyle78051">
    <w:name w:val="Imported Style 78.051"/>
    <w:rsid w:val="005D3C7A"/>
  </w:style>
  <w:style w:type="numbering" w:customStyle="1" w:styleId="ImportedStyle8061">
    <w:name w:val="Imported Style 8061"/>
    <w:rsid w:val="005D3C7A"/>
  </w:style>
  <w:style w:type="numbering" w:customStyle="1" w:styleId="ImportedStyle8251">
    <w:name w:val="Imported Style 8251"/>
    <w:rsid w:val="005D3C7A"/>
  </w:style>
  <w:style w:type="numbering" w:customStyle="1" w:styleId="ImportedStyle8351">
    <w:name w:val="Imported Style 8351"/>
    <w:rsid w:val="005D3C7A"/>
  </w:style>
  <w:style w:type="numbering" w:customStyle="1" w:styleId="ImportedStyle11451">
    <w:name w:val="Imported Style 11451"/>
    <w:rsid w:val="005D3C7A"/>
  </w:style>
  <w:style w:type="numbering" w:customStyle="1" w:styleId="ImportedStyle11561">
    <w:name w:val="Imported Style 11561"/>
    <w:rsid w:val="005D3C7A"/>
  </w:style>
  <w:style w:type="numbering" w:customStyle="1" w:styleId="ImportedStyle11651">
    <w:name w:val="Imported Style 11651"/>
    <w:rsid w:val="005D3C7A"/>
  </w:style>
  <w:style w:type="numbering" w:customStyle="1" w:styleId="ImportedStyle1512">
    <w:name w:val="Imported Style 1512"/>
    <w:rsid w:val="005D3C7A"/>
    <w:pPr>
      <w:numPr>
        <w:numId w:val="9"/>
      </w:numPr>
    </w:pPr>
  </w:style>
  <w:style w:type="numbering" w:customStyle="1" w:styleId="ImportedStyle251">
    <w:name w:val="Imported Style 251"/>
    <w:rsid w:val="005D3C7A"/>
    <w:pPr>
      <w:numPr>
        <w:numId w:val="396"/>
      </w:numPr>
    </w:pPr>
  </w:style>
  <w:style w:type="numbering" w:customStyle="1" w:styleId="ImportedStyle351">
    <w:name w:val="Imported Style 351"/>
    <w:rsid w:val="005D3C7A"/>
    <w:pPr>
      <w:numPr>
        <w:numId w:val="408"/>
      </w:numPr>
    </w:pPr>
  </w:style>
  <w:style w:type="numbering" w:customStyle="1" w:styleId="NoList191">
    <w:name w:val="No List191"/>
    <w:next w:val="NoList"/>
    <w:uiPriority w:val="99"/>
    <w:semiHidden/>
    <w:unhideWhenUsed/>
    <w:rsid w:val="005D3C7A"/>
  </w:style>
  <w:style w:type="numbering" w:customStyle="1" w:styleId="NoList261">
    <w:name w:val="No List261"/>
    <w:next w:val="NoList"/>
    <w:uiPriority w:val="99"/>
    <w:semiHidden/>
    <w:unhideWhenUsed/>
    <w:rsid w:val="005D3C7A"/>
  </w:style>
  <w:style w:type="numbering" w:customStyle="1" w:styleId="NoList1171">
    <w:name w:val="No List1171"/>
    <w:next w:val="NoList"/>
    <w:uiPriority w:val="99"/>
    <w:semiHidden/>
    <w:unhideWhenUsed/>
    <w:rsid w:val="005D3C7A"/>
  </w:style>
  <w:style w:type="numbering" w:customStyle="1" w:styleId="NoList11151">
    <w:name w:val="No List11151"/>
    <w:next w:val="NoList"/>
    <w:uiPriority w:val="99"/>
    <w:semiHidden/>
    <w:unhideWhenUsed/>
    <w:rsid w:val="005D3C7A"/>
  </w:style>
  <w:style w:type="numbering" w:customStyle="1" w:styleId="NoList351">
    <w:name w:val="No List351"/>
    <w:next w:val="NoList"/>
    <w:uiPriority w:val="99"/>
    <w:semiHidden/>
    <w:unhideWhenUsed/>
    <w:rsid w:val="005D3C7A"/>
  </w:style>
  <w:style w:type="numbering" w:customStyle="1" w:styleId="Stilimportat151">
    <w:name w:val="Stil importat 151"/>
    <w:rsid w:val="005D3C7A"/>
  </w:style>
  <w:style w:type="numbering" w:customStyle="1" w:styleId="Stilimportat2511">
    <w:name w:val="Stil importat 2511"/>
    <w:rsid w:val="005D3C7A"/>
    <w:pPr>
      <w:numPr>
        <w:numId w:val="13"/>
      </w:numPr>
    </w:pPr>
  </w:style>
  <w:style w:type="numbering" w:customStyle="1" w:styleId="Stilimportat351">
    <w:name w:val="Stil importat 351"/>
    <w:rsid w:val="005D3C7A"/>
  </w:style>
  <w:style w:type="numbering" w:customStyle="1" w:styleId="Stilimportat451">
    <w:name w:val="Stil importat 451"/>
    <w:rsid w:val="005D3C7A"/>
  </w:style>
  <w:style w:type="numbering" w:customStyle="1" w:styleId="Stilimportat551">
    <w:name w:val="Stil importat 551"/>
    <w:rsid w:val="005D3C7A"/>
  </w:style>
  <w:style w:type="numbering" w:customStyle="1" w:styleId="Stilimportat651">
    <w:name w:val="Stil importat 651"/>
    <w:rsid w:val="005D3C7A"/>
  </w:style>
  <w:style w:type="numbering" w:customStyle="1" w:styleId="Stilimportat751">
    <w:name w:val="Stil importat 751"/>
    <w:rsid w:val="005D3C7A"/>
  </w:style>
  <w:style w:type="numbering" w:customStyle="1" w:styleId="NoList451">
    <w:name w:val="No List451"/>
    <w:next w:val="NoList"/>
    <w:uiPriority w:val="99"/>
    <w:semiHidden/>
    <w:unhideWhenUsed/>
    <w:rsid w:val="005D3C7A"/>
  </w:style>
  <w:style w:type="numbering" w:customStyle="1" w:styleId="NoList1251">
    <w:name w:val="No List1251"/>
    <w:next w:val="NoList"/>
    <w:uiPriority w:val="99"/>
    <w:semiHidden/>
    <w:unhideWhenUsed/>
    <w:rsid w:val="005D3C7A"/>
  </w:style>
  <w:style w:type="numbering" w:customStyle="1" w:styleId="NoList2151">
    <w:name w:val="No List2151"/>
    <w:next w:val="NoList"/>
    <w:uiPriority w:val="99"/>
    <w:semiHidden/>
    <w:unhideWhenUsed/>
    <w:rsid w:val="005D3C7A"/>
  </w:style>
  <w:style w:type="numbering" w:customStyle="1" w:styleId="NoList11251">
    <w:name w:val="No List11251"/>
    <w:next w:val="NoList"/>
    <w:uiPriority w:val="99"/>
    <w:semiHidden/>
    <w:unhideWhenUsed/>
    <w:rsid w:val="005D3C7A"/>
  </w:style>
  <w:style w:type="numbering" w:customStyle="1" w:styleId="NoList551">
    <w:name w:val="No List551"/>
    <w:next w:val="NoList"/>
    <w:uiPriority w:val="99"/>
    <w:semiHidden/>
    <w:unhideWhenUsed/>
    <w:rsid w:val="005D3C7A"/>
  </w:style>
  <w:style w:type="numbering" w:customStyle="1" w:styleId="NoList631">
    <w:name w:val="No List631"/>
    <w:next w:val="NoList"/>
    <w:uiPriority w:val="99"/>
    <w:semiHidden/>
    <w:unhideWhenUsed/>
    <w:rsid w:val="005D3C7A"/>
  </w:style>
  <w:style w:type="numbering" w:customStyle="1" w:styleId="ImportedStyle80231">
    <w:name w:val="Imported Style 80231"/>
    <w:rsid w:val="005D3C7A"/>
  </w:style>
  <w:style w:type="numbering" w:customStyle="1" w:styleId="ImportedStyle115231">
    <w:name w:val="Imported Style 115231"/>
    <w:rsid w:val="005D3C7A"/>
  </w:style>
  <w:style w:type="numbering" w:customStyle="1" w:styleId="NoList731">
    <w:name w:val="No List731"/>
    <w:next w:val="NoList"/>
    <w:uiPriority w:val="99"/>
    <w:semiHidden/>
    <w:unhideWhenUsed/>
    <w:rsid w:val="005D3C7A"/>
  </w:style>
  <w:style w:type="numbering" w:customStyle="1" w:styleId="ImportedStyle78131">
    <w:name w:val="Imported Style 78131"/>
    <w:rsid w:val="005D3C7A"/>
  </w:style>
  <w:style w:type="numbering" w:customStyle="1" w:styleId="ImportedStyle780131">
    <w:name w:val="Imported Style 78.0131"/>
    <w:rsid w:val="005D3C7A"/>
  </w:style>
  <w:style w:type="numbering" w:customStyle="1" w:styleId="ImportedStyle80131">
    <w:name w:val="Imported Style 80131"/>
    <w:rsid w:val="005D3C7A"/>
  </w:style>
  <w:style w:type="numbering" w:customStyle="1" w:styleId="ImportedStyle82131">
    <w:name w:val="Imported Style 82131"/>
    <w:rsid w:val="005D3C7A"/>
  </w:style>
  <w:style w:type="numbering" w:customStyle="1" w:styleId="ImportedStyle83131">
    <w:name w:val="Imported Style 83131"/>
    <w:rsid w:val="005D3C7A"/>
  </w:style>
  <w:style w:type="numbering" w:customStyle="1" w:styleId="ImportedStyle114131">
    <w:name w:val="Imported Style 114131"/>
    <w:rsid w:val="005D3C7A"/>
  </w:style>
  <w:style w:type="numbering" w:customStyle="1" w:styleId="ImportedStyle115131">
    <w:name w:val="Imported Style 115131"/>
    <w:rsid w:val="005D3C7A"/>
  </w:style>
  <w:style w:type="numbering" w:customStyle="1" w:styleId="ImportedStyle116131">
    <w:name w:val="Imported Style 116131"/>
    <w:rsid w:val="005D3C7A"/>
  </w:style>
  <w:style w:type="numbering" w:customStyle="1" w:styleId="ImportedStyle1131">
    <w:name w:val="Imported Style 1131"/>
    <w:rsid w:val="005D3C7A"/>
    <w:pPr>
      <w:numPr>
        <w:numId w:val="489"/>
      </w:numPr>
    </w:pPr>
  </w:style>
  <w:style w:type="numbering" w:customStyle="1" w:styleId="ImportedStyle2131">
    <w:name w:val="Imported Style 2131"/>
    <w:rsid w:val="005D3C7A"/>
  </w:style>
  <w:style w:type="numbering" w:customStyle="1" w:styleId="ImportedStyle3131">
    <w:name w:val="Imported Style 3131"/>
    <w:rsid w:val="005D3C7A"/>
  </w:style>
  <w:style w:type="numbering" w:customStyle="1" w:styleId="NoList1331">
    <w:name w:val="No List1331"/>
    <w:next w:val="NoList"/>
    <w:uiPriority w:val="99"/>
    <w:semiHidden/>
    <w:unhideWhenUsed/>
    <w:rsid w:val="005D3C7A"/>
  </w:style>
  <w:style w:type="numbering" w:customStyle="1" w:styleId="NoList2231">
    <w:name w:val="No List2231"/>
    <w:next w:val="NoList"/>
    <w:uiPriority w:val="99"/>
    <w:semiHidden/>
    <w:unhideWhenUsed/>
    <w:rsid w:val="005D3C7A"/>
  </w:style>
  <w:style w:type="numbering" w:customStyle="1" w:styleId="NoList11331">
    <w:name w:val="No List11331"/>
    <w:next w:val="NoList"/>
    <w:uiPriority w:val="99"/>
    <w:semiHidden/>
    <w:unhideWhenUsed/>
    <w:rsid w:val="005D3C7A"/>
  </w:style>
  <w:style w:type="numbering" w:customStyle="1" w:styleId="NoList111131">
    <w:name w:val="No List111131"/>
    <w:next w:val="NoList"/>
    <w:uiPriority w:val="99"/>
    <w:semiHidden/>
    <w:unhideWhenUsed/>
    <w:rsid w:val="005D3C7A"/>
  </w:style>
  <w:style w:type="numbering" w:customStyle="1" w:styleId="NoList3131">
    <w:name w:val="No List3131"/>
    <w:next w:val="NoList"/>
    <w:uiPriority w:val="99"/>
    <w:semiHidden/>
    <w:unhideWhenUsed/>
    <w:rsid w:val="005D3C7A"/>
  </w:style>
  <w:style w:type="numbering" w:customStyle="1" w:styleId="Stilimportat1131">
    <w:name w:val="Stil importat 1131"/>
    <w:rsid w:val="005D3C7A"/>
  </w:style>
  <w:style w:type="numbering" w:customStyle="1" w:styleId="Stilimportat2131">
    <w:name w:val="Stil importat 2131"/>
    <w:rsid w:val="005D3C7A"/>
  </w:style>
  <w:style w:type="numbering" w:customStyle="1" w:styleId="Stilimportat3131">
    <w:name w:val="Stil importat 3131"/>
    <w:rsid w:val="005D3C7A"/>
  </w:style>
  <w:style w:type="numbering" w:customStyle="1" w:styleId="Stilimportat4131">
    <w:name w:val="Stil importat 4131"/>
    <w:rsid w:val="005D3C7A"/>
  </w:style>
  <w:style w:type="numbering" w:customStyle="1" w:styleId="Stilimportat5131">
    <w:name w:val="Stil importat 5131"/>
    <w:rsid w:val="005D3C7A"/>
  </w:style>
  <w:style w:type="numbering" w:customStyle="1" w:styleId="Stilimportat6131">
    <w:name w:val="Stil importat 6131"/>
    <w:rsid w:val="005D3C7A"/>
  </w:style>
  <w:style w:type="numbering" w:customStyle="1" w:styleId="Stilimportat7131">
    <w:name w:val="Stil importat 7131"/>
    <w:rsid w:val="005D3C7A"/>
  </w:style>
  <w:style w:type="numbering" w:customStyle="1" w:styleId="NoList4131">
    <w:name w:val="No List4131"/>
    <w:next w:val="NoList"/>
    <w:uiPriority w:val="99"/>
    <w:semiHidden/>
    <w:unhideWhenUsed/>
    <w:rsid w:val="005D3C7A"/>
  </w:style>
  <w:style w:type="numbering" w:customStyle="1" w:styleId="NoList12131">
    <w:name w:val="No List12131"/>
    <w:next w:val="NoList"/>
    <w:uiPriority w:val="99"/>
    <w:semiHidden/>
    <w:unhideWhenUsed/>
    <w:rsid w:val="005D3C7A"/>
  </w:style>
  <w:style w:type="numbering" w:customStyle="1" w:styleId="NoList21131">
    <w:name w:val="No List21131"/>
    <w:next w:val="NoList"/>
    <w:uiPriority w:val="99"/>
    <w:semiHidden/>
    <w:unhideWhenUsed/>
    <w:rsid w:val="005D3C7A"/>
  </w:style>
  <w:style w:type="numbering" w:customStyle="1" w:styleId="NoList112131">
    <w:name w:val="No List112131"/>
    <w:next w:val="NoList"/>
    <w:uiPriority w:val="99"/>
    <w:semiHidden/>
    <w:unhideWhenUsed/>
    <w:rsid w:val="005D3C7A"/>
  </w:style>
  <w:style w:type="numbering" w:customStyle="1" w:styleId="NoList5131">
    <w:name w:val="No List5131"/>
    <w:next w:val="NoList"/>
    <w:uiPriority w:val="99"/>
    <w:semiHidden/>
    <w:unhideWhenUsed/>
    <w:rsid w:val="005D3C7A"/>
  </w:style>
  <w:style w:type="numbering" w:customStyle="1" w:styleId="NoList821">
    <w:name w:val="No List821"/>
    <w:next w:val="NoList"/>
    <w:uiPriority w:val="99"/>
    <w:semiHidden/>
    <w:unhideWhenUsed/>
    <w:rsid w:val="005D3C7A"/>
  </w:style>
  <w:style w:type="numbering" w:customStyle="1" w:styleId="NoList921">
    <w:name w:val="No List921"/>
    <w:next w:val="NoList"/>
    <w:uiPriority w:val="99"/>
    <w:semiHidden/>
    <w:unhideWhenUsed/>
    <w:rsid w:val="005D3C7A"/>
  </w:style>
  <w:style w:type="numbering" w:customStyle="1" w:styleId="ImportedStyle782311">
    <w:name w:val="Imported Style 782311"/>
    <w:rsid w:val="005D3C7A"/>
    <w:pPr>
      <w:numPr>
        <w:numId w:val="14"/>
      </w:numPr>
    </w:pPr>
  </w:style>
  <w:style w:type="numbering" w:customStyle="1" w:styleId="ImportedStyle780231">
    <w:name w:val="Imported Style 78.0231"/>
    <w:rsid w:val="005D3C7A"/>
  </w:style>
  <w:style w:type="numbering" w:customStyle="1" w:styleId="ImportedStyle80321">
    <w:name w:val="Imported Style 80321"/>
    <w:rsid w:val="005D3C7A"/>
  </w:style>
  <w:style w:type="numbering" w:customStyle="1" w:styleId="ImportedStyle82231">
    <w:name w:val="Imported Style 82231"/>
    <w:rsid w:val="005D3C7A"/>
  </w:style>
  <w:style w:type="numbering" w:customStyle="1" w:styleId="ImportedStyle83231">
    <w:name w:val="Imported Style 83231"/>
    <w:rsid w:val="005D3C7A"/>
  </w:style>
  <w:style w:type="numbering" w:customStyle="1" w:styleId="ImportedStyle114231">
    <w:name w:val="Imported Style 114231"/>
    <w:rsid w:val="005D3C7A"/>
  </w:style>
  <w:style w:type="numbering" w:customStyle="1" w:styleId="ImportedStyle115321">
    <w:name w:val="Imported Style 115321"/>
    <w:rsid w:val="005D3C7A"/>
  </w:style>
  <w:style w:type="numbering" w:customStyle="1" w:styleId="ImportedStyle116231">
    <w:name w:val="Imported Style 116231"/>
    <w:rsid w:val="005D3C7A"/>
  </w:style>
  <w:style w:type="numbering" w:customStyle="1" w:styleId="ImportedStyle1231">
    <w:name w:val="Imported Style 1231"/>
    <w:rsid w:val="005D3C7A"/>
  </w:style>
  <w:style w:type="numbering" w:customStyle="1" w:styleId="ImportedStyle2231">
    <w:name w:val="Imported Style 2231"/>
    <w:rsid w:val="005D3C7A"/>
  </w:style>
  <w:style w:type="numbering" w:customStyle="1" w:styleId="ImportedStyle3231">
    <w:name w:val="Imported Style 3231"/>
    <w:rsid w:val="005D3C7A"/>
  </w:style>
  <w:style w:type="numbering" w:customStyle="1" w:styleId="NoList1431">
    <w:name w:val="No List1431"/>
    <w:next w:val="NoList"/>
    <w:uiPriority w:val="99"/>
    <w:semiHidden/>
    <w:unhideWhenUsed/>
    <w:rsid w:val="005D3C7A"/>
  </w:style>
  <w:style w:type="numbering" w:customStyle="1" w:styleId="NoList2331">
    <w:name w:val="No List2331"/>
    <w:next w:val="NoList"/>
    <w:uiPriority w:val="99"/>
    <w:semiHidden/>
    <w:unhideWhenUsed/>
    <w:rsid w:val="005D3C7A"/>
  </w:style>
  <w:style w:type="numbering" w:customStyle="1" w:styleId="NoList11431">
    <w:name w:val="No List11431"/>
    <w:next w:val="NoList"/>
    <w:uiPriority w:val="99"/>
    <w:semiHidden/>
    <w:unhideWhenUsed/>
    <w:rsid w:val="005D3C7A"/>
  </w:style>
  <w:style w:type="numbering" w:customStyle="1" w:styleId="NoList111231">
    <w:name w:val="No List111231"/>
    <w:next w:val="NoList"/>
    <w:uiPriority w:val="99"/>
    <w:semiHidden/>
    <w:unhideWhenUsed/>
    <w:rsid w:val="005D3C7A"/>
  </w:style>
  <w:style w:type="numbering" w:customStyle="1" w:styleId="NoList3231">
    <w:name w:val="No List3231"/>
    <w:next w:val="NoList"/>
    <w:uiPriority w:val="99"/>
    <w:semiHidden/>
    <w:unhideWhenUsed/>
    <w:rsid w:val="005D3C7A"/>
  </w:style>
  <w:style w:type="numbering" w:customStyle="1" w:styleId="Stilimportat1231">
    <w:name w:val="Stil importat 1231"/>
    <w:rsid w:val="005D3C7A"/>
  </w:style>
  <w:style w:type="numbering" w:customStyle="1" w:styleId="Stilimportat2231">
    <w:name w:val="Stil importat 2231"/>
    <w:rsid w:val="005D3C7A"/>
  </w:style>
  <w:style w:type="numbering" w:customStyle="1" w:styleId="Stilimportat3231">
    <w:name w:val="Stil importat 3231"/>
    <w:rsid w:val="005D3C7A"/>
  </w:style>
  <w:style w:type="numbering" w:customStyle="1" w:styleId="Stilimportat4231">
    <w:name w:val="Stil importat 4231"/>
    <w:rsid w:val="005D3C7A"/>
  </w:style>
  <w:style w:type="numbering" w:customStyle="1" w:styleId="Stilimportat5231">
    <w:name w:val="Stil importat 5231"/>
    <w:rsid w:val="005D3C7A"/>
  </w:style>
  <w:style w:type="numbering" w:customStyle="1" w:styleId="Stilimportat6231">
    <w:name w:val="Stil importat 6231"/>
    <w:rsid w:val="005D3C7A"/>
  </w:style>
  <w:style w:type="numbering" w:customStyle="1" w:styleId="Stilimportat7231">
    <w:name w:val="Stil importat 7231"/>
    <w:rsid w:val="005D3C7A"/>
  </w:style>
  <w:style w:type="numbering" w:customStyle="1" w:styleId="NoList4231">
    <w:name w:val="No List4231"/>
    <w:next w:val="NoList"/>
    <w:uiPriority w:val="99"/>
    <w:semiHidden/>
    <w:unhideWhenUsed/>
    <w:rsid w:val="005D3C7A"/>
  </w:style>
  <w:style w:type="numbering" w:customStyle="1" w:styleId="NoList12231">
    <w:name w:val="No List12231"/>
    <w:next w:val="NoList"/>
    <w:uiPriority w:val="99"/>
    <w:semiHidden/>
    <w:unhideWhenUsed/>
    <w:rsid w:val="005D3C7A"/>
  </w:style>
  <w:style w:type="numbering" w:customStyle="1" w:styleId="NoList21231">
    <w:name w:val="No List21231"/>
    <w:next w:val="NoList"/>
    <w:uiPriority w:val="99"/>
    <w:semiHidden/>
    <w:unhideWhenUsed/>
    <w:rsid w:val="005D3C7A"/>
  </w:style>
  <w:style w:type="numbering" w:customStyle="1" w:styleId="NoList112231">
    <w:name w:val="No List112231"/>
    <w:next w:val="NoList"/>
    <w:uiPriority w:val="99"/>
    <w:semiHidden/>
    <w:unhideWhenUsed/>
    <w:rsid w:val="005D3C7A"/>
  </w:style>
  <w:style w:type="numbering" w:customStyle="1" w:styleId="NoList5231">
    <w:name w:val="No List5231"/>
    <w:next w:val="NoList"/>
    <w:uiPriority w:val="99"/>
    <w:semiHidden/>
    <w:unhideWhenUsed/>
    <w:rsid w:val="005D3C7A"/>
  </w:style>
  <w:style w:type="numbering" w:customStyle="1" w:styleId="NoList10111">
    <w:name w:val="No List10111"/>
    <w:next w:val="NoList"/>
    <w:uiPriority w:val="99"/>
    <w:semiHidden/>
    <w:unhideWhenUsed/>
    <w:rsid w:val="005D3C7A"/>
  </w:style>
  <w:style w:type="numbering" w:customStyle="1" w:styleId="NoList1512">
    <w:name w:val="No List1512"/>
    <w:next w:val="NoList"/>
    <w:uiPriority w:val="99"/>
    <w:semiHidden/>
    <w:unhideWhenUsed/>
    <w:rsid w:val="005D3C7A"/>
  </w:style>
  <w:style w:type="numbering" w:customStyle="1" w:styleId="NoList2412">
    <w:name w:val="No List2412"/>
    <w:next w:val="NoList"/>
    <w:uiPriority w:val="99"/>
    <w:semiHidden/>
    <w:unhideWhenUsed/>
    <w:rsid w:val="005D3C7A"/>
  </w:style>
  <w:style w:type="numbering" w:customStyle="1" w:styleId="NoList3312">
    <w:name w:val="No List3312"/>
    <w:next w:val="NoList"/>
    <w:uiPriority w:val="99"/>
    <w:semiHidden/>
    <w:unhideWhenUsed/>
    <w:rsid w:val="005D3C7A"/>
  </w:style>
  <w:style w:type="numbering" w:customStyle="1" w:styleId="NoList4312">
    <w:name w:val="No List4312"/>
    <w:next w:val="NoList"/>
    <w:uiPriority w:val="99"/>
    <w:semiHidden/>
    <w:unhideWhenUsed/>
    <w:rsid w:val="005D3C7A"/>
  </w:style>
  <w:style w:type="numbering" w:customStyle="1" w:styleId="NoList5312">
    <w:name w:val="No List5312"/>
    <w:next w:val="NoList"/>
    <w:uiPriority w:val="99"/>
    <w:semiHidden/>
    <w:unhideWhenUsed/>
    <w:rsid w:val="005D3C7A"/>
  </w:style>
  <w:style w:type="numbering" w:customStyle="1" w:styleId="ImportedStyle11112">
    <w:name w:val="Imported Style 11112"/>
    <w:rsid w:val="005D3C7A"/>
  </w:style>
  <w:style w:type="numbering" w:customStyle="1" w:styleId="ImportedStyle31112">
    <w:name w:val="Imported Style 31112"/>
    <w:rsid w:val="005D3C7A"/>
  </w:style>
  <w:style w:type="numbering" w:customStyle="1" w:styleId="ImportedStyle4412">
    <w:name w:val="Imported Style 4412"/>
    <w:rsid w:val="005D3C7A"/>
  </w:style>
  <w:style w:type="numbering" w:customStyle="1" w:styleId="ImportedStyle78312">
    <w:name w:val="Imported Style 78312"/>
    <w:rsid w:val="005D3C7A"/>
  </w:style>
  <w:style w:type="numbering" w:customStyle="1" w:styleId="ImportedStyle780312">
    <w:name w:val="Imported Style 78.0312"/>
    <w:rsid w:val="005D3C7A"/>
  </w:style>
  <w:style w:type="numbering" w:customStyle="1" w:styleId="ImportedStyle80412">
    <w:name w:val="Imported Style 80412"/>
    <w:rsid w:val="005D3C7A"/>
  </w:style>
  <w:style w:type="numbering" w:customStyle="1" w:styleId="ImportedStyle82312">
    <w:name w:val="Imported Style 82312"/>
    <w:rsid w:val="005D3C7A"/>
  </w:style>
  <w:style w:type="numbering" w:customStyle="1" w:styleId="ImportedStyle83312">
    <w:name w:val="Imported Style 83312"/>
    <w:rsid w:val="005D3C7A"/>
  </w:style>
  <w:style w:type="numbering" w:customStyle="1" w:styleId="ImportedStyle114312">
    <w:name w:val="Imported Style 114312"/>
    <w:rsid w:val="005D3C7A"/>
  </w:style>
  <w:style w:type="numbering" w:customStyle="1" w:styleId="ImportedStyle115412">
    <w:name w:val="Imported Style 115412"/>
    <w:rsid w:val="005D3C7A"/>
  </w:style>
  <w:style w:type="numbering" w:customStyle="1" w:styleId="ImportedStyle116312">
    <w:name w:val="Imported Style 116312"/>
    <w:rsid w:val="005D3C7A"/>
  </w:style>
  <w:style w:type="numbering" w:customStyle="1" w:styleId="ImportedStyle1321">
    <w:name w:val="Imported Style 1321"/>
    <w:rsid w:val="005D3C7A"/>
  </w:style>
  <w:style w:type="numbering" w:customStyle="1" w:styleId="ImportedStyle2321">
    <w:name w:val="Imported Style 2321"/>
    <w:rsid w:val="005D3C7A"/>
  </w:style>
  <w:style w:type="numbering" w:customStyle="1" w:styleId="ImportedStyle3321">
    <w:name w:val="Imported Style 3321"/>
    <w:rsid w:val="005D3C7A"/>
  </w:style>
  <w:style w:type="numbering" w:customStyle="1" w:styleId="NoList11512">
    <w:name w:val="No List11512"/>
    <w:next w:val="NoList"/>
    <w:uiPriority w:val="99"/>
    <w:semiHidden/>
    <w:unhideWhenUsed/>
    <w:rsid w:val="005D3C7A"/>
  </w:style>
  <w:style w:type="numbering" w:customStyle="1" w:styleId="NoList111321">
    <w:name w:val="No List111321"/>
    <w:next w:val="NoList"/>
    <w:uiPriority w:val="99"/>
    <w:semiHidden/>
    <w:unhideWhenUsed/>
    <w:rsid w:val="005D3C7A"/>
  </w:style>
  <w:style w:type="numbering" w:customStyle="1" w:styleId="Stilimportat1321">
    <w:name w:val="Stil importat 1321"/>
    <w:rsid w:val="005D3C7A"/>
  </w:style>
  <w:style w:type="numbering" w:customStyle="1" w:styleId="Stilimportat2321">
    <w:name w:val="Stil importat 2321"/>
    <w:rsid w:val="005D3C7A"/>
  </w:style>
  <w:style w:type="numbering" w:customStyle="1" w:styleId="Stilimportat3321">
    <w:name w:val="Stil importat 3321"/>
    <w:rsid w:val="005D3C7A"/>
  </w:style>
  <w:style w:type="numbering" w:customStyle="1" w:styleId="Stilimportat4321">
    <w:name w:val="Stil importat 4321"/>
    <w:rsid w:val="005D3C7A"/>
  </w:style>
  <w:style w:type="numbering" w:customStyle="1" w:styleId="Stilimportat5321">
    <w:name w:val="Stil importat 5321"/>
    <w:rsid w:val="005D3C7A"/>
  </w:style>
  <w:style w:type="numbering" w:customStyle="1" w:styleId="Stilimportat6321">
    <w:name w:val="Stil importat 6321"/>
    <w:rsid w:val="005D3C7A"/>
  </w:style>
  <w:style w:type="numbering" w:customStyle="1" w:styleId="Stilimportat7321">
    <w:name w:val="Stil importat 7321"/>
    <w:rsid w:val="005D3C7A"/>
  </w:style>
  <w:style w:type="numbering" w:customStyle="1" w:styleId="NoList12312">
    <w:name w:val="No List12312"/>
    <w:next w:val="NoList"/>
    <w:uiPriority w:val="99"/>
    <w:semiHidden/>
    <w:unhideWhenUsed/>
    <w:rsid w:val="005D3C7A"/>
  </w:style>
  <w:style w:type="numbering" w:customStyle="1" w:styleId="NoList21312">
    <w:name w:val="No List21312"/>
    <w:next w:val="NoList"/>
    <w:uiPriority w:val="99"/>
    <w:semiHidden/>
    <w:unhideWhenUsed/>
    <w:rsid w:val="005D3C7A"/>
  </w:style>
  <w:style w:type="numbering" w:customStyle="1" w:styleId="NoList112312">
    <w:name w:val="No List112312"/>
    <w:next w:val="NoList"/>
    <w:uiPriority w:val="99"/>
    <w:semiHidden/>
    <w:unhideWhenUsed/>
    <w:rsid w:val="005D3C7A"/>
  </w:style>
  <w:style w:type="numbering" w:customStyle="1" w:styleId="NoList6112">
    <w:name w:val="No List6112"/>
    <w:next w:val="NoList"/>
    <w:uiPriority w:val="99"/>
    <w:semiHidden/>
    <w:unhideWhenUsed/>
    <w:rsid w:val="005D3C7A"/>
  </w:style>
  <w:style w:type="numbering" w:customStyle="1" w:styleId="ImportedStyle802112">
    <w:name w:val="Imported Style 802112"/>
    <w:rsid w:val="005D3C7A"/>
  </w:style>
  <w:style w:type="numbering" w:customStyle="1" w:styleId="ImportedStyle1152112">
    <w:name w:val="Imported Style 1152112"/>
    <w:rsid w:val="005D3C7A"/>
  </w:style>
  <w:style w:type="numbering" w:customStyle="1" w:styleId="NoList7112">
    <w:name w:val="No List7112"/>
    <w:next w:val="NoList"/>
    <w:uiPriority w:val="99"/>
    <w:semiHidden/>
    <w:unhideWhenUsed/>
    <w:rsid w:val="005D3C7A"/>
  </w:style>
  <w:style w:type="numbering" w:customStyle="1" w:styleId="ImportedStyle781112">
    <w:name w:val="Imported Style 781112"/>
    <w:rsid w:val="005D3C7A"/>
  </w:style>
  <w:style w:type="numbering" w:customStyle="1" w:styleId="ImportedStyle7801121">
    <w:name w:val="Imported Style 78.01121"/>
    <w:rsid w:val="005D3C7A"/>
  </w:style>
  <w:style w:type="numbering" w:customStyle="1" w:styleId="ImportedStyle801112">
    <w:name w:val="Imported Style 801112"/>
    <w:rsid w:val="005D3C7A"/>
  </w:style>
  <w:style w:type="numbering" w:customStyle="1" w:styleId="ImportedStyle821112">
    <w:name w:val="Imported Style 821112"/>
    <w:rsid w:val="005D3C7A"/>
  </w:style>
  <w:style w:type="numbering" w:customStyle="1" w:styleId="ImportedStyle8311211">
    <w:name w:val="Imported Style 8311211"/>
    <w:rsid w:val="005D3C7A"/>
  </w:style>
  <w:style w:type="numbering" w:customStyle="1" w:styleId="ImportedStyle1141121">
    <w:name w:val="Imported Style 1141121"/>
    <w:rsid w:val="005D3C7A"/>
  </w:style>
  <w:style w:type="numbering" w:customStyle="1" w:styleId="ImportedStyle1151112">
    <w:name w:val="Imported Style 1151112"/>
    <w:rsid w:val="005D3C7A"/>
  </w:style>
  <w:style w:type="numbering" w:customStyle="1" w:styleId="ImportedStyle1161112">
    <w:name w:val="Imported Style 1161112"/>
    <w:rsid w:val="005D3C7A"/>
  </w:style>
  <w:style w:type="numbering" w:customStyle="1" w:styleId="ImportedStyle21112">
    <w:name w:val="Imported Style 21112"/>
    <w:rsid w:val="005D3C7A"/>
  </w:style>
  <w:style w:type="numbering" w:customStyle="1" w:styleId="NoList13112">
    <w:name w:val="No List13112"/>
    <w:next w:val="NoList"/>
    <w:uiPriority w:val="99"/>
    <w:semiHidden/>
    <w:unhideWhenUsed/>
    <w:rsid w:val="005D3C7A"/>
  </w:style>
  <w:style w:type="numbering" w:customStyle="1" w:styleId="NoList22112">
    <w:name w:val="No List22112"/>
    <w:next w:val="NoList"/>
    <w:uiPriority w:val="99"/>
    <w:semiHidden/>
    <w:unhideWhenUsed/>
    <w:rsid w:val="005D3C7A"/>
  </w:style>
  <w:style w:type="numbering" w:customStyle="1" w:styleId="NoList113112">
    <w:name w:val="No List113112"/>
    <w:next w:val="NoList"/>
    <w:uiPriority w:val="99"/>
    <w:semiHidden/>
    <w:unhideWhenUsed/>
    <w:rsid w:val="005D3C7A"/>
  </w:style>
  <w:style w:type="numbering" w:customStyle="1" w:styleId="NoList1111121">
    <w:name w:val="No List1111121"/>
    <w:next w:val="NoList"/>
    <w:uiPriority w:val="99"/>
    <w:semiHidden/>
    <w:unhideWhenUsed/>
    <w:rsid w:val="005D3C7A"/>
  </w:style>
  <w:style w:type="numbering" w:customStyle="1" w:styleId="NoList31112">
    <w:name w:val="No List31112"/>
    <w:next w:val="NoList"/>
    <w:uiPriority w:val="99"/>
    <w:semiHidden/>
    <w:unhideWhenUsed/>
    <w:rsid w:val="005D3C7A"/>
  </w:style>
  <w:style w:type="numbering" w:customStyle="1" w:styleId="Stilimportat11112">
    <w:name w:val="Stil importat 11112"/>
    <w:rsid w:val="005D3C7A"/>
  </w:style>
  <w:style w:type="numbering" w:customStyle="1" w:styleId="Stilimportat21112">
    <w:name w:val="Stil importat 21112"/>
    <w:rsid w:val="005D3C7A"/>
  </w:style>
  <w:style w:type="numbering" w:customStyle="1" w:styleId="Stilimportat31112">
    <w:name w:val="Stil importat 31112"/>
    <w:rsid w:val="005D3C7A"/>
  </w:style>
  <w:style w:type="numbering" w:customStyle="1" w:styleId="Stilimportat41112">
    <w:name w:val="Stil importat 41112"/>
    <w:rsid w:val="005D3C7A"/>
  </w:style>
  <w:style w:type="numbering" w:customStyle="1" w:styleId="Stilimportat51112">
    <w:name w:val="Stil importat 51112"/>
    <w:rsid w:val="005D3C7A"/>
  </w:style>
  <w:style w:type="numbering" w:customStyle="1" w:styleId="Stilimportat61112">
    <w:name w:val="Stil importat 61112"/>
    <w:rsid w:val="005D3C7A"/>
  </w:style>
  <w:style w:type="numbering" w:customStyle="1" w:styleId="Stilimportat71112">
    <w:name w:val="Stil importat 71112"/>
    <w:rsid w:val="005D3C7A"/>
  </w:style>
  <w:style w:type="numbering" w:customStyle="1" w:styleId="NoList41112">
    <w:name w:val="No List41112"/>
    <w:next w:val="NoList"/>
    <w:uiPriority w:val="99"/>
    <w:semiHidden/>
    <w:unhideWhenUsed/>
    <w:rsid w:val="005D3C7A"/>
  </w:style>
  <w:style w:type="numbering" w:customStyle="1" w:styleId="NoList121112">
    <w:name w:val="No List121112"/>
    <w:next w:val="NoList"/>
    <w:uiPriority w:val="99"/>
    <w:semiHidden/>
    <w:unhideWhenUsed/>
    <w:rsid w:val="005D3C7A"/>
  </w:style>
  <w:style w:type="numbering" w:customStyle="1" w:styleId="NoList211112">
    <w:name w:val="No List211112"/>
    <w:next w:val="NoList"/>
    <w:uiPriority w:val="99"/>
    <w:semiHidden/>
    <w:unhideWhenUsed/>
    <w:rsid w:val="005D3C7A"/>
  </w:style>
  <w:style w:type="numbering" w:customStyle="1" w:styleId="NoList1121112">
    <w:name w:val="No List1121112"/>
    <w:next w:val="NoList"/>
    <w:uiPriority w:val="99"/>
    <w:semiHidden/>
    <w:unhideWhenUsed/>
    <w:rsid w:val="005D3C7A"/>
  </w:style>
  <w:style w:type="numbering" w:customStyle="1" w:styleId="NoList51112">
    <w:name w:val="No List51112"/>
    <w:next w:val="NoList"/>
    <w:uiPriority w:val="99"/>
    <w:semiHidden/>
    <w:unhideWhenUsed/>
    <w:rsid w:val="005D3C7A"/>
  </w:style>
  <w:style w:type="numbering" w:customStyle="1" w:styleId="NoList8112">
    <w:name w:val="No List8112"/>
    <w:next w:val="NoList"/>
    <w:uiPriority w:val="99"/>
    <w:semiHidden/>
    <w:unhideWhenUsed/>
    <w:rsid w:val="005D3C7A"/>
  </w:style>
  <w:style w:type="numbering" w:customStyle="1" w:styleId="NoList9112">
    <w:name w:val="No List9112"/>
    <w:next w:val="NoList"/>
    <w:uiPriority w:val="99"/>
    <w:semiHidden/>
    <w:unhideWhenUsed/>
    <w:rsid w:val="005D3C7A"/>
  </w:style>
  <w:style w:type="numbering" w:customStyle="1" w:styleId="ImportedStyle782112">
    <w:name w:val="Imported Style 782112"/>
    <w:rsid w:val="005D3C7A"/>
  </w:style>
  <w:style w:type="numbering" w:customStyle="1" w:styleId="ImportedStyle7802112">
    <w:name w:val="Imported Style 78.02112"/>
    <w:rsid w:val="005D3C7A"/>
  </w:style>
  <w:style w:type="numbering" w:customStyle="1" w:styleId="ImportedStyle803121">
    <w:name w:val="Imported Style 803121"/>
    <w:rsid w:val="005D3C7A"/>
  </w:style>
  <w:style w:type="numbering" w:customStyle="1" w:styleId="ImportedStyle822112">
    <w:name w:val="Imported Style 822112"/>
    <w:rsid w:val="005D3C7A"/>
  </w:style>
  <w:style w:type="numbering" w:customStyle="1" w:styleId="ImportedStyle832112">
    <w:name w:val="Imported Style 832112"/>
    <w:rsid w:val="005D3C7A"/>
  </w:style>
  <w:style w:type="numbering" w:customStyle="1" w:styleId="ImportedStyle1142112">
    <w:name w:val="Imported Style 1142112"/>
    <w:rsid w:val="005D3C7A"/>
  </w:style>
  <w:style w:type="numbering" w:customStyle="1" w:styleId="ImportedStyle1153112">
    <w:name w:val="Imported Style 1153112"/>
    <w:rsid w:val="005D3C7A"/>
  </w:style>
  <w:style w:type="numbering" w:customStyle="1" w:styleId="ImportedStyle1162112">
    <w:name w:val="Imported Style 1162112"/>
    <w:rsid w:val="005D3C7A"/>
  </w:style>
  <w:style w:type="numbering" w:customStyle="1" w:styleId="ImportedStyle12112">
    <w:name w:val="Imported Style 12112"/>
    <w:rsid w:val="005D3C7A"/>
  </w:style>
  <w:style w:type="numbering" w:customStyle="1" w:styleId="ImportedStyle22112">
    <w:name w:val="Imported Style 22112"/>
    <w:rsid w:val="005D3C7A"/>
  </w:style>
  <w:style w:type="numbering" w:customStyle="1" w:styleId="ImportedStyle32112">
    <w:name w:val="Imported Style 32112"/>
    <w:rsid w:val="005D3C7A"/>
  </w:style>
  <w:style w:type="numbering" w:customStyle="1" w:styleId="NoList14112">
    <w:name w:val="No List14112"/>
    <w:next w:val="NoList"/>
    <w:uiPriority w:val="99"/>
    <w:semiHidden/>
    <w:unhideWhenUsed/>
    <w:rsid w:val="005D3C7A"/>
  </w:style>
  <w:style w:type="numbering" w:customStyle="1" w:styleId="NoList23112">
    <w:name w:val="No List23112"/>
    <w:next w:val="NoList"/>
    <w:uiPriority w:val="99"/>
    <w:semiHidden/>
    <w:unhideWhenUsed/>
    <w:rsid w:val="005D3C7A"/>
  </w:style>
  <w:style w:type="numbering" w:customStyle="1" w:styleId="NoList114112">
    <w:name w:val="No List114112"/>
    <w:next w:val="NoList"/>
    <w:uiPriority w:val="99"/>
    <w:semiHidden/>
    <w:unhideWhenUsed/>
    <w:rsid w:val="005D3C7A"/>
  </w:style>
  <w:style w:type="numbering" w:customStyle="1" w:styleId="NoList1112112">
    <w:name w:val="No List1112112"/>
    <w:next w:val="NoList"/>
    <w:uiPriority w:val="99"/>
    <w:semiHidden/>
    <w:unhideWhenUsed/>
    <w:rsid w:val="005D3C7A"/>
  </w:style>
  <w:style w:type="numbering" w:customStyle="1" w:styleId="NoList32112">
    <w:name w:val="No List32112"/>
    <w:next w:val="NoList"/>
    <w:uiPriority w:val="99"/>
    <w:semiHidden/>
    <w:unhideWhenUsed/>
    <w:rsid w:val="005D3C7A"/>
  </w:style>
  <w:style w:type="numbering" w:customStyle="1" w:styleId="Stilimportat12112">
    <w:name w:val="Stil importat 12112"/>
    <w:rsid w:val="005D3C7A"/>
  </w:style>
  <w:style w:type="numbering" w:customStyle="1" w:styleId="Stilimportat22112">
    <w:name w:val="Stil importat 22112"/>
    <w:rsid w:val="005D3C7A"/>
  </w:style>
  <w:style w:type="numbering" w:customStyle="1" w:styleId="Stilimportat32112">
    <w:name w:val="Stil importat 32112"/>
    <w:rsid w:val="005D3C7A"/>
  </w:style>
  <w:style w:type="numbering" w:customStyle="1" w:styleId="Stilimportat42112">
    <w:name w:val="Stil importat 42112"/>
    <w:rsid w:val="005D3C7A"/>
  </w:style>
  <w:style w:type="numbering" w:customStyle="1" w:styleId="Stilimportat52112">
    <w:name w:val="Stil importat 52112"/>
    <w:rsid w:val="005D3C7A"/>
  </w:style>
  <w:style w:type="numbering" w:customStyle="1" w:styleId="Stilimportat62112">
    <w:name w:val="Stil importat 62112"/>
    <w:rsid w:val="005D3C7A"/>
  </w:style>
  <w:style w:type="numbering" w:customStyle="1" w:styleId="Stilimportat72112">
    <w:name w:val="Stil importat 72112"/>
    <w:rsid w:val="005D3C7A"/>
  </w:style>
  <w:style w:type="numbering" w:customStyle="1" w:styleId="NoList42112">
    <w:name w:val="No List42112"/>
    <w:next w:val="NoList"/>
    <w:uiPriority w:val="99"/>
    <w:semiHidden/>
    <w:unhideWhenUsed/>
    <w:rsid w:val="005D3C7A"/>
  </w:style>
  <w:style w:type="numbering" w:customStyle="1" w:styleId="NoList122112">
    <w:name w:val="No List122112"/>
    <w:next w:val="NoList"/>
    <w:uiPriority w:val="99"/>
    <w:semiHidden/>
    <w:unhideWhenUsed/>
    <w:rsid w:val="005D3C7A"/>
  </w:style>
  <w:style w:type="numbering" w:customStyle="1" w:styleId="NoList212112">
    <w:name w:val="No List212112"/>
    <w:next w:val="NoList"/>
    <w:uiPriority w:val="99"/>
    <w:semiHidden/>
    <w:unhideWhenUsed/>
    <w:rsid w:val="005D3C7A"/>
  </w:style>
  <w:style w:type="numbering" w:customStyle="1" w:styleId="NoList1122112">
    <w:name w:val="No List1122112"/>
    <w:next w:val="NoList"/>
    <w:uiPriority w:val="99"/>
    <w:semiHidden/>
    <w:unhideWhenUsed/>
    <w:rsid w:val="005D3C7A"/>
  </w:style>
  <w:style w:type="numbering" w:customStyle="1" w:styleId="NoList52112">
    <w:name w:val="No List52112"/>
    <w:next w:val="NoList"/>
    <w:uiPriority w:val="99"/>
    <w:semiHidden/>
    <w:unhideWhenUsed/>
    <w:rsid w:val="005D3C7A"/>
  </w:style>
  <w:style w:type="numbering" w:customStyle="1" w:styleId="NoList201">
    <w:name w:val="No List201"/>
    <w:next w:val="NoList"/>
    <w:uiPriority w:val="99"/>
    <w:semiHidden/>
    <w:unhideWhenUsed/>
    <w:rsid w:val="005D3C7A"/>
  </w:style>
  <w:style w:type="table" w:customStyle="1" w:styleId="TableGrid26">
    <w:name w:val="Table Grid26"/>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tcbodytext">
    <w:name w:val="gtcbodytext"/>
    <w:basedOn w:val="Normal"/>
    <w:rsid w:val="005D3C7A"/>
    <w:pPr>
      <w:spacing w:before="144" w:after="0" w:line="240" w:lineRule="auto"/>
    </w:pPr>
    <w:rPr>
      <w:rFonts w:ascii="Times New Roman" w:eastAsia="Times New Roman" w:hAnsi="Times New Roman" w:cs="Times New Roman"/>
      <w:sz w:val="24"/>
      <w:szCs w:val="24"/>
      <w:lang w:val="en-US"/>
    </w:rPr>
  </w:style>
  <w:style w:type="numbering" w:customStyle="1" w:styleId="ImportedStyle780241">
    <w:name w:val="Imported Style 78.0241"/>
    <w:rsid w:val="005D3C7A"/>
    <w:pPr>
      <w:numPr>
        <w:numId w:val="322"/>
      </w:numPr>
    </w:pPr>
  </w:style>
  <w:style w:type="numbering" w:customStyle="1" w:styleId="ImportedStyle80241">
    <w:name w:val="Imported Style 80241"/>
    <w:rsid w:val="005D3C7A"/>
    <w:pPr>
      <w:numPr>
        <w:numId w:val="323"/>
      </w:numPr>
    </w:pPr>
  </w:style>
  <w:style w:type="numbering" w:customStyle="1" w:styleId="ImportedStyle82241">
    <w:name w:val="Imported Style 82241"/>
    <w:rsid w:val="005D3C7A"/>
    <w:pPr>
      <w:numPr>
        <w:numId w:val="324"/>
      </w:numPr>
    </w:pPr>
  </w:style>
  <w:style w:type="numbering" w:customStyle="1" w:styleId="ImportedStyle83241">
    <w:name w:val="Imported Style 83241"/>
    <w:rsid w:val="005D3C7A"/>
    <w:pPr>
      <w:numPr>
        <w:numId w:val="325"/>
      </w:numPr>
    </w:pPr>
  </w:style>
  <w:style w:type="numbering" w:customStyle="1" w:styleId="NoList271">
    <w:name w:val="No List271"/>
    <w:next w:val="NoList"/>
    <w:uiPriority w:val="99"/>
    <w:semiHidden/>
    <w:unhideWhenUsed/>
    <w:rsid w:val="005D3C7A"/>
  </w:style>
  <w:style w:type="numbering" w:customStyle="1" w:styleId="ImportedStyle82511">
    <w:name w:val="Imported Style 82511"/>
    <w:rsid w:val="005D3C7A"/>
  </w:style>
  <w:style w:type="numbering" w:customStyle="1" w:styleId="ImportedStyle83511">
    <w:name w:val="Imported Style 83511"/>
    <w:rsid w:val="005D3C7A"/>
  </w:style>
  <w:style w:type="numbering" w:customStyle="1" w:styleId="ImportedStyle114511">
    <w:name w:val="Imported Style 114511"/>
    <w:rsid w:val="005D3C7A"/>
  </w:style>
  <w:style w:type="table" w:customStyle="1" w:styleId="TableGrid272">
    <w:name w:val="Table Grid272"/>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1452">
    <w:name w:val="Imported Style 11452"/>
    <w:rsid w:val="005D3C7A"/>
  </w:style>
  <w:style w:type="numbering" w:customStyle="1" w:styleId="ImportedStyle115611">
    <w:name w:val="Imported Style 115611"/>
    <w:rsid w:val="005D3C7A"/>
    <w:pPr>
      <w:numPr>
        <w:numId w:val="342"/>
      </w:numPr>
    </w:pPr>
  </w:style>
  <w:style w:type="numbering" w:customStyle="1" w:styleId="ImportedStyle116511">
    <w:name w:val="Imported Style 116511"/>
    <w:rsid w:val="005D3C7A"/>
    <w:pPr>
      <w:numPr>
        <w:numId w:val="326"/>
      </w:numPr>
    </w:pPr>
  </w:style>
  <w:style w:type="numbering" w:customStyle="1" w:styleId="ImportedStyle2511">
    <w:name w:val="Imported Style 2511"/>
    <w:rsid w:val="005D3C7A"/>
    <w:pPr>
      <w:numPr>
        <w:numId w:val="327"/>
      </w:numPr>
    </w:pPr>
  </w:style>
  <w:style w:type="numbering" w:customStyle="1" w:styleId="ImportedStyle3511">
    <w:name w:val="Imported Style 3511"/>
    <w:rsid w:val="005D3C7A"/>
    <w:pPr>
      <w:numPr>
        <w:numId w:val="328"/>
      </w:numPr>
    </w:pPr>
  </w:style>
  <w:style w:type="numbering" w:customStyle="1" w:styleId="Stilimportat1511">
    <w:name w:val="Stil importat 1511"/>
    <w:rsid w:val="005D3C7A"/>
    <w:pPr>
      <w:numPr>
        <w:numId w:val="329"/>
      </w:numPr>
    </w:pPr>
  </w:style>
  <w:style w:type="numbering" w:customStyle="1" w:styleId="NoList28">
    <w:name w:val="No List28"/>
    <w:next w:val="NoList"/>
    <w:uiPriority w:val="99"/>
    <w:semiHidden/>
    <w:unhideWhenUsed/>
    <w:rsid w:val="005D3C7A"/>
  </w:style>
  <w:style w:type="table" w:customStyle="1" w:styleId="TableGrid28">
    <w:name w:val="Table Grid28"/>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5D3C7A"/>
  </w:style>
  <w:style w:type="table" w:customStyle="1" w:styleId="TableGrid1161">
    <w:name w:val="Table Grid1161"/>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9">
    <w:name w:val="No List29"/>
    <w:next w:val="NoList"/>
    <w:uiPriority w:val="99"/>
    <w:semiHidden/>
    <w:unhideWhenUsed/>
    <w:rsid w:val="005D3C7A"/>
  </w:style>
  <w:style w:type="numbering" w:customStyle="1" w:styleId="NoList361">
    <w:name w:val="No List361"/>
    <w:next w:val="NoList"/>
    <w:uiPriority w:val="99"/>
    <w:semiHidden/>
    <w:unhideWhenUsed/>
    <w:rsid w:val="005D3C7A"/>
  </w:style>
  <w:style w:type="numbering" w:customStyle="1" w:styleId="NoList461">
    <w:name w:val="No List461"/>
    <w:next w:val="NoList"/>
    <w:uiPriority w:val="99"/>
    <w:semiHidden/>
    <w:unhideWhenUsed/>
    <w:rsid w:val="005D3C7A"/>
  </w:style>
  <w:style w:type="numbering" w:customStyle="1" w:styleId="NoList561">
    <w:name w:val="No List561"/>
    <w:next w:val="NoList"/>
    <w:uiPriority w:val="99"/>
    <w:semiHidden/>
    <w:unhideWhenUsed/>
    <w:rsid w:val="005D3C7A"/>
  </w:style>
  <w:style w:type="numbering" w:customStyle="1" w:styleId="ImportedStyle1171">
    <w:name w:val="Imported Style 1171"/>
    <w:rsid w:val="005D3C7A"/>
    <w:pPr>
      <w:numPr>
        <w:numId w:val="490"/>
      </w:numPr>
    </w:pPr>
  </w:style>
  <w:style w:type="numbering" w:customStyle="1" w:styleId="ImportedStyle3141">
    <w:name w:val="Imported Style 3141"/>
    <w:rsid w:val="005D3C7A"/>
  </w:style>
  <w:style w:type="numbering" w:customStyle="1" w:styleId="ImportedStyle4421">
    <w:name w:val="Imported Style 4421"/>
    <w:rsid w:val="005D3C7A"/>
  </w:style>
  <w:style w:type="numbering" w:customStyle="1" w:styleId="ImportedStyle7861">
    <w:name w:val="Imported Style 7861"/>
    <w:rsid w:val="005D3C7A"/>
  </w:style>
  <w:style w:type="numbering" w:customStyle="1" w:styleId="ImportedStyle78061">
    <w:name w:val="Imported Style 78.061"/>
    <w:rsid w:val="005D3C7A"/>
  </w:style>
  <w:style w:type="numbering" w:customStyle="1" w:styleId="ImportedStyle8071">
    <w:name w:val="Imported Style 8071"/>
    <w:rsid w:val="005D3C7A"/>
  </w:style>
  <w:style w:type="numbering" w:customStyle="1" w:styleId="ImportedStyle8261">
    <w:name w:val="Imported Style 8261"/>
    <w:rsid w:val="005D3C7A"/>
  </w:style>
  <w:style w:type="numbering" w:customStyle="1" w:styleId="ImportedStyle8361">
    <w:name w:val="Imported Style 8361"/>
    <w:rsid w:val="005D3C7A"/>
  </w:style>
  <w:style w:type="numbering" w:customStyle="1" w:styleId="ImportedStyle11461">
    <w:name w:val="Imported Style 11461"/>
    <w:rsid w:val="005D3C7A"/>
    <w:pPr>
      <w:numPr>
        <w:numId w:val="23"/>
      </w:numPr>
    </w:pPr>
  </w:style>
  <w:style w:type="numbering" w:customStyle="1" w:styleId="ImportedStyle11571">
    <w:name w:val="Imported Style 11571"/>
    <w:rsid w:val="005D3C7A"/>
  </w:style>
  <w:style w:type="numbering" w:customStyle="1" w:styleId="ImportedStyle11661">
    <w:name w:val="Imported Style 11661"/>
    <w:rsid w:val="005D3C7A"/>
  </w:style>
  <w:style w:type="table" w:customStyle="1" w:styleId="TableNormal15">
    <w:name w:val="Table Normal15"/>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61">
    <w:name w:val="Imported Style 161"/>
    <w:rsid w:val="005D3C7A"/>
    <w:pPr>
      <w:numPr>
        <w:numId w:val="386"/>
      </w:numPr>
    </w:pPr>
  </w:style>
  <w:style w:type="numbering" w:customStyle="1" w:styleId="ImportedStyle261">
    <w:name w:val="Imported Style 261"/>
    <w:rsid w:val="005D3C7A"/>
    <w:pPr>
      <w:numPr>
        <w:numId w:val="397"/>
      </w:numPr>
    </w:pPr>
  </w:style>
  <w:style w:type="numbering" w:customStyle="1" w:styleId="ImportedStyle361">
    <w:name w:val="Imported Style 361"/>
    <w:rsid w:val="005D3C7A"/>
    <w:pPr>
      <w:numPr>
        <w:numId w:val="409"/>
      </w:numPr>
    </w:pPr>
  </w:style>
  <w:style w:type="table" w:customStyle="1" w:styleId="TableGrid29">
    <w:name w:val="Table Grid29"/>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5">
    <w:name w:val="Table Grid3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81">
    <w:name w:val="No List1181"/>
    <w:next w:val="NoList"/>
    <w:uiPriority w:val="99"/>
    <w:semiHidden/>
    <w:unhideWhenUsed/>
    <w:rsid w:val="005D3C7A"/>
  </w:style>
  <w:style w:type="numbering" w:customStyle="1" w:styleId="NoList11161">
    <w:name w:val="No List11161"/>
    <w:next w:val="NoList"/>
    <w:uiPriority w:val="99"/>
    <w:semiHidden/>
    <w:unhideWhenUsed/>
    <w:rsid w:val="005D3C7A"/>
  </w:style>
  <w:style w:type="table" w:customStyle="1" w:styleId="TableGrid117">
    <w:name w:val="Table Grid117"/>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ilimportat161">
    <w:name w:val="Stil importat 161"/>
    <w:rsid w:val="005D3C7A"/>
  </w:style>
  <w:style w:type="numbering" w:customStyle="1" w:styleId="Stilimportat261">
    <w:name w:val="Stil importat 261"/>
    <w:rsid w:val="005D3C7A"/>
  </w:style>
  <w:style w:type="numbering" w:customStyle="1" w:styleId="Stilimportat361">
    <w:name w:val="Stil importat 361"/>
    <w:rsid w:val="005D3C7A"/>
  </w:style>
  <w:style w:type="numbering" w:customStyle="1" w:styleId="Stilimportat461">
    <w:name w:val="Stil importat 461"/>
    <w:rsid w:val="005D3C7A"/>
  </w:style>
  <w:style w:type="numbering" w:customStyle="1" w:styleId="Stilimportat561">
    <w:name w:val="Stil importat 561"/>
    <w:rsid w:val="005D3C7A"/>
  </w:style>
  <w:style w:type="numbering" w:customStyle="1" w:styleId="Stilimportat661">
    <w:name w:val="Stil importat 661"/>
    <w:rsid w:val="005D3C7A"/>
  </w:style>
  <w:style w:type="numbering" w:customStyle="1" w:styleId="Stilimportat761">
    <w:name w:val="Stil importat 761"/>
    <w:rsid w:val="005D3C7A"/>
  </w:style>
  <w:style w:type="numbering" w:customStyle="1" w:styleId="NoList1261">
    <w:name w:val="No List1261"/>
    <w:next w:val="NoList"/>
    <w:uiPriority w:val="99"/>
    <w:semiHidden/>
    <w:unhideWhenUsed/>
    <w:rsid w:val="005D3C7A"/>
  </w:style>
  <w:style w:type="table" w:customStyle="1" w:styleId="TableGrid45">
    <w:name w:val="Table Grid4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61">
    <w:name w:val="No List2161"/>
    <w:next w:val="NoList"/>
    <w:uiPriority w:val="99"/>
    <w:semiHidden/>
    <w:unhideWhenUsed/>
    <w:rsid w:val="005D3C7A"/>
  </w:style>
  <w:style w:type="numbering" w:customStyle="1" w:styleId="NoList11261">
    <w:name w:val="No List11261"/>
    <w:next w:val="NoList"/>
    <w:uiPriority w:val="99"/>
    <w:semiHidden/>
    <w:unhideWhenUsed/>
    <w:rsid w:val="005D3C7A"/>
  </w:style>
  <w:style w:type="table" w:customStyle="1" w:styleId="TableGrid125">
    <w:name w:val="Table Grid125"/>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5D3C7A"/>
  </w:style>
  <w:style w:type="table" w:customStyle="1" w:styleId="TableGrid63">
    <w:name w:val="Table Grid63"/>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5">
    <w:name w:val="Imported Style 8025"/>
    <w:rsid w:val="005D3C7A"/>
  </w:style>
  <w:style w:type="numbering" w:customStyle="1" w:styleId="ImportedStyle115241">
    <w:name w:val="Imported Style 115241"/>
    <w:rsid w:val="005D3C7A"/>
  </w:style>
  <w:style w:type="table" w:customStyle="1" w:styleId="TableGrid92">
    <w:name w:val="Table Grid92"/>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5D3C7A"/>
  </w:style>
  <w:style w:type="table" w:customStyle="1" w:styleId="TableGrid102">
    <w:name w:val="Table Grid10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41">
    <w:name w:val="Imported Style 78141"/>
    <w:rsid w:val="005D3C7A"/>
  </w:style>
  <w:style w:type="numbering" w:customStyle="1" w:styleId="ImportedStyle780141">
    <w:name w:val="Imported Style 78.0141"/>
    <w:rsid w:val="005D3C7A"/>
    <w:pPr>
      <w:numPr>
        <w:numId w:val="54"/>
      </w:numPr>
    </w:pPr>
  </w:style>
  <w:style w:type="numbering" w:customStyle="1" w:styleId="ImportedStyle80141">
    <w:name w:val="Imported Style 80141"/>
    <w:rsid w:val="005D3C7A"/>
    <w:pPr>
      <w:numPr>
        <w:numId w:val="503"/>
      </w:numPr>
    </w:pPr>
  </w:style>
  <w:style w:type="numbering" w:customStyle="1" w:styleId="ImportedStyle82141">
    <w:name w:val="Imported Style 82141"/>
    <w:rsid w:val="005D3C7A"/>
    <w:pPr>
      <w:numPr>
        <w:numId w:val="56"/>
      </w:numPr>
    </w:pPr>
  </w:style>
  <w:style w:type="numbering" w:customStyle="1" w:styleId="ImportedStyle83141">
    <w:name w:val="Imported Style 83141"/>
    <w:rsid w:val="005D3C7A"/>
    <w:pPr>
      <w:numPr>
        <w:numId w:val="57"/>
      </w:numPr>
    </w:pPr>
  </w:style>
  <w:style w:type="numbering" w:customStyle="1" w:styleId="ImportedStyle114141">
    <w:name w:val="Imported Style 114141"/>
    <w:rsid w:val="005D3C7A"/>
    <w:pPr>
      <w:numPr>
        <w:numId w:val="58"/>
      </w:numPr>
    </w:pPr>
  </w:style>
  <w:style w:type="numbering" w:customStyle="1" w:styleId="ImportedStyle115141">
    <w:name w:val="Imported Style 115141"/>
    <w:rsid w:val="005D3C7A"/>
    <w:pPr>
      <w:numPr>
        <w:numId w:val="59"/>
      </w:numPr>
    </w:pPr>
  </w:style>
  <w:style w:type="numbering" w:customStyle="1" w:styleId="ImportedStyle116141">
    <w:name w:val="Imported Style 116141"/>
    <w:rsid w:val="005D3C7A"/>
    <w:pPr>
      <w:numPr>
        <w:numId w:val="60"/>
      </w:numPr>
    </w:pPr>
  </w:style>
  <w:style w:type="table" w:customStyle="1" w:styleId="TableNormal113">
    <w:name w:val="Table Normal113"/>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2141">
    <w:name w:val="Imported Style 2141"/>
    <w:rsid w:val="005D3C7A"/>
    <w:pPr>
      <w:numPr>
        <w:numId w:val="61"/>
      </w:numPr>
    </w:pPr>
  </w:style>
  <w:style w:type="table" w:customStyle="1" w:styleId="TableGrid133">
    <w:name w:val="Table Grid133"/>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uiPriority w:val="99"/>
    <w:semiHidden/>
    <w:unhideWhenUsed/>
    <w:rsid w:val="005D3C7A"/>
  </w:style>
  <w:style w:type="table" w:customStyle="1" w:styleId="TableGrid213">
    <w:name w:val="Table Grid2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41">
    <w:name w:val="No List2241"/>
    <w:next w:val="NoList"/>
    <w:uiPriority w:val="99"/>
    <w:semiHidden/>
    <w:unhideWhenUsed/>
    <w:rsid w:val="005D3C7A"/>
  </w:style>
  <w:style w:type="table" w:customStyle="1" w:styleId="TableGrid313">
    <w:name w:val="Table Grid31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41">
    <w:name w:val="No List11341"/>
    <w:next w:val="NoList"/>
    <w:uiPriority w:val="99"/>
    <w:semiHidden/>
    <w:unhideWhenUsed/>
    <w:rsid w:val="005D3C7A"/>
  </w:style>
  <w:style w:type="numbering" w:customStyle="1" w:styleId="NoList111141">
    <w:name w:val="No List111141"/>
    <w:next w:val="NoList"/>
    <w:uiPriority w:val="99"/>
    <w:semiHidden/>
    <w:unhideWhenUsed/>
    <w:rsid w:val="005D3C7A"/>
  </w:style>
  <w:style w:type="table" w:customStyle="1" w:styleId="TableGrid1113">
    <w:name w:val="Table Grid111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41">
    <w:name w:val="No List3141"/>
    <w:next w:val="NoList"/>
    <w:uiPriority w:val="99"/>
    <w:semiHidden/>
    <w:unhideWhenUsed/>
    <w:rsid w:val="005D3C7A"/>
  </w:style>
  <w:style w:type="numbering" w:customStyle="1" w:styleId="Stilimportat1141">
    <w:name w:val="Stil importat 1141"/>
    <w:rsid w:val="005D3C7A"/>
    <w:pPr>
      <w:numPr>
        <w:numId w:val="62"/>
      </w:numPr>
    </w:pPr>
  </w:style>
  <w:style w:type="numbering" w:customStyle="1" w:styleId="Stilimportat2141">
    <w:name w:val="Stil importat 2141"/>
    <w:rsid w:val="005D3C7A"/>
    <w:pPr>
      <w:numPr>
        <w:numId w:val="63"/>
      </w:numPr>
    </w:pPr>
  </w:style>
  <w:style w:type="numbering" w:customStyle="1" w:styleId="Stilimportat3141">
    <w:name w:val="Stil importat 3141"/>
    <w:rsid w:val="005D3C7A"/>
    <w:pPr>
      <w:numPr>
        <w:numId w:val="64"/>
      </w:numPr>
    </w:pPr>
  </w:style>
  <w:style w:type="numbering" w:customStyle="1" w:styleId="Stilimportat4141">
    <w:name w:val="Stil importat 4141"/>
    <w:rsid w:val="005D3C7A"/>
    <w:pPr>
      <w:numPr>
        <w:numId w:val="65"/>
      </w:numPr>
    </w:pPr>
  </w:style>
  <w:style w:type="numbering" w:customStyle="1" w:styleId="Stilimportat5141">
    <w:name w:val="Stil importat 5141"/>
    <w:rsid w:val="005D3C7A"/>
  </w:style>
  <w:style w:type="numbering" w:customStyle="1" w:styleId="Stilimportat6141">
    <w:name w:val="Stil importat 6141"/>
    <w:rsid w:val="005D3C7A"/>
  </w:style>
  <w:style w:type="numbering" w:customStyle="1" w:styleId="Stilimportat7141">
    <w:name w:val="Stil importat 7141"/>
    <w:rsid w:val="005D3C7A"/>
  </w:style>
  <w:style w:type="numbering" w:customStyle="1" w:styleId="NoList4141">
    <w:name w:val="No List4141"/>
    <w:next w:val="NoList"/>
    <w:uiPriority w:val="99"/>
    <w:semiHidden/>
    <w:unhideWhenUsed/>
    <w:rsid w:val="005D3C7A"/>
  </w:style>
  <w:style w:type="numbering" w:customStyle="1" w:styleId="NoList12141">
    <w:name w:val="No List12141"/>
    <w:next w:val="NoList"/>
    <w:uiPriority w:val="99"/>
    <w:semiHidden/>
    <w:unhideWhenUsed/>
    <w:rsid w:val="005D3C7A"/>
  </w:style>
  <w:style w:type="table" w:customStyle="1" w:styleId="TableGrid413">
    <w:name w:val="Table Grid4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41">
    <w:name w:val="No List21141"/>
    <w:next w:val="NoList"/>
    <w:uiPriority w:val="99"/>
    <w:semiHidden/>
    <w:unhideWhenUsed/>
    <w:rsid w:val="005D3C7A"/>
  </w:style>
  <w:style w:type="numbering" w:customStyle="1" w:styleId="NoList112141">
    <w:name w:val="No List112141"/>
    <w:next w:val="NoList"/>
    <w:uiPriority w:val="99"/>
    <w:semiHidden/>
    <w:unhideWhenUsed/>
    <w:rsid w:val="005D3C7A"/>
  </w:style>
  <w:style w:type="table" w:customStyle="1" w:styleId="TableGrid1213">
    <w:name w:val="Table Grid121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41">
    <w:name w:val="No List5141"/>
    <w:next w:val="NoList"/>
    <w:uiPriority w:val="99"/>
    <w:semiHidden/>
    <w:unhideWhenUsed/>
    <w:rsid w:val="005D3C7A"/>
  </w:style>
  <w:style w:type="table" w:customStyle="1" w:styleId="TableGrid513">
    <w:name w:val="Table Grid513"/>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5D3C7A"/>
  </w:style>
  <w:style w:type="table" w:customStyle="1" w:styleId="TableGrid143">
    <w:name w:val="Table Grid143"/>
    <w:basedOn w:val="TableNormal"/>
    <w:next w:val="TableGrid"/>
    <w:uiPriority w:val="39"/>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5D3C7A"/>
  </w:style>
  <w:style w:type="table" w:customStyle="1" w:styleId="TableGrid152">
    <w:name w:val="Table Grid15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41">
    <w:name w:val="Imported Style 78241"/>
    <w:rsid w:val="005D3C7A"/>
  </w:style>
  <w:style w:type="numbering" w:customStyle="1" w:styleId="ImportedStyle78025">
    <w:name w:val="Imported Style 78.025"/>
    <w:rsid w:val="005D3C7A"/>
  </w:style>
  <w:style w:type="numbering" w:customStyle="1" w:styleId="ImportedStyle80331">
    <w:name w:val="Imported Style 80331"/>
    <w:rsid w:val="005D3C7A"/>
  </w:style>
  <w:style w:type="numbering" w:customStyle="1" w:styleId="ImportedStyle8225">
    <w:name w:val="Imported Style 8225"/>
    <w:rsid w:val="005D3C7A"/>
  </w:style>
  <w:style w:type="numbering" w:customStyle="1" w:styleId="ImportedStyle8325">
    <w:name w:val="Imported Style 8325"/>
    <w:rsid w:val="005D3C7A"/>
  </w:style>
  <w:style w:type="numbering" w:customStyle="1" w:styleId="ImportedStyle114241">
    <w:name w:val="Imported Style 114241"/>
    <w:rsid w:val="005D3C7A"/>
  </w:style>
  <w:style w:type="numbering" w:customStyle="1" w:styleId="ImportedStyle115331">
    <w:name w:val="Imported Style 115331"/>
    <w:rsid w:val="005D3C7A"/>
  </w:style>
  <w:style w:type="numbering" w:customStyle="1" w:styleId="ImportedStyle116241">
    <w:name w:val="Imported Style 116241"/>
    <w:rsid w:val="005D3C7A"/>
  </w:style>
  <w:style w:type="table" w:customStyle="1" w:styleId="TableNormal123">
    <w:name w:val="Table Normal123"/>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41">
    <w:name w:val="Imported Style 1241"/>
    <w:rsid w:val="005D3C7A"/>
  </w:style>
  <w:style w:type="numbering" w:customStyle="1" w:styleId="ImportedStyle2241">
    <w:name w:val="Imported Style 2241"/>
    <w:rsid w:val="005D3C7A"/>
  </w:style>
  <w:style w:type="numbering" w:customStyle="1" w:styleId="ImportedStyle3241">
    <w:name w:val="Imported Style 3241"/>
    <w:rsid w:val="005D3C7A"/>
  </w:style>
  <w:style w:type="table" w:customStyle="1" w:styleId="TableGrid162">
    <w:name w:val="Table Grid162"/>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1">
    <w:name w:val="No List1441"/>
    <w:next w:val="NoList"/>
    <w:uiPriority w:val="99"/>
    <w:semiHidden/>
    <w:unhideWhenUsed/>
    <w:rsid w:val="005D3C7A"/>
  </w:style>
  <w:style w:type="table" w:customStyle="1" w:styleId="TableGrid223">
    <w:name w:val="Table Grid2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41">
    <w:name w:val="No List2341"/>
    <w:next w:val="NoList"/>
    <w:uiPriority w:val="99"/>
    <w:semiHidden/>
    <w:unhideWhenUsed/>
    <w:rsid w:val="005D3C7A"/>
  </w:style>
  <w:style w:type="table" w:customStyle="1" w:styleId="TableGrid323">
    <w:name w:val="Table Grid32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41">
    <w:name w:val="No List11441"/>
    <w:next w:val="NoList"/>
    <w:uiPriority w:val="99"/>
    <w:semiHidden/>
    <w:unhideWhenUsed/>
    <w:rsid w:val="005D3C7A"/>
  </w:style>
  <w:style w:type="numbering" w:customStyle="1" w:styleId="NoList111241">
    <w:name w:val="No List111241"/>
    <w:next w:val="NoList"/>
    <w:uiPriority w:val="99"/>
    <w:semiHidden/>
    <w:unhideWhenUsed/>
    <w:rsid w:val="005D3C7A"/>
  </w:style>
  <w:style w:type="table" w:customStyle="1" w:styleId="TableGrid1123">
    <w:name w:val="Table Grid1123"/>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41">
    <w:name w:val="No List3241"/>
    <w:next w:val="NoList"/>
    <w:uiPriority w:val="99"/>
    <w:semiHidden/>
    <w:unhideWhenUsed/>
    <w:rsid w:val="005D3C7A"/>
  </w:style>
  <w:style w:type="numbering" w:customStyle="1" w:styleId="Stilimportat1241">
    <w:name w:val="Stil importat 1241"/>
    <w:rsid w:val="005D3C7A"/>
  </w:style>
  <w:style w:type="numbering" w:customStyle="1" w:styleId="Stilimportat2241">
    <w:name w:val="Stil importat 2241"/>
    <w:rsid w:val="005D3C7A"/>
  </w:style>
  <w:style w:type="numbering" w:customStyle="1" w:styleId="Stilimportat3241">
    <w:name w:val="Stil importat 3241"/>
    <w:rsid w:val="005D3C7A"/>
  </w:style>
  <w:style w:type="numbering" w:customStyle="1" w:styleId="Stilimportat4241">
    <w:name w:val="Stil importat 4241"/>
    <w:rsid w:val="005D3C7A"/>
    <w:pPr>
      <w:numPr>
        <w:numId w:val="45"/>
      </w:numPr>
    </w:pPr>
  </w:style>
  <w:style w:type="numbering" w:customStyle="1" w:styleId="Stilimportat5241">
    <w:name w:val="Stil importat 5241"/>
    <w:rsid w:val="005D3C7A"/>
  </w:style>
  <w:style w:type="numbering" w:customStyle="1" w:styleId="Stilimportat6241">
    <w:name w:val="Stil importat 6241"/>
    <w:rsid w:val="005D3C7A"/>
  </w:style>
  <w:style w:type="numbering" w:customStyle="1" w:styleId="Stilimportat7241">
    <w:name w:val="Stil importat 7241"/>
    <w:rsid w:val="005D3C7A"/>
  </w:style>
  <w:style w:type="numbering" w:customStyle="1" w:styleId="NoList4241">
    <w:name w:val="No List4241"/>
    <w:next w:val="NoList"/>
    <w:uiPriority w:val="99"/>
    <w:semiHidden/>
    <w:unhideWhenUsed/>
    <w:rsid w:val="005D3C7A"/>
  </w:style>
  <w:style w:type="numbering" w:customStyle="1" w:styleId="NoList12241">
    <w:name w:val="No List12241"/>
    <w:next w:val="NoList"/>
    <w:uiPriority w:val="99"/>
    <w:semiHidden/>
    <w:unhideWhenUsed/>
    <w:rsid w:val="005D3C7A"/>
  </w:style>
  <w:style w:type="table" w:customStyle="1" w:styleId="TableGrid423">
    <w:name w:val="Table Grid4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41">
    <w:name w:val="No List21241"/>
    <w:next w:val="NoList"/>
    <w:uiPriority w:val="99"/>
    <w:semiHidden/>
    <w:unhideWhenUsed/>
    <w:rsid w:val="005D3C7A"/>
  </w:style>
  <w:style w:type="numbering" w:customStyle="1" w:styleId="NoList112241">
    <w:name w:val="No List112241"/>
    <w:next w:val="NoList"/>
    <w:uiPriority w:val="99"/>
    <w:semiHidden/>
    <w:unhideWhenUsed/>
    <w:rsid w:val="005D3C7A"/>
  </w:style>
  <w:style w:type="table" w:customStyle="1" w:styleId="TableGrid1223">
    <w:name w:val="Table Grid1223"/>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41">
    <w:name w:val="No List5241"/>
    <w:next w:val="NoList"/>
    <w:uiPriority w:val="99"/>
    <w:semiHidden/>
    <w:unhideWhenUsed/>
    <w:rsid w:val="005D3C7A"/>
  </w:style>
  <w:style w:type="table" w:customStyle="1" w:styleId="TableGrid523">
    <w:name w:val="Table Grid523"/>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
    <w:name w:val="Fără Listare11"/>
    <w:next w:val="NoList"/>
    <w:uiPriority w:val="99"/>
    <w:semiHidden/>
    <w:unhideWhenUsed/>
    <w:rsid w:val="005D3C7A"/>
  </w:style>
  <w:style w:type="numbering" w:customStyle="1" w:styleId="ImportedStyle78321">
    <w:name w:val="Imported Style 78321"/>
    <w:rsid w:val="005D3C7A"/>
  </w:style>
  <w:style w:type="numbering" w:customStyle="1" w:styleId="ImportedStyle780321">
    <w:name w:val="Imported Style 78.0321"/>
    <w:rsid w:val="005D3C7A"/>
  </w:style>
  <w:style w:type="numbering" w:customStyle="1" w:styleId="ImportedStyle80421">
    <w:name w:val="Imported Style 80421"/>
    <w:rsid w:val="005D3C7A"/>
  </w:style>
  <w:style w:type="numbering" w:customStyle="1" w:styleId="ImportedStyle82321">
    <w:name w:val="Imported Style 82321"/>
    <w:rsid w:val="005D3C7A"/>
  </w:style>
  <w:style w:type="numbering" w:customStyle="1" w:styleId="ImportedStyle83321">
    <w:name w:val="Imported Style 83321"/>
    <w:rsid w:val="005D3C7A"/>
  </w:style>
  <w:style w:type="numbering" w:customStyle="1" w:styleId="ImportedStyle114321">
    <w:name w:val="Imported Style 114321"/>
    <w:rsid w:val="005D3C7A"/>
  </w:style>
  <w:style w:type="numbering" w:customStyle="1" w:styleId="ImportedStyle115421">
    <w:name w:val="Imported Style 115421"/>
    <w:rsid w:val="005D3C7A"/>
  </w:style>
  <w:style w:type="numbering" w:customStyle="1" w:styleId="ImportedStyle116321">
    <w:name w:val="Imported Style 116321"/>
    <w:rsid w:val="005D3C7A"/>
  </w:style>
  <w:style w:type="numbering" w:customStyle="1" w:styleId="ImportedStyle1331">
    <w:name w:val="Imported Style 1331"/>
    <w:rsid w:val="005D3C7A"/>
  </w:style>
  <w:style w:type="numbering" w:customStyle="1" w:styleId="ImportedStyle2331">
    <w:name w:val="Imported Style 2331"/>
    <w:rsid w:val="005D3C7A"/>
  </w:style>
  <w:style w:type="numbering" w:customStyle="1" w:styleId="ImportedStyle3331">
    <w:name w:val="Imported Style 3331"/>
    <w:rsid w:val="005D3C7A"/>
  </w:style>
  <w:style w:type="table" w:customStyle="1" w:styleId="TableGrid1721">
    <w:name w:val="Table Grid172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5D3C7A"/>
  </w:style>
  <w:style w:type="numbering" w:customStyle="1" w:styleId="NoList2421">
    <w:name w:val="No List2421"/>
    <w:next w:val="NoList"/>
    <w:uiPriority w:val="99"/>
    <w:semiHidden/>
    <w:unhideWhenUsed/>
    <w:rsid w:val="005D3C7A"/>
  </w:style>
  <w:style w:type="numbering" w:customStyle="1" w:styleId="NoList11521">
    <w:name w:val="No List11521"/>
    <w:next w:val="NoList"/>
    <w:uiPriority w:val="99"/>
    <w:semiHidden/>
    <w:unhideWhenUsed/>
    <w:rsid w:val="005D3C7A"/>
  </w:style>
  <w:style w:type="numbering" w:customStyle="1" w:styleId="NoList111331">
    <w:name w:val="No List111331"/>
    <w:next w:val="NoList"/>
    <w:uiPriority w:val="99"/>
    <w:semiHidden/>
    <w:unhideWhenUsed/>
    <w:rsid w:val="005D3C7A"/>
  </w:style>
  <w:style w:type="numbering" w:customStyle="1" w:styleId="NoList3321">
    <w:name w:val="No List3321"/>
    <w:next w:val="NoList"/>
    <w:uiPriority w:val="99"/>
    <w:semiHidden/>
    <w:unhideWhenUsed/>
    <w:rsid w:val="005D3C7A"/>
  </w:style>
  <w:style w:type="numbering" w:customStyle="1" w:styleId="Stilimportat1331">
    <w:name w:val="Stil importat 1331"/>
    <w:rsid w:val="005D3C7A"/>
  </w:style>
  <w:style w:type="numbering" w:customStyle="1" w:styleId="Stilimportat2331">
    <w:name w:val="Stil importat 2331"/>
    <w:rsid w:val="005D3C7A"/>
  </w:style>
  <w:style w:type="numbering" w:customStyle="1" w:styleId="Stilimportat3331">
    <w:name w:val="Stil importat 3331"/>
    <w:rsid w:val="005D3C7A"/>
  </w:style>
  <w:style w:type="numbering" w:customStyle="1" w:styleId="Stilimportat4331">
    <w:name w:val="Stil importat 4331"/>
    <w:rsid w:val="005D3C7A"/>
  </w:style>
  <w:style w:type="numbering" w:customStyle="1" w:styleId="Stilimportat5331">
    <w:name w:val="Stil importat 5331"/>
    <w:rsid w:val="005D3C7A"/>
  </w:style>
  <w:style w:type="numbering" w:customStyle="1" w:styleId="Stilimportat6331">
    <w:name w:val="Stil importat 6331"/>
    <w:rsid w:val="005D3C7A"/>
  </w:style>
  <w:style w:type="numbering" w:customStyle="1" w:styleId="Stilimportat7331">
    <w:name w:val="Stil importat 7331"/>
    <w:rsid w:val="005D3C7A"/>
  </w:style>
  <w:style w:type="numbering" w:customStyle="1" w:styleId="NoList4321">
    <w:name w:val="No List4321"/>
    <w:next w:val="NoList"/>
    <w:uiPriority w:val="99"/>
    <w:semiHidden/>
    <w:unhideWhenUsed/>
    <w:rsid w:val="005D3C7A"/>
  </w:style>
  <w:style w:type="numbering" w:customStyle="1" w:styleId="NoList12321">
    <w:name w:val="No List12321"/>
    <w:next w:val="NoList"/>
    <w:uiPriority w:val="99"/>
    <w:semiHidden/>
    <w:unhideWhenUsed/>
    <w:rsid w:val="005D3C7A"/>
  </w:style>
  <w:style w:type="numbering" w:customStyle="1" w:styleId="NoList21321">
    <w:name w:val="No List21321"/>
    <w:next w:val="NoList"/>
    <w:uiPriority w:val="99"/>
    <w:semiHidden/>
    <w:unhideWhenUsed/>
    <w:rsid w:val="005D3C7A"/>
  </w:style>
  <w:style w:type="numbering" w:customStyle="1" w:styleId="NoList112321">
    <w:name w:val="No List112321"/>
    <w:next w:val="NoList"/>
    <w:uiPriority w:val="99"/>
    <w:semiHidden/>
    <w:unhideWhenUsed/>
    <w:rsid w:val="005D3C7A"/>
  </w:style>
  <w:style w:type="numbering" w:customStyle="1" w:styleId="NoList5321">
    <w:name w:val="No List5321"/>
    <w:next w:val="NoList"/>
    <w:uiPriority w:val="99"/>
    <w:semiHidden/>
    <w:unhideWhenUsed/>
    <w:rsid w:val="005D3C7A"/>
  </w:style>
  <w:style w:type="numbering" w:customStyle="1" w:styleId="NoList6121">
    <w:name w:val="No List6121"/>
    <w:next w:val="NoList"/>
    <w:uiPriority w:val="99"/>
    <w:semiHidden/>
    <w:unhideWhenUsed/>
    <w:rsid w:val="005D3C7A"/>
  </w:style>
  <w:style w:type="numbering" w:customStyle="1" w:styleId="ImportedStyle802121">
    <w:name w:val="Imported Style 802121"/>
    <w:rsid w:val="005D3C7A"/>
  </w:style>
  <w:style w:type="numbering" w:customStyle="1" w:styleId="ImportedStyle1152121">
    <w:name w:val="Imported Style 1152121"/>
    <w:rsid w:val="005D3C7A"/>
  </w:style>
  <w:style w:type="numbering" w:customStyle="1" w:styleId="NoList7121">
    <w:name w:val="No List7121"/>
    <w:next w:val="NoList"/>
    <w:uiPriority w:val="99"/>
    <w:semiHidden/>
    <w:unhideWhenUsed/>
    <w:rsid w:val="005D3C7A"/>
  </w:style>
  <w:style w:type="numbering" w:customStyle="1" w:styleId="ImportedStyle781121">
    <w:name w:val="Imported Style 781121"/>
    <w:rsid w:val="005D3C7A"/>
  </w:style>
  <w:style w:type="numbering" w:customStyle="1" w:styleId="ImportedStyle7801131">
    <w:name w:val="Imported Style 78.01131"/>
    <w:rsid w:val="005D3C7A"/>
  </w:style>
  <w:style w:type="numbering" w:customStyle="1" w:styleId="ImportedStyle801121">
    <w:name w:val="Imported Style 801121"/>
    <w:rsid w:val="005D3C7A"/>
  </w:style>
  <w:style w:type="numbering" w:customStyle="1" w:styleId="ImportedStyle8211211">
    <w:name w:val="Imported Style 8211211"/>
    <w:rsid w:val="005D3C7A"/>
  </w:style>
  <w:style w:type="numbering" w:customStyle="1" w:styleId="ImportedStyle831131">
    <w:name w:val="Imported Style 831131"/>
    <w:rsid w:val="005D3C7A"/>
  </w:style>
  <w:style w:type="numbering" w:customStyle="1" w:styleId="ImportedStyle1141131">
    <w:name w:val="Imported Style 1141131"/>
    <w:rsid w:val="005D3C7A"/>
  </w:style>
  <w:style w:type="numbering" w:customStyle="1" w:styleId="ImportedStyle1151121">
    <w:name w:val="Imported Style 1151121"/>
    <w:rsid w:val="005D3C7A"/>
  </w:style>
  <w:style w:type="numbering" w:customStyle="1" w:styleId="ImportedStyle1161121">
    <w:name w:val="Imported Style 1161121"/>
    <w:rsid w:val="005D3C7A"/>
  </w:style>
  <w:style w:type="numbering" w:customStyle="1" w:styleId="ImportedStyle11121">
    <w:name w:val="Imported Style 11121"/>
    <w:rsid w:val="005D3C7A"/>
  </w:style>
  <w:style w:type="numbering" w:customStyle="1" w:styleId="ImportedStyle21121">
    <w:name w:val="Imported Style 21121"/>
    <w:rsid w:val="005D3C7A"/>
  </w:style>
  <w:style w:type="numbering" w:customStyle="1" w:styleId="ImportedStyle31121">
    <w:name w:val="Imported Style 31121"/>
    <w:rsid w:val="005D3C7A"/>
  </w:style>
  <w:style w:type="numbering" w:customStyle="1" w:styleId="NoList13121">
    <w:name w:val="No List13121"/>
    <w:next w:val="NoList"/>
    <w:uiPriority w:val="99"/>
    <w:semiHidden/>
    <w:unhideWhenUsed/>
    <w:rsid w:val="005D3C7A"/>
  </w:style>
  <w:style w:type="numbering" w:customStyle="1" w:styleId="NoList22121">
    <w:name w:val="No List22121"/>
    <w:next w:val="NoList"/>
    <w:uiPriority w:val="99"/>
    <w:semiHidden/>
    <w:unhideWhenUsed/>
    <w:rsid w:val="005D3C7A"/>
  </w:style>
  <w:style w:type="numbering" w:customStyle="1" w:styleId="NoList113121">
    <w:name w:val="No List113121"/>
    <w:next w:val="NoList"/>
    <w:uiPriority w:val="99"/>
    <w:semiHidden/>
    <w:unhideWhenUsed/>
    <w:rsid w:val="005D3C7A"/>
  </w:style>
  <w:style w:type="numbering" w:customStyle="1" w:styleId="NoList1111131">
    <w:name w:val="No List1111131"/>
    <w:next w:val="NoList"/>
    <w:uiPriority w:val="99"/>
    <w:semiHidden/>
    <w:unhideWhenUsed/>
    <w:rsid w:val="005D3C7A"/>
  </w:style>
  <w:style w:type="numbering" w:customStyle="1" w:styleId="NoList31121">
    <w:name w:val="No List31121"/>
    <w:next w:val="NoList"/>
    <w:uiPriority w:val="99"/>
    <w:semiHidden/>
    <w:unhideWhenUsed/>
    <w:rsid w:val="005D3C7A"/>
  </w:style>
  <w:style w:type="numbering" w:customStyle="1" w:styleId="Stilimportat11121">
    <w:name w:val="Stil importat 11121"/>
    <w:rsid w:val="005D3C7A"/>
  </w:style>
  <w:style w:type="numbering" w:customStyle="1" w:styleId="Stilimportat21121">
    <w:name w:val="Stil importat 21121"/>
    <w:rsid w:val="005D3C7A"/>
  </w:style>
  <w:style w:type="numbering" w:customStyle="1" w:styleId="Stilimportat31121">
    <w:name w:val="Stil importat 31121"/>
    <w:rsid w:val="005D3C7A"/>
  </w:style>
  <w:style w:type="numbering" w:customStyle="1" w:styleId="Stilimportat41121">
    <w:name w:val="Stil importat 41121"/>
    <w:rsid w:val="005D3C7A"/>
  </w:style>
  <w:style w:type="numbering" w:customStyle="1" w:styleId="Stilimportat51121">
    <w:name w:val="Stil importat 51121"/>
    <w:rsid w:val="005D3C7A"/>
  </w:style>
  <w:style w:type="numbering" w:customStyle="1" w:styleId="Stilimportat61121">
    <w:name w:val="Stil importat 61121"/>
    <w:rsid w:val="005D3C7A"/>
  </w:style>
  <w:style w:type="numbering" w:customStyle="1" w:styleId="Stilimportat71121">
    <w:name w:val="Stil importat 71121"/>
    <w:rsid w:val="005D3C7A"/>
  </w:style>
  <w:style w:type="numbering" w:customStyle="1" w:styleId="NoList41121">
    <w:name w:val="No List41121"/>
    <w:next w:val="NoList"/>
    <w:uiPriority w:val="99"/>
    <w:semiHidden/>
    <w:unhideWhenUsed/>
    <w:rsid w:val="005D3C7A"/>
  </w:style>
  <w:style w:type="numbering" w:customStyle="1" w:styleId="NoList121121">
    <w:name w:val="No List121121"/>
    <w:next w:val="NoList"/>
    <w:uiPriority w:val="99"/>
    <w:semiHidden/>
    <w:unhideWhenUsed/>
    <w:rsid w:val="005D3C7A"/>
  </w:style>
  <w:style w:type="numbering" w:customStyle="1" w:styleId="NoList211121">
    <w:name w:val="No List211121"/>
    <w:next w:val="NoList"/>
    <w:uiPriority w:val="99"/>
    <w:semiHidden/>
    <w:unhideWhenUsed/>
    <w:rsid w:val="005D3C7A"/>
  </w:style>
  <w:style w:type="numbering" w:customStyle="1" w:styleId="NoList1121121">
    <w:name w:val="No List1121121"/>
    <w:next w:val="NoList"/>
    <w:uiPriority w:val="99"/>
    <w:semiHidden/>
    <w:unhideWhenUsed/>
    <w:rsid w:val="005D3C7A"/>
  </w:style>
  <w:style w:type="numbering" w:customStyle="1" w:styleId="NoList51121">
    <w:name w:val="No List51121"/>
    <w:next w:val="NoList"/>
    <w:uiPriority w:val="99"/>
    <w:semiHidden/>
    <w:unhideWhenUsed/>
    <w:rsid w:val="005D3C7A"/>
  </w:style>
  <w:style w:type="numbering" w:customStyle="1" w:styleId="NoList8121">
    <w:name w:val="No List8121"/>
    <w:next w:val="NoList"/>
    <w:uiPriority w:val="99"/>
    <w:semiHidden/>
    <w:unhideWhenUsed/>
    <w:rsid w:val="005D3C7A"/>
  </w:style>
  <w:style w:type="numbering" w:customStyle="1" w:styleId="NoList9121">
    <w:name w:val="No List9121"/>
    <w:next w:val="NoList"/>
    <w:uiPriority w:val="99"/>
    <w:semiHidden/>
    <w:unhideWhenUsed/>
    <w:rsid w:val="005D3C7A"/>
  </w:style>
  <w:style w:type="numbering" w:customStyle="1" w:styleId="ImportedStyle782121">
    <w:name w:val="Imported Style 782121"/>
    <w:rsid w:val="005D3C7A"/>
  </w:style>
  <w:style w:type="numbering" w:customStyle="1" w:styleId="ImportedStyle7802121">
    <w:name w:val="Imported Style 78.02121"/>
    <w:rsid w:val="005D3C7A"/>
  </w:style>
  <w:style w:type="numbering" w:customStyle="1" w:styleId="ImportedStyle803131">
    <w:name w:val="Imported Style 803131"/>
    <w:rsid w:val="005D3C7A"/>
  </w:style>
  <w:style w:type="numbering" w:customStyle="1" w:styleId="ImportedStyle822121">
    <w:name w:val="Imported Style 822121"/>
    <w:rsid w:val="005D3C7A"/>
  </w:style>
  <w:style w:type="numbering" w:customStyle="1" w:styleId="ImportedStyle832121">
    <w:name w:val="Imported Style 832121"/>
    <w:rsid w:val="005D3C7A"/>
  </w:style>
  <w:style w:type="numbering" w:customStyle="1" w:styleId="ImportedStyle1142121">
    <w:name w:val="Imported Style 1142121"/>
    <w:rsid w:val="005D3C7A"/>
  </w:style>
  <w:style w:type="numbering" w:customStyle="1" w:styleId="ImportedStyle1153121">
    <w:name w:val="Imported Style 1153121"/>
    <w:rsid w:val="005D3C7A"/>
  </w:style>
  <w:style w:type="numbering" w:customStyle="1" w:styleId="ImportedStyle1162121">
    <w:name w:val="Imported Style 1162121"/>
    <w:rsid w:val="005D3C7A"/>
  </w:style>
  <w:style w:type="numbering" w:customStyle="1" w:styleId="ImportedStyle12121">
    <w:name w:val="Imported Style 12121"/>
    <w:rsid w:val="005D3C7A"/>
  </w:style>
  <w:style w:type="numbering" w:customStyle="1" w:styleId="ImportedStyle22121">
    <w:name w:val="Imported Style 22121"/>
    <w:rsid w:val="005D3C7A"/>
  </w:style>
  <w:style w:type="numbering" w:customStyle="1" w:styleId="ImportedStyle32121">
    <w:name w:val="Imported Style 32121"/>
    <w:rsid w:val="005D3C7A"/>
  </w:style>
  <w:style w:type="numbering" w:customStyle="1" w:styleId="NoList14121">
    <w:name w:val="No List14121"/>
    <w:next w:val="NoList"/>
    <w:uiPriority w:val="99"/>
    <w:semiHidden/>
    <w:unhideWhenUsed/>
    <w:rsid w:val="005D3C7A"/>
  </w:style>
  <w:style w:type="numbering" w:customStyle="1" w:styleId="NoList23121">
    <w:name w:val="No List23121"/>
    <w:next w:val="NoList"/>
    <w:uiPriority w:val="99"/>
    <w:semiHidden/>
    <w:unhideWhenUsed/>
    <w:rsid w:val="005D3C7A"/>
  </w:style>
  <w:style w:type="numbering" w:customStyle="1" w:styleId="NoList114121">
    <w:name w:val="No List114121"/>
    <w:next w:val="NoList"/>
    <w:uiPriority w:val="99"/>
    <w:semiHidden/>
    <w:unhideWhenUsed/>
    <w:rsid w:val="005D3C7A"/>
  </w:style>
  <w:style w:type="numbering" w:customStyle="1" w:styleId="NoList1112121">
    <w:name w:val="No List1112121"/>
    <w:next w:val="NoList"/>
    <w:uiPriority w:val="99"/>
    <w:semiHidden/>
    <w:unhideWhenUsed/>
    <w:rsid w:val="005D3C7A"/>
  </w:style>
  <w:style w:type="numbering" w:customStyle="1" w:styleId="NoList32121">
    <w:name w:val="No List32121"/>
    <w:next w:val="NoList"/>
    <w:uiPriority w:val="99"/>
    <w:semiHidden/>
    <w:unhideWhenUsed/>
    <w:rsid w:val="005D3C7A"/>
  </w:style>
  <w:style w:type="numbering" w:customStyle="1" w:styleId="Stilimportat12121">
    <w:name w:val="Stil importat 12121"/>
    <w:rsid w:val="005D3C7A"/>
  </w:style>
  <w:style w:type="numbering" w:customStyle="1" w:styleId="Stilimportat22121">
    <w:name w:val="Stil importat 22121"/>
    <w:rsid w:val="005D3C7A"/>
  </w:style>
  <w:style w:type="numbering" w:customStyle="1" w:styleId="Stilimportat32121">
    <w:name w:val="Stil importat 32121"/>
    <w:rsid w:val="005D3C7A"/>
  </w:style>
  <w:style w:type="numbering" w:customStyle="1" w:styleId="Stilimportat42121">
    <w:name w:val="Stil importat 42121"/>
    <w:rsid w:val="005D3C7A"/>
  </w:style>
  <w:style w:type="numbering" w:customStyle="1" w:styleId="Stilimportat52121">
    <w:name w:val="Stil importat 52121"/>
    <w:rsid w:val="005D3C7A"/>
  </w:style>
  <w:style w:type="numbering" w:customStyle="1" w:styleId="Stilimportat62121">
    <w:name w:val="Stil importat 62121"/>
    <w:rsid w:val="005D3C7A"/>
  </w:style>
  <w:style w:type="numbering" w:customStyle="1" w:styleId="Stilimportat72121">
    <w:name w:val="Stil importat 72121"/>
    <w:rsid w:val="005D3C7A"/>
  </w:style>
  <w:style w:type="numbering" w:customStyle="1" w:styleId="NoList42121">
    <w:name w:val="No List42121"/>
    <w:next w:val="NoList"/>
    <w:uiPriority w:val="99"/>
    <w:semiHidden/>
    <w:unhideWhenUsed/>
    <w:rsid w:val="005D3C7A"/>
  </w:style>
  <w:style w:type="numbering" w:customStyle="1" w:styleId="NoList122121">
    <w:name w:val="No List122121"/>
    <w:next w:val="NoList"/>
    <w:uiPriority w:val="99"/>
    <w:semiHidden/>
    <w:unhideWhenUsed/>
    <w:rsid w:val="005D3C7A"/>
  </w:style>
  <w:style w:type="numbering" w:customStyle="1" w:styleId="NoList212121">
    <w:name w:val="No List212121"/>
    <w:next w:val="NoList"/>
    <w:uiPriority w:val="99"/>
    <w:semiHidden/>
    <w:unhideWhenUsed/>
    <w:rsid w:val="005D3C7A"/>
  </w:style>
  <w:style w:type="numbering" w:customStyle="1" w:styleId="NoList1122121">
    <w:name w:val="No List1122121"/>
    <w:next w:val="NoList"/>
    <w:uiPriority w:val="99"/>
    <w:semiHidden/>
    <w:unhideWhenUsed/>
    <w:rsid w:val="005D3C7A"/>
  </w:style>
  <w:style w:type="numbering" w:customStyle="1" w:styleId="NoList52121">
    <w:name w:val="No List52121"/>
    <w:next w:val="NoList"/>
    <w:uiPriority w:val="99"/>
    <w:semiHidden/>
    <w:unhideWhenUsed/>
    <w:rsid w:val="005D3C7A"/>
  </w:style>
  <w:style w:type="numbering" w:customStyle="1" w:styleId="NoList1021">
    <w:name w:val="No List1021"/>
    <w:next w:val="NoList"/>
    <w:uiPriority w:val="99"/>
    <w:semiHidden/>
    <w:unhideWhenUsed/>
    <w:rsid w:val="005D3C7A"/>
  </w:style>
  <w:style w:type="table" w:customStyle="1" w:styleId="TableGrid182">
    <w:name w:val="Table Grid182"/>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11">
    <w:name w:val="No List151111"/>
    <w:next w:val="NoList"/>
    <w:uiPriority w:val="99"/>
    <w:semiHidden/>
    <w:unhideWhenUsed/>
    <w:rsid w:val="005D3C7A"/>
  </w:style>
  <w:style w:type="table" w:customStyle="1" w:styleId="TableGrid192">
    <w:name w:val="Table Grid192"/>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11">
    <w:name w:val="No List241111"/>
    <w:next w:val="NoList"/>
    <w:uiPriority w:val="99"/>
    <w:semiHidden/>
    <w:unhideWhenUsed/>
    <w:rsid w:val="005D3C7A"/>
  </w:style>
  <w:style w:type="numbering" w:customStyle="1" w:styleId="NoList331111">
    <w:name w:val="No List331111"/>
    <w:next w:val="NoList"/>
    <w:uiPriority w:val="99"/>
    <w:semiHidden/>
    <w:unhideWhenUsed/>
    <w:rsid w:val="005D3C7A"/>
  </w:style>
  <w:style w:type="numbering" w:customStyle="1" w:styleId="NoList431111">
    <w:name w:val="No List431111"/>
    <w:next w:val="NoList"/>
    <w:uiPriority w:val="99"/>
    <w:semiHidden/>
    <w:unhideWhenUsed/>
    <w:rsid w:val="005D3C7A"/>
  </w:style>
  <w:style w:type="numbering" w:customStyle="1" w:styleId="NoList531111">
    <w:name w:val="No List531111"/>
    <w:next w:val="NoList"/>
    <w:uiPriority w:val="99"/>
    <w:semiHidden/>
    <w:unhideWhenUsed/>
    <w:rsid w:val="005D3C7A"/>
  </w:style>
  <w:style w:type="numbering" w:customStyle="1" w:styleId="ImportedStyle1111111">
    <w:name w:val="Imported Style 1111111"/>
    <w:rsid w:val="005D3C7A"/>
    <w:pPr>
      <w:numPr>
        <w:numId w:val="332"/>
      </w:numPr>
    </w:pPr>
  </w:style>
  <w:style w:type="numbering" w:customStyle="1" w:styleId="ImportedStyle3111111">
    <w:name w:val="Imported Style 3111111"/>
    <w:rsid w:val="005D3C7A"/>
    <w:pPr>
      <w:numPr>
        <w:numId w:val="333"/>
      </w:numPr>
    </w:pPr>
  </w:style>
  <w:style w:type="numbering" w:customStyle="1" w:styleId="ImportedStyle44111">
    <w:name w:val="Imported Style 44111"/>
    <w:rsid w:val="005D3C7A"/>
    <w:pPr>
      <w:numPr>
        <w:numId w:val="334"/>
      </w:numPr>
    </w:pPr>
  </w:style>
  <w:style w:type="numbering" w:customStyle="1" w:styleId="ImportedStyle7831111">
    <w:name w:val="Imported Style 7831111"/>
    <w:rsid w:val="005D3C7A"/>
  </w:style>
  <w:style w:type="numbering" w:customStyle="1" w:styleId="ImportedStyle78031111">
    <w:name w:val="Imported Style 78.031111"/>
    <w:rsid w:val="005D3C7A"/>
  </w:style>
  <w:style w:type="numbering" w:customStyle="1" w:styleId="ImportedStyle8041111">
    <w:name w:val="Imported Style 8041111"/>
    <w:rsid w:val="005D3C7A"/>
  </w:style>
  <w:style w:type="numbering" w:customStyle="1" w:styleId="ImportedStyle8231111">
    <w:name w:val="Imported Style 8231111"/>
    <w:rsid w:val="005D3C7A"/>
  </w:style>
  <w:style w:type="numbering" w:customStyle="1" w:styleId="ImportedStyle8331111">
    <w:name w:val="Imported Style 8331111"/>
    <w:rsid w:val="005D3C7A"/>
  </w:style>
  <w:style w:type="numbering" w:customStyle="1" w:styleId="ImportedStyle11431111">
    <w:name w:val="Imported Style 11431111"/>
    <w:rsid w:val="005D3C7A"/>
  </w:style>
  <w:style w:type="numbering" w:customStyle="1" w:styleId="ImportedStyle11541111">
    <w:name w:val="Imported Style 11541111"/>
    <w:rsid w:val="005D3C7A"/>
  </w:style>
  <w:style w:type="numbering" w:customStyle="1" w:styleId="ImportedStyle11631111">
    <w:name w:val="Imported Style 11631111"/>
    <w:rsid w:val="005D3C7A"/>
  </w:style>
  <w:style w:type="numbering" w:customStyle="1" w:styleId="ImportedStyle131111">
    <w:name w:val="Imported Style 131111"/>
    <w:rsid w:val="005D3C7A"/>
  </w:style>
  <w:style w:type="numbering" w:customStyle="1" w:styleId="ImportedStyle231111">
    <w:name w:val="Imported Style 231111"/>
    <w:rsid w:val="005D3C7A"/>
  </w:style>
  <w:style w:type="numbering" w:customStyle="1" w:styleId="ImportedStyle331111">
    <w:name w:val="Imported Style 331111"/>
    <w:rsid w:val="005D3C7A"/>
  </w:style>
  <w:style w:type="numbering" w:customStyle="1" w:styleId="NoList1151111">
    <w:name w:val="No List1151111"/>
    <w:next w:val="NoList"/>
    <w:uiPriority w:val="99"/>
    <w:semiHidden/>
    <w:unhideWhenUsed/>
    <w:rsid w:val="005D3C7A"/>
  </w:style>
  <w:style w:type="numbering" w:customStyle="1" w:styleId="NoList11131111">
    <w:name w:val="No List11131111"/>
    <w:next w:val="NoList"/>
    <w:uiPriority w:val="99"/>
    <w:semiHidden/>
    <w:unhideWhenUsed/>
    <w:rsid w:val="005D3C7A"/>
  </w:style>
  <w:style w:type="numbering" w:customStyle="1" w:styleId="Stilimportat131111">
    <w:name w:val="Stil importat 131111"/>
    <w:rsid w:val="005D3C7A"/>
  </w:style>
  <w:style w:type="numbering" w:customStyle="1" w:styleId="Stilimportat231111">
    <w:name w:val="Stil importat 231111"/>
    <w:rsid w:val="005D3C7A"/>
  </w:style>
  <w:style w:type="numbering" w:customStyle="1" w:styleId="Stilimportat331111">
    <w:name w:val="Stil importat 331111"/>
    <w:rsid w:val="005D3C7A"/>
  </w:style>
  <w:style w:type="numbering" w:customStyle="1" w:styleId="Stilimportat431111">
    <w:name w:val="Stil importat 431111"/>
    <w:rsid w:val="005D3C7A"/>
  </w:style>
  <w:style w:type="numbering" w:customStyle="1" w:styleId="Stilimportat531111">
    <w:name w:val="Stil importat 531111"/>
    <w:rsid w:val="005D3C7A"/>
  </w:style>
  <w:style w:type="numbering" w:customStyle="1" w:styleId="Stilimportat631111">
    <w:name w:val="Stil importat 631111"/>
    <w:rsid w:val="005D3C7A"/>
  </w:style>
  <w:style w:type="numbering" w:customStyle="1" w:styleId="Stilimportat731111">
    <w:name w:val="Stil importat 731111"/>
    <w:rsid w:val="005D3C7A"/>
  </w:style>
  <w:style w:type="numbering" w:customStyle="1" w:styleId="NoList1231111">
    <w:name w:val="No List1231111"/>
    <w:next w:val="NoList"/>
    <w:uiPriority w:val="99"/>
    <w:semiHidden/>
    <w:unhideWhenUsed/>
    <w:rsid w:val="005D3C7A"/>
  </w:style>
  <w:style w:type="numbering" w:customStyle="1" w:styleId="NoList2131111">
    <w:name w:val="No List2131111"/>
    <w:next w:val="NoList"/>
    <w:uiPriority w:val="99"/>
    <w:semiHidden/>
    <w:unhideWhenUsed/>
    <w:rsid w:val="005D3C7A"/>
  </w:style>
  <w:style w:type="numbering" w:customStyle="1" w:styleId="NoList11231111">
    <w:name w:val="No List11231111"/>
    <w:next w:val="NoList"/>
    <w:uiPriority w:val="99"/>
    <w:semiHidden/>
    <w:unhideWhenUsed/>
    <w:rsid w:val="005D3C7A"/>
  </w:style>
  <w:style w:type="numbering" w:customStyle="1" w:styleId="NoList611111">
    <w:name w:val="No List611111"/>
    <w:next w:val="NoList"/>
    <w:uiPriority w:val="99"/>
    <w:semiHidden/>
    <w:unhideWhenUsed/>
    <w:rsid w:val="005D3C7A"/>
  </w:style>
  <w:style w:type="numbering" w:customStyle="1" w:styleId="ImportedStyle80211111">
    <w:name w:val="Imported Style 80211111"/>
    <w:rsid w:val="005D3C7A"/>
  </w:style>
  <w:style w:type="numbering" w:customStyle="1" w:styleId="ImportedStyle115211111">
    <w:name w:val="Imported Style 115211111"/>
    <w:rsid w:val="005D3C7A"/>
  </w:style>
  <w:style w:type="numbering" w:customStyle="1" w:styleId="NoList711111">
    <w:name w:val="No List711111"/>
    <w:next w:val="NoList"/>
    <w:uiPriority w:val="99"/>
    <w:semiHidden/>
    <w:unhideWhenUsed/>
    <w:rsid w:val="005D3C7A"/>
  </w:style>
  <w:style w:type="numbering" w:customStyle="1" w:styleId="ImportedStyle78111111">
    <w:name w:val="Imported Style 78111111"/>
    <w:rsid w:val="005D3C7A"/>
  </w:style>
  <w:style w:type="numbering" w:customStyle="1" w:styleId="ImportedStyle780111111">
    <w:name w:val="Imported Style 78.0111111"/>
    <w:rsid w:val="005D3C7A"/>
  </w:style>
  <w:style w:type="numbering" w:customStyle="1" w:styleId="ImportedStyle80111111">
    <w:name w:val="Imported Style 80111111"/>
    <w:rsid w:val="005D3C7A"/>
  </w:style>
  <w:style w:type="numbering" w:customStyle="1" w:styleId="ImportedStyle82111111">
    <w:name w:val="Imported Style 82111111"/>
    <w:rsid w:val="005D3C7A"/>
  </w:style>
  <w:style w:type="numbering" w:customStyle="1" w:styleId="ImportedStyle83111111">
    <w:name w:val="Imported Style 83111111"/>
    <w:rsid w:val="005D3C7A"/>
  </w:style>
  <w:style w:type="numbering" w:customStyle="1" w:styleId="ImportedStyle114111111">
    <w:name w:val="Imported Style 114111111"/>
    <w:rsid w:val="005D3C7A"/>
  </w:style>
  <w:style w:type="numbering" w:customStyle="1" w:styleId="ImportedStyle115111111">
    <w:name w:val="Imported Style 115111111"/>
    <w:rsid w:val="005D3C7A"/>
  </w:style>
  <w:style w:type="numbering" w:customStyle="1" w:styleId="ImportedStyle116111111">
    <w:name w:val="Imported Style 116111111"/>
    <w:rsid w:val="005D3C7A"/>
  </w:style>
  <w:style w:type="numbering" w:customStyle="1" w:styleId="ImportedStyle2111111">
    <w:name w:val="Imported Style 2111111"/>
    <w:rsid w:val="005D3C7A"/>
  </w:style>
  <w:style w:type="numbering" w:customStyle="1" w:styleId="NoList1311111">
    <w:name w:val="No List1311111"/>
    <w:next w:val="NoList"/>
    <w:uiPriority w:val="99"/>
    <w:semiHidden/>
    <w:unhideWhenUsed/>
    <w:rsid w:val="005D3C7A"/>
  </w:style>
  <w:style w:type="numbering" w:customStyle="1" w:styleId="NoList2211111">
    <w:name w:val="No List2211111"/>
    <w:next w:val="NoList"/>
    <w:uiPriority w:val="99"/>
    <w:semiHidden/>
    <w:unhideWhenUsed/>
    <w:rsid w:val="005D3C7A"/>
  </w:style>
  <w:style w:type="numbering" w:customStyle="1" w:styleId="NoList11311111">
    <w:name w:val="No List11311111"/>
    <w:next w:val="NoList"/>
    <w:uiPriority w:val="99"/>
    <w:semiHidden/>
    <w:unhideWhenUsed/>
    <w:rsid w:val="005D3C7A"/>
  </w:style>
  <w:style w:type="numbering" w:customStyle="1" w:styleId="NoList111111111">
    <w:name w:val="No List111111111"/>
    <w:next w:val="NoList"/>
    <w:uiPriority w:val="99"/>
    <w:semiHidden/>
    <w:unhideWhenUsed/>
    <w:rsid w:val="005D3C7A"/>
  </w:style>
  <w:style w:type="numbering" w:customStyle="1" w:styleId="NoList3111111">
    <w:name w:val="No List3111111"/>
    <w:next w:val="NoList"/>
    <w:uiPriority w:val="99"/>
    <w:semiHidden/>
    <w:unhideWhenUsed/>
    <w:rsid w:val="005D3C7A"/>
  </w:style>
  <w:style w:type="numbering" w:customStyle="1" w:styleId="Stilimportat1111111">
    <w:name w:val="Stil importat 1111111"/>
    <w:rsid w:val="005D3C7A"/>
  </w:style>
  <w:style w:type="numbering" w:customStyle="1" w:styleId="Stilimportat2111111">
    <w:name w:val="Stil importat 2111111"/>
    <w:rsid w:val="005D3C7A"/>
  </w:style>
  <w:style w:type="numbering" w:customStyle="1" w:styleId="Stilimportat3111111">
    <w:name w:val="Stil importat 3111111"/>
    <w:rsid w:val="005D3C7A"/>
  </w:style>
  <w:style w:type="numbering" w:customStyle="1" w:styleId="Stilimportat4111111">
    <w:name w:val="Stil importat 4111111"/>
    <w:rsid w:val="005D3C7A"/>
    <w:pPr>
      <w:numPr>
        <w:numId w:val="253"/>
      </w:numPr>
    </w:pPr>
  </w:style>
  <w:style w:type="numbering" w:customStyle="1" w:styleId="Stilimportat5111111">
    <w:name w:val="Stil importat 5111111"/>
    <w:rsid w:val="005D3C7A"/>
    <w:pPr>
      <w:numPr>
        <w:numId w:val="338"/>
      </w:numPr>
    </w:pPr>
  </w:style>
  <w:style w:type="numbering" w:customStyle="1" w:styleId="Stilimportat6111111">
    <w:name w:val="Stil importat 6111111"/>
    <w:rsid w:val="005D3C7A"/>
    <w:pPr>
      <w:numPr>
        <w:numId w:val="339"/>
      </w:numPr>
    </w:pPr>
  </w:style>
  <w:style w:type="numbering" w:customStyle="1" w:styleId="Stilimportat7111111">
    <w:name w:val="Stil importat 7111111"/>
    <w:rsid w:val="005D3C7A"/>
  </w:style>
  <w:style w:type="numbering" w:customStyle="1" w:styleId="NoList4111111">
    <w:name w:val="No List4111111"/>
    <w:next w:val="NoList"/>
    <w:uiPriority w:val="99"/>
    <w:semiHidden/>
    <w:unhideWhenUsed/>
    <w:rsid w:val="005D3C7A"/>
  </w:style>
  <w:style w:type="numbering" w:customStyle="1" w:styleId="NoList12111111">
    <w:name w:val="No List12111111"/>
    <w:next w:val="NoList"/>
    <w:uiPriority w:val="99"/>
    <w:semiHidden/>
    <w:unhideWhenUsed/>
    <w:rsid w:val="005D3C7A"/>
  </w:style>
  <w:style w:type="numbering" w:customStyle="1" w:styleId="NoList21111111">
    <w:name w:val="No List21111111"/>
    <w:next w:val="NoList"/>
    <w:uiPriority w:val="99"/>
    <w:semiHidden/>
    <w:unhideWhenUsed/>
    <w:rsid w:val="005D3C7A"/>
  </w:style>
  <w:style w:type="numbering" w:customStyle="1" w:styleId="NoList112111111">
    <w:name w:val="No List112111111"/>
    <w:next w:val="NoList"/>
    <w:uiPriority w:val="99"/>
    <w:semiHidden/>
    <w:unhideWhenUsed/>
    <w:rsid w:val="005D3C7A"/>
  </w:style>
  <w:style w:type="numbering" w:customStyle="1" w:styleId="NoList5111111">
    <w:name w:val="No List5111111"/>
    <w:next w:val="NoList"/>
    <w:uiPriority w:val="99"/>
    <w:semiHidden/>
    <w:unhideWhenUsed/>
    <w:rsid w:val="005D3C7A"/>
  </w:style>
  <w:style w:type="numbering" w:customStyle="1" w:styleId="NoList811111">
    <w:name w:val="No List811111"/>
    <w:next w:val="NoList"/>
    <w:uiPriority w:val="99"/>
    <w:semiHidden/>
    <w:unhideWhenUsed/>
    <w:rsid w:val="005D3C7A"/>
  </w:style>
  <w:style w:type="numbering" w:customStyle="1" w:styleId="NoList911111">
    <w:name w:val="No List911111"/>
    <w:next w:val="NoList"/>
    <w:uiPriority w:val="99"/>
    <w:semiHidden/>
    <w:unhideWhenUsed/>
    <w:rsid w:val="005D3C7A"/>
  </w:style>
  <w:style w:type="numbering" w:customStyle="1" w:styleId="ImportedStyle78211111">
    <w:name w:val="Imported Style 78211111"/>
    <w:rsid w:val="005D3C7A"/>
    <w:pPr>
      <w:numPr>
        <w:numId w:val="335"/>
      </w:numPr>
    </w:pPr>
  </w:style>
  <w:style w:type="numbering" w:customStyle="1" w:styleId="ImportedStyle780211111">
    <w:name w:val="Imported Style 78.0211111"/>
    <w:rsid w:val="005D3C7A"/>
    <w:pPr>
      <w:numPr>
        <w:numId w:val="336"/>
      </w:numPr>
    </w:pPr>
  </w:style>
  <w:style w:type="numbering" w:customStyle="1" w:styleId="ImportedStyle80311111">
    <w:name w:val="Imported Style 80311111"/>
    <w:rsid w:val="005D3C7A"/>
    <w:pPr>
      <w:numPr>
        <w:numId w:val="337"/>
      </w:numPr>
    </w:pPr>
  </w:style>
  <w:style w:type="numbering" w:customStyle="1" w:styleId="ImportedStyle82211112">
    <w:name w:val="Imported Style 82211112"/>
    <w:rsid w:val="005D3C7A"/>
  </w:style>
  <w:style w:type="numbering" w:customStyle="1" w:styleId="ImportedStyle83211111">
    <w:name w:val="Imported Style 83211111"/>
    <w:rsid w:val="005D3C7A"/>
  </w:style>
  <w:style w:type="numbering" w:customStyle="1" w:styleId="ImportedStyle114211111">
    <w:name w:val="Imported Style 114211111"/>
    <w:rsid w:val="005D3C7A"/>
  </w:style>
  <w:style w:type="numbering" w:customStyle="1" w:styleId="ImportedStyle115311111">
    <w:name w:val="Imported Style 115311111"/>
    <w:rsid w:val="005D3C7A"/>
  </w:style>
  <w:style w:type="numbering" w:customStyle="1" w:styleId="ImportedStyle116211111">
    <w:name w:val="Imported Style 116211111"/>
    <w:rsid w:val="005D3C7A"/>
  </w:style>
  <w:style w:type="numbering" w:customStyle="1" w:styleId="ImportedStyle1211111">
    <w:name w:val="Imported Style 1211111"/>
    <w:rsid w:val="005D3C7A"/>
  </w:style>
  <w:style w:type="numbering" w:customStyle="1" w:styleId="ImportedStyle2211111">
    <w:name w:val="Imported Style 2211111"/>
    <w:rsid w:val="005D3C7A"/>
  </w:style>
  <w:style w:type="numbering" w:customStyle="1" w:styleId="ImportedStyle3211111">
    <w:name w:val="Imported Style 3211111"/>
    <w:rsid w:val="005D3C7A"/>
  </w:style>
  <w:style w:type="numbering" w:customStyle="1" w:styleId="NoList1411111">
    <w:name w:val="No List1411111"/>
    <w:next w:val="NoList"/>
    <w:uiPriority w:val="99"/>
    <w:semiHidden/>
    <w:unhideWhenUsed/>
    <w:rsid w:val="005D3C7A"/>
  </w:style>
  <w:style w:type="numbering" w:customStyle="1" w:styleId="NoList2311111">
    <w:name w:val="No List2311111"/>
    <w:next w:val="NoList"/>
    <w:uiPriority w:val="99"/>
    <w:semiHidden/>
    <w:unhideWhenUsed/>
    <w:rsid w:val="005D3C7A"/>
  </w:style>
  <w:style w:type="numbering" w:customStyle="1" w:styleId="NoList11411111">
    <w:name w:val="No List11411111"/>
    <w:next w:val="NoList"/>
    <w:uiPriority w:val="99"/>
    <w:semiHidden/>
    <w:unhideWhenUsed/>
    <w:rsid w:val="005D3C7A"/>
  </w:style>
  <w:style w:type="numbering" w:customStyle="1" w:styleId="NoList111211111">
    <w:name w:val="No List111211111"/>
    <w:next w:val="NoList"/>
    <w:uiPriority w:val="99"/>
    <w:semiHidden/>
    <w:unhideWhenUsed/>
    <w:rsid w:val="005D3C7A"/>
  </w:style>
  <w:style w:type="numbering" w:customStyle="1" w:styleId="NoList3211111">
    <w:name w:val="No List3211111"/>
    <w:next w:val="NoList"/>
    <w:uiPriority w:val="99"/>
    <w:semiHidden/>
    <w:unhideWhenUsed/>
    <w:rsid w:val="005D3C7A"/>
  </w:style>
  <w:style w:type="numbering" w:customStyle="1" w:styleId="Stilimportat1211111">
    <w:name w:val="Stil importat 1211111"/>
    <w:rsid w:val="005D3C7A"/>
  </w:style>
  <w:style w:type="numbering" w:customStyle="1" w:styleId="Stilimportat2211111">
    <w:name w:val="Stil importat 2211111"/>
    <w:rsid w:val="005D3C7A"/>
  </w:style>
  <w:style w:type="numbering" w:customStyle="1" w:styleId="Stilimportat3211111">
    <w:name w:val="Stil importat 3211111"/>
    <w:rsid w:val="005D3C7A"/>
  </w:style>
  <w:style w:type="numbering" w:customStyle="1" w:styleId="Stilimportat4211111">
    <w:name w:val="Stil importat 4211111"/>
    <w:rsid w:val="005D3C7A"/>
  </w:style>
  <w:style w:type="numbering" w:customStyle="1" w:styleId="Stilimportat5211111">
    <w:name w:val="Stil importat 5211111"/>
    <w:rsid w:val="005D3C7A"/>
  </w:style>
  <w:style w:type="numbering" w:customStyle="1" w:styleId="Stilimportat6211111">
    <w:name w:val="Stil importat 6211111"/>
    <w:rsid w:val="005D3C7A"/>
  </w:style>
  <w:style w:type="numbering" w:customStyle="1" w:styleId="Stilimportat7211111">
    <w:name w:val="Stil importat 7211111"/>
    <w:rsid w:val="005D3C7A"/>
  </w:style>
  <w:style w:type="numbering" w:customStyle="1" w:styleId="NoList4211111">
    <w:name w:val="No List4211111"/>
    <w:next w:val="NoList"/>
    <w:uiPriority w:val="99"/>
    <w:semiHidden/>
    <w:unhideWhenUsed/>
    <w:rsid w:val="005D3C7A"/>
  </w:style>
  <w:style w:type="numbering" w:customStyle="1" w:styleId="NoList12211111">
    <w:name w:val="No List12211111"/>
    <w:next w:val="NoList"/>
    <w:uiPriority w:val="99"/>
    <w:semiHidden/>
    <w:unhideWhenUsed/>
    <w:rsid w:val="005D3C7A"/>
  </w:style>
  <w:style w:type="numbering" w:customStyle="1" w:styleId="NoList21211111">
    <w:name w:val="No List21211111"/>
    <w:next w:val="NoList"/>
    <w:uiPriority w:val="99"/>
    <w:semiHidden/>
    <w:unhideWhenUsed/>
    <w:rsid w:val="005D3C7A"/>
  </w:style>
  <w:style w:type="numbering" w:customStyle="1" w:styleId="NoList112211111">
    <w:name w:val="No List112211111"/>
    <w:next w:val="NoList"/>
    <w:uiPriority w:val="99"/>
    <w:semiHidden/>
    <w:unhideWhenUsed/>
    <w:rsid w:val="005D3C7A"/>
  </w:style>
  <w:style w:type="numbering" w:customStyle="1" w:styleId="NoList5211111">
    <w:name w:val="No List5211111"/>
    <w:next w:val="NoList"/>
    <w:uiPriority w:val="99"/>
    <w:semiHidden/>
    <w:unhideWhenUsed/>
    <w:rsid w:val="005D3C7A"/>
  </w:style>
  <w:style w:type="numbering" w:customStyle="1" w:styleId="ImportedStyle7801111111">
    <w:name w:val="Imported Style 78.01111111"/>
    <w:rsid w:val="005D3C7A"/>
  </w:style>
  <w:style w:type="numbering" w:customStyle="1" w:styleId="ImportedStyle831111111">
    <w:name w:val="Imported Style 831111111"/>
    <w:rsid w:val="005D3C7A"/>
  </w:style>
  <w:style w:type="numbering" w:customStyle="1" w:styleId="ImportedStyle1141111111">
    <w:name w:val="Imported Style 1141111111"/>
    <w:rsid w:val="005D3C7A"/>
  </w:style>
  <w:style w:type="numbering" w:customStyle="1" w:styleId="NoList16111">
    <w:name w:val="No List16111"/>
    <w:next w:val="NoList"/>
    <w:uiPriority w:val="99"/>
    <w:semiHidden/>
    <w:unhideWhenUsed/>
    <w:rsid w:val="005D3C7A"/>
  </w:style>
  <w:style w:type="numbering" w:customStyle="1" w:styleId="NoList17111">
    <w:name w:val="No List17111"/>
    <w:next w:val="NoList"/>
    <w:uiPriority w:val="99"/>
    <w:semiHidden/>
    <w:unhideWhenUsed/>
    <w:rsid w:val="005D3C7A"/>
  </w:style>
  <w:style w:type="numbering" w:customStyle="1" w:styleId="Stilimportat1421">
    <w:name w:val="Stil importat 1421"/>
    <w:rsid w:val="005D3C7A"/>
  </w:style>
  <w:style w:type="numbering" w:customStyle="1" w:styleId="Stilimportat2421">
    <w:name w:val="Stil importat 2421"/>
    <w:rsid w:val="005D3C7A"/>
  </w:style>
  <w:style w:type="numbering" w:customStyle="1" w:styleId="Stilimportat3421">
    <w:name w:val="Stil importat 3421"/>
    <w:rsid w:val="005D3C7A"/>
  </w:style>
  <w:style w:type="numbering" w:customStyle="1" w:styleId="Stilimportat4421">
    <w:name w:val="Stil importat 4421"/>
    <w:rsid w:val="005D3C7A"/>
  </w:style>
  <w:style w:type="numbering" w:customStyle="1" w:styleId="Stilimportat5421">
    <w:name w:val="Stil importat 5421"/>
    <w:rsid w:val="005D3C7A"/>
  </w:style>
  <w:style w:type="numbering" w:customStyle="1" w:styleId="Stilimportat6421">
    <w:name w:val="Stil importat 6421"/>
    <w:rsid w:val="005D3C7A"/>
  </w:style>
  <w:style w:type="numbering" w:customStyle="1" w:styleId="Stilimportat7421">
    <w:name w:val="Stil importat 7421"/>
    <w:rsid w:val="005D3C7A"/>
  </w:style>
  <w:style w:type="table" w:customStyle="1" w:styleId="TableGrid232">
    <w:name w:val="Table Grid23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411">
    <w:name w:val="Imported Style 1411"/>
    <w:rsid w:val="005D3C7A"/>
  </w:style>
  <w:style w:type="numbering" w:customStyle="1" w:styleId="ImportedStyle2411">
    <w:name w:val="Imported Style 2411"/>
    <w:rsid w:val="005D3C7A"/>
  </w:style>
  <w:style w:type="numbering" w:customStyle="1" w:styleId="ImportedStyle3411">
    <w:name w:val="Imported Style 3411"/>
    <w:rsid w:val="005D3C7A"/>
  </w:style>
  <w:style w:type="numbering" w:customStyle="1" w:styleId="NoList11611">
    <w:name w:val="No List11611"/>
    <w:next w:val="NoList"/>
    <w:uiPriority w:val="99"/>
    <w:semiHidden/>
    <w:unhideWhenUsed/>
    <w:rsid w:val="005D3C7A"/>
  </w:style>
  <w:style w:type="table" w:customStyle="1" w:styleId="TableGrid532">
    <w:name w:val="Table Grid532"/>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78411">
    <w:name w:val="Imported Style 78411"/>
    <w:rsid w:val="005D3C7A"/>
  </w:style>
  <w:style w:type="numbering" w:customStyle="1" w:styleId="ImportedStyle780411">
    <w:name w:val="Imported Style 78.0411"/>
    <w:rsid w:val="005D3C7A"/>
  </w:style>
  <w:style w:type="numbering" w:customStyle="1" w:styleId="ImportedStyle80511">
    <w:name w:val="Imported Style 80511"/>
    <w:rsid w:val="005D3C7A"/>
  </w:style>
  <w:style w:type="numbering" w:customStyle="1" w:styleId="ImportedStyle82411">
    <w:name w:val="Imported Style 82411"/>
    <w:rsid w:val="005D3C7A"/>
  </w:style>
  <w:style w:type="numbering" w:customStyle="1" w:styleId="ImportedStyle83411">
    <w:name w:val="Imported Style 83411"/>
    <w:rsid w:val="005D3C7A"/>
  </w:style>
  <w:style w:type="numbering" w:customStyle="1" w:styleId="ImportedStyle114411">
    <w:name w:val="Imported Style 114411"/>
    <w:rsid w:val="005D3C7A"/>
  </w:style>
  <w:style w:type="numbering" w:customStyle="1" w:styleId="ImportedStyle115511">
    <w:name w:val="Imported Style 115511"/>
    <w:rsid w:val="005D3C7A"/>
  </w:style>
  <w:style w:type="numbering" w:customStyle="1" w:styleId="ImportedStyle116411">
    <w:name w:val="Imported Style 116411"/>
    <w:rsid w:val="005D3C7A"/>
  </w:style>
  <w:style w:type="table" w:customStyle="1" w:styleId="TableNormal131">
    <w:name w:val="Table Normal13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211">
    <w:name w:val="Imported Style 11211"/>
    <w:rsid w:val="005D3C7A"/>
  </w:style>
  <w:style w:type="numbering" w:customStyle="1" w:styleId="ImportedStyle21211">
    <w:name w:val="Imported Style 21211"/>
    <w:rsid w:val="005D3C7A"/>
  </w:style>
  <w:style w:type="numbering" w:customStyle="1" w:styleId="ImportedStyle31211">
    <w:name w:val="Imported Style 31211"/>
    <w:rsid w:val="005D3C7A"/>
  </w:style>
  <w:style w:type="table" w:customStyle="1" w:styleId="TableGrid1132">
    <w:name w:val="Table Grid1132"/>
    <w:basedOn w:val="TableNormal"/>
    <w:next w:val="TableGrid"/>
    <w:uiPriority w:val="5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1">
    <w:name w:val="No List111411"/>
    <w:next w:val="NoList"/>
    <w:uiPriority w:val="99"/>
    <w:semiHidden/>
    <w:unhideWhenUsed/>
    <w:rsid w:val="005D3C7A"/>
  </w:style>
  <w:style w:type="table" w:customStyle="1" w:styleId="TableGrid2111">
    <w:name w:val="Table Grid21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11">
    <w:name w:val="No List2511"/>
    <w:next w:val="NoList"/>
    <w:uiPriority w:val="99"/>
    <w:semiHidden/>
    <w:unhideWhenUsed/>
    <w:rsid w:val="005D3C7A"/>
  </w:style>
  <w:style w:type="table" w:customStyle="1" w:styleId="TableGrid3111">
    <w:name w:val="Table Grid31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211">
    <w:name w:val="No List1111211"/>
    <w:next w:val="NoList"/>
    <w:uiPriority w:val="99"/>
    <w:semiHidden/>
    <w:unhideWhenUsed/>
    <w:rsid w:val="005D3C7A"/>
  </w:style>
  <w:style w:type="numbering" w:customStyle="1" w:styleId="NoList1111111111">
    <w:name w:val="No List1111111111"/>
    <w:next w:val="NoList"/>
    <w:uiPriority w:val="99"/>
    <w:semiHidden/>
    <w:unhideWhenUsed/>
    <w:rsid w:val="005D3C7A"/>
  </w:style>
  <w:style w:type="table" w:customStyle="1" w:styleId="TableGrid11111">
    <w:name w:val="Table Grid111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1">
    <w:name w:val="No List3411"/>
    <w:next w:val="NoList"/>
    <w:uiPriority w:val="99"/>
    <w:semiHidden/>
    <w:unhideWhenUsed/>
    <w:rsid w:val="005D3C7A"/>
  </w:style>
  <w:style w:type="numbering" w:customStyle="1" w:styleId="Stilimportat112111">
    <w:name w:val="Stil importat 112111"/>
    <w:rsid w:val="005D3C7A"/>
    <w:pPr>
      <w:numPr>
        <w:numId w:val="286"/>
      </w:numPr>
    </w:pPr>
  </w:style>
  <w:style w:type="numbering" w:customStyle="1" w:styleId="Stilimportat21211">
    <w:name w:val="Stil importat 21211"/>
    <w:rsid w:val="005D3C7A"/>
    <w:pPr>
      <w:numPr>
        <w:numId w:val="287"/>
      </w:numPr>
    </w:pPr>
  </w:style>
  <w:style w:type="numbering" w:customStyle="1" w:styleId="Stilimportat31211">
    <w:name w:val="Stil importat 31211"/>
    <w:rsid w:val="005D3C7A"/>
    <w:pPr>
      <w:numPr>
        <w:numId w:val="289"/>
      </w:numPr>
    </w:pPr>
  </w:style>
  <w:style w:type="numbering" w:customStyle="1" w:styleId="Stilimportat41211">
    <w:name w:val="Stil importat 41211"/>
    <w:rsid w:val="005D3C7A"/>
    <w:pPr>
      <w:numPr>
        <w:numId w:val="308"/>
      </w:numPr>
    </w:pPr>
  </w:style>
  <w:style w:type="numbering" w:customStyle="1" w:styleId="Stilimportat51211">
    <w:name w:val="Stil importat 51211"/>
    <w:rsid w:val="005D3C7A"/>
    <w:pPr>
      <w:numPr>
        <w:numId w:val="310"/>
      </w:numPr>
    </w:pPr>
  </w:style>
  <w:style w:type="numbering" w:customStyle="1" w:styleId="Stilimportat61211">
    <w:name w:val="Stil importat 61211"/>
    <w:rsid w:val="005D3C7A"/>
    <w:pPr>
      <w:numPr>
        <w:numId w:val="312"/>
      </w:numPr>
    </w:pPr>
  </w:style>
  <w:style w:type="numbering" w:customStyle="1" w:styleId="Stilimportat71211">
    <w:name w:val="Stil importat 71211"/>
    <w:rsid w:val="005D3C7A"/>
    <w:pPr>
      <w:numPr>
        <w:numId w:val="341"/>
      </w:numPr>
    </w:pPr>
  </w:style>
  <w:style w:type="numbering" w:customStyle="1" w:styleId="NoList4411">
    <w:name w:val="No List4411"/>
    <w:next w:val="NoList"/>
    <w:uiPriority w:val="99"/>
    <w:semiHidden/>
    <w:unhideWhenUsed/>
    <w:rsid w:val="005D3C7A"/>
  </w:style>
  <w:style w:type="numbering" w:customStyle="1" w:styleId="NoList12411">
    <w:name w:val="No List12411"/>
    <w:next w:val="NoList"/>
    <w:uiPriority w:val="99"/>
    <w:semiHidden/>
    <w:unhideWhenUsed/>
    <w:rsid w:val="005D3C7A"/>
  </w:style>
  <w:style w:type="table" w:customStyle="1" w:styleId="TableGrid4111">
    <w:name w:val="Table Grid41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411">
    <w:name w:val="No List21411"/>
    <w:next w:val="NoList"/>
    <w:uiPriority w:val="99"/>
    <w:semiHidden/>
    <w:unhideWhenUsed/>
    <w:rsid w:val="005D3C7A"/>
  </w:style>
  <w:style w:type="numbering" w:customStyle="1" w:styleId="NoList112411">
    <w:name w:val="No List112411"/>
    <w:next w:val="NoList"/>
    <w:uiPriority w:val="99"/>
    <w:semiHidden/>
    <w:unhideWhenUsed/>
    <w:rsid w:val="005D3C7A"/>
  </w:style>
  <w:style w:type="table" w:customStyle="1" w:styleId="TableGrid1231">
    <w:name w:val="Table Grid123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411">
    <w:name w:val="No List5411"/>
    <w:next w:val="NoList"/>
    <w:uiPriority w:val="99"/>
    <w:semiHidden/>
    <w:unhideWhenUsed/>
    <w:rsid w:val="005D3C7A"/>
  </w:style>
  <w:style w:type="table" w:customStyle="1" w:styleId="TableGrid5111">
    <w:name w:val="Table Grid51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5D3C7A"/>
  </w:style>
  <w:style w:type="numbering" w:customStyle="1" w:styleId="ImportedStyle781211">
    <w:name w:val="Imported Style 781211"/>
    <w:rsid w:val="005D3C7A"/>
  </w:style>
  <w:style w:type="numbering" w:customStyle="1" w:styleId="ImportedStyle7801211">
    <w:name w:val="Imported Style 78.01211"/>
    <w:rsid w:val="005D3C7A"/>
    <w:pPr>
      <w:numPr>
        <w:numId w:val="271"/>
      </w:numPr>
    </w:pPr>
  </w:style>
  <w:style w:type="numbering" w:customStyle="1" w:styleId="ImportedStyle801211">
    <w:name w:val="Imported Style 801211"/>
    <w:rsid w:val="005D3C7A"/>
  </w:style>
  <w:style w:type="numbering" w:customStyle="1" w:styleId="ImportedStyle821211">
    <w:name w:val="Imported Style 821211"/>
    <w:rsid w:val="005D3C7A"/>
    <w:pPr>
      <w:numPr>
        <w:numId w:val="272"/>
      </w:numPr>
    </w:pPr>
  </w:style>
  <w:style w:type="numbering" w:customStyle="1" w:styleId="ImportedStyle831211">
    <w:name w:val="Imported Style 831211"/>
    <w:rsid w:val="005D3C7A"/>
  </w:style>
  <w:style w:type="numbering" w:customStyle="1" w:styleId="ImportedStyle1141211">
    <w:name w:val="Imported Style 1141211"/>
    <w:rsid w:val="005D3C7A"/>
    <w:pPr>
      <w:numPr>
        <w:numId w:val="273"/>
      </w:numPr>
    </w:pPr>
  </w:style>
  <w:style w:type="numbering" w:customStyle="1" w:styleId="ImportedStyle1151211">
    <w:name w:val="Imported Style 1151211"/>
    <w:rsid w:val="005D3C7A"/>
  </w:style>
  <w:style w:type="numbering" w:customStyle="1" w:styleId="ImportedStyle1161211">
    <w:name w:val="Imported Style 1161211"/>
    <w:rsid w:val="005D3C7A"/>
    <w:pPr>
      <w:numPr>
        <w:numId w:val="274"/>
      </w:numPr>
    </w:pPr>
  </w:style>
  <w:style w:type="table" w:customStyle="1" w:styleId="TableNormal1111">
    <w:name w:val="Table Normal111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211">
    <w:name w:val="Imported Style 12211"/>
    <w:rsid w:val="005D3C7A"/>
    <w:pPr>
      <w:numPr>
        <w:numId w:val="275"/>
      </w:numPr>
    </w:pPr>
  </w:style>
  <w:style w:type="numbering" w:customStyle="1" w:styleId="ImportedStyle22211">
    <w:name w:val="Imported Style 22211"/>
    <w:rsid w:val="005D3C7A"/>
  </w:style>
  <w:style w:type="numbering" w:customStyle="1" w:styleId="ImportedStyle32211">
    <w:name w:val="Imported Style 32211"/>
    <w:rsid w:val="005D3C7A"/>
    <w:pPr>
      <w:numPr>
        <w:numId w:val="276"/>
      </w:numPr>
    </w:pPr>
  </w:style>
  <w:style w:type="table" w:customStyle="1" w:styleId="TableGrid1311">
    <w:name w:val="Table Grid131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1">
    <w:name w:val="No List13211"/>
    <w:next w:val="NoList"/>
    <w:uiPriority w:val="99"/>
    <w:semiHidden/>
    <w:unhideWhenUsed/>
    <w:rsid w:val="005D3C7A"/>
  </w:style>
  <w:style w:type="table" w:customStyle="1" w:styleId="TableGrid2211">
    <w:name w:val="Table Grid2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211">
    <w:name w:val="No List22211"/>
    <w:next w:val="NoList"/>
    <w:uiPriority w:val="99"/>
    <w:semiHidden/>
    <w:unhideWhenUsed/>
    <w:rsid w:val="005D3C7A"/>
  </w:style>
  <w:style w:type="table" w:customStyle="1" w:styleId="TableGrid3211">
    <w:name w:val="Table Grid32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211">
    <w:name w:val="No List113211"/>
    <w:next w:val="NoList"/>
    <w:uiPriority w:val="99"/>
    <w:semiHidden/>
    <w:unhideWhenUsed/>
    <w:rsid w:val="005D3C7A"/>
  </w:style>
  <w:style w:type="numbering" w:customStyle="1" w:styleId="NoList1112211">
    <w:name w:val="No List1112211"/>
    <w:next w:val="NoList"/>
    <w:uiPriority w:val="99"/>
    <w:semiHidden/>
    <w:unhideWhenUsed/>
    <w:rsid w:val="005D3C7A"/>
  </w:style>
  <w:style w:type="table" w:customStyle="1" w:styleId="TableGrid11211">
    <w:name w:val="Table Grid1121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211">
    <w:name w:val="No List31211"/>
    <w:next w:val="NoList"/>
    <w:uiPriority w:val="99"/>
    <w:semiHidden/>
    <w:unhideWhenUsed/>
    <w:rsid w:val="005D3C7A"/>
  </w:style>
  <w:style w:type="numbering" w:customStyle="1" w:styleId="Stilimportat12211">
    <w:name w:val="Stil importat 12211"/>
    <w:rsid w:val="005D3C7A"/>
    <w:pPr>
      <w:numPr>
        <w:numId w:val="288"/>
      </w:numPr>
    </w:pPr>
  </w:style>
  <w:style w:type="numbering" w:customStyle="1" w:styleId="Stilimportat22211">
    <w:name w:val="Stil importat 22211"/>
    <w:rsid w:val="005D3C7A"/>
  </w:style>
  <w:style w:type="numbering" w:customStyle="1" w:styleId="Stilimportat32211">
    <w:name w:val="Stil importat 32211"/>
    <w:rsid w:val="005D3C7A"/>
  </w:style>
  <w:style w:type="numbering" w:customStyle="1" w:styleId="Stilimportat42211">
    <w:name w:val="Stil importat 42211"/>
    <w:rsid w:val="005D3C7A"/>
  </w:style>
  <w:style w:type="numbering" w:customStyle="1" w:styleId="Stilimportat52211">
    <w:name w:val="Stil importat 52211"/>
    <w:rsid w:val="005D3C7A"/>
  </w:style>
  <w:style w:type="numbering" w:customStyle="1" w:styleId="Stilimportat62211">
    <w:name w:val="Stil importat 62211"/>
    <w:rsid w:val="005D3C7A"/>
  </w:style>
  <w:style w:type="numbering" w:customStyle="1" w:styleId="Stilimportat72211">
    <w:name w:val="Stil importat 72211"/>
    <w:rsid w:val="005D3C7A"/>
  </w:style>
  <w:style w:type="numbering" w:customStyle="1" w:styleId="NoList41211">
    <w:name w:val="No List41211"/>
    <w:next w:val="NoList"/>
    <w:uiPriority w:val="99"/>
    <w:semiHidden/>
    <w:unhideWhenUsed/>
    <w:rsid w:val="005D3C7A"/>
  </w:style>
  <w:style w:type="numbering" w:customStyle="1" w:styleId="NoList121211">
    <w:name w:val="No List121211"/>
    <w:next w:val="NoList"/>
    <w:uiPriority w:val="99"/>
    <w:semiHidden/>
    <w:unhideWhenUsed/>
    <w:rsid w:val="005D3C7A"/>
  </w:style>
  <w:style w:type="table" w:customStyle="1" w:styleId="TableGrid4211">
    <w:name w:val="Table Grid4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211">
    <w:name w:val="No List211211"/>
    <w:next w:val="NoList"/>
    <w:uiPriority w:val="99"/>
    <w:semiHidden/>
    <w:unhideWhenUsed/>
    <w:rsid w:val="005D3C7A"/>
  </w:style>
  <w:style w:type="numbering" w:customStyle="1" w:styleId="NoList1121211">
    <w:name w:val="No List1121211"/>
    <w:next w:val="NoList"/>
    <w:uiPriority w:val="99"/>
    <w:semiHidden/>
    <w:unhideWhenUsed/>
    <w:rsid w:val="005D3C7A"/>
  </w:style>
  <w:style w:type="table" w:customStyle="1" w:styleId="TableGrid12111">
    <w:name w:val="Table Grid121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211">
    <w:name w:val="No List51211"/>
    <w:next w:val="NoList"/>
    <w:uiPriority w:val="99"/>
    <w:semiHidden/>
    <w:unhideWhenUsed/>
    <w:rsid w:val="005D3C7A"/>
  </w:style>
  <w:style w:type="table" w:customStyle="1" w:styleId="TableGrid5211">
    <w:name w:val="Table Grid521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5D3C7A"/>
  </w:style>
  <w:style w:type="numbering" w:customStyle="1" w:styleId="ImportedStyle782211">
    <w:name w:val="Imported Style 782211"/>
    <w:rsid w:val="005D3C7A"/>
    <w:pPr>
      <w:numPr>
        <w:numId w:val="277"/>
      </w:numPr>
    </w:pPr>
  </w:style>
  <w:style w:type="numbering" w:customStyle="1" w:styleId="ImportedStyle7802211">
    <w:name w:val="Imported Style 78.02211"/>
    <w:rsid w:val="005D3C7A"/>
    <w:pPr>
      <w:numPr>
        <w:numId w:val="278"/>
      </w:numPr>
    </w:pPr>
  </w:style>
  <w:style w:type="numbering" w:customStyle="1" w:styleId="ImportedStyle802211">
    <w:name w:val="Imported Style 802211"/>
    <w:rsid w:val="005D3C7A"/>
  </w:style>
  <w:style w:type="numbering" w:customStyle="1" w:styleId="ImportedStyle822211">
    <w:name w:val="Imported Style 822211"/>
    <w:rsid w:val="005D3C7A"/>
    <w:pPr>
      <w:numPr>
        <w:numId w:val="279"/>
      </w:numPr>
    </w:pPr>
  </w:style>
  <w:style w:type="numbering" w:customStyle="1" w:styleId="ImportedStyle832211">
    <w:name w:val="Imported Style 832211"/>
    <w:rsid w:val="005D3C7A"/>
    <w:pPr>
      <w:numPr>
        <w:numId w:val="280"/>
      </w:numPr>
    </w:pPr>
  </w:style>
  <w:style w:type="numbering" w:customStyle="1" w:styleId="ImportedStyle1142211">
    <w:name w:val="Imported Style 1142211"/>
    <w:rsid w:val="005D3C7A"/>
    <w:pPr>
      <w:numPr>
        <w:numId w:val="281"/>
      </w:numPr>
    </w:pPr>
  </w:style>
  <w:style w:type="numbering" w:customStyle="1" w:styleId="ImportedStyle1152211">
    <w:name w:val="Imported Style 1152211"/>
    <w:rsid w:val="005D3C7A"/>
  </w:style>
  <w:style w:type="numbering" w:customStyle="1" w:styleId="ImportedStyle1162211">
    <w:name w:val="Imported Style 1162211"/>
    <w:rsid w:val="005D3C7A"/>
    <w:pPr>
      <w:numPr>
        <w:numId w:val="282"/>
      </w:numPr>
    </w:pPr>
  </w:style>
  <w:style w:type="table" w:customStyle="1" w:styleId="TableNormal1211">
    <w:name w:val="Table Normal121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311111">
    <w:name w:val="Imported Style 1311111"/>
    <w:rsid w:val="005D3C7A"/>
    <w:pPr>
      <w:numPr>
        <w:numId w:val="283"/>
      </w:numPr>
    </w:pPr>
  </w:style>
  <w:style w:type="numbering" w:customStyle="1" w:styleId="ImportedStyle2311111">
    <w:name w:val="Imported Style 2311111"/>
    <w:rsid w:val="005D3C7A"/>
    <w:pPr>
      <w:numPr>
        <w:numId w:val="284"/>
      </w:numPr>
    </w:pPr>
  </w:style>
  <w:style w:type="numbering" w:customStyle="1" w:styleId="ImportedStyle3311111">
    <w:name w:val="Imported Style 3311111"/>
    <w:rsid w:val="005D3C7A"/>
    <w:pPr>
      <w:numPr>
        <w:numId w:val="285"/>
      </w:numPr>
    </w:pPr>
  </w:style>
  <w:style w:type="numbering" w:customStyle="1" w:styleId="NoList14211">
    <w:name w:val="No List14211"/>
    <w:next w:val="NoList"/>
    <w:uiPriority w:val="99"/>
    <w:semiHidden/>
    <w:unhideWhenUsed/>
    <w:rsid w:val="005D3C7A"/>
  </w:style>
  <w:style w:type="numbering" w:customStyle="1" w:styleId="NoList23211">
    <w:name w:val="No List23211"/>
    <w:next w:val="NoList"/>
    <w:uiPriority w:val="99"/>
    <w:semiHidden/>
    <w:unhideWhenUsed/>
    <w:rsid w:val="005D3C7A"/>
  </w:style>
  <w:style w:type="numbering" w:customStyle="1" w:styleId="NoList114211">
    <w:name w:val="No List114211"/>
    <w:next w:val="NoList"/>
    <w:uiPriority w:val="99"/>
    <w:semiHidden/>
    <w:unhideWhenUsed/>
    <w:rsid w:val="005D3C7A"/>
  </w:style>
  <w:style w:type="numbering" w:customStyle="1" w:styleId="NoList111311111">
    <w:name w:val="No List111311111"/>
    <w:next w:val="NoList"/>
    <w:uiPriority w:val="99"/>
    <w:semiHidden/>
    <w:unhideWhenUsed/>
    <w:rsid w:val="005D3C7A"/>
  </w:style>
  <w:style w:type="numbering" w:customStyle="1" w:styleId="NoList32211">
    <w:name w:val="No List32211"/>
    <w:next w:val="NoList"/>
    <w:uiPriority w:val="99"/>
    <w:semiHidden/>
    <w:unhideWhenUsed/>
    <w:rsid w:val="005D3C7A"/>
  </w:style>
  <w:style w:type="numbering" w:customStyle="1" w:styleId="Stilimportat1311111">
    <w:name w:val="Stil importat 1311111"/>
    <w:rsid w:val="005D3C7A"/>
    <w:pPr>
      <w:numPr>
        <w:numId w:val="316"/>
      </w:numPr>
    </w:pPr>
  </w:style>
  <w:style w:type="numbering" w:customStyle="1" w:styleId="Stilimportat2311111">
    <w:name w:val="Stil importat 2311111"/>
    <w:rsid w:val="005D3C7A"/>
    <w:pPr>
      <w:numPr>
        <w:numId w:val="290"/>
      </w:numPr>
    </w:pPr>
  </w:style>
  <w:style w:type="numbering" w:customStyle="1" w:styleId="Stilimportat3311111">
    <w:name w:val="Stil importat 3311111"/>
    <w:rsid w:val="005D3C7A"/>
    <w:pPr>
      <w:numPr>
        <w:numId w:val="309"/>
      </w:numPr>
    </w:pPr>
  </w:style>
  <w:style w:type="numbering" w:customStyle="1" w:styleId="Stilimportat4311111">
    <w:name w:val="Stil importat 4311111"/>
    <w:rsid w:val="005D3C7A"/>
    <w:pPr>
      <w:numPr>
        <w:numId w:val="311"/>
      </w:numPr>
    </w:pPr>
  </w:style>
  <w:style w:type="numbering" w:customStyle="1" w:styleId="Stilimportat5311111">
    <w:name w:val="Stil importat 5311111"/>
    <w:rsid w:val="005D3C7A"/>
    <w:pPr>
      <w:numPr>
        <w:numId w:val="313"/>
      </w:numPr>
    </w:pPr>
  </w:style>
  <w:style w:type="numbering" w:customStyle="1" w:styleId="Stilimportat6311111">
    <w:name w:val="Stil importat 6311111"/>
    <w:rsid w:val="005D3C7A"/>
    <w:pPr>
      <w:numPr>
        <w:numId w:val="314"/>
      </w:numPr>
    </w:pPr>
  </w:style>
  <w:style w:type="numbering" w:customStyle="1" w:styleId="Stilimportat7311111">
    <w:name w:val="Stil importat 7311111"/>
    <w:rsid w:val="005D3C7A"/>
    <w:pPr>
      <w:numPr>
        <w:numId w:val="315"/>
      </w:numPr>
    </w:pPr>
  </w:style>
  <w:style w:type="numbering" w:customStyle="1" w:styleId="NoList42211">
    <w:name w:val="No List42211"/>
    <w:next w:val="NoList"/>
    <w:uiPriority w:val="99"/>
    <w:semiHidden/>
    <w:unhideWhenUsed/>
    <w:rsid w:val="005D3C7A"/>
  </w:style>
  <w:style w:type="numbering" w:customStyle="1" w:styleId="NoList122211">
    <w:name w:val="No List122211"/>
    <w:next w:val="NoList"/>
    <w:uiPriority w:val="99"/>
    <w:semiHidden/>
    <w:unhideWhenUsed/>
    <w:rsid w:val="005D3C7A"/>
  </w:style>
  <w:style w:type="numbering" w:customStyle="1" w:styleId="NoList212211">
    <w:name w:val="No List212211"/>
    <w:next w:val="NoList"/>
    <w:uiPriority w:val="99"/>
    <w:semiHidden/>
    <w:unhideWhenUsed/>
    <w:rsid w:val="005D3C7A"/>
  </w:style>
  <w:style w:type="numbering" w:customStyle="1" w:styleId="NoList1122211">
    <w:name w:val="No List1122211"/>
    <w:next w:val="NoList"/>
    <w:uiPriority w:val="99"/>
    <w:semiHidden/>
    <w:unhideWhenUsed/>
    <w:rsid w:val="005D3C7A"/>
  </w:style>
  <w:style w:type="table" w:customStyle="1" w:styleId="TableGrid12211">
    <w:name w:val="Table Grid122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211">
    <w:name w:val="No List52211"/>
    <w:next w:val="NoList"/>
    <w:uiPriority w:val="99"/>
    <w:semiHidden/>
    <w:unhideWhenUsed/>
    <w:rsid w:val="005D3C7A"/>
  </w:style>
  <w:style w:type="numbering" w:customStyle="1" w:styleId="Stilimportat14111">
    <w:name w:val="Stil importat 14111"/>
    <w:rsid w:val="005D3C7A"/>
    <w:pPr>
      <w:numPr>
        <w:numId w:val="317"/>
      </w:numPr>
    </w:pPr>
  </w:style>
  <w:style w:type="numbering" w:customStyle="1" w:styleId="Stilimportat24111">
    <w:name w:val="Stil importat 24111"/>
    <w:rsid w:val="005D3C7A"/>
    <w:pPr>
      <w:numPr>
        <w:numId w:val="318"/>
      </w:numPr>
    </w:pPr>
  </w:style>
  <w:style w:type="numbering" w:customStyle="1" w:styleId="Stilimportat341111">
    <w:name w:val="Stil importat 341111"/>
    <w:rsid w:val="005D3C7A"/>
    <w:pPr>
      <w:numPr>
        <w:numId w:val="147"/>
      </w:numPr>
    </w:pPr>
  </w:style>
  <w:style w:type="numbering" w:customStyle="1" w:styleId="Stilimportat441111">
    <w:name w:val="Stil importat 441111"/>
    <w:rsid w:val="005D3C7A"/>
    <w:pPr>
      <w:numPr>
        <w:numId w:val="131"/>
      </w:numPr>
    </w:pPr>
  </w:style>
  <w:style w:type="numbering" w:customStyle="1" w:styleId="Stilimportat54111">
    <w:name w:val="Stil importat 54111"/>
    <w:rsid w:val="005D3C7A"/>
    <w:pPr>
      <w:numPr>
        <w:numId w:val="319"/>
      </w:numPr>
    </w:pPr>
  </w:style>
  <w:style w:type="numbering" w:customStyle="1" w:styleId="Stilimportat64111">
    <w:name w:val="Stil importat 64111"/>
    <w:rsid w:val="005D3C7A"/>
    <w:pPr>
      <w:numPr>
        <w:numId w:val="320"/>
      </w:numPr>
    </w:pPr>
  </w:style>
  <w:style w:type="numbering" w:customStyle="1" w:styleId="Stilimportat74111">
    <w:name w:val="Stil importat 74111"/>
    <w:rsid w:val="005D3C7A"/>
    <w:pPr>
      <w:numPr>
        <w:numId w:val="321"/>
      </w:numPr>
    </w:pPr>
  </w:style>
  <w:style w:type="numbering" w:customStyle="1" w:styleId="ImportedStyle803111111">
    <w:name w:val="Imported Style 803111111"/>
    <w:rsid w:val="005D3C7A"/>
  </w:style>
  <w:style w:type="numbering" w:customStyle="1" w:styleId="NoList1811">
    <w:name w:val="No List1811"/>
    <w:next w:val="NoList"/>
    <w:uiPriority w:val="99"/>
    <w:semiHidden/>
    <w:unhideWhenUsed/>
    <w:rsid w:val="005D3C7A"/>
  </w:style>
  <w:style w:type="numbering" w:customStyle="1" w:styleId="ImportedStyle78511">
    <w:name w:val="Imported Style 78511"/>
    <w:rsid w:val="005D3C7A"/>
    <w:pPr>
      <w:numPr>
        <w:numId w:val="239"/>
      </w:numPr>
    </w:pPr>
  </w:style>
  <w:style w:type="numbering" w:customStyle="1" w:styleId="ImportedStyle780511">
    <w:name w:val="Imported Style 78.0511"/>
    <w:rsid w:val="005D3C7A"/>
    <w:pPr>
      <w:numPr>
        <w:numId w:val="240"/>
      </w:numPr>
    </w:pPr>
  </w:style>
  <w:style w:type="numbering" w:customStyle="1" w:styleId="ImportedStyle80611">
    <w:name w:val="Imported Style 80611"/>
    <w:rsid w:val="005D3C7A"/>
    <w:pPr>
      <w:numPr>
        <w:numId w:val="241"/>
      </w:numPr>
    </w:pPr>
  </w:style>
  <w:style w:type="numbering" w:customStyle="1" w:styleId="ImportedStyle82522">
    <w:name w:val="Imported Style 82522"/>
    <w:rsid w:val="005D3C7A"/>
    <w:pPr>
      <w:numPr>
        <w:numId w:val="4"/>
      </w:numPr>
    </w:pPr>
  </w:style>
  <w:style w:type="numbering" w:customStyle="1" w:styleId="ImportedStyle83522">
    <w:name w:val="Imported Style 83522"/>
    <w:rsid w:val="005D3C7A"/>
    <w:pPr>
      <w:numPr>
        <w:numId w:val="5"/>
      </w:numPr>
    </w:pPr>
  </w:style>
  <w:style w:type="numbering" w:customStyle="1" w:styleId="ImportedStyle114532">
    <w:name w:val="Imported Style 114532"/>
    <w:rsid w:val="005D3C7A"/>
    <w:pPr>
      <w:numPr>
        <w:numId w:val="6"/>
      </w:numPr>
    </w:pPr>
  </w:style>
  <w:style w:type="numbering" w:customStyle="1" w:styleId="ImportedStyle115622">
    <w:name w:val="Imported Style 115622"/>
    <w:rsid w:val="005D3C7A"/>
  </w:style>
  <w:style w:type="numbering" w:customStyle="1" w:styleId="ImportedStyle116522">
    <w:name w:val="Imported Style 116522"/>
    <w:rsid w:val="005D3C7A"/>
    <w:pPr>
      <w:numPr>
        <w:numId w:val="8"/>
      </w:numPr>
    </w:pPr>
  </w:style>
  <w:style w:type="table" w:customStyle="1" w:styleId="TableNormal141">
    <w:name w:val="Table Normal14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5111">
    <w:name w:val="Imported Style 15111"/>
    <w:rsid w:val="005D3C7A"/>
    <w:pPr>
      <w:numPr>
        <w:numId w:val="66"/>
      </w:numPr>
    </w:pPr>
  </w:style>
  <w:style w:type="numbering" w:customStyle="1" w:styleId="ImportedStyle2522">
    <w:name w:val="Imported Style 2522"/>
    <w:rsid w:val="005D3C7A"/>
    <w:pPr>
      <w:numPr>
        <w:numId w:val="10"/>
      </w:numPr>
    </w:pPr>
  </w:style>
  <w:style w:type="numbering" w:customStyle="1" w:styleId="ImportedStyle3522">
    <w:name w:val="Imported Style 3522"/>
    <w:rsid w:val="005D3C7A"/>
    <w:pPr>
      <w:numPr>
        <w:numId w:val="11"/>
      </w:numPr>
    </w:pPr>
  </w:style>
  <w:style w:type="table" w:customStyle="1" w:styleId="TableGrid1141">
    <w:name w:val="Table Grid114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5D3C7A"/>
  </w:style>
  <w:style w:type="table" w:customStyle="1" w:styleId="TableGrid251">
    <w:name w:val="Table Grid25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611">
    <w:name w:val="No List2611"/>
    <w:next w:val="NoList"/>
    <w:uiPriority w:val="99"/>
    <w:semiHidden/>
    <w:unhideWhenUsed/>
    <w:rsid w:val="005D3C7A"/>
  </w:style>
  <w:style w:type="table" w:customStyle="1" w:styleId="TableGrid341">
    <w:name w:val="Table Grid34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711">
    <w:name w:val="No List11711"/>
    <w:next w:val="NoList"/>
    <w:uiPriority w:val="99"/>
    <w:semiHidden/>
    <w:unhideWhenUsed/>
    <w:rsid w:val="005D3C7A"/>
  </w:style>
  <w:style w:type="numbering" w:customStyle="1" w:styleId="NoList111511">
    <w:name w:val="No List111511"/>
    <w:next w:val="NoList"/>
    <w:uiPriority w:val="99"/>
    <w:semiHidden/>
    <w:unhideWhenUsed/>
    <w:rsid w:val="005D3C7A"/>
  </w:style>
  <w:style w:type="table" w:customStyle="1" w:styleId="TableGrid1151">
    <w:name w:val="Table Grid115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11">
    <w:name w:val="No List3511"/>
    <w:next w:val="NoList"/>
    <w:uiPriority w:val="99"/>
    <w:semiHidden/>
    <w:unhideWhenUsed/>
    <w:rsid w:val="005D3C7A"/>
  </w:style>
  <w:style w:type="numbering" w:customStyle="1" w:styleId="Stilimportat1522">
    <w:name w:val="Stil importat 1522"/>
    <w:rsid w:val="005D3C7A"/>
    <w:pPr>
      <w:numPr>
        <w:numId w:val="12"/>
      </w:numPr>
    </w:pPr>
  </w:style>
  <w:style w:type="numbering" w:customStyle="1" w:styleId="Stilimportat25111">
    <w:name w:val="Stil importat 25111"/>
    <w:rsid w:val="005D3C7A"/>
    <w:pPr>
      <w:numPr>
        <w:numId w:val="330"/>
      </w:numPr>
    </w:pPr>
  </w:style>
  <w:style w:type="numbering" w:customStyle="1" w:styleId="Stilimportat3511">
    <w:name w:val="Stil importat 3511"/>
    <w:rsid w:val="005D3C7A"/>
  </w:style>
  <w:style w:type="numbering" w:customStyle="1" w:styleId="Stilimportat4511">
    <w:name w:val="Stil importat 4511"/>
    <w:rsid w:val="005D3C7A"/>
  </w:style>
  <w:style w:type="numbering" w:customStyle="1" w:styleId="Stilimportat5511">
    <w:name w:val="Stil importat 5511"/>
    <w:rsid w:val="005D3C7A"/>
  </w:style>
  <w:style w:type="numbering" w:customStyle="1" w:styleId="Stilimportat6511">
    <w:name w:val="Stil importat 6511"/>
    <w:rsid w:val="005D3C7A"/>
  </w:style>
  <w:style w:type="numbering" w:customStyle="1" w:styleId="Stilimportat7511">
    <w:name w:val="Stil importat 7511"/>
    <w:rsid w:val="005D3C7A"/>
  </w:style>
  <w:style w:type="numbering" w:customStyle="1" w:styleId="NoList4511">
    <w:name w:val="No List4511"/>
    <w:next w:val="NoList"/>
    <w:uiPriority w:val="99"/>
    <w:semiHidden/>
    <w:unhideWhenUsed/>
    <w:rsid w:val="005D3C7A"/>
  </w:style>
  <w:style w:type="numbering" w:customStyle="1" w:styleId="NoList12511">
    <w:name w:val="No List12511"/>
    <w:next w:val="NoList"/>
    <w:uiPriority w:val="99"/>
    <w:semiHidden/>
    <w:unhideWhenUsed/>
    <w:rsid w:val="005D3C7A"/>
  </w:style>
  <w:style w:type="table" w:customStyle="1" w:styleId="TableGrid441">
    <w:name w:val="Table Grid44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511">
    <w:name w:val="No List21511"/>
    <w:next w:val="NoList"/>
    <w:uiPriority w:val="99"/>
    <w:semiHidden/>
    <w:unhideWhenUsed/>
    <w:rsid w:val="005D3C7A"/>
  </w:style>
  <w:style w:type="numbering" w:customStyle="1" w:styleId="NoList112511">
    <w:name w:val="No List112511"/>
    <w:next w:val="NoList"/>
    <w:uiPriority w:val="99"/>
    <w:semiHidden/>
    <w:unhideWhenUsed/>
    <w:rsid w:val="005D3C7A"/>
  </w:style>
  <w:style w:type="table" w:customStyle="1" w:styleId="TableGrid1241">
    <w:name w:val="Table Grid124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511">
    <w:name w:val="No List5511"/>
    <w:next w:val="NoList"/>
    <w:uiPriority w:val="99"/>
    <w:semiHidden/>
    <w:unhideWhenUsed/>
    <w:rsid w:val="005D3C7A"/>
  </w:style>
  <w:style w:type="table" w:customStyle="1" w:styleId="TableGrid541">
    <w:name w:val="Table Grid54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5D3C7A"/>
  </w:style>
  <w:style w:type="table" w:customStyle="1" w:styleId="TableGrid621">
    <w:name w:val="Table Grid621"/>
    <w:basedOn w:val="TableNormal"/>
    <w:next w:val="TableGrid"/>
    <w:uiPriority w:val="39"/>
    <w:rsid w:val="005D3C7A"/>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5D3C7A"/>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59"/>
    <w:rsid w:val="005D3C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802311">
    <w:name w:val="Imported Style 802311"/>
    <w:rsid w:val="005D3C7A"/>
  </w:style>
  <w:style w:type="numbering" w:customStyle="1" w:styleId="ImportedStyle1152311">
    <w:name w:val="Imported Style 1152311"/>
    <w:rsid w:val="005D3C7A"/>
  </w:style>
  <w:style w:type="table" w:customStyle="1" w:styleId="TableGrid911">
    <w:name w:val="Table Grid911"/>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5D3C7A"/>
  </w:style>
  <w:style w:type="table" w:customStyle="1" w:styleId="TableGrid1011">
    <w:name w:val="Table Grid10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1311">
    <w:name w:val="Imported Style 781311"/>
    <w:rsid w:val="005D3C7A"/>
  </w:style>
  <w:style w:type="numbering" w:customStyle="1" w:styleId="ImportedStyle7801311">
    <w:name w:val="Imported Style 78.01311"/>
    <w:rsid w:val="005D3C7A"/>
  </w:style>
  <w:style w:type="numbering" w:customStyle="1" w:styleId="ImportedStyle801311">
    <w:name w:val="Imported Style 801311"/>
    <w:rsid w:val="005D3C7A"/>
  </w:style>
  <w:style w:type="numbering" w:customStyle="1" w:styleId="ImportedStyle821311">
    <w:name w:val="Imported Style 821311"/>
    <w:rsid w:val="005D3C7A"/>
  </w:style>
  <w:style w:type="numbering" w:customStyle="1" w:styleId="ImportedStyle831311">
    <w:name w:val="Imported Style 831311"/>
    <w:rsid w:val="005D3C7A"/>
  </w:style>
  <w:style w:type="numbering" w:customStyle="1" w:styleId="ImportedStyle1141311">
    <w:name w:val="Imported Style 1141311"/>
    <w:rsid w:val="005D3C7A"/>
  </w:style>
  <w:style w:type="numbering" w:customStyle="1" w:styleId="ImportedStyle1151311">
    <w:name w:val="Imported Style 1151311"/>
    <w:rsid w:val="005D3C7A"/>
  </w:style>
  <w:style w:type="numbering" w:customStyle="1" w:styleId="ImportedStyle1161311">
    <w:name w:val="Imported Style 1161311"/>
    <w:rsid w:val="005D3C7A"/>
  </w:style>
  <w:style w:type="table" w:customStyle="1" w:styleId="TableNormal1121">
    <w:name w:val="Table Normal112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1311">
    <w:name w:val="Imported Style 11311"/>
    <w:rsid w:val="005D3C7A"/>
  </w:style>
  <w:style w:type="numbering" w:customStyle="1" w:styleId="ImportedStyle21311">
    <w:name w:val="Imported Style 21311"/>
    <w:rsid w:val="005D3C7A"/>
  </w:style>
  <w:style w:type="numbering" w:customStyle="1" w:styleId="ImportedStyle31311">
    <w:name w:val="Imported Style 31311"/>
    <w:rsid w:val="005D3C7A"/>
  </w:style>
  <w:style w:type="table" w:customStyle="1" w:styleId="TableGrid1321">
    <w:name w:val="Table Grid132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1">
    <w:name w:val="No List13311"/>
    <w:next w:val="NoList"/>
    <w:uiPriority w:val="99"/>
    <w:semiHidden/>
    <w:unhideWhenUsed/>
    <w:rsid w:val="005D3C7A"/>
  </w:style>
  <w:style w:type="table" w:customStyle="1" w:styleId="TableGrid2121">
    <w:name w:val="Table Grid21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311">
    <w:name w:val="No List22311"/>
    <w:next w:val="NoList"/>
    <w:uiPriority w:val="99"/>
    <w:semiHidden/>
    <w:unhideWhenUsed/>
    <w:rsid w:val="005D3C7A"/>
  </w:style>
  <w:style w:type="table" w:customStyle="1" w:styleId="TableGrid3121">
    <w:name w:val="Table Grid31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3311">
    <w:name w:val="No List113311"/>
    <w:next w:val="NoList"/>
    <w:uiPriority w:val="99"/>
    <w:semiHidden/>
    <w:unhideWhenUsed/>
    <w:rsid w:val="005D3C7A"/>
  </w:style>
  <w:style w:type="numbering" w:customStyle="1" w:styleId="NoList1111311">
    <w:name w:val="No List1111311"/>
    <w:next w:val="NoList"/>
    <w:uiPriority w:val="99"/>
    <w:semiHidden/>
    <w:unhideWhenUsed/>
    <w:rsid w:val="005D3C7A"/>
  </w:style>
  <w:style w:type="table" w:customStyle="1" w:styleId="TableGrid11121">
    <w:name w:val="Table Grid111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311">
    <w:name w:val="No List31311"/>
    <w:next w:val="NoList"/>
    <w:uiPriority w:val="99"/>
    <w:semiHidden/>
    <w:unhideWhenUsed/>
    <w:rsid w:val="005D3C7A"/>
  </w:style>
  <w:style w:type="numbering" w:customStyle="1" w:styleId="Stilimportat11311">
    <w:name w:val="Stil importat 11311"/>
    <w:rsid w:val="005D3C7A"/>
  </w:style>
  <w:style w:type="numbering" w:customStyle="1" w:styleId="Stilimportat21311">
    <w:name w:val="Stil importat 21311"/>
    <w:rsid w:val="005D3C7A"/>
  </w:style>
  <w:style w:type="numbering" w:customStyle="1" w:styleId="Stilimportat31311">
    <w:name w:val="Stil importat 31311"/>
    <w:rsid w:val="005D3C7A"/>
  </w:style>
  <w:style w:type="numbering" w:customStyle="1" w:styleId="Stilimportat41311">
    <w:name w:val="Stil importat 41311"/>
    <w:rsid w:val="005D3C7A"/>
  </w:style>
  <w:style w:type="numbering" w:customStyle="1" w:styleId="Stilimportat51311">
    <w:name w:val="Stil importat 51311"/>
    <w:rsid w:val="005D3C7A"/>
  </w:style>
  <w:style w:type="numbering" w:customStyle="1" w:styleId="Stilimportat61311">
    <w:name w:val="Stil importat 61311"/>
    <w:rsid w:val="005D3C7A"/>
    <w:pPr>
      <w:numPr>
        <w:numId w:val="50"/>
      </w:numPr>
    </w:pPr>
  </w:style>
  <w:style w:type="numbering" w:customStyle="1" w:styleId="Stilimportat71311">
    <w:name w:val="Stil importat 71311"/>
    <w:rsid w:val="005D3C7A"/>
    <w:pPr>
      <w:numPr>
        <w:numId w:val="242"/>
      </w:numPr>
    </w:pPr>
  </w:style>
  <w:style w:type="numbering" w:customStyle="1" w:styleId="NoList41311">
    <w:name w:val="No List41311"/>
    <w:next w:val="NoList"/>
    <w:uiPriority w:val="99"/>
    <w:semiHidden/>
    <w:unhideWhenUsed/>
    <w:rsid w:val="005D3C7A"/>
  </w:style>
  <w:style w:type="numbering" w:customStyle="1" w:styleId="NoList121311">
    <w:name w:val="No List121311"/>
    <w:next w:val="NoList"/>
    <w:uiPriority w:val="99"/>
    <w:semiHidden/>
    <w:unhideWhenUsed/>
    <w:rsid w:val="005D3C7A"/>
  </w:style>
  <w:style w:type="table" w:customStyle="1" w:styleId="TableGrid4121">
    <w:name w:val="Table Grid41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311">
    <w:name w:val="No List211311"/>
    <w:next w:val="NoList"/>
    <w:uiPriority w:val="99"/>
    <w:semiHidden/>
    <w:unhideWhenUsed/>
    <w:rsid w:val="005D3C7A"/>
  </w:style>
  <w:style w:type="numbering" w:customStyle="1" w:styleId="NoList1121311">
    <w:name w:val="No List1121311"/>
    <w:next w:val="NoList"/>
    <w:uiPriority w:val="99"/>
    <w:semiHidden/>
    <w:unhideWhenUsed/>
    <w:rsid w:val="005D3C7A"/>
  </w:style>
  <w:style w:type="table" w:customStyle="1" w:styleId="TableGrid12121">
    <w:name w:val="Table Grid121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11">
    <w:name w:val="No List51311"/>
    <w:next w:val="NoList"/>
    <w:uiPriority w:val="99"/>
    <w:semiHidden/>
    <w:unhideWhenUsed/>
    <w:rsid w:val="005D3C7A"/>
  </w:style>
  <w:style w:type="table" w:customStyle="1" w:styleId="TableGrid5121">
    <w:name w:val="Table Grid512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5D3C7A"/>
  </w:style>
  <w:style w:type="table" w:customStyle="1" w:styleId="TableGrid1421">
    <w:name w:val="Table Grid1421"/>
    <w:basedOn w:val="TableNormal"/>
    <w:next w:val="TableGrid"/>
    <w:unhideWhenUsed/>
    <w:locked/>
    <w:rsid w:val="005D3C7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1">
    <w:name w:val="No List9211"/>
    <w:next w:val="NoList"/>
    <w:uiPriority w:val="99"/>
    <w:semiHidden/>
    <w:unhideWhenUsed/>
    <w:rsid w:val="005D3C7A"/>
  </w:style>
  <w:style w:type="table" w:customStyle="1" w:styleId="TableGrid1511">
    <w:name w:val="Table Grid151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ImportedStyle7823111">
    <w:name w:val="Imported Style 7823111"/>
    <w:rsid w:val="005D3C7A"/>
    <w:pPr>
      <w:numPr>
        <w:numId w:val="331"/>
      </w:numPr>
    </w:pPr>
  </w:style>
  <w:style w:type="numbering" w:customStyle="1" w:styleId="ImportedStyle78023111">
    <w:name w:val="Imported Style 78.023111"/>
    <w:rsid w:val="005D3C7A"/>
    <w:pPr>
      <w:numPr>
        <w:numId w:val="15"/>
      </w:numPr>
    </w:pPr>
  </w:style>
  <w:style w:type="numbering" w:customStyle="1" w:styleId="ImportedStyle8032111">
    <w:name w:val="Imported Style 8032111"/>
    <w:rsid w:val="005D3C7A"/>
    <w:pPr>
      <w:numPr>
        <w:numId w:val="16"/>
      </w:numPr>
    </w:pPr>
  </w:style>
  <w:style w:type="numbering" w:customStyle="1" w:styleId="ImportedStyle822311">
    <w:name w:val="Imported Style 822311"/>
    <w:rsid w:val="005D3C7A"/>
  </w:style>
  <w:style w:type="numbering" w:customStyle="1" w:styleId="ImportedStyle832311">
    <w:name w:val="Imported Style 832311"/>
    <w:rsid w:val="005D3C7A"/>
  </w:style>
  <w:style w:type="numbering" w:customStyle="1" w:styleId="ImportedStyle1142311">
    <w:name w:val="Imported Style 1142311"/>
    <w:rsid w:val="005D3C7A"/>
  </w:style>
  <w:style w:type="numbering" w:customStyle="1" w:styleId="ImportedStyle1153211">
    <w:name w:val="Imported Style 1153211"/>
    <w:rsid w:val="005D3C7A"/>
  </w:style>
  <w:style w:type="numbering" w:customStyle="1" w:styleId="ImportedStyle1162311">
    <w:name w:val="Imported Style 1162311"/>
    <w:rsid w:val="005D3C7A"/>
  </w:style>
  <w:style w:type="table" w:customStyle="1" w:styleId="TableNormal1221">
    <w:name w:val="Table Normal1221"/>
    <w:rsid w:val="005D3C7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o-RO"/>
    </w:rPr>
    <w:tblPr>
      <w:tblInd w:w="0" w:type="dxa"/>
      <w:tblCellMar>
        <w:top w:w="0" w:type="dxa"/>
        <w:left w:w="0" w:type="dxa"/>
        <w:bottom w:w="0" w:type="dxa"/>
        <w:right w:w="0" w:type="dxa"/>
      </w:tblCellMar>
    </w:tblPr>
  </w:style>
  <w:style w:type="numbering" w:customStyle="1" w:styleId="ImportedStyle12311">
    <w:name w:val="Imported Style 12311"/>
    <w:rsid w:val="005D3C7A"/>
  </w:style>
  <w:style w:type="numbering" w:customStyle="1" w:styleId="ImportedStyle22311">
    <w:name w:val="Imported Style 22311"/>
    <w:rsid w:val="005D3C7A"/>
  </w:style>
  <w:style w:type="numbering" w:customStyle="1" w:styleId="ImportedStyle32311">
    <w:name w:val="Imported Style 32311"/>
    <w:rsid w:val="005D3C7A"/>
  </w:style>
  <w:style w:type="table" w:customStyle="1" w:styleId="TableGrid1611">
    <w:name w:val="Table Grid1611"/>
    <w:basedOn w:val="TableNormal"/>
    <w:next w:val="TableGrid"/>
    <w:uiPriority w:val="39"/>
    <w:rsid w:val="005D3C7A"/>
    <w:pPr>
      <w:spacing w:after="0" w:line="240" w:lineRule="auto"/>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1">
    <w:name w:val="No List14311"/>
    <w:next w:val="NoList"/>
    <w:uiPriority w:val="99"/>
    <w:semiHidden/>
    <w:unhideWhenUsed/>
    <w:rsid w:val="005D3C7A"/>
  </w:style>
  <w:style w:type="table" w:customStyle="1" w:styleId="TableGrid2221">
    <w:name w:val="Table Grid2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311">
    <w:name w:val="No List23311"/>
    <w:next w:val="NoList"/>
    <w:uiPriority w:val="99"/>
    <w:semiHidden/>
    <w:unhideWhenUsed/>
    <w:rsid w:val="005D3C7A"/>
  </w:style>
  <w:style w:type="table" w:customStyle="1" w:styleId="TableGrid3221">
    <w:name w:val="Table Grid32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4311">
    <w:name w:val="No List114311"/>
    <w:next w:val="NoList"/>
    <w:uiPriority w:val="99"/>
    <w:semiHidden/>
    <w:unhideWhenUsed/>
    <w:rsid w:val="005D3C7A"/>
  </w:style>
  <w:style w:type="numbering" w:customStyle="1" w:styleId="NoList1112311">
    <w:name w:val="No List1112311"/>
    <w:next w:val="NoList"/>
    <w:uiPriority w:val="99"/>
    <w:semiHidden/>
    <w:unhideWhenUsed/>
    <w:rsid w:val="005D3C7A"/>
  </w:style>
  <w:style w:type="table" w:customStyle="1" w:styleId="TableGrid11221">
    <w:name w:val="Table Grid11221"/>
    <w:basedOn w:val="TableNormal"/>
    <w:next w:val="TableGrid"/>
    <w:uiPriority w:val="5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311">
    <w:name w:val="No List32311"/>
    <w:next w:val="NoList"/>
    <w:uiPriority w:val="99"/>
    <w:semiHidden/>
    <w:unhideWhenUsed/>
    <w:rsid w:val="005D3C7A"/>
  </w:style>
  <w:style w:type="numbering" w:customStyle="1" w:styleId="Stilimportat12311">
    <w:name w:val="Stil importat 12311"/>
    <w:rsid w:val="005D3C7A"/>
  </w:style>
  <w:style w:type="numbering" w:customStyle="1" w:styleId="Stilimportat22311">
    <w:name w:val="Stil importat 22311"/>
    <w:rsid w:val="005D3C7A"/>
  </w:style>
  <w:style w:type="numbering" w:customStyle="1" w:styleId="Stilimportat32311">
    <w:name w:val="Stil importat 32311"/>
    <w:rsid w:val="005D3C7A"/>
  </w:style>
  <w:style w:type="numbering" w:customStyle="1" w:styleId="Stilimportat42311">
    <w:name w:val="Stil importat 42311"/>
    <w:rsid w:val="005D3C7A"/>
  </w:style>
  <w:style w:type="numbering" w:customStyle="1" w:styleId="Stilimportat52311">
    <w:name w:val="Stil importat 52311"/>
    <w:rsid w:val="005D3C7A"/>
  </w:style>
  <w:style w:type="numbering" w:customStyle="1" w:styleId="Stilimportat62311">
    <w:name w:val="Stil importat 62311"/>
    <w:rsid w:val="005D3C7A"/>
  </w:style>
  <w:style w:type="numbering" w:customStyle="1" w:styleId="Stilimportat72311">
    <w:name w:val="Stil importat 72311"/>
    <w:rsid w:val="005D3C7A"/>
  </w:style>
  <w:style w:type="numbering" w:customStyle="1" w:styleId="NoList42311">
    <w:name w:val="No List42311"/>
    <w:next w:val="NoList"/>
    <w:uiPriority w:val="99"/>
    <w:semiHidden/>
    <w:unhideWhenUsed/>
    <w:rsid w:val="005D3C7A"/>
  </w:style>
  <w:style w:type="numbering" w:customStyle="1" w:styleId="NoList122311">
    <w:name w:val="No List122311"/>
    <w:next w:val="NoList"/>
    <w:uiPriority w:val="99"/>
    <w:semiHidden/>
    <w:unhideWhenUsed/>
    <w:rsid w:val="005D3C7A"/>
  </w:style>
  <w:style w:type="table" w:customStyle="1" w:styleId="TableGrid4221">
    <w:name w:val="Table Grid4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2311">
    <w:name w:val="No List212311"/>
    <w:next w:val="NoList"/>
    <w:uiPriority w:val="99"/>
    <w:semiHidden/>
    <w:unhideWhenUsed/>
    <w:rsid w:val="005D3C7A"/>
  </w:style>
  <w:style w:type="numbering" w:customStyle="1" w:styleId="NoList1122311">
    <w:name w:val="No List1122311"/>
    <w:next w:val="NoList"/>
    <w:uiPriority w:val="99"/>
    <w:semiHidden/>
    <w:unhideWhenUsed/>
    <w:rsid w:val="005D3C7A"/>
  </w:style>
  <w:style w:type="table" w:customStyle="1" w:styleId="TableGrid12221">
    <w:name w:val="Table Grid12221"/>
    <w:basedOn w:val="TableNormal"/>
    <w:next w:val="TableGrid"/>
    <w:uiPriority w:val="39"/>
    <w:rsid w:val="005D3C7A"/>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11">
    <w:name w:val="No List52311"/>
    <w:next w:val="NoList"/>
    <w:uiPriority w:val="99"/>
    <w:semiHidden/>
    <w:unhideWhenUsed/>
    <w:rsid w:val="005D3C7A"/>
  </w:style>
  <w:style w:type="table" w:customStyle="1" w:styleId="TableGrid5221">
    <w:name w:val="Table Grid5221"/>
    <w:basedOn w:val="TableNormal"/>
    <w:next w:val="TableGrid"/>
    <w:uiPriority w:val="59"/>
    <w:rsid w:val="005D3C7A"/>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1">
    <w:name w:val="No List101111"/>
    <w:next w:val="NoList"/>
    <w:uiPriority w:val="99"/>
    <w:semiHidden/>
    <w:unhideWhenUsed/>
    <w:rsid w:val="005D3C7A"/>
  </w:style>
  <w:style w:type="table" w:customStyle="1" w:styleId="TableGrid1811">
    <w:name w:val="Table Grid1811"/>
    <w:basedOn w:val="TableNormal"/>
    <w:next w:val="TableGrid"/>
    <w:uiPriority w:val="39"/>
    <w:rsid w:val="005D3C7A"/>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111">
    <w:name w:val="No List1511111"/>
    <w:next w:val="NoList"/>
    <w:uiPriority w:val="99"/>
    <w:semiHidden/>
    <w:unhideWhenUsed/>
    <w:rsid w:val="005D3C7A"/>
  </w:style>
  <w:style w:type="table" w:customStyle="1" w:styleId="TableGrid1911">
    <w:name w:val="Table Grid1911"/>
    <w:basedOn w:val="TableNormal"/>
    <w:next w:val="TableGrid"/>
    <w:uiPriority w:val="39"/>
    <w:rsid w:val="005D3C7A"/>
    <w:pPr>
      <w:spacing w:after="0" w:line="240" w:lineRule="auto"/>
    </w:pPr>
    <w:rPr>
      <w:rFonts w:ascii="Cambria" w:eastAsia="Times New Roman" w:hAnsi="Cambria"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1111">
    <w:name w:val="No List2411111"/>
    <w:next w:val="NoList"/>
    <w:uiPriority w:val="99"/>
    <w:semiHidden/>
    <w:unhideWhenUsed/>
    <w:rsid w:val="005D3C7A"/>
  </w:style>
  <w:style w:type="numbering" w:customStyle="1" w:styleId="NoList3311111">
    <w:name w:val="No List3311111"/>
    <w:next w:val="NoList"/>
    <w:uiPriority w:val="99"/>
    <w:semiHidden/>
    <w:unhideWhenUsed/>
    <w:rsid w:val="005D3C7A"/>
  </w:style>
  <w:style w:type="numbering" w:customStyle="1" w:styleId="NoList4311111">
    <w:name w:val="No List4311111"/>
    <w:next w:val="NoList"/>
    <w:uiPriority w:val="99"/>
    <w:semiHidden/>
    <w:unhideWhenUsed/>
    <w:rsid w:val="005D3C7A"/>
  </w:style>
  <w:style w:type="numbering" w:customStyle="1" w:styleId="NoList5311111">
    <w:name w:val="No List5311111"/>
    <w:next w:val="NoList"/>
    <w:uiPriority w:val="99"/>
    <w:semiHidden/>
    <w:unhideWhenUsed/>
    <w:rsid w:val="005D3C7A"/>
  </w:style>
  <w:style w:type="numbering" w:customStyle="1" w:styleId="ImportedStyle11111111">
    <w:name w:val="Imported Style 11111111"/>
    <w:rsid w:val="005D3C7A"/>
    <w:pPr>
      <w:numPr>
        <w:numId w:val="254"/>
      </w:numPr>
    </w:pPr>
  </w:style>
  <w:style w:type="numbering" w:customStyle="1" w:styleId="ImportedStyle31111111">
    <w:name w:val="Imported Style 31111111"/>
    <w:rsid w:val="005D3C7A"/>
    <w:pPr>
      <w:numPr>
        <w:numId w:val="255"/>
      </w:numPr>
    </w:pPr>
  </w:style>
  <w:style w:type="numbering" w:customStyle="1" w:styleId="ImportedStyle441111">
    <w:name w:val="Imported Style 441111"/>
    <w:rsid w:val="005D3C7A"/>
    <w:pPr>
      <w:numPr>
        <w:numId w:val="256"/>
      </w:numPr>
    </w:pPr>
  </w:style>
  <w:style w:type="numbering" w:customStyle="1" w:styleId="ImportedStyle78311111">
    <w:name w:val="Imported Style 78311111"/>
    <w:rsid w:val="005D3C7A"/>
  </w:style>
  <w:style w:type="numbering" w:customStyle="1" w:styleId="ImportedStyle780311111">
    <w:name w:val="Imported Style 78.0311111"/>
    <w:rsid w:val="005D3C7A"/>
  </w:style>
  <w:style w:type="numbering" w:customStyle="1" w:styleId="ImportedStyle80411111">
    <w:name w:val="Imported Style 80411111"/>
    <w:rsid w:val="005D3C7A"/>
    <w:pPr>
      <w:numPr>
        <w:numId w:val="19"/>
      </w:numPr>
    </w:pPr>
  </w:style>
  <w:style w:type="numbering" w:customStyle="1" w:styleId="ImportedStyle82311111">
    <w:name w:val="Imported Style 82311111"/>
    <w:rsid w:val="005D3C7A"/>
    <w:pPr>
      <w:numPr>
        <w:numId w:val="20"/>
      </w:numPr>
    </w:pPr>
  </w:style>
  <w:style w:type="numbering" w:customStyle="1" w:styleId="ImportedStyle83311111">
    <w:name w:val="Imported Style 83311111"/>
    <w:rsid w:val="005D3C7A"/>
    <w:pPr>
      <w:numPr>
        <w:numId w:val="21"/>
      </w:numPr>
    </w:pPr>
  </w:style>
  <w:style w:type="numbering" w:customStyle="1" w:styleId="ImportedStyle114311111">
    <w:name w:val="Imported Style 114311111"/>
    <w:rsid w:val="005D3C7A"/>
    <w:pPr>
      <w:numPr>
        <w:numId w:val="22"/>
      </w:numPr>
    </w:pPr>
  </w:style>
  <w:style w:type="numbering" w:customStyle="1" w:styleId="ImportedStyle115411111">
    <w:name w:val="Imported Style 115411111"/>
    <w:rsid w:val="005D3C7A"/>
    <w:pPr>
      <w:numPr>
        <w:numId w:val="340"/>
      </w:numPr>
    </w:pPr>
  </w:style>
  <w:style w:type="numbering" w:customStyle="1" w:styleId="ImportedStyle116311111">
    <w:name w:val="Imported Style 116311111"/>
    <w:rsid w:val="005D3C7A"/>
    <w:pPr>
      <w:numPr>
        <w:numId w:val="24"/>
      </w:numPr>
    </w:pPr>
  </w:style>
  <w:style w:type="numbering" w:customStyle="1" w:styleId="ImportedStyle13211">
    <w:name w:val="Imported Style 13211"/>
    <w:rsid w:val="005D3C7A"/>
    <w:pPr>
      <w:numPr>
        <w:numId w:val="25"/>
      </w:numPr>
    </w:pPr>
  </w:style>
  <w:style w:type="numbering" w:customStyle="1" w:styleId="ImportedStyle23211">
    <w:name w:val="Imported Style 23211"/>
    <w:rsid w:val="005D3C7A"/>
    <w:pPr>
      <w:numPr>
        <w:numId w:val="26"/>
      </w:numPr>
    </w:pPr>
  </w:style>
  <w:style w:type="numbering" w:customStyle="1" w:styleId="ImportedStyle33211">
    <w:name w:val="Imported Style 33211"/>
    <w:rsid w:val="005D3C7A"/>
    <w:pPr>
      <w:numPr>
        <w:numId w:val="27"/>
      </w:numPr>
    </w:pPr>
  </w:style>
  <w:style w:type="numbering" w:customStyle="1" w:styleId="NoList11511111">
    <w:name w:val="No List11511111"/>
    <w:next w:val="NoList"/>
    <w:uiPriority w:val="99"/>
    <w:semiHidden/>
    <w:unhideWhenUsed/>
    <w:rsid w:val="005D3C7A"/>
  </w:style>
  <w:style w:type="numbering" w:customStyle="1" w:styleId="NoList1113211">
    <w:name w:val="No List1113211"/>
    <w:next w:val="NoList"/>
    <w:uiPriority w:val="99"/>
    <w:semiHidden/>
    <w:unhideWhenUsed/>
    <w:rsid w:val="005D3C7A"/>
  </w:style>
  <w:style w:type="numbering" w:customStyle="1" w:styleId="Stilimportat13211">
    <w:name w:val="Stil importat 13211"/>
    <w:rsid w:val="005D3C7A"/>
    <w:pPr>
      <w:numPr>
        <w:numId w:val="28"/>
      </w:numPr>
    </w:pPr>
  </w:style>
  <w:style w:type="numbering" w:customStyle="1" w:styleId="Stilimportat23211">
    <w:name w:val="Stil importat 23211"/>
    <w:rsid w:val="005D3C7A"/>
    <w:pPr>
      <w:numPr>
        <w:numId w:val="29"/>
      </w:numPr>
    </w:pPr>
  </w:style>
  <w:style w:type="numbering" w:customStyle="1" w:styleId="Stilimportat33211">
    <w:name w:val="Stil importat 33211"/>
    <w:rsid w:val="005D3C7A"/>
    <w:pPr>
      <w:numPr>
        <w:numId w:val="30"/>
      </w:numPr>
    </w:pPr>
  </w:style>
  <w:style w:type="numbering" w:customStyle="1" w:styleId="Stilimportat43211">
    <w:name w:val="Stil importat 43211"/>
    <w:rsid w:val="005D3C7A"/>
    <w:pPr>
      <w:numPr>
        <w:numId w:val="31"/>
      </w:numPr>
    </w:pPr>
  </w:style>
  <w:style w:type="numbering" w:customStyle="1" w:styleId="Stilimportat53211">
    <w:name w:val="Stil importat 53211"/>
    <w:rsid w:val="005D3C7A"/>
    <w:pPr>
      <w:numPr>
        <w:numId w:val="32"/>
      </w:numPr>
    </w:pPr>
  </w:style>
  <w:style w:type="numbering" w:customStyle="1" w:styleId="Stilimportat63211">
    <w:name w:val="Stil importat 63211"/>
    <w:rsid w:val="005D3C7A"/>
    <w:pPr>
      <w:numPr>
        <w:numId w:val="33"/>
      </w:numPr>
    </w:pPr>
  </w:style>
  <w:style w:type="numbering" w:customStyle="1" w:styleId="Stilimportat73211">
    <w:name w:val="Stil importat 73211"/>
    <w:rsid w:val="005D3C7A"/>
    <w:pPr>
      <w:numPr>
        <w:numId w:val="34"/>
      </w:numPr>
    </w:pPr>
  </w:style>
  <w:style w:type="numbering" w:customStyle="1" w:styleId="NoList12311111">
    <w:name w:val="No List12311111"/>
    <w:next w:val="NoList"/>
    <w:uiPriority w:val="99"/>
    <w:semiHidden/>
    <w:unhideWhenUsed/>
    <w:rsid w:val="005D3C7A"/>
  </w:style>
  <w:style w:type="numbering" w:customStyle="1" w:styleId="NoList21311111">
    <w:name w:val="No List21311111"/>
    <w:next w:val="NoList"/>
    <w:uiPriority w:val="99"/>
    <w:semiHidden/>
    <w:unhideWhenUsed/>
    <w:rsid w:val="005D3C7A"/>
  </w:style>
  <w:style w:type="numbering" w:customStyle="1" w:styleId="NoList112311111">
    <w:name w:val="No List112311111"/>
    <w:next w:val="NoList"/>
    <w:uiPriority w:val="99"/>
    <w:semiHidden/>
    <w:unhideWhenUsed/>
    <w:rsid w:val="005D3C7A"/>
  </w:style>
  <w:style w:type="numbering" w:customStyle="1" w:styleId="NoList6111111">
    <w:name w:val="No List6111111"/>
    <w:next w:val="NoList"/>
    <w:uiPriority w:val="99"/>
    <w:semiHidden/>
    <w:unhideWhenUsed/>
    <w:rsid w:val="005D3C7A"/>
  </w:style>
  <w:style w:type="numbering" w:customStyle="1" w:styleId="ImportedStyle802111111">
    <w:name w:val="Imported Style 802111111"/>
    <w:rsid w:val="005D3C7A"/>
    <w:pPr>
      <w:numPr>
        <w:numId w:val="48"/>
      </w:numPr>
    </w:pPr>
  </w:style>
  <w:style w:type="numbering" w:customStyle="1" w:styleId="ImportedStyle1152111111">
    <w:name w:val="Imported Style 1152111111"/>
    <w:rsid w:val="005D3C7A"/>
    <w:pPr>
      <w:numPr>
        <w:numId w:val="49"/>
      </w:numPr>
    </w:pPr>
  </w:style>
  <w:style w:type="numbering" w:customStyle="1" w:styleId="NoList7111111">
    <w:name w:val="No List7111111"/>
    <w:next w:val="NoList"/>
    <w:uiPriority w:val="99"/>
    <w:semiHidden/>
    <w:unhideWhenUsed/>
    <w:rsid w:val="005D3C7A"/>
  </w:style>
  <w:style w:type="numbering" w:customStyle="1" w:styleId="ImportedStyle781111111">
    <w:name w:val="Imported Style 781111111"/>
    <w:rsid w:val="005D3C7A"/>
  </w:style>
  <w:style w:type="numbering" w:customStyle="1" w:styleId="ImportedStyle78011211">
    <w:name w:val="Imported Style 78.011211"/>
    <w:rsid w:val="005D3C7A"/>
    <w:pPr>
      <w:numPr>
        <w:numId w:val="53"/>
      </w:numPr>
    </w:pPr>
  </w:style>
  <w:style w:type="numbering" w:customStyle="1" w:styleId="ImportedStyle801111111">
    <w:name w:val="Imported Style 801111111"/>
    <w:rsid w:val="005D3C7A"/>
    <w:pPr>
      <w:numPr>
        <w:numId w:val="244"/>
      </w:numPr>
    </w:pPr>
  </w:style>
  <w:style w:type="numbering" w:customStyle="1" w:styleId="ImportedStyle821111111">
    <w:name w:val="Imported Style 821111111"/>
    <w:rsid w:val="005D3C7A"/>
    <w:pPr>
      <w:numPr>
        <w:numId w:val="70"/>
      </w:numPr>
    </w:pPr>
  </w:style>
  <w:style w:type="numbering" w:customStyle="1" w:styleId="ImportedStyle83112111">
    <w:name w:val="Imported Style 83112111"/>
    <w:rsid w:val="005D3C7A"/>
    <w:pPr>
      <w:numPr>
        <w:numId w:val="71"/>
      </w:numPr>
    </w:pPr>
  </w:style>
  <w:style w:type="numbering" w:customStyle="1" w:styleId="ImportedStyle11411211">
    <w:name w:val="Imported Style 11411211"/>
    <w:rsid w:val="005D3C7A"/>
    <w:pPr>
      <w:numPr>
        <w:numId w:val="245"/>
      </w:numPr>
    </w:pPr>
  </w:style>
  <w:style w:type="numbering" w:customStyle="1" w:styleId="ImportedStyle1151111111">
    <w:name w:val="Imported Style 1151111111"/>
    <w:rsid w:val="005D3C7A"/>
    <w:pPr>
      <w:numPr>
        <w:numId w:val="246"/>
      </w:numPr>
    </w:pPr>
  </w:style>
  <w:style w:type="numbering" w:customStyle="1" w:styleId="ImportedStyle1161111111">
    <w:name w:val="Imported Style 1161111111"/>
    <w:rsid w:val="005D3C7A"/>
    <w:pPr>
      <w:numPr>
        <w:numId w:val="247"/>
      </w:numPr>
    </w:pPr>
  </w:style>
  <w:style w:type="numbering" w:customStyle="1" w:styleId="ImportedStyle21111111">
    <w:name w:val="Imported Style 21111111"/>
    <w:rsid w:val="005D3C7A"/>
    <w:pPr>
      <w:numPr>
        <w:numId w:val="248"/>
      </w:numPr>
    </w:pPr>
  </w:style>
  <w:style w:type="numbering" w:customStyle="1" w:styleId="NoList13111111">
    <w:name w:val="No List13111111"/>
    <w:next w:val="NoList"/>
    <w:uiPriority w:val="99"/>
    <w:semiHidden/>
    <w:unhideWhenUsed/>
    <w:rsid w:val="005D3C7A"/>
  </w:style>
  <w:style w:type="numbering" w:customStyle="1" w:styleId="NoList22111111">
    <w:name w:val="No List22111111"/>
    <w:next w:val="NoList"/>
    <w:uiPriority w:val="99"/>
    <w:semiHidden/>
    <w:unhideWhenUsed/>
    <w:rsid w:val="005D3C7A"/>
  </w:style>
  <w:style w:type="numbering" w:customStyle="1" w:styleId="NoList113111111">
    <w:name w:val="No List113111111"/>
    <w:next w:val="NoList"/>
    <w:uiPriority w:val="99"/>
    <w:semiHidden/>
    <w:unhideWhenUsed/>
    <w:rsid w:val="005D3C7A"/>
  </w:style>
  <w:style w:type="numbering" w:customStyle="1" w:styleId="NoList11111211">
    <w:name w:val="No List11111211"/>
    <w:next w:val="NoList"/>
    <w:uiPriority w:val="99"/>
    <w:semiHidden/>
    <w:unhideWhenUsed/>
    <w:rsid w:val="005D3C7A"/>
  </w:style>
  <w:style w:type="numbering" w:customStyle="1" w:styleId="NoList31111111">
    <w:name w:val="No List31111111"/>
    <w:next w:val="NoList"/>
    <w:uiPriority w:val="99"/>
    <w:semiHidden/>
    <w:unhideWhenUsed/>
    <w:rsid w:val="005D3C7A"/>
  </w:style>
  <w:style w:type="numbering" w:customStyle="1" w:styleId="Stilimportat11111111">
    <w:name w:val="Stil importat 11111111"/>
    <w:rsid w:val="005D3C7A"/>
    <w:pPr>
      <w:numPr>
        <w:numId w:val="249"/>
      </w:numPr>
    </w:pPr>
  </w:style>
  <w:style w:type="numbering" w:customStyle="1" w:styleId="Stilimportat21111111">
    <w:name w:val="Stil importat 21111111"/>
    <w:rsid w:val="005D3C7A"/>
    <w:pPr>
      <w:numPr>
        <w:numId w:val="250"/>
      </w:numPr>
    </w:pPr>
  </w:style>
  <w:style w:type="numbering" w:customStyle="1" w:styleId="Stilimportat31111111">
    <w:name w:val="Stil importat 31111111"/>
    <w:rsid w:val="005D3C7A"/>
    <w:pPr>
      <w:numPr>
        <w:numId w:val="251"/>
      </w:numPr>
    </w:pPr>
  </w:style>
  <w:style w:type="numbering" w:customStyle="1" w:styleId="Stilimportat41111111">
    <w:name w:val="Stil importat 41111111"/>
    <w:rsid w:val="005D3C7A"/>
    <w:pPr>
      <w:numPr>
        <w:numId w:val="252"/>
      </w:numPr>
    </w:pPr>
  </w:style>
  <w:style w:type="numbering" w:customStyle="1" w:styleId="Stilimportat51111111">
    <w:name w:val="Stil importat 51111111"/>
    <w:rsid w:val="005D3C7A"/>
    <w:pPr>
      <w:numPr>
        <w:numId w:val="260"/>
      </w:numPr>
    </w:pPr>
  </w:style>
  <w:style w:type="numbering" w:customStyle="1" w:styleId="Stilimportat61111111">
    <w:name w:val="Stil importat 61111111"/>
    <w:rsid w:val="005D3C7A"/>
    <w:pPr>
      <w:numPr>
        <w:numId w:val="261"/>
      </w:numPr>
    </w:pPr>
  </w:style>
  <w:style w:type="numbering" w:customStyle="1" w:styleId="Stilimportat71111111">
    <w:name w:val="Stil importat 71111111"/>
    <w:rsid w:val="005D3C7A"/>
    <w:pPr>
      <w:numPr>
        <w:numId w:val="243"/>
      </w:numPr>
    </w:pPr>
  </w:style>
  <w:style w:type="numbering" w:customStyle="1" w:styleId="NoList41111111">
    <w:name w:val="No List41111111"/>
    <w:next w:val="NoList"/>
    <w:uiPriority w:val="99"/>
    <w:semiHidden/>
    <w:unhideWhenUsed/>
    <w:rsid w:val="005D3C7A"/>
  </w:style>
  <w:style w:type="numbering" w:customStyle="1" w:styleId="NoList121111111">
    <w:name w:val="No List121111111"/>
    <w:next w:val="NoList"/>
    <w:uiPriority w:val="99"/>
    <w:semiHidden/>
    <w:unhideWhenUsed/>
    <w:rsid w:val="005D3C7A"/>
  </w:style>
  <w:style w:type="numbering" w:customStyle="1" w:styleId="NoList211111111">
    <w:name w:val="No List211111111"/>
    <w:next w:val="NoList"/>
    <w:uiPriority w:val="99"/>
    <w:semiHidden/>
    <w:unhideWhenUsed/>
    <w:rsid w:val="005D3C7A"/>
  </w:style>
  <w:style w:type="numbering" w:customStyle="1" w:styleId="NoList1121111111">
    <w:name w:val="No List1121111111"/>
    <w:next w:val="NoList"/>
    <w:uiPriority w:val="99"/>
    <w:semiHidden/>
    <w:unhideWhenUsed/>
    <w:rsid w:val="005D3C7A"/>
  </w:style>
  <w:style w:type="numbering" w:customStyle="1" w:styleId="NoList51111111">
    <w:name w:val="No List51111111"/>
    <w:next w:val="NoList"/>
    <w:uiPriority w:val="99"/>
    <w:semiHidden/>
    <w:unhideWhenUsed/>
    <w:rsid w:val="005D3C7A"/>
  </w:style>
  <w:style w:type="numbering" w:customStyle="1" w:styleId="NoList8111111">
    <w:name w:val="No List8111111"/>
    <w:next w:val="NoList"/>
    <w:uiPriority w:val="99"/>
    <w:semiHidden/>
    <w:unhideWhenUsed/>
    <w:rsid w:val="005D3C7A"/>
  </w:style>
  <w:style w:type="numbering" w:customStyle="1" w:styleId="NoList9111111">
    <w:name w:val="No List9111111"/>
    <w:next w:val="NoList"/>
    <w:uiPriority w:val="99"/>
    <w:semiHidden/>
    <w:unhideWhenUsed/>
    <w:rsid w:val="005D3C7A"/>
  </w:style>
  <w:style w:type="numbering" w:customStyle="1" w:styleId="ImportedStyle782111111">
    <w:name w:val="Imported Style 782111111"/>
    <w:rsid w:val="005D3C7A"/>
    <w:pPr>
      <w:numPr>
        <w:numId w:val="257"/>
      </w:numPr>
    </w:pPr>
  </w:style>
  <w:style w:type="numbering" w:customStyle="1" w:styleId="ImportedStyle7802111111">
    <w:name w:val="Imported Style 78.02111111"/>
    <w:rsid w:val="005D3C7A"/>
    <w:pPr>
      <w:numPr>
        <w:numId w:val="258"/>
      </w:numPr>
    </w:pPr>
  </w:style>
  <w:style w:type="numbering" w:customStyle="1" w:styleId="ImportedStyle8031211">
    <w:name w:val="Imported Style 8031211"/>
    <w:rsid w:val="005D3C7A"/>
    <w:pPr>
      <w:numPr>
        <w:numId w:val="259"/>
      </w:numPr>
    </w:pPr>
  </w:style>
  <w:style w:type="numbering" w:customStyle="1" w:styleId="ImportedStyle822111111">
    <w:name w:val="Imported Style 822111111"/>
    <w:rsid w:val="005D3C7A"/>
    <w:pPr>
      <w:numPr>
        <w:numId w:val="17"/>
      </w:numPr>
    </w:pPr>
  </w:style>
  <w:style w:type="numbering" w:customStyle="1" w:styleId="ImportedStyle832111111">
    <w:name w:val="Imported Style 832111111"/>
    <w:rsid w:val="005D3C7A"/>
    <w:pPr>
      <w:numPr>
        <w:numId w:val="18"/>
      </w:numPr>
    </w:pPr>
  </w:style>
  <w:style w:type="numbering" w:customStyle="1" w:styleId="ImportedStyle1142111111">
    <w:name w:val="Imported Style 1142111111"/>
    <w:rsid w:val="005D3C7A"/>
    <w:pPr>
      <w:numPr>
        <w:numId w:val="35"/>
      </w:numPr>
    </w:pPr>
  </w:style>
  <w:style w:type="numbering" w:customStyle="1" w:styleId="ImportedStyle1153111111">
    <w:name w:val="Imported Style 1153111111"/>
    <w:rsid w:val="005D3C7A"/>
    <w:pPr>
      <w:numPr>
        <w:numId w:val="36"/>
      </w:numPr>
    </w:pPr>
  </w:style>
  <w:style w:type="numbering" w:customStyle="1" w:styleId="ImportedStyle1162111111">
    <w:name w:val="Imported Style 1162111111"/>
    <w:rsid w:val="005D3C7A"/>
  </w:style>
  <w:style w:type="numbering" w:customStyle="1" w:styleId="ImportedStyle12111111">
    <w:name w:val="Imported Style 12111111"/>
    <w:rsid w:val="005D3C7A"/>
    <w:pPr>
      <w:numPr>
        <w:numId w:val="38"/>
      </w:numPr>
    </w:pPr>
  </w:style>
  <w:style w:type="numbering" w:customStyle="1" w:styleId="ImportedStyle22111111">
    <w:name w:val="Imported Style 22111111"/>
    <w:rsid w:val="005D3C7A"/>
  </w:style>
  <w:style w:type="numbering" w:customStyle="1" w:styleId="ImportedStyle32111111">
    <w:name w:val="Imported Style 32111111"/>
    <w:rsid w:val="005D3C7A"/>
    <w:pPr>
      <w:numPr>
        <w:numId w:val="40"/>
      </w:numPr>
    </w:pPr>
  </w:style>
  <w:style w:type="numbering" w:customStyle="1" w:styleId="NoList14111111">
    <w:name w:val="No List14111111"/>
    <w:next w:val="NoList"/>
    <w:uiPriority w:val="99"/>
    <w:semiHidden/>
    <w:unhideWhenUsed/>
    <w:rsid w:val="005D3C7A"/>
  </w:style>
  <w:style w:type="numbering" w:customStyle="1" w:styleId="NoList23111111">
    <w:name w:val="No List23111111"/>
    <w:next w:val="NoList"/>
    <w:uiPriority w:val="99"/>
    <w:semiHidden/>
    <w:unhideWhenUsed/>
    <w:rsid w:val="005D3C7A"/>
  </w:style>
  <w:style w:type="numbering" w:customStyle="1" w:styleId="NoList114111111">
    <w:name w:val="No List114111111"/>
    <w:next w:val="NoList"/>
    <w:uiPriority w:val="99"/>
    <w:semiHidden/>
    <w:unhideWhenUsed/>
    <w:rsid w:val="005D3C7A"/>
  </w:style>
  <w:style w:type="numbering" w:customStyle="1" w:styleId="NoList1112111111">
    <w:name w:val="No List1112111111"/>
    <w:next w:val="NoList"/>
    <w:uiPriority w:val="99"/>
    <w:semiHidden/>
    <w:unhideWhenUsed/>
    <w:rsid w:val="005D3C7A"/>
  </w:style>
  <w:style w:type="numbering" w:customStyle="1" w:styleId="NoList32111111">
    <w:name w:val="No List32111111"/>
    <w:next w:val="NoList"/>
    <w:uiPriority w:val="99"/>
    <w:semiHidden/>
    <w:unhideWhenUsed/>
    <w:rsid w:val="005D3C7A"/>
  </w:style>
  <w:style w:type="numbering" w:customStyle="1" w:styleId="Stilimportat12111111">
    <w:name w:val="Stil importat 12111111"/>
    <w:rsid w:val="005D3C7A"/>
    <w:pPr>
      <w:numPr>
        <w:numId w:val="41"/>
      </w:numPr>
    </w:pPr>
  </w:style>
  <w:style w:type="numbering" w:customStyle="1" w:styleId="Stilimportat22111111">
    <w:name w:val="Stil importat 22111111"/>
    <w:rsid w:val="005D3C7A"/>
    <w:pPr>
      <w:numPr>
        <w:numId w:val="42"/>
      </w:numPr>
    </w:pPr>
  </w:style>
  <w:style w:type="numbering" w:customStyle="1" w:styleId="Stilimportat32111111">
    <w:name w:val="Stil importat 32111111"/>
    <w:rsid w:val="005D3C7A"/>
    <w:pPr>
      <w:numPr>
        <w:numId w:val="67"/>
      </w:numPr>
    </w:pPr>
  </w:style>
  <w:style w:type="numbering" w:customStyle="1" w:styleId="Stilimportat42111111">
    <w:name w:val="Stil importat 42111111"/>
    <w:rsid w:val="005D3C7A"/>
  </w:style>
  <w:style w:type="numbering" w:customStyle="1" w:styleId="Stilimportat52111111">
    <w:name w:val="Stil importat 52111111"/>
    <w:rsid w:val="005D3C7A"/>
    <w:pPr>
      <w:numPr>
        <w:numId w:val="68"/>
      </w:numPr>
    </w:pPr>
  </w:style>
  <w:style w:type="numbering" w:customStyle="1" w:styleId="Stilimportat62111111">
    <w:name w:val="Stil importat 62111111"/>
    <w:rsid w:val="005D3C7A"/>
    <w:pPr>
      <w:numPr>
        <w:numId w:val="46"/>
      </w:numPr>
    </w:pPr>
  </w:style>
  <w:style w:type="numbering" w:customStyle="1" w:styleId="Stilimportat72111111">
    <w:name w:val="Stil importat 72111111"/>
    <w:rsid w:val="005D3C7A"/>
    <w:pPr>
      <w:numPr>
        <w:numId w:val="47"/>
      </w:numPr>
    </w:pPr>
  </w:style>
  <w:style w:type="numbering" w:customStyle="1" w:styleId="NoList42111111">
    <w:name w:val="No List42111111"/>
    <w:next w:val="NoList"/>
    <w:uiPriority w:val="99"/>
    <w:semiHidden/>
    <w:unhideWhenUsed/>
    <w:rsid w:val="005D3C7A"/>
  </w:style>
  <w:style w:type="numbering" w:customStyle="1" w:styleId="NoList122111111">
    <w:name w:val="No List122111111"/>
    <w:next w:val="NoList"/>
    <w:uiPriority w:val="99"/>
    <w:semiHidden/>
    <w:unhideWhenUsed/>
    <w:rsid w:val="005D3C7A"/>
  </w:style>
  <w:style w:type="numbering" w:customStyle="1" w:styleId="NoList212111111">
    <w:name w:val="No List212111111"/>
    <w:next w:val="NoList"/>
    <w:uiPriority w:val="99"/>
    <w:semiHidden/>
    <w:unhideWhenUsed/>
    <w:rsid w:val="005D3C7A"/>
  </w:style>
  <w:style w:type="numbering" w:customStyle="1" w:styleId="NoList1122111111">
    <w:name w:val="No List1122111111"/>
    <w:next w:val="NoList"/>
    <w:uiPriority w:val="99"/>
    <w:semiHidden/>
    <w:unhideWhenUsed/>
    <w:rsid w:val="005D3C7A"/>
  </w:style>
  <w:style w:type="numbering" w:customStyle="1" w:styleId="NoList52111111">
    <w:name w:val="No List52111111"/>
    <w:next w:val="NoList"/>
    <w:uiPriority w:val="99"/>
    <w:semiHidden/>
    <w:unhideWhenUsed/>
    <w:rsid w:val="005D3C7A"/>
  </w:style>
  <w:style w:type="numbering" w:customStyle="1" w:styleId="NoList2011">
    <w:name w:val="No List2011"/>
    <w:next w:val="NoList"/>
    <w:uiPriority w:val="99"/>
    <w:semiHidden/>
    <w:unhideWhenUsed/>
    <w:rsid w:val="005D3C7A"/>
  </w:style>
  <w:style w:type="numbering" w:customStyle="1" w:styleId="NoList30">
    <w:name w:val="No List30"/>
    <w:next w:val="NoList"/>
    <w:uiPriority w:val="99"/>
    <w:semiHidden/>
    <w:unhideWhenUsed/>
    <w:rsid w:val="005D3C7A"/>
  </w:style>
  <w:style w:type="table" w:customStyle="1" w:styleId="TableGrid30">
    <w:name w:val="Table Grid30"/>
    <w:basedOn w:val="TableNormal"/>
    <w:next w:val="TableGrid"/>
    <w:uiPriority w:val="39"/>
    <w:rsid w:val="005D3C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1563">
    <w:name w:val="Imported Style 11563"/>
    <w:rsid w:val="005D3C7A"/>
    <w:pPr>
      <w:numPr>
        <w:numId w:val="37"/>
      </w:numPr>
    </w:pPr>
  </w:style>
  <w:style w:type="numbering" w:customStyle="1" w:styleId="ImportedStyle1156111">
    <w:name w:val="Imported Style 1156111"/>
    <w:rsid w:val="005D3C7A"/>
  </w:style>
  <w:style w:type="numbering" w:customStyle="1" w:styleId="ImportedStyle11653">
    <w:name w:val="Imported Style 11653"/>
    <w:rsid w:val="005D3C7A"/>
    <w:pPr>
      <w:numPr>
        <w:numId w:val="39"/>
      </w:numPr>
    </w:pPr>
  </w:style>
  <w:style w:type="numbering" w:customStyle="1" w:styleId="ImportedStyle8221112">
    <w:name w:val="Imported Style 8221112"/>
    <w:rsid w:val="005D3C7A"/>
    <w:pPr>
      <w:numPr>
        <w:numId w:val="44"/>
      </w:numPr>
    </w:pPr>
  </w:style>
  <w:style w:type="numbering" w:customStyle="1" w:styleId="ImportedStyle80322">
    <w:name w:val="Imported Style 80322"/>
    <w:rsid w:val="005D3C7A"/>
    <w:pPr>
      <w:numPr>
        <w:numId w:val="43"/>
      </w:numPr>
    </w:pPr>
  </w:style>
  <w:style w:type="character" w:customStyle="1" w:styleId="rvts9">
    <w:name w:val="rvts9"/>
    <w:basedOn w:val="DefaultParagraphFont"/>
    <w:rsid w:val="005D3C7A"/>
  </w:style>
  <w:style w:type="paragraph" w:customStyle="1" w:styleId="Pa0">
    <w:name w:val="Pa0"/>
    <w:basedOn w:val="Normal"/>
    <w:next w:val="Normal"/>
    <w:uiPriority w:val="99"/>
    <w:rsid w:val="005D3C7A"/>
    <w:pPr>
      <w:autoSpaceDE w:val="0"/>
      <w:autoSpaceDN w:val="0"/>
      <w:adjustRightInd w:val="0"/>
      <w:spacing w:after="0" w:line="201" w:lineRule="atLeast"/>
    </w:pPr>
    <w:rPr>
      <w:rFonts w:ascii="Open Sans SemiBold" w:eastAsia="Calibri" w:hAnsi="Open Sans SemiBold" w:cs="Times New Roman"/>
      <w:sz w:val="24"/>
      <w:szCs w:val="24"/>
      <w:lang w:val="en-US"/>
    </w:rPr>
  </w:style>
  <w:style w:type="numbering" w:customStyle="1" w:styleId="ImportedStyle4">
    <w:name w:val="Imported Style 4"/>
    <w:rsid w:val="005D3C7A"/>
    <w:pPr>
      <w:numPr>
        <w:numId w:val="350"/>
      </w:numPr>
    </w:pPr>
  </w:style>
  <w:style w:type="paragraph" w:customStyle="1" w:styleId="BodyA">
    <w:name w:val="Body A"/>
    <w:rsid w:val="005D3C7A"/>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ro-RO"/>
    </w:rPr>
  </w:style>
  <w:style w:type="numbering" w:customStyle="1" w:styleId="ImportedStyle41">
    <w:name w:val="Imported Style 41"/>
    <w:rsid w:val="005D3C7A"/>
  </w:style>
  <w:style w:type="numbering" w:customStyle="1" w:styleId="ImportedStyle5">
    <w:name w:val="Imported Style 5"/>
    <w:rsid w:val="005D3C7A"/>
  </w:style>
  <w:style w:type="numbering" w:customStyle="1" w:styleId="ImportedStyle6">
    <w:name w:val="Imported Style 6"/>
    <w:rsid w:val="005D3C7A"/>
  </w:style>
  <w:style w:type="numbering" w:customStyle="1" w:styleId="ImportedStyle7">
    <w:name w:val="Imported Style 7"/>
    <w:rsid w:val="005D3C7A"/>
  </w:style>
  <w:style w:type="numbering" w:customStyle="1" w:styleId="ImportedStyle8">
    <w:name w:val="Imported Style 8"/>
    <w:rsid w:val="005D3C7A"/>
  </w:style>
  <w:style w:type="numbering" w:customStyle="1" w:styleId="ImportedStyle9">
    <w:name w:val="Imported Style 9"/>
    <w:rsid w:val="005D3C7A"/>
    <w:pPr>
      <w:numPr>
        <w:numId w:val="381"/>
      </w:numPr>
    </w:pPr>
  </w:style>
  <w:style w:type="numbering" w:customStyle="1" w:styleId="ImportedStyle10">
    <w:name w:val="Imported Style 10"/>
    <w:rsid w:val="005D3C7A"/>
    <w:pPr>
      <w:numPr>
        <w:numId w:val="382"/>
      </w:numPr>
    </w:pPr>
  </w:style>
  <w:style w:type="numbering" w:customStyle="1" w:styleId="ImportedStyle17">
    <w:name w:val="Imported Style 17"/>
    <w:rsid w:val="005D3C7A"/>
    <w:pPr>
      <w:numPr>
        <w:numId w:val="387"/>
      </w:numPr>
    </w:pPr>
  </w:style>
  <w:style w:type="numbering" w:customStyle="1" w:styleId="ImportedStyle150">
    <w:name w:val="Imported Style 15.0"/>
    <w:rsid w:val="005D3C7A"/>
    <w:pPr>
      <w:numPr>
        <w:numId w:val="388"/>
      </w:numPr>
    </w:pPr>
  </w:style>
  <w:style w:type="numbering" w:customStyle="1" w:styleId="ImportedStyle18">
    <w:name w:val="Imported Style 18"/>
    <w:rsid w:val="005D3C7A"/>
    <w:pPr>
      <w:numPr>
        <w:numId w:val="389"/>
      </w:numPr>
    </w:pPr>
  </w:style>
  <w:style w:type="numbering" w:customStyle="1" w:styleId="ImportedStyle19">
    <w:name w:val="Imported Style 19"/>
    <w:rsid w:val="005D3C7A"/>
    <w:pPr>
      <w:numPr>
        <w:numId w:val="390"/>
      </w:numPr>
    </w:pPr>
  </w:style>
  <w:style w:type="numbering" w:customStyle="1" w:styleId="ImportedStyle200">
    <w:name w:val="Imported Style 20"/>
    <w:rsid w:val="005D3C7A"/>
    <w:pPr>
      <w:numPr>
        <w:numId w:val="391"/>
      </w:numPr>
    </w:pPr>
  </w:style>
  <w:style w:type="numbering" w:customStyle="1" w:styleId="ImportedStyle27">
    <w:name w:val="Imported Style 27"/>
    <w:rsid w:val="005D3C7A"/>
    <w:pPr>
      <w:numPr>
        <w:numId w:val="398"/>
      </w:numPr>
    </w:pPr>
  </w:style>
  <w:style w:type="numbering" w:customStyle="1" w:styleId="ImportedStyle28">
    <w:name w:val="Imported Style 28"/>
    <w:rsid w:val="005D3C7A"/>
    <w:pPr>
      <w:numPr>
        <w:numId w:val="399"/>
      </w:numPr>
    </w:pPr>
  </w:style>
  <w:style w:type="numbering" w:customStyle="1" w:styleId="ImportedStyle29">
    <w:name w:val="Imported Style 29"/>
    <w:rsid w:val="005D3C7A"/>
    <w:pPr>
      <w:numPr>
        <w:numId w:val="400"/>
      </w:numPr>
    </w:pPr>
  </w:style>
  <w:style w:type="numbering" w:customStyle="1" w:styleId="ImportedStyle102">
    <w:name w:val="Imported Style 1.0"/>
    <w:rsid w:val="005D3C7A"/>
    <w:pPr>
      <w:numPr>
        <w:numId w:val="401"/>
      </w:numPr>
    </w:pPr>
  </w:style>
  <w:style w:type="numbering" w:customStyle="1" w:styleId="ImportedStyle20">
    <w:name w:val="Imported Style 2.0"/>
    <w:rsid w:val="005D3C7A"/>
    <w:pPr>
      <w:numPr>
        <w:numId w:val="402"/>
      </w:numPr>
    </w:pPr>
  </w:style>
  <w:style w:type="numbering" w:customStyle="1" w:styleId="ImportedStyle300">
    <w:name w:val="Imported Style 3.0"/>
    <w:rsid w:val="005D3C7A"/>
    <w:pPr>
      <w:numPr>
        <w:numId w:val="403"/>
      </w:numPr>
    </w:pPr>
  </w:style>
  <w:style w:type="numbering" w:customStyle="1" w:styleId="ImportedStyle30">
    <w:name w:val="Imported Style 30"/>
    <w:rsid w:val="005D3C7A"/>
    <w:pPr>
      <w:numPr>
        <w:numId w:val="404"/>
      </w:numPr>
    </w:pPr>
  </w:style>
  <w:style w:type="numbering" w:customStyle="1" w:styleId="ImportedStyle37">
    <w:name w:val="Imported Style 37"/>
    <w:rsid w:val="005D3C7A"/>
    <w:pPr>
      <w:numPr>
        <w:numId w:val="410"/>
      </w:numPr>
    </w:pPr>
  </w:style>
  <w:style w:type="numbering" w:customStyle="1" w:styleId="ImportedStyle38">
    <w:name w:val="Imported Style 38"/>
    <w:rsid w:val="005D3C7A"/>
    <w:pPr>
      <w:numPr>
        <w:numId w:val="411"/>
      </w:numPr>
    </w:pPr>
  </w:style>
  <w:style w:type="numbering" w:customStyle="1" w:styleId="ImportedStyle39">
    <w:name w:val="Imported Style 39"/>
    <w:rsid w:val="005D3C7A"/>
    <w:pPr>
      <w:numPr>
        <w:numId w:val="412"/>
      </w:numPr>
    </w:pPr>
  </w:style>
  <w:style w:type="numbering" w:customStyle="1" w:styleId="ImportedStyle40">
    <w:name w:val="Imported Style 40"/>
    <w:rsid w:val="005D3C7A"/>
    <w:pPr>
      <w:numPr>
        <w:numId w:val="413"/>
      </w:numPr>
    </w:pPr>
  </w:style>
  <w:style w:type="numbering" w:customStyle="1" w:styleId="ImportedStyle411">
    <w:name w:val="Imported Style 411"/>
    <w:rsid w:val="005D3C7A"/>
    <w:pPr>
      <w:numPr>
        <w:numId w:val="414"/>
      </w:numPr>
    </w:pPr>
  </w:style>
  <w:style w:type="numbering" w:customStyle="1" w:styleId="ImportedStyle42">
    <w:name w:val="Imported Style 42"/>
    <w:rsid w:val="005D3C7A"/>
    <w:pPr>
      <w:numPr>
        <w:numId w:val="415"/>
      </w:numPr>
    </w:pPr>
  </w:style>
  <w:style w:type="numbering" w:customStyle="1" w:styleId="ImportedStyle43">
    <w:name w:val="Imported Style 43"/>
    <w:rsid w:val="005D3C7A"/>
    <w:pPr>
      <w:numPr>
        <w:numId w:val="416"/>
      </w:numPr>
    </w:pPr>
  </w:style>
  <w:style w:type="numbering" w:customStyle="1" w:styleId="ImportedStyle45">
    <w:name w:val="Imported Style 45"/>
    <w:rsid w:val="005D3C7A"/>
    <w:pPr>
      <w:numPr>
        <w:numId w:val="417"/>
      </w:numPr>
    </w:pPr>
  </w:style>
  <w:style w:type="numbering" w:customStyle="1" w:styleId="ImportedStyle46">
    <w:name w:val="Imported Style 46"/>
    <w:rsid w:val="005D3C7A"/>
    <w:pPr>
      <w:numPr>
        <w:numId w:val="418"/>
      </w:numPr>
    </w:pPr>
  </w:style>
  <w:style w:type="numbering" w:customStyle="1" w:styleId="ImportedStyle47">
    <w:name w:val="Imported Style 47"/>
    <w:rsid w:val="005D3C7A"/>
    <w:pPr>
      <w:numPr>
        <w:numId w:val="419"/>
      </w:numPr>
    </w:pPr>
  </w:style>
  <w:style w:type="numbering" w:customStyle="1" w:styleId="ImportedStyle48">
    <w:name w:val="Imported Style 48"/>
    <w:rsid w:val="005D3C7A"/>
    <w:pPr>
      <w:numPr>
        <w:numId w:val="420"/>
      </w:numPr>
    </w:pPr>
  </w:style>
  <w:style w:type="numbering" w:customStyle="1" w:styleId="ImportedStyle49">
    <w:name w:val="Imported Style 49"/>
    <w:rsid w:val="005D3C7A"/>
    <w:pPr>
      <w:numPr>
        <w:numId w:val="421"/>
      </w:numPr>
    </w:pPr>
  </w:style>
  <w:style w:type="numbering" w:customStyle="1" w:styleId="ImportedStyle50">
    <w:name w:val="Imported Style 50"/>
    <w:rsid w:val="005D3C7A"/>
    <w:pPr>
      <w:numPr>
        <w:numId w:val="422"/>
      </w:numPr>
    </w:pPr>
  </w:style>
  <w:style w:type="numbering" w:customStyle="1" w:styleId="ImportedStyle51">
    <w:name w:val="Imported Style 51"/>
    <w:rsid w:val="005D3C7A"/>
    <w:pPr>
      <w:numPr>
        <w:numId w:val="423"/>
      </w:numPr>
    </w:pPr>
  </w:style>
  <w:style w:type="numbering" w:customStyle="1" w:styleId="ImportedStyle52">
    <w:name w:val="Imported Style 52"/>
    <w:rsid w:val="005D3C7A"/>
    <w:pPr>
      <w:numPr>
        <w:numId w:val="424"/>
      </w:numPr>
    </w:pPr>
  </w:style>
  <w:style w:type="numbering" w:customStyle="1" w:styleId="ImportedStyle53">
    <w:name w:val="Imported Style 53"/>
    <w:rsid w:val="005D3C7A"/>
    <w:pPr>
      <w:numPr>
        <w:numId w:val="425"/>
      </w:numPr>
    </w:pPr>
  </w:style>
  <w:style w:type="numbering" w:customStyle="1" w:styleId="ImportedStyle54">
    <w:name w:val="Imported Style 54"/>
    <w:rsid w:val="005D3C7A"/>
    <w:pPr>
      <w:numPr>
        <w:numId w:val="426"/>
      </w:numPr>
    </w:pPr>
  </w:style>
  <w:style w:type="numbering" w:customStyle="1" w:styleId="ImportedStyle55">
    <w:name w:val="Imported Style 55"/>
    <w:rsid w:val="005D3C7A"/>
    <w:pPr>
      <w:numPr>
        <w:numId w:val="427"/>
      </w:numPr>
    </w:pPr>
  </w:style>
  <w:style w:type="numbering" w:customStyle="1" w:styleId="ImportedStyle56">
    <w:name w:val="Imported Style 56"/>
    <w:rsid w:val="005D3C7A"/>
    <w:pPr>
      <w:numPr>
        <w:numId w:val="428"/>
      </w:numPr>
    </w:pPr>
  </w:style>
  <w:style w:type="numbering" w:customStyle="1" w:styleId="ImportedStyle57">
    <w:name w:val="Imported Style 57"/>
    <w:rsid w:val="005D3C7A"/>
    <w:pPr>
      <w:numPr>
        <w:numId w:val="429"/>
      </w:numPr>
    </w:pPr>
  </w:style>
  <w:style w:type="numbering" w:customStyle="1" w:styleId="ImportedStyle560">
    <w:name w:val="Imported Style 56.0"/>
    <w:rsid w:val="005D3C7A"/>
    <w:pPr>
      <w:numPr>
        <w:numId w:val="430"/>
      </w:numPr>
    </w:pPr>
  </w:style>
  <w:style w:type="numbering" w:customStyle="1" w:styleId="ImportedStyle58">
    <w:name w:val="Imported Style 58"/>
    <w:rsid w:val="005D3C7A"/>
    <w:pPr>
      <w:numPr>
        <w:numId w:val="431"/>
      </w:numPr>
    </w:pPr>
  </w:style>
  <w:style w:type="numbering" w:customStyle="1" w:styleId="ImportedStyle59">
    <w:name w:val="Imported Style 59"/>
    <w:rsid w:val="005D3C7A"/>
    <w:pPr>
      <w:numPr>
        <w:numId w:val="432"/>
      </w:numPr>
    </w:pPr>
  </w:style>
  <w:style w:type="numbering" w:customStyle="1" w:styleId="ImportedStyle60">
    <w:name w:val="Imported Style 60"/>
    <w:rsid w:val="005D3C7A"/>
    <w:pPr>
      <w:numPr>
        <w:numId w:val="433"/>
      </w:numPr>
    </w:pPr>
  </w:style>
  <w:style w:type="numbering" w:customStyle="1" w:styleId="ImportedStyle61">
    <w:name w:val="Imported Style 61"/>
    <w:rsid w:val="005D3C7A"/>
    <w:pPr>
      <w:numPr>
        <w:numId w:val="434"/>
      </w:numPr>
    </w:pPr>
  </w:style>
  <w:style w:type="numbering" w:customStyle="1" w:styleId="ImportedStyle62">
    <w:name w:val="Imported Style 62"/>
    <w:rsid w:val="005D3C7A"/>
    <w:pPr>
      <w:numPr>
        <w:numId w:val="435"/>
      </w:numPr>
    </w:pPr>
  </w:style>
  <w:style w:type="numbering" w:customStyle="1" w:styleId="ImportedStyle31">
    <w:name w:val="Imported Style 3.1"/>
    <w:rsid w:val="005D3C7A"/>
    <w:pPr>
      <w:numPr>
        <w:numId w:val="436"/>
      </w:numPr>
    </w:pPr>
  </w:style>
  <w:style w:type="numbering" w:customStyle="1" w:styleId="ImportedStyle400">
    <w:name w:val="Imported Style 4.0"/>
    <w:rsid w:val="005D3C7A"/>
    <w:pPr>
      <w:numPr>
        <w:numId w:val="437"/>
      </w:numPr>
    </w:pPr>
  </w:style>
  <w:style w:type="numbering" w:customStyle="1" w:styleId="ImportedStyle500">
    <w:name w:val="Imported Style 5.0"/>
    <w:rsid w:val="005D3C7A"/>
    <w:pPr>
      <w:numPr>
        <w:numId w:val="438"/>
      </w:numPr>
    </w:pPr>
  </w:style>
  <w:style w:type="numbering" w:customStyle="1" w:styleId="ImportedStyle63">
    <w:name w:val="Imported Style 63"/>
    <w:rsid w:val="005D3C7A"/>
    <w:pPr>
      <w:numPr>
        <w:numId w:val="439"/>
      </w:numPr>
    </w:pPr>
  </w:style>
  <w:style w:type="numbering" w:customStyle="1" w:styleId="ImportedStyle64">
    <w:name w:val="Imported Style 64"/>
    <w:rsid w:val="005D3C7A"/>
    <w:pPr>
      <w:numPr>
        <w:numId w:val="440"/>
      </w:numPr>
    </w:pPr>
  </w:style>
  <w:style w:type="numbering" w:customStyle="1" w:styleId="ImportedStyle70">
    <w:name w:val="Imported Style 7.0"/>
    <w:rsid w:val="005D3C7A"/>
    <w:pPr>
      <w:numPr>
        <w:numId w:val="441"/>
      </w:numPr>
    </w:pPr>
  </w:style>
  <w:style w:type="numbering" w:customStyle="1" w:styleId="ImportedStyle65">
    <w:name w:val="Imported Style 65"/>
    <w:rsid w:val="005D3C7A"/>
    <w:pPr>
      <w:numPr>
        <w:numId w:val="442"/>
      </w:numPr>
    </w:pPr>
  </w:style>
  <w:style w:type="numbering" w:customStyle="1" w:styleId="ImportedStyle66">
    <w:name w:val="Imported Style 66"/>
    <w:rsid w:val="005D3C7A"/>
    <w:pPr>
      <w:numPr>
        <w:numId w:val="443"/>
      </w:numPr>
    </w:pPr>
  </w:style>
  <w:style w:type="numbering" w:customStyle="1" w:styleId="ImportedStyle67">
    <w:name w:val="Imported Style 67"/>
    <w:rsid w:val="005D3C7A"/>
    <w:pPr>
      <w:numPr>
        <w:numId w:val="444"/>
      </w:numPr>
    </w:pPr>
  </w:style>
  <w:style w:type="numbering" w:customStyle="1" w:styleId="ImportedStyle68">
    <w:name w:val="Imported Style 68"/>
    <w:rsid w:val="005D3C7A"/>
    <w:pPr>
      <w:numPr>
        <w:numId w:val="445"/>
      </w:numPr>
    </w:pPr>
  </w:style>
  <w:style w:type="numbering" w:customStyle="1" w:styleId="Numbered">
    <w:name w:val="Numbered"/>
    <w:rsid w:val="005D3C7A"/>
    <w:pPr>
      <w:numPr>
        <w:numId w:val="446"/>
      </w:numPr>
    </w:pPr>
  </w:style>
  <w:style w:type="numbering" w:customStyle="1" w:styleId="ImportedStyle69">
    <w:name w:val="Imported Style 69"/>
    <w:rsid w:val="005D3C7A"/>
    <w:pPr>
      <w:numPr>
        <w:numId w:val="447"/>
      </w:numPr>
    </w:pPr>
  </w:style>
  <w:style w:type="numbering" w:customStyle="1" w:styleId="ImportedStyle700">
    <w:name w:val="Imported Style 70"/>
    <w:rsid w:val="005D3C7A"/>
    <w:pPr>
      <w:numPr>
        <w:numId w:val="448"/>
      </w:numPr>
    </w:pPr>
  </w:style>
  <w:style w:type="numbering" w:customStyle="1" w:styleId="ImportedStyle71">
    <w:name w:val="Imported Style 71"/>
    <w:rsid w:val="005D3C7A"/>
    <w:pPr>
      <w:numPr>
        <w:numId w:val="449"/>
      </w:numPr>
    </w:pPr>
  </w:style>
  <w:style w:type="numbering" w:customStyle="1" w:styleId="ImportedStyle72">
    <w:name w:val="Imported Style 72"/>
    <w:rsid w:val="005D3C7A"/>
    <w:pPr>
      <w:numPr>
        <w:numId w:val="450"/>
      </w:numPr>
    </w:pPr>
  </w:style>
  <w:style w:type="numbering" w:customStyle="1" w:styleId="ImportedStyle720">
    <w:name w:val="Imported Style 72.0"/>
    <w:rsid w:val="005D3C7A"/>
    <w:pPr>
      <w:numPr>
        <w:numId w:val="451"/>
      </w:numPr>
    </w:pPr>
  </w:style>
  <w:style w:type="numbering" w:customStyle="1" w:styleId="ImportedStyle73">
    <w:name w:val="Imported Style 73"/>
    <w:rsid w:val="005D3C7A"/>
    <w:pPr>
      <w:numPr>
        <w:numId w:val="452"/>
      </w:numPr>
    </w:pPr>
  </w:style>
  <w:style w:type="numbering" w:customStyle="1" w:styleId="Lettered">
    <w:name w:val="Lettered"/>
    <w:rsid w:val="005D3C7A"/>
    <w:pPr>
      <w:numPr>
        <w:numId w:val="453"/>
      </w:numPr>
    </w:pPr>
  </w:style>
  <w:style w:type="numbering" w:customStyle="1" w:styleId="ImportedStyle74">
    <w:name w:val="Imported Style 74"/>
    <w:rsid w:val="005D3C7A"/>
    <w:pPr>
      <w:numPr>
        <w:numId w:val="454"/>
      </w:numPr>
    </w:pPr>
  </w:style>
  <w:style w:type="numbering" w:customStyle="1" w:styleId="ImportedStyle75">
    <w:name w:val="Imported Style 75"/>
    <w:rsid w:val="005D3C7A"/>
    <w:pPr>
      <w:numPr>
        <w:numId w:val="455"/>
      </w:numPr>
    </w:pPr>
  </w:style>
  <w:style w:type="numbering" w:customStyle="1" w:styleId="ImportedStyle76">
    <w:name w:val="Imported Style 76"/>
    <w:rsid w:val="005D3C7A"/>
    <w:pPr>
      <w:numPr>
        <w:numId w:val="456"/>
      </w:numPr>
    </w:pPr>
  </w:style>
  <w:style w:type="numbering" w:customStyle="1" w:styleId="ImportedStyle77">
    <w:name w:val="Imported Style 77"/>
    <w:rsid w:val="005D3C7A"/>
    <w:pPr>
      <w:numPr>
        <w:numId w:val="457"/>
      </w:numPr>
    </w:pPr>
  </w:style>
  <w:style w:type="numbering" w:customStyle="1" w:styleId="ImportedStyle79">
    <w:name w:val="Imported Style 79"/>
    <w:rsid w:val="005D3C7A"/>
    <w:pPr>
      <w:numPr>
        <w:numId w:val="458"/>
      </w:numPr>
    </w:pPr>
  </w:style>
  <w:style w:type="numbering" w:customStyle="1" w:styleId="ImportedStyle81">
    <w:name w:val="Imported Style 81"/>
    <w:rsid w:val="005D3C7A"/>
    <w:pPr>
      <w:numPr>
        <w:numId w:val="459"/>
      </w:numPr>
    </w:pPr>
  </w:style>
  <w:style w:type="numbering" w:customStyle="1" w:styleId="ImportedStyle84">
    <w:name w:val="Imported Style 84"/>
    <w:rsid w:val="005D3C7A"/>
    <w:pPr>
      <w:numPr>
        <w:numId w:val="460"/>
      </w:numPr>
    </w:pPr>
  </w:style>
  <w:style w:type="numbering" w:customStyle="1" w:styleId="ImportedStyle85">
    <w:name w:val="Imported Style 85"/>
    <w:rsid w:val="005D3C7A"/>
    <w:pPr>
      <w:numPr>
        <w:numId w:val="461"/>
      </w:numPr>
    </w:pPr>
  </w:style>
  <w:style w:type="numbering" w:customStyle="1" w:styleId="ImportedStyle86">
    <w:name w:val="Imported Style 86"/>
    <w:rsid w:val="005D3C7A"/>
    <w:pPr>
      <w:numPr>
        <w:numId w:val="462"/>
      </w:numPr>
    </w:pPr>
  </w:style>
  <w:style w:type="numbering" w:customStyle="1" w:styleId="ImportedStyle87">
    <w:name w:val="Imported Style 87"/>
    <w:rsid w:val="005D3C7A"/>
    <w:pPr>
      <w:numPr>
        <w:numId w:val="463"/>
      </w:numPr>
    </w:pPr>
  </w:style>
  <w:style w:type="numbering" w:customStyle="1" w:styleId="ImportedStyle88">
    <w:name w:val="Imported Style 88"/>
    <w:rsid w:val="005D3C7A"/>
    <w:pPr>
      <w:numPr>
        <w:numId w:val="464"/>
      </w:numPr>
    </w:pPr>
  </w:style>
  <w:style w:type="numbering" w:customStyle="1" w:styleId="ImportedStyle89">
    <w:name w:val="Imported Style 89"/>
    <w:rsid w:val="005D3C7A"/>
    <w:pPr>
      <w:numPr>
        <w:numId w:val="465"/>
      </w:numPr>
    </w:pPr>
  </w:style>
  <w:style w:type="numbering" w:customStyle="1" w:styleId="ImportedStyle90">
    <w:name w:val="Imported Style 90"/>
    <w:rsid w:val="005D3C7A"/>
    <w:pPr>
      <w:numPr>
        <w:numId w:val="466"/>
      </w:numPr>
    </w:pPr>
  </w:style>
  <w:style w:type="numbering" w:customStyle="1" w:styleId="ImportedStyle91">
    <w:name w:val="Imported Style 91"/>
    <w:rsid w:val="005D3C7A"/>
    <w:pPr>
      <w:numPr>
        <w:numId w:val="467"/>
      </w:numPr>
    </w:pPr>
  </w:style>
  <w:style w:type="numbering" w:customStyle="1" w:styleId="ImportedStyle92">
    <w:name w:val="Imported Style 92"/>
    <w:rsid w:val="005D3C7A"/>
    <w:pPr>
      <w:numPr>
        <w:numId w:val="468"/>
      </w:numPr>
    </w:pPr>
  </w:style>
  <w:style w:type="numbering" w:customStyle="1" w:styleId="ImportedStyle93">
    <w:name w:val="Imported Style 93"/>
    <w:rsid w:val="005D3C7A"/>
    <w:pPr>
      <w:numPr>
        <w:numId w:val="469"/>
      </w:numPr>
    </w:pPr>
  </w:style>
  <w:style w:type="numbering" w:customStyle="1" w:styleId="ImportedStyle94">
    <w:name w:val="Imported Style 94"/>
    <w:rsid w:val="005D3C7A"/>
    <w:pPr>
      <w:numPr>
        <w:numId w:val="470"/>
      </w:numPr>
    </w:pPr>
  </w:style>
  <w:style w:type="numbering" w:customStyle="1" w:styleId="ImportedStyle95">
    <w:name w:val="Imported Style 95"/>
    <w:rsid w:val="005D3C7A"/>
    <w:pPr>
      <w:numPr>
        <w:numId w:val="471"/>
      </w:numPr>
    </w:pPr>
  </w:style>
  <w:style w:type="numbering" w:customStyle="1" w:styleId="ImportedStyle96">
    <w:name w:val="Imported Style 96"/>
    <w:rsid w:val="005D3C7A"/>
    <w:pPr>
      <w:numPr>
        <w:numId w:val="472"/>
      </w:numPr>
    </w:pPr>
  </w:style>
  <w:style w:type="numbering" w:customStyle="1" w:styleId="ImportedStyle97">
    <w:name w:val="Imported Style 97"/>
    <w:rsid w:val="005D3C7A"/>
    <w:pPr>
      <w:numPr>
        <w:numId w:val="473"/>
      </w:numPr>
    </w:pPr>
  </w:style>
  <w:style w:type="numbering" w:customStyle="1" w:styleId="ImportedStyle98">
    <w:name w:val="Imported Style 98"/>
    <w:rsid w:val="005D3C7A"/>
    <w:pPr>
      <w:numPr>
        <w:numId w:val="474"/>
      </w:numPr>
    </w:pPr>
  </w:style>
  <w:style w:type="numbering" w:customStyle="1" w:styleId="ImportedStyle99">
    <w:name w:val="Imported Style 99"/>
    <w:rsid w:val="005D3C7A"/>
    <w:pPr>
      <w:numPr>
        <w:numId w:val="475"/>
      </w:numPr>
    </w:pPr>
  </w:style>
  <w:style w:type="numbering" w:customStyle="1" w:styleId="ImportedStyle100">
    <w:name w:val="Imported Style 100"/>
    <w:rsid w:val="005D3C7A"/>
    <w:pPr>
      <w:numPr>
        <w:numId w:val="476"/>
      </w:numPr>
    </w:pPr>
  </w:style>
  <w:style w:type="numbering" w:customStyle="1" w:styleId="ImportedStyle101">
    <w:name w:val="Imported Style 101"/>
    <w:rsid w:val="005D3C7A"/>
    <w:pPr>
      <w:numPr>
        <w:numId w:val="477"/>
      </w:numPr>
    </w:pPr>
  </w:style>
  <w:style w:type="numbering" w:customStyle="1" w:styleId="ImportedStyle1020">
    <w:name w:val="Imported Style 102"/>
    <w:rsid w:val="005D3C7A"/>
    <w:pPr>
      <w:numPr>
        <w:numId w:val="478"/>
      </w:numPr>
    </w:pPr>
  </w:style>
  <w:style w:type="numbering" w:customStyle="1" w:styleId="ImportedStyle103">
    <w:name w:val="Imported Style 103"/>
    <w:rsid w:val="005D3C7A"/>
    <w:pPr>
      <w:numPr>
        <w:numId w:val="479"/>
      </w:numPr>
    </w:pPr>
  </w:style>
  <w:style w:type="numbering" w:customStyle="1" w:styleId="ImportedStyle104">
    <w:name w:val="Imported Style 104"/>
    <w:rsid w:val="005D3C7A"/>
    <w:pPr>
      <w:numPr>
        <w:numId w:val="480"/>
      </w:numPr>
    </w:pPr>
  </w:style>
  <w:style w:type="numbering" w:customStyle="1" w:styleId="ImportedStyle105">
    <w:name w:val="Imported Style 105"/>
    <w:rsid w:val="005D3C7A"/>
    <w:pPr>
      <w:numPr>
        <w:numId w:val="481"/>
      </w:numPr>
    </w:pPr>
  </w:style>
  <w:style w:type="numbering" w:customStyle="1" w:styleId="ImportedStyle106">
    <w:name w:val="Imported Style 106"/>
    <w:rsid w:val="005D3C7A"/>
    <w:pPr>
      <w:numPr>
        <w:numId w:val="482"/>
      </w:numPr>
    </w:pPr>
  </w:style>
  <w:style w:type="numbering" w:customStyle="1" w:styleId="ImportedStyle107">
    <w:name w:val="Imported Style 107"/>
    <w:rsid w:val="005D3C7A"/>
    <w:pPr>
      <w:numPr>
        <w:numId w:val="483"/>
      </w:numPr>
    </w:pPr>
  </w:style>
  <w:style w:type="numbering" w:customStyle="1" w:styleId="ImportedStyle108">
    <w:name w:val="Imported Style 108"/>
    <w:rsid w:val="005D3C7A"/>
    <w:pPr>
      <w:numPr>
        <w:numId w:val="484"/>
      </w:numPr>
    </w:pPr>
  </w:style>
  <w:style w:type="numbering" w:customStyle="1" w:styleId="ImportedStyle109">
    <w:name w:val="Imported Style 109"/>
    <w:rsid w:val="005D3C7A"/>
    <w:pPr>
      <w:numPr>
        <w:numId w:val="485"/>
      </w:numPr>
    </w:pPr>
  </w:style>
  <w:style w:type="numbering" w:customStyle="1" w:styleId="ImportedStyle110">
    <w:name w:val="Imported Style 110"/>
    <w:rsid w:val="005D3C7A"/>
    <w:pPr>
      <w:numPr>
        <w:numId w:val="486"/>
      </w:numPr>
    </w:pPr>
  </w:style>
  <w:style w:type="numbering" w:customStyle="1" w:styleId="ImportedStyle118">
    <w:name w:val="Imported Style 118"/>
    <w:rsid w:val="005D3C7A"/>
    <w:pPr>
      <w:numPr>
        <w:numId w:val="491"/>
      </w:numPr>
    </w:pPr>
  </w:style>
  <w:style w:type="numbering" w:customStyle="1" w:styleId="ImportedStyle119">
    <w:name w:val="Imported Style 119"/>
    <w:rsid w:val="005D3C7A"/>
    <w:pPr>
      <w:numPr>
        <w:numId w:val="492"/>
      </w:numPr>
    </w:pPr>
  </w:style>
  <w:style w:type="numbering" w:customStyle="1" w:styleId="ImportedStyle120">
    <w:name w:val="Imported Style 120"/>
    <w:rsid w:val="005D3C7A"/>
    <w:pPr>
      <w:numPr>
        <w:numId w:val="493"/>
      </w:numPr>
    </w:pPr>
  </w:style>
  <w:style w:type="paragraph" w:customStyle="1" w:styleId="m1688346892909692947yiv3594718079msonormal">
    <w:name w:val="m_1688346892909692947yiv3594718079msonormal"/>
    <w:basedOn w:val="Normal"/>
    <w:rsid w:val="005D3C7A"/>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msonormal0">
    <w:name w:val="msonormal"/>
    <w:basedOn w:val="Normal"/>
    <w:rsid w:val="005D3C7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8">
    <w:name w:val="xl68"/>
    <w:basedOn w:val="Normal"/>
    <w:rsid w:val="005D3C7A"/>
    <w:pP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9">
    <w:name w:val="xl69"/>
    <w:basedOn w:val="Normal"/>
    <w:rsid w:val="005D3C7A"/>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0">
    <w:name w:val="xl70"/>
    <w:basedOn w:val="Normal"/>
    <w:rsid w:val="005D3C7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1">
    <w:name w:val="xl71"/>
    <w:basedOn w:val="Normal"/>
    <w:rsid w:val="005D3C7A"/>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2">
    <w:name w:val="xl72"/>
    <w:basedOn w:val="Normal"/>
    <w:rsid w:val="005D3C7A"/>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3">
    <w:name w:val="xl73"/>
    <w:basedOn w:val="Normal"/>
    <w:rsid w:val="005D3C7A"/>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4">
    <w:name w:val="xl74"/>
    <w:basedOn w:val="Normal"/>
    <w:rsid w:val="005D3C7A"/>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5">
    <w:name w:val="xl75"/>
    <w:basedOn w:val="Normal"/>
    <w:rsid w:val="005D3C7A"/>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76">
    <w:name w:val="xl76"/>
    <w:basedOn w:val="Normal"/>
    <w:rsid w:val="005D3C7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character" w:customStyle="1" w:styleId="style27">
    <w:name w:val="style27"/>
    <w:rsid w:val="005D3C7A"/>
    <w:rPr>
      <w:rFonts w:cs="Times New Roman"/>
    </w:rPr>
  </w:style>
  <w:style w:type="character" w:customStyle="1" w:styleId="posttext">
    <w:name w:val="post_text"/>
    <w:rsid w:val="005D3C7A"/>
    <w:rPr>
      <w:rFonts w:cs="Times New Roman"/>
    </w:rPr>
  </w:style>
  <w:style w:type="character" w:customStyle="1" w:styleId="style21">
    <w:name w:val="style21"/>
    <w:rsid w:val="005D3C7A"/>
    <w:rPr>
      <w:rFonts w:cs="Times New Roman"/>
    </w:rPr>
  </w:style>
  <w:style w:type="character" w:customStyle="1" w:styleId="style23">
    <w:name w:val="style23"/>
    <w:rsid w:val="005D3C7A"/>
    <w:rPr>
      <w:rFonts w:cs="Times New Roman"/>
    </w:rPr>
  </w:style>
  <w:style w:type="character" w:customStyle="1" w:styleId="A4">
    <w:name w:val="A4"/>
    <w:rsid w:val="005D3C7A"/>
    <w:rPr>
      <w:color w:val="000000"/>
      <w:sz w:val="20"/>
    </w:rPr>
  </w:style>
  <w:style w:type="character" w:customStyle="1" w:styleId="A0">
    <w:name w:val="A0"/>
    <w:rsid w:val="005D3C7A"/>
    <w:rPr>
      <w:color w:val="000000"/>
      <w:sz w:val="18"/>
    </w:rPr>
  </w:style>
  <w:style w:type="character" w:customStyle="1" w:styleId="rvts7">
    <w:name w:val="rvts7"/>
    <w:basedOn w:val="DefaultParagraphFont"/>
    <w:rsid w:val="005D3C7A"/>
  </w:style>
  <w:style w:type="numbering" w:customStyle="1" w:styleId="ImportedStyle1156212">
    <w:name w:val="Imported Style 1156212"/>
    <w:rsid w:val="005D3C7A"/>
    <w:pPr>
      <w:numPr>
        <w:numId w:val="7"/>
      </w:numPr>
    </w:pPr>
  </w:style>
  <w:style w:type="numbering" w:customStyle="1" w:styleId="Stilimportat534">
    <w:name w:val="Stil importat 534"/>
    <w:rsid w:val="00C7162D"/>
  </w:style>
  <w:style w:type="character" w:customStyle="1" w:styleId="ListParagraphChar">
    <w:name w:val="List Paragraph Char"/>
    <w:link w:val="ListParagraph"/>
    <w:uiPriority w:val="34"/>
    <w:rsid w:val="00C26280"/>
    <w:rPr>
      <w:rFonts w:ascii="Times New Roman" w:eastAsia="Times New Roman" w:hAnsi="Times New Roman" w:cs="Times New Roman"/>
      <w:color w:val="000000"/>
      <w:sz w:val="24"/>
      <w:szCs w:val="24"/>
      <w:u w:color="000000"/>
      <w:bdr w:val="nil"/>
      <w:lang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9863">
      <w:bodyDiv w:val="1"/>
      <w:marLeft w:val="0"/>
      <w:marRight w:val="0"/>
      <w:marTop w:val="0"/>
      <w:marBottom w:val="0"/>
      <w:divBdr>
        <w:top w:val="none" w:sz="0" w:space="0" w:color="auto"/>
        <w:left w:val="none" w:sz="0" w:space="0" w:color="auto"/>
        <w:bottom w:val="none" w:sz="0" w:space="0" w:color="auto"/>
        <w:right w:val="none" w:sz="0" w:space="0" w:color="auto"/>
      </w:divBdr>
    </w:div>
    <w:div w:id="129128317">
      <w:bodyDiv w:val="1"/>
      <w:marLeft w:val="0"/>
      <w:marRight w:val="0"/>
      <w:marTop w:val="0"/>
      <w:marBottom w:val="0"/>
      <w:divBdr>
        <w:top w:val="none" w:sz="0" w:space="0" w:color="auto"/>
        <w:left w:val="none" w:sz="0" w:space="0" w:color="auto"/>
        <w:bottom w:val="none" w:sz="0" w:space="0" w:color="auto"/>
        <w:right w:val="none" w:sz="0" w:space="0" w:color="auto"/>
      </w:divBdr>
    </w:div>
    <w:div w:id="159203062">
      <w:bodyDiv w:val="1"/>
      <w:marLeft w:val="0"/>
      <w:marRight w:val="0"/>
      <w:marTop w:val="0"/>
      <w:marBottom w:val="0"/>
      <w:divBdr>
        <w:top w:val="none" w:sz="0" w:space="0" w:color="auto"/>
        <w:left w:val="none" w:sz="0" w:space="0" w:color="auto"/>
        <w:bottom w:val="none" w:sz="0" w:space="0" w:color="auto"/>
        <w:right w:val="none" w:sz="0" w:space="0" w:color="auto"/>
      </w:divBdr>
    </w:div>
    <w:div w:id="187067599">
      <w:bodyDiv w:val="1"/>
      <w:marLeft w:val="0"/>
      <w:marRight w:val="0"/>
      <w:marTop w:val="0"/>
      <w:marBottom w:val="0"/>
      <w:divBdr>
        <w:top w:val="none" w:sz="0" w:space="0" w:color="auto"/>
        <w:left w:val="none" w:sz="0" w:space="0" w:color="auto"/>
        <w:bottom w:val="none" w:sz="0" w:space="0" w:color="auto"/>
        <w:right w:val="none" w:sz="0" w:space="0" w:color="auto"/>
      </w:divBdr>
    </w:div>
    <w:div w:id="404037637">
      <w:bodyDiv w:val="1"/>
      <w:marLeft w:val="0"/>
      <w:marRight w:val="0"/>
      <w:marTop w:val="0"/>
      <w:marBottom w:val="0"/>
      <w:divBdr>
        <w:top w:val="none" w:sz="0" w:space="0" w:color="auto"/>
        <w:left w:val="none" w:sz="0" w:space="0" w:color="auto"/>
        <w:bottom w:val="none" w:sz="0" w:space="0" w:color="auto"/>
        <w:right w:val="none" w:sz="0" w:space="0" w:color="auto"/>
      </w:divBdr>
      <w:divsChild>
        <w:div w:id="699623055">
          <w:marLeft w:val="0"/>
          <w:marRight w:val="0"/>
          <w:marTop w:val="0"/>
          <w:marBottom w:val="0"/>
          <w:divBdr>
            <w:top w:val="single" w:sz="6" w:space="0" w:color="000000"/>
            <w:left w:val="single" w:sz="6" w:space="0" w:color="000000"/>
            <w:bottom w:val="single" w:sz="6" w:space="0" w:color="000000"/>
            <w:right w:val="single" w:sz="6" w:space="0" w:color="000000"/>
          </w:divBdr>
          <w:divsChild>
            <w:div w:id="915169545">
              <w:marLeft w:val="0"/>
              <w:marRight w:val="0"/>
              <w:marTop w:val="0"/>
              <w:marBottom w:val="0"/>
              <w:divBdr>
                <w:top w:val="none" w:sz="0" w:space="0" w:color="auto"/>
                <w:left w:val="none" w:sz="0" w:space="0" w:color="auto"/>
                <w:bottom w:val="none" w:sz="0" w:space="0" w:color="auto"/>
                <w:right w:val="none" w:sz="0" w:space="0" w:color="auto"/>
              </w:divBdr>
              <w:divsChild>
                <w:div w:id="98766573">
                  <w:marLeft w:val="0"/>
                  <w:marRight w:val="0"/>
                  <w:marTop w:val="0"/>
                  <w:marBottom w:val="0"/>
                  <w:divBdr>
                    <w:top w:val="none" w:sz="0" w:space="0" w:color="auto"/>
                    <w:left w:val="none" w:sz="0" w:space="0" w:color="auto"/>
                    <w:bottom w:val="none" w:sz="0" w:space="0" w:color="auto"/>
                    <w:right w:val="none" w:sz="0" w:space="0" w:color="auto"/>
                  </w:divBdr>
                  <w:divsChild>
                    <w:div w:id="583952788">
                      <w:marLeft w:val="0"/>
                      <w:marRight w:val="0"/>
                      <w:marTop w:val="0"/>
                      <w:marBottom w:val="0"/>
                      <w:divBdr>
                        <w:top w:val="none" w:sz="0" w:space="0" w:color="auto"/>
                        <w:left w:val="none" w:sz="0" w:space="0" w:color="auto"/>
                        <w:bottom w:val="none" w:sz="0" w:space="0" w:color="auto"/>
                        <w:right w:val="none" w:sz="0" w:space="0" w:color="auto"/>
                      </w:divBdr>
                      <w:divsChild>
                        <w:div w:id="11690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740669">
      <w:bodyDiv w:val="1"/>
      <w:marLeft w:val="0"/>
      <w:marRight w:val="0"/>
      <w:marTop w:val="0"/>
      <w:marBottom w:val="0"/>
      <w:divBdr>
        <w:top w:val="none" w:sz="0" w:space="0" w:color="auto"/>
        <w:left w:val="none" w:sz="0" w:space="0" w:color="auto"/>
        <w:bottom w:val="none" w:sz="0" w:space="0" w:color="auto"/>
        <w:right w:val="none" w:sz="0" w:space="0" w:color="auto"/>
      </w:divBdr>
    </w:div>
    <w:div w:id="992174477">
      <w:bodyDiv w:val="1"/>
      <w:marLeft w:val="0"/>
      <w:marRight w:val="0"/>
      <w:marTop w:val="0"/>
      <w:marBottom w:val="0"/>
      <w:divBdr>
        <w:top w:val="none" w:sz="0" w:space="0" w:color="auto"/>
        <w:left w:val="none" w:sz="0" w:space="0" w:color="auto"/>
        <w:bottom w:val="none" w:sz="0" w:space="0" w:color="auto"/>
        <w:right w:val="none" w:sz="0" w:space="0" w:color="auto"/>
      </w:divBdr>
      <w:divsChild>
        <w:div w:id="650521054">
          <w:marLeft w:val="0"/>
          <w:marRight w:val="0"/>
          <w:marTop w:val="0"/>
          <w:marBottom w:val="0"/>
          <w:divBdr>
            <w:top w:val="single" w:sz="6" w:space="0" w:color="000000"/>
            <w:left w:val="single" w:sz="6" w:space="0" w:color="000000"/>
            <w:bottom w:val="single" w:sz="6" w:space="0" w:color="000000"/>
            <w:right w:val="single" w:sz="6" w:space="0" w:color="000000"/>
          </w:divBdr>
          <w:divsChild>
            <w:div w:id="765080083">
              <w:marLeft w:val="0"/>
              <w:marRight w:val="0"/>
              <w:marTop w:val="0"/>
              <w:marBottom w:val="0"/>
              <w:divBdr>
                <w:top w:val="none" w:sz="0" w:space="0" w:color="auto"/>
                <w:left w:val="none" w:sz="0" w:space="0" w:color="auto"/>
                <w:bottom w:val="none" w:sz="0" w:space="0" w:color="auto"/>
                <w:right w:val="none" w:sz="0" w:space="0" w:color="auto"/>
              </w:divBdr>
              <w:divsChild>
                <w:div w:id="454251470">
                  <w:marLeft w:val="0"/>
                  <w:marRight w:val="0"/>
                  <w:marTop w:val="0"/>
                  <w:marBottom w:val="0"/>
                  <w:divBdr>
                    <w:top w:val="none" w:sz="0" w:space="0" w:color="auto"/>
                    <w:left w:val="none" w:sz="0" w:space="0" w:color="auto"/>
                    <w:bottom w:val="none" w:sz="0" w:space="0" w:color="auto"/>
                    <w:right w:val="none" w:sz="0" w:space="0" w:color="auto"/>
                  </w:divBdr>
                  <w:divsChild>
                    <w:div w:id="1366981942">
                      <w:marLeft w:val="0"/>
                      <w:marRight w:val="0"/>
                      <w:marTop w:val="0"/>
                      <w:marBottom w:val="0"/>
                      <w:divBdr>
                        <w:top w:val="none" w:sz="0" w:space="0" w:color="auto"/>
                        <w:left w:val="none" w:sz="0" w:space="0" w:color="auto"/>
                        <w:bottom w:val="none" w:sz="0" w:space="0" w:color="auto"/>
                        <w:right w:val="none" w:sz="0" w:space="0" w:color="auto"/>
                      </w:divBdr>
                      <w:divsChild>
                        <w:div w:id="220749169">
                          <w:marLeft w:val="0"/>
                          <w:marRight w:val="0"/>
                          <w:marTop w:val="0"/>
                          <w:marBottom w:val="0"/>
                          <w:divBdr>
                            <w:top w:val="none" w:sz="0" w:space="0" w:color="auto"/>
                            <w:left w:val="none" w:sz="0" w:space="0" w:color="auto"/>
                            <w:bottom w:val="none" w:sz="0" w:space="0" w:color="auto"/>
                            <w:right w:val="none" w:sz="0" w:space="0" w:color="auto"/>
                          </w:divBdr>
                          <w:divsChild>
                            <w:div w:id="14503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928547">
      <w:bodyDiv w:val="1"/>
      <w:marLeft w:val="0"/>
      <w:marRight w:val="0"/>
      <w:marTop w:val="0"/>
      <w:marBottom w:val="0"/>
      <w:divBdr>
        <w:top w:val="none" w:sz="0" w:space="0" w:color="auto"/>
        <w:left w:val="none" w:sz="0" w:space="0" w:color="auto"/>
        <w:bottom w:val="none" w:sz="0" w:space="0" w:color="auto"/>
        <w:right w:val="none" w:sz="0" w:space="0" w:color="auto"/>
      </w:divBdr>
    </w:div>
    <w:div w:id="1325671157">
      <w:bodyDiv w:val="1"/>
      <w:marLeft w:val="0"/>
      <w:marRight w:val="0"/>
      <w:marTop w:val="0"/>
      <w:marBottom w:val="0"/>
      <w:divBdr>
        <w:top w:val="none" w:sz="0" w:space="0" w:color="auto"/>
        <w:left w:val="none" w:sz="0" w:space="0" w:color="auto"/>
        <w:bottom w:val="none" w:sz="0" w:space="0" w:color="auto"/>
        <w:right w:val="none" w:sz="0" w:space="0" w:color="auto"/>
      </w:divBdr>
      <w:divsChild>
        <w:div w:id="1825780234">
          <w:marLeft w:val="0"/>
          <w:marRight w:val="0"/>
          <w:marTop w:val="0"/>
          <w:marBottom w:val="0"/>
          <w:divBdr>
            <w:top w:val="single" w:sz="6" w:space="0" w:color="000000"/>
            <w:left w:val="single" w:sz="6" w:space="0" w:color="000000"/>
            <w:bottom w:val="single" w:sz="6" w:space="0" w:color="000000"/>
            <w:right w:val="single" w:sz="6" w:space="0" w:color="000000"/>
          </w:divBdr>
          <w:divsChild>
            <w:div w:id="2093619571">
              <w:marLeft w:val="0"/>
              <w:marRight w:val="0"/>
              <w:marTop w:val="0"/>
              <w:marBottom w:val="0"/>
              <w:divBdr>
                <w:top w:val="none" w:sz="0" w:space="0" w:color="auto"/>
                <w:left w:val="none" w:sz="0" w:space="0" w:color="auto"/>
                <w:bottom w:val="none" w:sz="0" w:space="0" w:color="auto"/>
                <w:right w:val="none" w:sz="0" w:space="0" w:color="auto"/>
              </w:divBdr>
              <w:divsChild>
                <w:div w:id="568811530">
                  <w:marLeft w:val="0"/>
                  <w:marRight w:val="0"/>
                  <w:marTop w:val="0"/>
                  <w:marBottom w:val="0"/>
                  <w:divBdr>
                    <w:top w:val="none" w:sz="0" w:space="0" w:color="auto"/>
                    <w:left w:val="none" w:sz="0" w:space="0" w:color="auto"/>
                    <w:bottom w:val="none" w:sz="0" w:space="0" w:color="auto"/>
                    <w:right w:val="none" w:sz="0" w:space="0" w:color="auto"/>
                  </w:divBdr>
                  <w:divsChild>
                    <w:div w:id="2056152078">
                      <w:marLeft w:val="0"/>
                      <w:marRight w:val="0"/>
                      <w:marTop w:val="0"/>
                      <w:marBottom w:val="0"/>
                      <w:divBdr>
                        <w:top w:val="none" w:sz="0" w:space="0" w:color="auto"/>
                        <w:left w:val="none" w:sz="0" w:space="0" w:color="auto"/>
                        <w:bottom w:val="none" w:sz="0" w:space="0" w:color="auto"/>
                        <w:right w:val="none" w:sz="0" w:space="0" w:color="auto"/>
                      </w:divBdr>
                      <w:divsChild>
                        <w:div w:id="501044627">
                          <w:marLeft w:val="0"/>
                          <w:marRight w:val="0"/>
                          <w:marTop w:val="0"/>
                          <w:marBottom w:val="0"/>
                          <w:divBdr>
                            <w:top w:val="none" w:sz="0" w:space="0" w:color="auto"/>
                            <w:left w:val="none" w:sz="0" w:space="0" w:color="auto"/>
                            <w:bottom w:val="none" w:sz="0" w:space="0" w:color="auto"/>
                            <w:right w:val="none" w:sz="0" w:space="0" w:color="auto"/>
                          </w:divBdr>
                          <w:divsChild>
                            <w:div w:id="827553056">
                              <w:marLeft w:val="0"/>
                              <w:marRight w:val="0"/>
                              <w:marTop w:val="0"/>
                              <w:marBottom w:val="0"/>
                              <w:divBdr>
                                <w:top w:val="none" w:sz="0" w:space="0" w:color="auto"/>
                                <w:left w:val="none" w:sz="0" w:space="0" w:color="auto"/>
                                <w:bottom w:val="none" w:sz="0" w:space="0" w:color="auto"/>
                                <w:right w:val="none" w:sz="0" w:space="0" w:color="auto"/>
                              </w:divBdr>
                            </w:div>
                            <w:div w:id="1697850134">
                              <w:marLeft w:val="0"/>
                              <w:marRight w:val="0"/>
                              <w:marTop w:val="0"/>
                              <w:marBottom w:val="0"/>
                              <w:divBdr>
                                <w:top w:val="none" w:sz="0" w:space="0" w:color="auto"/>
                                <w:left w:val="none" w:sz="0" w:space="0" w:color="auto"/>
                                <w:bottom w:val="none" w:sz="0" w:space="0" w:color="auto"/>
                                <w:right w:val="none" w:sz="0" w:space="0" w:color="auto"/>
                              </w:divBdr>
                            </w:div>
                            <w:div w:id="21225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152956">
      <w:bodyDiv w:val="1"/>
      <w:marLeft w:val="0"/>
      <w:marRight w:val="0"/>
      <w:marTop w:val="0"/>
      <w:marBottom w:val="0"/>
      <w:divBdr>
        <w:top w:val="none" w:sz="0" w:space="0" w:color="auto"/>
        <w:left w:val="none" w:sz="0" w:space="0" w:color="auto"/>
        <w:bottom w:val="none" w:sz="0" w:space="0" w:color="auto"/>
        <w:right w:val="none" w:sz="0" w:space="0" w:color="auto"/>
      </w:divBdr>
      <w:divsChild>
        <w:div w:id="528228116">
          <w:marLeft w:val="0"/>
          <w:marRight w:val="0"/>
          <w:marTop w:val="0"/>
          <w:marBottom w:val="0"/>
          <w:divBdr>
            <w:top w:val="single" w:sz="6" w:space="0" w:color="000000"/>
            <w:left w:val="single" w:sz="6" w:space="0" w:color="000000"/>
            <w:bottom w:val="single" w:sz="6" w:space="0" w:color="000000"/>
            <w:right w:val="single" w:sz="6" w:space="0" w:color="000000"/>
          </w:divBdr>
          <w:divsChild>
            <w:div w:id="1392464092">
              <w:marLeft w:val="0"/>
              <w:marRight w:val="0"/>
              <w:marTop w:val="0"/>
              <w:marBottom w:val="0"/>
              <w:divBdr>
                <w:top w:val="none" w:sz="0" w:space="0" w:color="auto"/>
                <w:left w:val="none" w:sz="0" w:space="0" w:color="auto"/>
                <w:bottom w:val="none" w:sz="0" w:space="0" w:color="auto"/>
                <w:right w:val="none" w:sz="0" w:space="0" w:color="auto"/>
              </w:divBdr>
              <w:divsChild>
                <w:div w:id="1716345194">
                  <w:marLeft w:val="0"/>
                  <w:marRight w:val="0"/>
                  <w:marTop w:val="0"/>
                  <w:marBottom w:val="0"/>
                  <w:divBdr>
                    <w:top w:val="none" w:sz="0" w:space="0" w:color="auto"/>
                    <w:left w:val="none" w:sz="0" w:space="0" w:color="auto"/>
                    <w:bottom w:val="none" w:sz="0" w:space="0" w:color="auto"/>
                    <w:right w:val="none" w:sz="0" w:space="0" w:color="auto"/>
                  </w:divBdr>
                  <w:divsChild>
                    <w:div w:id="1458572378">
                      <w:marLeft w:val="0"/>
                      <w:marRight w:val="0"/>
                      <w:marTop w:val="0"/>
                      <w:marBottom w:val="0"/>
                      <w:divBdr>
                        <w:top w:val="none" w:sz="0" w:space="0" w:color="auto"/>
                        <w:left w:val="none" w:sz="0" w:space="0" w:color="auto"/>
                        <w:bottom w:val="none" w:sz="0" w:space="0" w:color="auto"/>
                        <w:right w:val="none" w:sz="0" w:space="0" w:color="auto"/>
                      </w:divBdr>
                      <w:divsChild>
                        <w:div w:id="1418670966">
                          <w:marLeft w:val="0"/>
                          <w:marRight w:val="0"/>
                          <w:marTop w:val="0"/>
                          <w:marBottom w:val="0"/>
                          <w:divBdr>
                            <w:top w:val="none" w:sz="0" w:space="0" w:color="auto"/>
                            <w:left w:val="none" w:sz="0" w:space="0" w:color="auto"/>
                            <w:bottom w:val="none" w:sz="0" w:space="0" w:color="auto"/>
                            <w:right w:val="none" w:sz="0" w:space="0" w:color="auto"/>
                          </w:divBdr>
                          <w:divsChild>
                            <w:div w:id="4189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9858785">
      <w:bodyDiv w:val="1"/>
      <w:marLeft w:val="0"/>
      <w:marRight w:val="0"/>
      <w:marTop w:val="0"/>
      <w:marBottom w:val="0"/>
      <w:divBdr>
        <w:top w:val="none" w:sz="0" w:space="0" w:color="auto"/>
        <w:left w:val="none" w:sz="0" w:space="0" w:color="auto"/>
        <w:bottom w:val="none" w:sz="0" w:space="0" w:color="auto"/>
        <w:right w:val="none" w:sz="0" w:space="0" w:color="auto"/>
      </w:divBdr>
    </w:div>
    <w:div w:id="1902518809">
      <w:bodyDiv w:val="1"/>
      <w:marLeft w:val="0"/>
      <w:marRight w:val="0"/>
      <w:marTop w:val="0"/>
      <w:marBottom w:val="0"/>
      <w:divBdr>
        <w:top w:val="none" w:sz="0" w:space="0" w:color="auto"/>
        <w:left w:val="none" w:sz="0" w:space="0" w:color="auto"/>
        <w:bottom w:val="none" w:sz="0" w:space="0" w:color="auto"/>
        <w:right w:val="none" w:sz="0" w:space="0" w:color="auto"/>
      </w:divBdr>
    </w:div>
    <w:div w:id="1922719437">
      <w:bodyDiv w:val="1"/>
      <w:marLeft w:val="0"/>
      <w:marRight w:val="0"/>
      <w:marTop w:val="0"/>
      <w:marBottom w:val="0"/>
      <w:divBdr>
        <w:top w:val="none" w:sz="0" w:space="0" w:color="auto"/>
        <w:left w:val="none" w:sz="0" w:space="0" w:color="auto"/>
        <w:bottom w:val="none" w:sz="0" w:space="0" w:color="auto"/>
        <w:right w:val="none" w:sz="0" w:space="0" w:color="auto"/>
      </w:divBdr>
      <w:divsChild>
        <w:div w:id="1887176701">
          <w:marLeft w:val="0"/>
          <w:marRight w:val="0"/>
          <w:marTop w:val="0"/>
          <w:marBottom w:val="0"/>
          <w:divBdr>
            <w:top w:val="single" w:sz="6" w:space="0" w:color="000000"/>
            <w:left w:val="single" w:sz="6" w:space="0" w:color="000000"/>
            <w:bottom w:val="single" w:sz="6" w:space="0" w:color="000000"/>
            <w:right w:val="single" w:sz="6" w:space="0" w:color="000000"/>
          </w:divBdr>
          <w:divsChild>
            <w:div w:id="1079641805">
              <w:marLeft w:val="0"/>
              <w:marRight w:val="0"/>
              <w:marTop w:val="0"/>
              <w:marBottom w:val="0"/>
              <w:divBdr>
                <w:top w:val="none" w:sz="0" w:space="0" w:color="auto"/>
                <w:left w:val="none" w:sz="0" w:space="0" w:color="auto"/>
                <w:bottom w:val="none" w:sz="0" w:space="0" w:color="auto"/>
                <w:right w:val="none" w:sz="0" w:space="0" w:color="auto"/>
              </w:divBdr>
              <w:divsChild>
                <w:div w:id="1433745524">
                  <w:marLeft w:val="0"/>
                  <w:marRight w:val="0"/>
                  <w:marTop w:val="0"/>
                  <w:marBottom w:val="0"/>
                  <w:divBdr>
                    <w:top w:val="none" w:sz="0" w:space="0" w:color="auto"/>
                    <w:left w:val="none" w:sz="0" w:space="0" w:color="auto"/>
                    <w:bottom w:val="none" w:sz="0" w:space="0" w:color="auto"/>
                    <w:right w:val="none" w:sz="0" w:space="0" w:color="auto"/>
                  </w:divBdr>
                  <w:divsChild>
                    <w:div w:id="1460801409">
                      <w:marLeft w:val="0"/>
                      <w:marRight w:val="0"/>
                      <w:marTop w:val="0"/>
                      <w:marBottom w:val="0"/>
                      <w:divBdr>
                        <w:top w:val="none" w:sz="0" w:space="0" w:color="auto"/>
                        <w:left w:val="none" w:sz="0" w:space="0" w:color="auto"/>
                        <w:bottom w:val="none" w:sz="0" w:space="0" w:color="auto"/>
                        <w:right w:val="none" w:sz="0" w:space="0" w:color="auto"/>
                      </w:divBdr>
                      <w:divsChild>
                        <w:div w:id="1549680313">
                          <w:marLeft w:val="0"/>
                          <w:marRight w:val="0"/>
                          <w:marTop w:val="0"/>
                          <w:marBottom w:val="0"/>
                          <w:divBdr>
                            <w:top w:val="none" w:sz="0" w:space="0" w:color="auto"/>
                            <w:left w:val="none" w:sz="0" w:space="0" w:color="auto"/>
                            <w:bottom w:val="none" w:sz="0" w:space="0" w:color="auto"/>
                            <w:right w:val="none" w:sz="0" w:space="0" w:color="auto"/>
                          </w:divBdr>
                          <w:divsChild>
                            <w:div w:id="80689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865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11941-D07D-49EF-B767-6F34D8A03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149</Pages>
  <Words>71400</Words>
  <Characters>406986</Characters>
  <Application>Microsoft Office Word</Application>
  <DocSecurity>0</DocSecurity>
  <Lines>3391</Lines>
  <Paragraphs>954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SCM</Company>
  <LinksUpToDate>false</LinksUpToDate>
  <CharactersWithSpaces>477432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Felicia Ciulu-Costinescu</dc:creator>
  <cp:keywords/>
  <dc:description/>
  <cp:lastModifiedBy>User</cp:lastModifiedBy>
  <cp:revision>2</cp:revision>
  <cp:lastPrinted>2022-12-14T13:04:00Z</cp:lastPrinted>
  <dcterms:created xsi:type="dcterms:W3CDTF">2024-05-09T09:04:00Z</dcterms:created>
  <dcterms:modified xsi:type="dcterms:W3CDTF">2024-05-09T09:04:00Z</dcterms:modified>
</cp:coreProperties>
</file>