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F941DA" w:rsidRDefault="00DE6C74" w:rsidP="007E53DA">
      <w:pPr>
        <w:pStyle w:val="Body"/>
        <w:tabs>
          <w:tab w:val="left" w:pos="1575"/>
          <w:tab w:val="center" w:pos="5315"/>
        </w:tabs>
        <w:spacing w:line="276" w:lineRule="auto"/>
        <w:jc w:val="center"/>
        <w:rPr>
          <w:rFonts w:cs="Times New Roman"/>
          <w:b/>
          <w:bCs/>
          <w:color w:val="auto"/>
        </w:rPr>
      </w:pPr>
      <w:bookmarkStart w:id="0" w:name="_GoBack"/>
      <w:bookmarkEnd w:id="0"/>
      <w:r w:rsidRPr="00F941DA">
        <w:rPr>
          <w:rFonts w:cs="Times New Roman"/>
          <w:b/>
          <w:bCs/>
          <w:color w:val="auto"/>
          <w:lang w:val="fr-FR"/>
        </w:rPr>
        <w:t>ANEXA</w:t>
      </w:r>
    </w:p>
    <w:p w14:paraId="1719B0C0" w14:textId="199AB239" w:rsidR="00DE6C74" w:rsidRPr="00F941DA" w:rsidRDefault="00DE6C74" w:rsidP="00ED04A6">
      <w:pPr>
        <w:pStyle w:val="Body"/>
        <w:tabs>
          <w:tab w:val="left" w:pos="1575"/>
          <w:tab w:val="center" w:pos="5315"/>
        </w:tabs>
        <w:spacing w:line="276" w:lineRule="auto"/>
        <w:jc w:val="center"/>
        <w:rPr>
          <w:rFonts w:eastAsia="Arial" w:cs="Times New Roman"/>
          <w:b/>
          <w:bCs/>
          <w:color w:val="auto"/>
        </w:rPr>
      </w:pPr>
      <w:r w:rsidRPr="00F941DA">
        <w:rPr>
          <w:rFonts w:cs="Times New Roman"/>
          <w:b/>
          <w:bCs/>
          <w:color w:val="auto"/>
        </w:rPr>
        <w:t>MODIFICĂ</w:t>
      </w:r>
      <w:r w:rsidRPr="00F941DA">
        <w:rPr>
          <w:rFonts w:cs="Times New Roman"/>
          <w:b/>
          <w:bCs/>
          <w:color w:val="auto"/>
          <w:lang w:val="fr-FR"/>
        </w:rPr>
        <w:t xml:space="preserve">RI </w:t>
      </w:r>
    </w:p>
    <w:p w14:paraId="383072F5" w14:textId="014B6521" w:rsidR="00DE6C74" w:rsidRPr="00F941DA" w:rsidRDefault="003A7EB0" w:rsidP="007E53DA">
      <w:pPr>
        <w:pStyle w:val="Body"/>
        <w:spacing w:line="276" w:lineRule="auto"/>
        <w:jc w:val="center"/>
        <w:outlineLvl w:val="0"/>
        <w:rPr>
          <w:rFonts w:cs="Times New Roman"/>
          <w:b/>
          <w:bCs/>
          <w:color w:val="auto"/>
        </w:rPr>
      </w:pPr>
      <w:r w:rsidRPr="00F941DA">
        <w:rPr>
          <w:rFonts w:cs="Times New Roman"/>
          <w:b/>
          <w:bCs/>
          <w:color w:val="auto"/>
        </w:rPr>
        <w:t>la anexele</w:t>
      </w:r>
      <w:r w:rsidR="00282DDA" w:rsidRPr="00F941DA">
        <w:rPr>
          <w:rFonts w:cs="Times New Roman"/>
          <w:b/>
          <w:bCs/>
          <w:color w:val="auto"/>
        </w:rPr>
        <w:t xml:space="preserve"> nr. 1</w:t>
      </w:r>
      <w:r w:rsidR="004C7EA2" w:rsidRPr="00F941DA">
        <w:rPr>
          <w:rFonts w:cs="Times New Roman"/>
          <w:b/>
          <w:bCs/>
          <w:color w:val="auto"/>
        </w:rPr>
        <w:t xml:space="preserve"> </w:t>
      </w:r>
      <w:r w:rsidRPr="00F941DA">
        <w:rPr>
          <w:rFonts w:cs="Times New Roman"/>
          <w:b/>
          <w:bCs/>
          <w:color w:val="auto"/>
        </w:rPr>
        <w:t xml:space="preserve">și nr. 2 </w:t>
      </w:r>
      <w:r w:rsidR="00DE6C74" w:rsidRPr="00F941DA">
        <w:rPr>
          <w:rFonts w:cs="Times New Roman"/>
          <w:b/>
          <w:bCs/>
          <w:color w:val="auto"/>
        </w:rPr>
        <w:t>la Ordin</w:t>
      </w:r>
      <w:r w:rsidR="004C7EA2" w:rsidRPr="00F941DA">
        <w:rPr>
          <w:rFonts w:cs="Times New Roman"/>
          <w:b/>
          <w:bCs/>
          <w:color w:val="auto"/>
        </w:rPr>
        <w:t>ul ministrului sănătății</w:t>
      </w:r>
      <w:r w:rsidR="00DE6C74" w:rsidRPr="00F941DA">
        <w:rPr>
          <w:rFonts w:cs="Times New Roman"/>
          <w:b/>
          <w:bCs/>
          <w:color w:val="auto"/>
        </w:rPr>
        <w:t xml:space="preserve"> ș</w:t>
      </w:r>
      <w:r w:rsidR="00DE6C74" w:rsidRPr="00F941DA">
        <w:rPr>
          <w:rFonts w:cs="Times New Roman"/>
          <w:b/>
          <w:bCs/>
          <w:color w:val="auto"/>
          <w:lang w:val="it-IT"/>
        </w:rPr>
        <w:t>i al pre</w:t>
      </w:r>
      <w:r w:rsidR="00DE6C74" w:rsidRPr="00F941DA">
        <w:rPr>
          <w:rFonts w:cs="Times New Roman"/>
          <w:b/>
          <w:bCs/>
          <w:color w:val="auto"/>
        </w:rPr>
        <w:t>ședintelui Casei Naționale de</w:t>
      </w:r>
      <w:r w:rsidR="004C7EA2" w:rsidRPr="00F941DA">
        <w:rPr>
          <w:rFonts w:cs="Times New Roman"/>
          <w:b/>
          <w:bCs/>
          <w:color w:val="auto"/>
        </w:rPr>
        <w:t xml:space="preserve"> Asigurări de Sănătate nr. 564/499/2021</w:t>
      </w:r>
    </w:p>
    <w:p w14:paraId="78D732CF" w14:textId="77777777" w:rsidR="007E53DA" w:rsidRPr="00F941DA" w:rsidRDefault="007E53DA" w:rsidP="007E53DA">
      <w:pPr>
        <w:pStyle w:val="Body"/>
        <w:spacing w:line="276" w:lineRule="auto"/>
        <w:jc w:val="center"/>
        <w:outlineLvl w:val="0"/>
        <w:rPr>
          <w:rFonts w:cs="Times New Roman"/>
          <w:b/>
          <w:bCs/>
          <w:color w:val="auto"/>
        </w:rPr>
      </w:pPr>
    </w:p>
    <w:p w14:paraId="4C635F24" w14:textId="77777777" w:rsidR="00892DEE" w:rsidRPr="00F941DA" w:rsidRDefault="00892DEE" w:rsidP="000071BD">
      <w:pPr>
        <w:pStyle w:val="Body"/>
        <w:spacing w:line="276" w:lineRule="auto"/>
        <w:outlineLvl w:val="0"/>
        <w:rPr>
          <w:rFonts w:cs="Times New Roman"/>
          <w:b/>
          <w:bCs/>
          <w:color w:val="auto"/>
        </w:rPr>
      </w:pPr>
    </w:p>
    <w:p w14:paraId="5E9E9E21" w14:textId="77777777" w:rsidR="009C55B0" w:rsidRPr="00F941DA" w:rsidRDefault="009C55B0" w:rsidP="00353ACB">
      <w:pPr>
        <w:tabs>
          <w:tab w:val="left" w:pos="426"/>
        </w:tabs>
        <w:jc w:val="both"/>
        <w:rPr>
          <w:rFonts w:ascii="Times New Roman" w:eastAsia="Arial" w:hAnsi="Times New Roman" w:cs="Times New Roman"/>
          <w:b/>
          <w:bCs/>
          <w:sz w:val="24"/>
          <w:szCs w:val="24"/>
          <w:lang w:val="en-US"/>
        </w:rPr>
      </w:pPr>
    </w:p>
    <w:p w14:paraId="4BF158DE" w14:textId="4EAD1D02" w:rsidR="00353ACB" w:rsidRPr="00F941DA" w:rsidRDefault="00353ACB" w:rsidP="007B60B7">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t>La anexa nr. 1, protocolul terapeuti</w:t>
      </w:r>
      <w:r w:rsidR="009C55B0" w:rsidRPr="00F941DA">
        <w:rPr>
          <w:rFonts w:eastAsia="Arial"/>
          <w:b/>
          <w:bCs/>
          <w:color w:val="auto"/>
          <w:lang w:val="en-US"/>
        </w:rPr>
        <w:t xml:space="preserve">c corespunzător poziţiei nr. </w:t>
      </w:r>
      <w:r w:rsidR="007B60B7" w:rsidRPr="00F941DA">
        <w:rPr>
          <w:rFonts w:eastAsia="Arial"/>
          <w:b/>
          <w:bCs/>
          <w:color w:val="auto"/>
          <w:lang w:val="en-US"/>
        </w:rPr>
        <w:t>36</w:t>
      </w:r>
      <w:r w:rsidRPr="00F941DA">
        <w:rPr>
          <w:rFonts w:eastAsia="Arial"/>
          <w:b/>
          <w:bCs/>
          <w:color w:val="auto"/>
          <w:lang w:val="en-US"/>
        </w:rPr>
        <w:t xml:space="preserve"> cod (</w:t>
      </w:r>
      <w:r w:rsidR="007B60B7" w:rsidRPr="00F941DA">
        <w:rPr>
          <w:rFonts w:eastAsia="Arial"/>
          <w:b/>
          <w:bCs/>
          <w:color w:val="auto"/>
          <w:lang w:val="en-US"/>
        </w:rPr>
        <w:t>A10BK03</w:t>
      </w:r>
      <w:r w:rsidRPr="00F941DA">
        <w:rPr>
          <w:rFonts w:eastAsia="Arial"/>
          <w:b/>
          <w:bCs/>
          <w:color w:val="auto"/>
          <w:lang w:val="en-US"/>
        </w:rPr>
        <w:t xml:space="preserve">): DCI </w:t>
      </w:r>
      <w:r w:rsidR="007B60B7" w:rsidRPr="00F941DA">
        <w:rPr>
          <w:rFonts w:eastAsia="Arial"/>
          <w:b/>
          <w:bCs/>
          <w:color w:val="auto"/>
          <w:lang w:val="en-US"/>
        </w:rPr>
        <w:t>EMPAGLIFLOZINUM</w:t>
      </w:r>
      <w:r w:rsidR="009C55B0" w:rsidRPr="00F941DA">
        <w:rPr>
          <w:rFonts w:eastAsia="Arial"/>
          <w:b/>
          <w:bCs/>
          <w:color w:val="auto"/>
          <w:lang w:val="en-US"/>
        </w:rPr>
        <w:t xml:space="preserve"> </w:t>
      </w:r>
      <w:r w:rsidRPr="00F941DA">
        <w:rPr>
          <w:rFonts w:eastAsia="Arial"/>
          <w:b/>
          <w:bCs/>
          <w:color w:val="auto"/>
          <w:lang w:val="en-US"/>
        </w:rPr>
        <w:t>se modifică și se înlocuiește cu următorul protocol:</w:t>
      </w:r>
    </w:p>
    <w:p w14:paraId="4BD8936A" w14:textId="77777777" w:rsidR="00353ACB" w:rsidRPr="00F941DA" w:rsidRDefault="00353ACB" w:rsidP="00353ACB">
      <w:pPr>
        <w:tabs>
          <w:tab w:val="left" w:pos="426"/>
        </w:tabs>
        <w:jc w:val="both"/>
        <w:rPr>
          <w:rFonts w:ascii="Times New Roman" w:eastAsia="Arial" w:hAnsi="Times New Roman" w:cs="Times New Roman"/>
          <w:b/>
          <w:bCs/>
          <w:sz w:val="24"/>
          <w:szCs w:val="24"/>
          <w:lang w:val="en-US"/>
        </w:rPr>
      </w:pPr>
    </w:p>
    <w:p w14:paraId="575678AA" w14:textId="734EB326" w:rsidR="009C55B0" w:rsidRPr="00F941DA" w:rsidRDefault="00353ACB" w:rsidP="009C55B0">
      <w:pPr>
        <w:tabs>
          <w:tab w:val="left" w:pos="426"/>
        </w:tabs>
        <w:jc w:val="both"/>
        <w:rPr>
          <w:rFonts w:ascii="Times New Roman" w:eastAsia="Arial" w:hAnsi="Times New Roman" w:cs="Times New Roman"/>
          <w:b/>
          <w:bCs/>
          <w:sz w:val="24"/>
          <w:szCs w:val="24"/>
          <w:lang w:val="en-US"/>
        </w:rPr>
      </w:pPr>
      <w:r w:rsidRPr="00F941DA">
        <w:rPr>
          <w:rFonts w:ascii="Times New Roman" w:eastAsia="Arial" w:hAnsi="Times New Roman" w:cs="Times New Roman"/>
          <w:b/>
          <w:bCs/>
          <w:sz w:val="24"/>
          <w:szCs w:val="24"/>
          <w:lang w:val="en-US"/>
        </w:rPr>
        <w:t>”Protocol terapeuti</w:t>
      </w:r>
      <w:r w:rsidR="00020C92" w:rsidRPr="00F941DA">
        <w:rPr>
          <w:rFonts w:ascii="Times New Roman" w:eastAsia="Arial" w:hAnsi="Times New Roman" w:cs="Times New Roman"/>
          <w:b/>
          <w:bCs/>
          <w:sz w:val="24"/>
          <w:szCs w:val="24"/>
          <w:lang w:val="en-US"/>
        </w:rPr>
        <w:t xml:space="preserve">c corespunzător poziţiei nr. </w:t>
      </w:r>
      <w:r w:rsidR="007B60B7" w:rsidRPr="00F941DA">
        <w:rPr>
          <w:rFonts w:ascii="Times New Roman" w:eastAsia="Arial" w:hAnsi="Times New Roman" w:cs="Times New Roman"/>
          <w:b/>
          <w:bCs/>
          <w:sz w:val="24"/>
          <w:szCs w:val="24"/>
          <w:lang w:val="en-US"/>
        </w:rPr>
        <w:t>36 cod (A10BK03): DCI EMPAGLIFLOZINUM</w:t>
      </w:r>
    </w:p>
    <w:p w14:paraId="2D3BC034" w14:textId="77777777" w:rsidR="00301CF8" w:rsidRPr="00F941DA" w:rsidRDefault="00301CF8" w:rsidP="009C55B0">
      <w:pPr>
        <w:tabs>
          <w:tab w:val="left" w:pos="426"/>
        </w:tabs>
        <w:jc w:val="both"/>
        <w:rPr>
          <w:rFonts w:ascii="Times New Roman" w:eastAsia="Arial" w:hAnsi="Times New Roman" w:cs="Times New Roman"/>
          <w:b/>
          <w:bCs/>
          <w:sz w:val="24"/>
          <w:szCs w:val="24"/>
          <w:lang w:val="en-US"/>
        </w:rPr>
      </w:pPr>
    </w:p>
    <w:p w14:paraId="3DD78669" w14:textId="77777777" w:rsidR="00E02EA5" w:rsidRPr="00F941DA" w:rsidRDefault="00E02EA5" w:rsidP="00E02EA5">
      <w:pPr>
        <w:spacing w:after="0" w:line="276" w:lineRule="auto"/>
        <w:jc w:val="both"/>
        <w:rPr>
          <w:rFonts w:ascii="Times New Roman" w:eastAsia="Calibri" w:hAnsi="Times New Roman" w:cs="Times New Roman"/>
          <w:b/>
          <w:bCs/>
          <w:sz w:val="24"/>
          <w:szCs w:val="24"/>
          <w:lang w:eastAsia="ro-RO"/>
        </w:rPr>
      </w:pPr>
      <w:r w:rsidRPr="00F941DA">
        <w:rPr>
          <w:rFonts w:ascii="Times New Roman" w:eastAsia="Calibri" w:hAnsi="Times New Roman" w:cs="Times New Roman"/>
          <w:b/>
          <w:bCs/>
          <w:sz w:val="24"/>
          <w:szCs w:val="24"/>
          <w:lang w:eastAsia="ro-RO"/>
        </w:rPr>
        <w:t xml:space="preserve">I. Indicaţie:   </w:t>
      </w:r>
    </w:p>
    <w:p w14:paraId="104C4C27"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Empagliflozinum este indicat pentru tratamentul adulţilor cu diabet zaharat de tip 2 insuficient controlat, ca adjuvant la dieta şi exerciţiul fizic ca monoterapie atunci când metformina este considerată inadecvată din cauza intoleranţei sau asociată altor medicamente pentru tratamentul diabetului zaharat de tip 2.</w:t>
      </w:r>
    </w:p>
    <w:p w14:paraId="5A123E1F" w14:textId="77777777" w:rsidR="00E02EA5" w:rsidRPr="00F941DA" w:rsidRDefault="00E02EA5" w:rsidP="00E02EA5">
      <w:pPr>
        <w:spacing w:after="0" w:line="276" w:lineRule="auto"/>
        <w:ind w:firstLine="720"/>
        <w:jc w:val="both"/>
        <w:rPr>
          <w:rFonts w:ascii="Times New Roman" w:eastAsia="Calibri" w:hAnsi="Times New Roman" w:cs="Times New Roman"/>
          <w:bCs/>
          <w:sz w:val="24"/>
          <w:szCs w:val="24"/>
          <w:lang w:eastAsia="ro-RO"/>
        </w:rPr>
      </w:pPr>
    </w:p>
    <w:p w14:paraId="08E60FD2" w14:textId="77777777" w:rsidR="00E02EA5" w:rsidRPr="00F941DA" w:rsidRDefault="00E02EA5" w:rsidP="00E02EA5">
      <w:pPr>
        <w:spacing w:after="0" w:line="276" w:lineRule="auto"/>
        <w:jc w:val="both"/>
        <w:rPr>
          <w:rFonts w:ascii="Times New Roman" w:eastAsia="Calibri" w:hAnsi="Times New Roman" w:cs="Times New Roman"/>
          <w:b/>
          <w:bCs/>
          <w:sz w:val="24"/>
          <w:szCs w:val="24"/>
          <w:lang w:eastAsia="ro-RO"/>
        </w:rPr>
      </w:pPr>
      <w:r w:rsidRPr="00F941DA">
        <w:rPr>
          <w:rFonts w:ascii="Times New Roman" w:eastAsia="Calibri" w:hAnsi="Times New Roman" w:cs="Times New Roman"/>
          <w:b/>
          <w:bCs/>
          <w:sz w:val="24"/>
          <w:szCs w:val="24"/>
          <w:lang w:eastAsia="ro-RO"/>
        </w:rPr>
        <w:t>II. Criterii de includere în tratamentul specific:</w:t>
      </w:r>
    </w:p>
    <w:p w14:paraId="7CF9959F" w14:textId="77777777" w:rsidR="00E02EA5" w:rsidRPr="00F941DA" w:rsidRDefault="00E02EA5" w:rsidP="00D11DF1">
      <w:pPr>
        <w:numPr>
          <w:ilvl w:val="0"/>
          <w:numId w:val="182"/>
        </w:numPr>
        <w:spacing w:after="0" w:line="276" w:lineRule="auto"/>
        <w:ind w:left="284" w:hanging="284"/>
        <w:contextualSpacing/>
        <w:jc w:val="both"/>
        <w:rPr>
          <w:rFonts w:ascii="Times New Roman" w:eastAsia="Calibri" w:hAnsi="Times New Roman" w:cs="Times New Roman"/>
          <w:sz w:val="24"/>
          <w:szCs w:val="24"/>
          <w:lang w:eastAsia="ro-RO"/>
        </w:rPr>
      </w:pPr>
      <w:r w:rsidRPr="00F941DA">
        <w:rPr>
          <w:rFonts w:ascii="Times New Roman" w:eastAsia="Calibri" w:hAnsi="Times New Roman" w:cs="Times New Roman"/>
          <w:b/>
          <w:bCs/>
          <w:sz w:val="24"/>
          <w:szCs w:val="24"/>
          <w:lang w:eastAsia="ro-RO"/>
        </w:rPr>
        <w:t xml:space="preserve">Monoterapie: </w:t>
      </w:r>
      <w:r w:rsidRPr="00F941DA">
        <w:rPr>
          <w:rFonts w:ascii="Times New Roman" w:eastAsia="Calibri" w:hAnsi="Times New Roman" w:cs="Times New Roman"/>
          <w:sz w:val="24"/>
          <w:szCs w:val="24"/>
          <w:lang w:eastAsia="ro-RO"/>
        </w:rPr>
        <w:t>atunci când metformina este considerată inadecvată din cauza intoleranței sau a contraindicației.</w:t>
      </w:r>
    </w:p>
    <w:p w14:paraId="0DEDE6A8"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p>
    <w:p w14:paraId="7AB6721A" w14:textId="77777777" w:rsidR="00E02EA5" w:rsidRPr="00F941DA" w:rsidRDefault="00E02EA5" w:rsidP="00D11DF1">
      <w:pPr>
        <w:numPr>
          <w:ilvl w:val="0"/>
          <w:numId w:val="182"/>
        </w:numPr>
        <w:spacing w:after="0" w:line="240" w:lineRule="auto"/>
        <w:ind w:left="284" w:hanging="284"/>
        <w:contextualSpacing/>
        <w:jc w:val="both"/>
        <w:rPr>
          <w:rFonts w:ascii="Times New Roman" w:eastAsia="Calibri" w:hAnsi="Times New Roman" w:cs="Times New Roman"/>
          <w:b/>
          <w:sz w:val="24"/>
          <w:szCs w:val="24"/>
          <w:lang w:eastAsia="ro-RO"/>
        </w:rPr>
      </w:pPr>
      <w:r w:rsidRPr="00F941DA">
        <w:rPr>
          <w:rFonts w:ascii="Times New Roman" w:eastAsia="Calibri" w:hAnsi="Times New Roman" w:cs="Times New Roman"/>
          <w:b/>
          <w:sz w:val="24"/>
          <w:szCs w:val="24"/>
          <w:lang w:eastAsia="ro-RO"/>
        </w:rPr>
        <w:t>Dublă terapie:</w:t>
      </w:r>
    </w:p>
    <w:p w14:paraId="44443CB1" w14:textId="77777777" w:rsidR="00E02EA5" w:rsidRPr="00F941DA" w:rsidRDefault="00E02EA5" w:rsidP="00E02EA5">
      <w:pPr>
        <w:numPr>
          <w:ilvl w:val="0"/>
          <w:numId w:val="71"/>
        </w:numPr>
        <w:spacing w:after="0" w:line="240"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Empagliflozinum în asociere cu metformin la pacienţii necontrolaţi sub terapia anterioară.</w:t>
      </w:r>
    </w:p>
    <w:p w14:paraId="08D925D9" w14:textId="77777777" w:rsidR="00E02EA5" w:rsidRPr="00F941DA" w:rsidRDefault="00E02EA5" w:rsidP="00E02EA5">
      <w:pPr>
        <w:numPr>
          <w:ilvl w:val="0"/>
          <w:numId w:val="71"/>
        </w:numPr>
        <w:spacing w:after="0" w:line="240"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Empagliflozinum în asociere cu sulfoniluree la pacienţii necontrolaţi sub terapia anterioară.</w:t>
      </w:r>
    </w:p>
    <w:p w14:paraId="0D8DBD9E" w14:textId="77777777" w:rsidR="00E02EA5" w:rsidRPr="00F941DA" w:rsidRDefault="00E02EA5" w:rsidP="00E02EA5">
      <w:pPr>
        <w:numPr>
          <w:ilvl w:val="0"/>
          <w:numId w:val="71"/>
        </w:numPr>
        <w:spacing w:after="0" w:line="240"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Empagliflozinum în asociere cu agoniști ai receptorului GLP-1 la pacienţii necontrolaţi sub terapia anterioară.</w:t>
      </w:r>
    </w:p>
    <w:p w14:paraId="11B00A54" w14:textId="77777777" w:rsidR="00E02EA5" w:rsidRPr="00F941DA" w:rsidRDefault="00E02EA5" w:rsidP="00E02EA5">
      <w:pPr>
        <w:numPr>
          <w:ilvl w:val="0"/>
          <w:numId w:val="71"/>
        </w:numPr>
        <w:spacing w:after="0" w:line="240"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Empagliflozinum în asociere cu inhibitori ai DPP-4 la pacienţii necontrolaţi sub terapia anterioară.</w:t>
      </w:r>
    </w:p>
    <w:p w14:paraId="2988E746" w14:textId="77777777" w:rsidR="00E02EA5" w:rsidRPr="00F941DA" w:rsidRDefault="00E02EA5" w:rsidP="00E02EA5">
      <w:pPr>
        <w:numPr>
          <w:ilvl w:val="0"/>
          <w:numId w:val="71"/>
        </w:numPr>
        <w:spacing w:after="0" w:line="240"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Empagliflozinum în asociere cu insulină la pacienţii necontrolaţi sub terapia anterioară.</w:t>
      </w:r>
    </w:p>
    <w:p w14:paraId="041D2919" w14:textId="77777777" w:rsidR="00E02EA5" w:rsidRPr="00F941DA" w:rsidRDefault="00E02EA5" w:rsidP="00E02EA5">
      <w:pPr>
        <w:spacing w:after="0" w:line="240" w:lineRule="auto"/>
        <w:ind w:left="720"/>
        <w:jc w:val="both"/>
        <w:rPr>
          <w:rFonts w:ascii="Times New Roman" w:eastAsia="Calibri" w:hAnsi="Times New Roman" w:cs="Times New Roman"/>
          <w:bCs/>
          <w:sz w:val="24"/>
          <w:szCs w:val="24"/>
          <w:lang w:eastAsia="ro-RO"/>
        </w:rPr>
      </w:pPr>
    </w:p>
    <w:p w14:paraId="6DBE4E30" w14:textId="77777777" w:rsidR="00E02EA5" w:rsidRPr="00F941DA" w:rsidRDefault="00E02EA5" w:rsidP="00D11DF1">
      <w:pPr>
        <w:numPr>
          <w:ilvl w:val="0"/>
          <w:numId w:val="182"/>
        </w:numPr>
        <w:spacing w:after="0" w:line="240" w:lineRule="auto"/>
        <w:ind w:left="284" w:hanging="284"/>
        <w:contextualSpacing/>
        <w:jc w:val="both"/>
        <w:rPr>
          <w:rFonts w:ascii="Times New Roman" w:eastAsia="Calibri" w:hAnsi="Times New Roman" w:cs="Times New Roman"/>
          <w:b/>
          <w:sz w:val="24"/>
          <w:szCs w:val="24"/>
          <w:lang w:eastAsia="ro-RO"/>
        </w:rPr>
      </w:pPr>
      <w:r w:rsidRPr="00F941DA">
        <w:rPr>
          <w:rFonts w:ascii="Times New Roman" w:eastAsia="Calibri" w:hAnsi="Times New Roman" w:cs="Times New Roman"/>
          <w:b/>
          <w:sz w:val="24"/>
          <w:szCs w:val="24"/>
          <w:lang w:eastAsia="ro-RO"/>
        </w:rPr>
        <w:t xml:space="preserve"> Triplă terapie:</w:t>
      </w:r>
    </w:p>
    <w:p w14:paraId="38CA8ACA" w14:textId="77777777" w:rsidR="00E02EA5" w:rsidRPr="00F941DA" w:rsidRDefault="00E02EA5" w:rsidP="00D11DF1">
      <w:pPr>
        <w:numPr>
          <w:ilvl w:val="0"/>
          <w:numId w:val="287"/>
        </w:numPr>
        <w:spacing w:after="0" w:line="240"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Empagliflozinum cu Metformin şi Sulfoniluree la pacienţii necontrolaţi sub terapia anterioară. </w:t>
      </w:r>
    </w:p>
    <w:p w14:paraId="4D3B2AE5" w14:textId="77777777" w:rsidR="00E02EA5" w:rsidRPr="00F941DA" w:rsidRDefault="00E02EA5" w:rsidP="00D11DF1">
      <w:pPr>
        <w:numPr>
          <w:ilvl w:val="0"/>
          <w:numId w:val="287"/>
        </w:numPr>
        <w:spacing w:after="0" w:line="240"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Empagliflozinum cu Metformin şi inhibitori ai DPP4 la pacienţii necontrolaţi sub terapia anterioară. </w:t>
      </w:r>
    </w:p>
    <w:p w14:paraId="71E95FEA" w14:textId="77777777" w:rsidR="00E02EA5" w:rsidRPr="00F941DA" w:rsidRDefault="00E02EA5" w:rsidP="00D11DF1">
      <w:pPr>
        <w:numPr>
          <w:ilvl w:val="0"/>
          <w:numId w:val="287"/>
        </w:numPr>
        <w:spacing w:after="0" w:line="240"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Empagliflozinum cu Metformin şi agonişti ai receptorului de GLP1 la pacienţii necontrolaţi sub terapia anterioară.</w:t>
      </w:r>
    </w:p>
    <w:p w14:paraId="21119436" w14:textId="77777777" w:rsidR="00E02EA5" w:rsidRPr="00F941DA" w:rsidRDefault="00E02EA5" w:rsidP="00D11DF1">
      <w:pPr>
        <w:numPr>
          <w:ilvl w:val="0"/>
          <w:numId w:val="287"/>
        </w:numPr>
        <w:spacing w:after="0" w:line="240"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Empagliflozinum cu Metformin şi Insulină la pacienţii necontrolaţi sub terapia anterioară.</w:t>
      </w:r>
    </w:p>
    <w:p w14:paraId="3A6FAD5D"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p>
    <w:p w14:paraId="695AA924" w14:textId="77777777" w:rsidR="00E02EA5" w:rsidRPr="00F941DA" w:rsidRDefault="00E02EA5" w:rsidP="00E02EA5">
      <w:pPr>
        <w:spacing w:after="0" w:line="276" w:lineRule="auto"/>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Criterii de excludere:</w:t>
      </w:r>
    </w:p>
    <w:p w14:paraId="5617BA8B" w14:textId="77777777" w:rsidR="00E02EA5" w:rsidRPr="00F941DA" w:rsidRDefault="00E02EA5" w:rsidP="00D11DF1">
      <w:pPr>
        <w:numPr>
          <w:ilvl w:val="0"/>
          <w:numId w:val="288"/>
        </w:numPr>
        <w:spacing w:after="0" w:line="276" w:lineRule="auto"/>
        <w:contextualSpacing/>
        <w:jc w:val="both"/>
        <w:rPr>
          <w:rFonts w:ascii="Times New Roman" w:eastAsia="Calibri" w:hAnsi="Times New Roman" w:cs="Times New Roman"/>
          <w:bCs/>
          <w:sz w:val="24"/>
          <w:szCs w:val="24"/>
        </w:rPr>
      </w:pPr>
      <w:r w:rsidRPr="00F941DA">
        <w:rPr>
          <w:rFonts w:ascii="Times New Roman" w:eastAsia="Calibri" w:hAnsi="Times New Roman" w:cs="Times New Roman"/>
          <w:bCs/>
          <w:sz w:val="24"/>
          <w:szCs w:val="24"/>
        </w:rPr>
        <w:t>DZ tip I</w:t>
      </w:r>
    </w:p>
    <w:p w14:paraId="675C58FC" w14:textId="77777777" w:rsidR="00E02EA5" w:rsidRPr="00F941DA" w:rsidRDefault="00E02EA5" w:rsidP="00D11DF1">
      <w:pPr>
        <w:numPr>
          <w:ilvl w:val="0"/>
          <w:numId w:val="288"/>
        </w:numPr>
        <w:spacing w:after="0" w:line="276" w:lineRule="auto"/>
        <w:contextualSpacing/>
        <w:jc w:val="both"/>
        <w:rPr>
          <w:rFonts w:ascii="Times New Roman" w:eastAsia="Calibri" w:hAnsi="Times New Roman" w:cs="Times New Roman"/>
          <w:bCs/>
          <w:sz w:val="24"/>
          <w:szCs w:val="24"/>
        </w:rPr>
      </w:pPr>
      <w:r w:rsidRPr="00F941DA">
        <w:rPr>
          <w:rFonts w:ascii="Times New Roman" w:eastAsia="Calibri" w:hAnsi="Times New Roman" w:cs="Times New Roman"/>
          <w:bCs/>
          <w:sz w:val="24"/>
          <w:szCs w:val="24"/>
        </w:rPr>
        <w:t>Vârsta ≥ 85 de ani</w:t>
      </w:r>
    </w:p>
    <w:p w14:paraId="5CCEAA5D" w14:textId="77777777" w:rsidR="00E02EA5" w:rsidRPr="00F941DA" w:rsidRDefault="00E02EA5" w:rsidP="00D11DF1">
      <w:pPr>
        <w:numPr>
          <w:ilvl w:val="0"/>
          <w:numId w:val="288"/>
        </w:numPr>
        <w:spacing w:after="0" w:line="276" w:lineRule="auto"/>
        <w:contextualSpacing/>
        <w:jc w:val="both"/>
        <w:rPr>
          <w:rFonts w:ascii="Times New Roman" w:eastAsia="Calibri" w:hAnsi="Times New Roman" w:cs="Times New Roman"/>
          <w:bCs/>
          <w:sz w:val="24"/>
          <w:szCs w:val="24"/>
        </w:rPr>
      </w:pPr>
      <w:r w:rsidRPr="00F941DA">
        <w:rPr>
          <w:rFonts w:ascii="Times New Roman" w:eastAsia="Calibri" w:hAnsi="Times New Roman" w:cs="Times New Roman"/>
          <w:bCs/>
          <w:sz w:val="24"/>
          <w:szCs w:val="24"/>
        </w:rPr>
        <w:t>Vârsta sub 18 ani</w:t>
      </w:r>
    </w:p>
    <w:p w14:paraId="7F6AA46C" w14:textId="77777777" w:rsidR="00E02EA5" w:rsidRPr="00F941DA" w:rsidRDefault="00E02EA5" w:rsidP="00D11DF1">
      <w:pPr>
        <w:numPr>
          <w:ilvl w:val="0"/>
          <w:numId w:val="288"/>
        </w:numPr>
        <w:spacing w:after="0" w:line="276" w:lineRule="auto"/>
        <w:contextualSpacing/>
        <w:jc w:val="both"/>
        <w:rPr>
          <w:rFonts w:ascii="Times New Roman" w:eastAsia="Calibri" w:hAnsi="Times New Roman" w:cs="Times New Roman"/>
          <w:bCs/>
          <w:sz w:val="24"/>
          <w:szCs w:val="24"/>
        </w:rPr>
      </w:pPr>
      <w:r w:rsidRPr="00F941DA">
        <w:rPr>
          <w:rFonts w:ascii="Times New Roman" w:eastAsia="Calibri" w:hAnsi="Times New Roman" w:cs="Times New Roman"/>
          <w:bCs/>
          <w:sz w:val="24"/>
          <w:szCs w:val="24"/>
        </w:rPr>
        <w:t>pacienţi cu boală renală în stadiu terminal (BRST) sau la pacienţi cărora li se efectuează dializă</w:t>
      </w:r>
    </w:p>
    <w:p w14:paraId="3932BFFE" w14:textId="77777777" w:rsidR="00E02EA5" w:rsidRPr="00F941DA" w:rsidRDefault="00E02EA5" w:rsidP="00D11DF1">
      <w:pPr>
        <w:numPr>
          <w:ilvl w:val="0"/>
          <w:numId w:val="288"/>
        </w:numPr>
        <w:spacing w:after="0" w:line="276" w:lineRule="auto"/>
        <w:contextualSpacing/>
        <w:jc w:val="both"/>
        <w:rPr>
          <w:rFonts w:ascii="Times New Roman" w:eastAsia="Calibri" w:hAnsi="Times New Roman" w:cs="Times New Roman"/>
          <w:bCs/>
          <w:sz w:val="24"/>
          <w:szCs w:val="24"/>
        </w:rPr>
      </w:pPr>
      <w:r w:rsidRPr="00F941DA">
        <w:rPr>
          <w:rFonts w:ascii="Times New Roman" w:eastAsia="Calibri" w:hAnsi="Times New Roman" w:cs="Times New Roman"/>
          <w:bCs/>
          <w:sz w:val="24"/>
          <w:szCs w:val="24"/>
        </w:rPr>
        <w:t>Pacienți cu afecțiuni ereditare rare de intoleranță la galactoză, deficit total de lactază sau sindrom de malabsorbție la glucoză-galactoză</w:t>
      </w:r>
    </w:p>
    <w:p w14:paraId="6AFC3762" w14:textId="77777777" w:rsidR="00E02EA5" w:rsidRPr="00F941DA" w:rsidRDefault="00E02EA5" w:rsidP="00E02EA5">
      <w:pPr>
        <w:spacing w:after="0" w:line="276" w:lineRule="auto"/>
        <w:jc w:val="both"/>
        <w:rPr>
          <w:rFonts w:ascii="Times New Roman" w:eastAsia="Calibri" w:hAnsi="Times New Roman" w:cs="Times New Roman"/>
          <w:b/>
          <w:bCs/>
          <w:sz w:val="24"/>
          <w:szCs w:val="24"/>
          <w:lang w:eastAsia="ro-RO"/>
        </w:rPr>
      </w:pPr>
    </w:p>
    <w:p w14:paraId="0EA92109" w14:textId="77777777" w:rsidR="00E02EA5" w:rsidRPr="00F941DA" w:rsidRDefault="00E02EA5" w:rsidP="00E02EA5">
      <w:pPr>
        <w:spacing w:after="0" w:line="276" w:lineRule="auto"/>
        <w:jc w:val="both"/>
        <w:rPr>
          <w:rFonts w:ascii="Times New Roman" w:eastAsia="Calibri" w:hAnsi="Times New Roman" w:cs="Times New Roman"/>
          <w:b/>
          <w:bCs/>
          <w:sz w:val="24"/>
          <w:szCs w:val="24"/>
          <w:lang w:eastAsia="ro-RO"/>
        </w:rPr>
      </w:pPr>
    </w:p>
    <w:p w14:paraId="09650C72" w14:textId="77777777" w:rsidR="00E02EA5" w:rsidRPr="00F941DA" w:rsidRDefault="00E02EA5" w:rsidP="00E02EA5">
      <w:pPr>
        <w:spacing w:after="0" w:line="276" w:lineRule="auto"/>
        <w:jc w:val="both"/>
        <w:rPr>
          <w:rFonts w:ascii="Times New Roman" w:eastAsia="Calibri" w:hAnsi="Times New Roman" w:cs="Times New Roman"/>
          <w:b/>
          <w:bCs/>
          <w:sz w:val="24"/>
          <w:szCs w:val="24"/>
          <w:lang w:eastAsia="ro-RO"/>
        </w:rPr>
      </w:pPr>
    </w:p>
    <w:p w14:paraId="68E588B6" w14:textId="77777777" w:rsidR="00E02EA5" w:rsidRPr="00F941DA" w:rsidRDefault="00E02EA5" w:rsidP="00E02EA5">
      <w:pPr>
        <w:spacing w:after="0" w:line="276" w:lineRule="auto"/>
        <w:jc w:val="both"/>
        <w:rPr>
          <w:rFonts w:ascii="Times New Roman" w:eastAsia="Calibri" w:hAnsi="Times New Roman" w:cs="Times New Roman"/>
          <w:b/>
          <w:bCs/>
          <w:sz w:val="24"/>
          <w:szCs w:val="24"/>
          <w:lang w:eastAsia="ro-RO"/>
        </w:rPr>
      </w:pPr>
      <w:r w:rsidRPr="00F941DA">
        <w:rPr>
          <w:rFonts w:ascii="Times New Roman" w:eastAsia="Calibri" w:hAnsi="Times New Roman" w:cs="Times New Roman"/>
          <w:b/>
          <w:bCs/>
          <w:sz w:val="24"/>
          <w:szCs w:val="24"/>
          <w:lang w:eastAsia="ro-RO"/>
        </w:rPr>
        <w:lastRenderedPageBreak/>
        <w:t>III. Doze şi mod de administrare </w:t>
      </w:r>
    </w:p>
    <w:p w14:paraId="48BA8D5A"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 xml:space="preserve">Doza iniţială recomandată de DCI EMPAGLIFLOZINUM este de 10 mg o dată pe zi atunci când se administrează în monoterapie si terapie asociată suplimentară cu alte medicamente pentru tratamentul diabetului zaharat. La pacienţii care tolerează empagliflozin 10 mg o dată pe zi, care prezintă eRFG ≥ 60 ml/min/1,73 m2 şi care necesită un control glicemic mai strict, doza poate fi crescută la 25 mg o dată pe zi. </w:t>
      </w:r>
    </w:p>
    <w:p w14:paraId="37CD8A5D"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 xml:space="preserve">Doza zilnică maximă este de 25 mg. Când empagliflozin este utilizat în asociere cu o sulfoniluree sau cu insulină, se poate avea în vedere o doză mai mică de sulfoniluree sau de insulină, pentru a reduce riscul de hipoglicemie. </w:t>
      </w:r>
    </w:p>
    <w:p w14:paraId="6341F55D" w14:textId="77777777" w:rsidR="00E02EA5" w:rsidRPr="00F941DA" w:rsidRDefault="00E02EA5" w:rsidP="00E02EA5">
      <w:pPr>
        <w:spacing w:after="0" w:line="276" w:lineRule="auto"/>
        <w:jc w:val="both"/>
        <w:rPr>
          <w:rFonts w:ascii="Times New Roman" w:eastAsia="Calibri" w:hAnsi="Times New Roman" w:cs="Times New Roman"/>
          <w:bCs/>
          <w:sz w:val="16"/>
          <w:szCs w:val="16"/>
          <w:lang w:eastAsia="ro-RO"/>
        </w:rPr>
      </w:pPr>
    </w:p>
    <w:p w14:paraId="746ED9FB"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La pacienții cu diabet zaharat și insuficiență cardiacă doza recomandată de empagliflozin este 10 mg o dată pe zi.</w:t>
      </w:r>
    </w:p>
    <w:p w14:paraId="5BAD7349"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p>
    <w:p w14:paraId="282C9029" w14:textId="77777777" w:rsidR="00E02EA5" w:rsidRPr="00F941DA" w:rsidRDefault="00E02EA5" w:rsidP="00E02EA5">
      <w:pPr>
        <w:spacing w:after="0" w:line="276" w:lineRule="auto"/>
        <w:jc w:val="both"/>
        <w:rPr>
          <w:rFonts w:ascii="Times New Roman" w:eastAsia="Calibri" w:hAnsi="Times New Roman" w:cs="Times New Roman"/>
          <w:b/>
          <w:bCs/>
          <w:sz w:val="24"/>
          <w:szCs w:val="24"/>
          <w:lang w:eastAsia="ro-RO"/>
        </w:rPr>
      </w:pPr>
      <w:r w:rsidRPr="00F941DA">
        <w:rPr>
          <w:rFonts w:ascii="Times New Roman" w:eastAsia="Calibri" w:hAnsi="Times New Roman" w:cs="Times New Roman"/>
          <w:b/>
          <w:bCs/>
          <w:sz w:val="24"/>
          <w:szCs w:val="24"/>
          <w:lang w:eastAsia="ro-RO"/>
        </w:rPr>
        <w:t>IV. Monitorizarea tratamentului</w:t>
      </w:r>
    </w:p>
    <w:p w14:paraId="50A34A2A" w14:textId="77777777" w:rsidR="00E02EA5" w:rsidRPr="00F941DA" w:rsidRDefault="00E02EA5" w:rsidP="00E02EA5">
      <w:pPr>
        <w:numPr>
          <w:ilvl w:val="0"/>
          <w:numId w:val="70"/>
        </w:num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de către medicul specialist diabetolog sau medicul cu competenţă/atestat în diabet, în funcţie de fiecare caz în parte, pe baza unor parametri clinici şi paraclinici.</w:t>
      </w:r>
    </w:p>
    <w:p w14:paraId="2360FBDC" w14:textId="77777777" w:rsidR="00E02EA5" w:rsidRPr="00F941DA" w:rsidRDefault="00E02EA5" w:rsidP="00E02EA5">
      <w:pPr>
        <w:numPr>
          <w:ilvl w:val="0"/>
          <w:numId w:val="70"/>
        </w:num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clinic: toleranţă individuală, semne/simptome de reacţie alergică</w:t>
      </w:r>
    </w:p>
    <w:p w14:paraId="5AAAEF27" w14:textId="77777777" w:rsidR="00E02EA5" w:rsidRPr="00F941DA" w:rsidRDefault="00E02EA5" w:rsidP="00E02EA5">
      <w:pPr>
        <w:numPr>
          <w:ilvl w:val="0"/>
          <w:numId w:val="70"/>
        </w:num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paraclinic: parametrii de echilibru metabolic (glicemie bazală şi postprandială în funcţie de fiecare caz în parte), HbA1c la iniţierea tratamentului şi ulterior periodic, parametrii funcţiei renale înainte de iniţierea tratamentului şi periodic ulterior.</w:t>
      </w:r>
    </w:p>
    <w:p w14:paraId="6AA588E7" w14:textId="77777777" w:rsidR="00E02EA5" w:rsidRPr="00F941DA" w:rsidRDefault="00E02EA5" w:rsidP="00E02EA5">
      <w:pPr>
        <w:spacing w:after="0" w:line="276" w:lineRule="auto"/>
        <w:jc w:val="both"/>
        <w:rPr>
          <w:rFonts w:ascii="Times New Roman" w:eastAsia="Calibri" w:hAnsi="Times New Roman" w:cs="Times New Roman"/>
          <w:b/>
          <w:bCs/>
          <w:sz w:val="24"/>
          <w:szCs w:val="24"/>
          <w:lang w:eastAsia="ro-RO"/>
        </w:rPr>
      </w:pPr>
      <w:r w:rsidRPr="00F941DA">
        <w:rPr>
          <w:rFonts w:ascii="Times New Roman" w:eastAsia="Calibri" w:hAnsi="Times New Roman" w:cs="Times New Roman"/>
          <w:b/>
          <w:bCs/>
          <w:sz w:val="24"/>
          <w:szCs w:val="24"/>
          <w:lang w:eastAsia="ro-RO"/>
        </w:rPr>
        <w:t>V. Contraindicaţii</w:t>
      </w:r>
    </w:p>
    <w:p w14:paraId="6B81E8AC"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Hipersensibilitate la substanţa activă sau la oricare dintre excipienţi.</w:t>
      </w:r>
    </w:p>
    <w:p w14:paraId="71C7F7C2"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 </w:t>
      </w:r>
    </w:p>
    <w:p w14:paraId="1F78AF43" w14:textId="77777777" w:rsidR="00E02EA5" w:rsidRPr="00F941DA" w:rsidRDefault="00E02EA5" w:rsidP="00E02EA5">
      <w:pPr>
        <w:spacing w:after="0" w:line="276" w:lineRule="auto"/>
        <w:jc w:val="both"/>
        <w:rPr>
          <w:rFonts w:ascii="Times New Roman" w:eastAsia="Calibri" w:hAnsi="Times New Roman" w:cs="Times New Roman"/>
          <w:b/>
          <w:bCs/>
          <w:sz w:val="24"/>
          <w:szCs w:val="24"/>
          <w:lang w:eastAsia="ro-RO"/>
        </w:rPr>
      </w:pPr>
      <w:r w:rsidRPr="00F941DA">
        <w:rPr>
          <w:rFonts w:ascii="Times New Roman" w:eastAsia="Calibri" w:hAnsi="Times New Roman" w:cs="Times New Roman"/>
          <w:b/>
          <w:bCs/>
          <w:sz w:val="24"/>
          <w:szCs w:val="24"/>
          <w:lang w:eastAsia="ro-RO"/>
        </w:rPr>
        <w:t xml:space="preserve">VI. Atenţionări speciale la grupe speciale de pacienţi   </w:t>
      </w:r>
    </w:p>
    <w:p w14:paraId="73E85276"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DCI EMPAGLIFLOZINUM nu trebuie utilizat la pacienţi cu diabet de tip 1.</w:t>
      </w:r>
    </w:p>
    <w:p w14:paraId="32B070C1"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1. Inhibitorii co-transportorului de glucoză 2(SGLT2i) se utilizează cu prudenţă la pacienţii cu risc crescut de cetoacidoză diabetică (CAD) şi, dacă există suspiciune a diagnosticului de CAD, tratamentul cu Empagliflozin se întrerupe imediat.</w:t>
      </w:r>
    </w:p>
    <w:p w14:paraId="35E26791" w14:textId="77777777" w:rsidR="00E02EA5" w:rsidRPr="00F941DA" w:rsidRDefault="00E02EA5" w:rsidP="00E02EA5">
      <w:pPr>
        <w:spacing w:after="0" w:line="276" w:lineRule="auto"/>
        <w:ind w:firstLine="720"/>
        <w:jc w:val="both"/>
        <w:rPr>
          <w:rFonts w:ascii="Times New Roman" w:eastAsia="Calibri" w:hAnsi="Times New Roman" w:cs="Times New Roman"/>
          <w:bCs/>
          <w:sz w:val="8"/>
          <w:szCs w:val="8"/>
          <w:lang w:eastAsia="ro-RO"/>
        </w:rPr>
      </w:pPr>
    </w:p>
    <w:p w14:paraId="49ABFC25"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2. Insuficienţă renală</w:t>
      </w:r>
      <w:r w:rsidRPr="00F941DA">
        <w:rPr>
          <w:rFonts w:ascii="Times New Roman" w:eastAsia="Calibri" w:hAnsi="Times New Roman" w:cs="Times New Roman"/>
          <w:bCs/>
          <w:sz w:val="24"/>
          <w:szCs w:val="24"/>
          <w:vertAlign w:val="superscript"/>
          <w:lang w:eastAsia="ro-RO"/>
        </w:rPr>
        <w:t>*)</w:t>
      </w:r>
    </w:p>
    <w:p w14:paraId="65F4E271"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Pentru indicația de diabet zaharat de tip 2 la pacienții cu RFGe sub 60 ml/minut/1,73 m2 sau  ClCr &lt;60 ml/minut, doza zilnică de empagliflozin este limitată la 10 mg. Empagliflozin  nu este recomandat atunci când RFGe se situează sub 30 ml/minut/1,73 m2 sau ClCr sub 30 ml/minut.</w:t>
      </w:r>
    </w:p>
    <w:p w14:paraId="7EA0026E" w14:textId="77777777" w:rsidR="00E02EA5" w:rsidRPr="00F941DA" w:rsidRDefault="00E02EA5" w:rsidP="00E02EA5">
      <w:pPr>
        <w:spacing w:after="0" w:line="276" w:lineRule="auto"/>
        <w:jc w:val="both"/>
        <w:rPr>
          <w:rFonts w:ascii="Times New Roman" w:eastAsia="Calibri" w:hAnsi="Times New Roman" w:cs="Times New Roman"/>
          <w:bCs/>
          <w:sz w:val="8"/>
          <w:szCs w:val="8"/>
          <w:lang w:eastAsia="ro-RO"/>
        </w:rPr>
      </w:pPr>
    </w:p>
    <w:p w14:paraId="5B8A400D"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Din cauza mecanismului de acţiune, eficacitatea glicemică a empagliflozinului este dependentă de funcţia renală. Nu este necesară ajustarea dozei la pacienţi cu eRFG ≥ 60 ml/min/1,73 m2 sau ClCr ≥ 60 ml/min. Empagliflozin nu trebuie utilizat la pacienţii cu boală renală în stadiu terminal (BRST) sau la pacienţii cărora li se efectuează dializă, deoarece nu se anticipează că va fi eficient la aceştia. Pentru tratamentul insuficienței cardiace la pacienții cu diabet zaharat de tip 2, administrarea de empagliflozin 10 mg poate fi inițiată sau continuată până la o valoare a RFGe de 20 ml/minut.</w:t>
      </w:r>
    </w:p>
    <w:p w14:paraId="61C829EF"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___________</w:t>
      </w:r>
    </w:p>
    <w:p w14:paraId="56FD8F4A" w14:textId="77777777" w:rsidR="00E02EA5" w:rsidRPr="00F941DA" w:rsidRDefault="00E02EA5" w:rsidP="00E02EA5">
      <w:pPr>
        <w:spacing w:after="0" w:line="240" w:lineRule="auto"/>
        <w:jc w:val="both"/>
        <w:rPr>
          <w:rFonts w:ascii="Times New Roman" w:eastAsia="Calibri" w:hAnsi="Times New Roman" w:cs="Times New Roman"/>
          <w:bCs/>
          <w:sz w:val="20"/>
          <w:szCs w:val="20"/>
          <w:lang w:eastAsia="ro-RO"/>
        </w:rPr>
      </w:pPr>
      <w:r w:rsidRPr="00F941DA">
        <w:rPr>
          <w:rFonts w:ascii="Times New Roman" w:eastAsia="Calibri" w:hAnsi="Times New Roman" w:cs="Times New Roman"/>
          <w:bCs/>
          <w:sz w:val="20"/>
          <w:szCs w:val="20"/>
          <w:vertAlign w:val="superscript"/>
          <w:lang w:eastAsia="ro-RO"/>
        </w:rPr>
        <w:t>*)</w:t>
      </w:r>
      <w:r w:rsidRPr="00F941DA">
        <w:rPr>
          <w:rFonts w:ascii="Times New Roman" w:eastAsia="Calibri" w:hAnsi="Times New Roman" w:cs="Times New Roman"/>
          <w:bCs/>
          <w:sz w:val="20"/>
          <w:szCs w:val="20"/>
          <w:lang w:eastAsia="ro-RO"/>
        </w:rPr>
        <w:t> Pentru informaţii detaliate cu privire la reacţiile adverse, interacţiuni cu alte medicamente, reacţii adverse, proprietăţi farmacologice este obligatoriu a se studia Rezumatul caracteristicilor produsului (RCP) produsului EMPAGLIFLOZINUM extins.</w:t>
      </w:r>
    </w:p>
    <w:p w14:paraId="586EDF13" w14:textId="77777777" w:rsidR="00E02EA5" w:rsidRPr="00F941DA" w:rsidRDefault="00E02EA5" w:rsidP="00E02EA5">
      <w:pPr>
        <w:spacing w:after="0" w:line="276" w:lineRule="auto"/>
        <w:ind w:firstLine="720"/>
        <w:jc w:val="both"/>
        <w:rPr>
          <w:rFonts w:ascii="Times New Roman" w:eastAsia="Calibri" w:hAnsi="Times New Roman" w:cs="Times New Roman"/>
          <w:bCs/>
          <w:sz w:val="8"/>
          <w:szCs w:val="8"/>
          <w:lang w:eastAsia="ro-RO"/>
        </w:rPr>
      </w:pPr>
    </w:p>
    <w:p w14:paraId="3070C9E6"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3. Insuficienţă hepatică</w:t>
      </w:r>
    </w:p>
    <w:p w14:paraId="71FE48E7"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Nu este necesară ajustarea dozei la pacienţi cu insuficienţă hepatică. Expunerea la empagliflozin este crescută la pacienţii cu insuficienţă hepatică severă. Experienţa terapeutică la pacienţii cu insuficienţă hepatică severă este limitată şi, prin urmare, nu se recomandă utilizarea la acest grup de pacienţi.</w:t>
      </w:r>
    </w:p>
    <w:p w14:paraId="433FC9A4" w14:textId="77777777" w:rsidR="00E02EA5" w:rsidRPr="00F941DA" w:rsidRDefault="00E02EA5" w:rsidP="00E02EA5">
      <w:pPr>
        <w:spacing w:after="0" w:line="276" w:lineRule="auto"/>
        <w:ind w:firstLine="720"/>
        <w:jc w:val="both"/>
        <w:rPr>
          <w:rFonts w:ascii="Times New Roman" w:eastAsia="Calibri" w:hAnsi="Times New Roman" w:cs="Times New Roman"/>
          <w:bCs/>
          <w:sz w:val="8"/>
          <w:szCs w:val="8"/>
          <w:lang w:eastAsia="ro-RO"/>
        </w:rPr>
      </w:pPr>
    </w:p>
    <w:p w14:paraId="01277F02"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4. Vârstnici</w:t>
      </w:r>
    </w:p>
    <w:p w14:paraId="63402ED0"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lastRenderedPageBreak/>
        <w:t>Nu se recomandă ajustarea dozei în funcţie de vârstă. La pacienţii cu vârsta de 75 ani şi peste, trebuie avut în vedere un risc crescut de depleţie volemică. Din cauza experienţei terapeutice limitate la pacienţii cu vârsta de 85 ani şi peste, nu se recomandă începerea tratamentului cu empagliflozin.</w:t>
      </w:r>
    </w:p>
    <w:p w14:paraId="3050DF85" w14:textId="77777777" w:rsidR="00E02EA5" w:rsidRPr="00F941DA" w:rsidRDefault="00E02EA5" w:rsidP="00E02EA5">
      <w:pPr>
        <w:spacing w:after="0" w:line="276" w:lineRule="auto"/>
        <w:ind w:firstLine="720"/>
        <w:jc w:val="both"/>
        <w:rPr>
          <w:rFonts w:ascii="Times New Roman" w:eastAsia="Calibri" w:hAnsi="Times New Roman" w:cs="Times New Roman"/>
          <w:bCs/>
          <w:sz w:val="8"/>
          <w:szCs w:val="8"/>
          <w:lang w:eastAsia="ro-RO"/>
        </w:rPr>
      </w:pPr>
    </w:p>
    <w:p w14:paraId="299BBD38"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5. Copii şi adolescenţi</w:t>
      </w:r>
    </w:p>
    <w:p w14:paraId="56B6E742"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Siguranţa şi eficacitatea administrării empagliflozin la copii şi adolescenţi nu au fost încă stabilite. Nu sunt disponibile date.</w:t>
      </w:r>
    </w:p>
    <w:p w14:paraId="41D2A79E"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p>
    <w:p w14:paraId="49752DAB" w14:textId="77777777" w:rsidR="00E02EA5" w:rsidRPr="00F941DA" w:rsidRDefault="00E02EA5" w:rsidP="00E02EA5">
      <w:pPr>
        <w:spacing w:after="0" w:line="276" w:lineRule="auto"/>
        <w:jc w:val="both"/>
        <w:rPr>
          <w:rFonts w:ascii="Times New Roman" w:eastAsia="Calibri" w:hAnsi="Times New Roman" w:cs="Times New Roman"/>
          <w:b/>
          <w:bCs/>
          <w:sz w:val="24"/>
          <w:szCs w:val="24"/>
          <w:lang w:eastAsia="ro-RO"/>
        </w:rPr>
      </w:pPr>
      <w:r w:rsidRPr="00F941DA">
        <w:rPr>
          <w:rFonts w:ascii="Times New Roman" w:eastAsia="Calibri" w:hAnsi="Times New Roman" w:cs="Times New Roman"/>
          <w:b/>
          <w:bCs/>
          <w:sz w:val="24"/>
          <w:szCs w:val="24"/>
          <w:lang w:eastAsia="ro-RO"/>
        </w:rPr>
        <w:t>VII. Întreruperea tratamentului:</w:t>
      </w:r>
    </w:p>
    <w:p w14:paraId="2F65C7B9" w14:textId="77777777" w:rsidR="00E02EA5" w:rsidRPr="00F941DA" w:rsidRDefault="00E02EA5" w:rsidP="00E02EA5">
      <w:pPr>
        <w:spacing w:after="0" w:line="276" w:lineRule="auto"/>
        <w:jc w:val="both"/>
        <w:rPr>
          <w:rFonts w:ascii="Times New Roman" w:eastAsia="Calibri" w:hAnsi="Times New Roman" w:cs="Times New Roman"/>
          <w:bCs/>
          <w:sz w:val="24"/>
          <w:szCs w:val="24"/>
          <w:lang w:eastAsia="ro-RO"/>
        </w:rPr>
      </w:pPr>
      <w:r w:rsidRPr="00F941DA">
        <w:rPr>
          <w:rFonts w:ascii="Times New Roman" w:eastAsia="Calibri" w:hAnsi="Times New Roman" w:cs="Times New Roman"/>
          <w:bCs/>
          <w:sz w:val="24"/>
          <w:szCs w:val="24"/>
          <w:lang w:eastAsia="ro-RO"/>
        </w:rPr>
        <w:t>Decizia de întrerupere temporară sau definitivă a tratamentului va fi luată în funcţie de indicaţii şi contraindicaţii de către specialistul diabetolog, medici specialişti cu competenţa/atestat în diabet, în funcţie de fiecare caz în parte.</w:t>
      </w:r>
    </w:p>
    <w:p w14:paraId="6EABCC6F" w14:textId="77777777" w:rsidR="00E02EA5" w:rsidRPr="00F941DA" w:rsidRDefault="00E02EA5" w:rsidP="00E02EA5">
      <w:pPr>
        <w:spacing w:after="0" w:line="276" w:lineRule="auto"/>
        <w:jc w:val="both"/>
        <w:rPr>
          <w:rFonts w:ascii="Times New Roman" w:eastAsia="Calibri" w:hAnsi="Times New Roman" w:cs="Times New Roman"/>
          <w:bCs/>
          <w:sz w:val="24"/>
          <w:szCs w:val="24"/>
        </w:rPr>
      </w:pPr>
      <w:r w:rsidRPr="00F941DA">
        <w:rPr>
          <w:rFonts w:ascii="Times New Roman" w:eastAsia="Times New Roman" w:hAnsi="Times New Roman" w:cs="Times New Roman"/>
          <w:sz w:val="24"/>
          <w:szCs w:val="24"/>
          <w:lang w:eastAsia="ro-RO"/>
        </w:rPr>
        <w:t>La pacienții unde se suspectează sau este diagnosticată prezența cetoacidozei, tratamentul cu empagliflozin trebuie întrerupt imediat.</w:t>
      </w:r>
    </w:p>
    <w:p w14:paraId="4FCEC26C" w14:textId="77777777" w:rsidR="00E02EA5" w:rsidRPr="00F941DA" w:rsidRDefault="00E02EA5" w:rsidP="00E02EA5">
      <w:pPr>
        <w:spacing w:after="0" w:line="276" w:lineRule="auto"/>
        <w:jc w:val="both"/>
        <w:rPr>
          <w:rFonts w:ascii="Times New Roman" w:eastAsia="Calibri" w:hAnsi="Times New Roman" w:cs="Times New Roman"/>
          <w:bCs/>
          <w:sz w:val="24"/>
          <w:szCs w:val="24"/>
        </w:rPr>
      </w:pPr>
      <w:r w:rsidRPr="00F941DA">
        <w:rPr>
          <w:rFonts w:ascii="Times New Roman" w:eastAsia="Calibri" w:hAnsi="Times New Roman" w:cs="Times New Roman"/>
          <w:bCs/>
          <w:sz w:val="24"/>
          <w:szCs w:val="24"/>
        </w:rPr>
        <w:t>Tratamentul trebuie întrerupt la pacienții care au fost spitalizați pentru intervenții chirurgicale majore sau afecțiuni medicale acute grave.</w:t>
      </w:r>
      <w:r w:rsidRPr="00F941DA">
        <w:rPr>
          <w:rFonts w:ascii="Times New Roman" w:eastAsia="Times New Roman" w:hAnsi="Times New Roman" w:cs="Times New Roman"/>
          <w:sz w:val="24"/>
          <w:szCs w:val="24"/>
          <w:lang w:eastAsia="ro-RO"/>
        </w:rPr>
        <w:t xml:space="preserve"> </w:t>
      </w:r>
      <w:r w:rsidRPr="00F941DA">
        <w:rPr>
          <w:rFonts w:ascii="Times New Roman" w:eastAsia="Calibri" w:hAnsi="Times New Roman" w:cs="Times New Roman"/>
          <w:bCs/>
          <w:sz w:val="24"/>
          <w:szCs w:val="24"/>
        </w:rPr>
        <w:t>La acești pacienți se recomandă monitorizarea cetonelor.</w:t>
      </w:r>
      <w:r w:rsidRPr="00F941DA">
        <w:rPr>
          <w:rFonts w:ascii="Times New Roman" w:eastAsia="Times New Roman" w:hAnsi="Times New Roman" w:cs="Times New Roman"/>
          <w:sz w:val="24"/>
          <w:szCs w:val="24"/>
          <w:lang w:eastAsia="ro-RO"/>
        </w:rPr>
        <w:t xml:space="preserve"> </w:t>
      </w:r>
      <w:r w:rsidRPr="00F941DA">
        <w:rPr>
          <w:rFonts w:ascii="Times New Roman" w:eastAsia="Calibri" w:hAnsi="Times New Roman" w:cs="Times New Roman"/>
          <w:bCs/>
          <w:sz w:val="24"/>
          <w:szCs w:val="24"/>
        </w:rPr>
        <w:t>Tratamentul cu empagliflozin poate fi reînceput când valorile cetonelor s-au normalizat și starea pacientului a fost stabilizată.</w:t>
      </w:r>
    </w:p>
    <w:p w14:paraId="4A058C11" w14:textId="77777777" w:rsidR="00E02EA5" w:rsidRPr="00F941DA" w:rsidRDefault="00E02EA5" w:rsidP="00E02EA5">
      <w:pPr>
        <w:spacing w:after="0" w:line="276" w:lineRule="auto"/>
        <w:ind w:firstLine="720"/>
        <w:jc w:val="both"/>
        <w:rPr>
          <w:rFonts w:ascii="Times New Roman" w:eastAsia="Calibri" w:hAnsi="Times New Roman" w:cs="Times New Roman"/>
          <w:bCs/>
          <w:sz w:val="24"/>
          <w:szCs w:val="24"/>
          <w:lang w:eastAsia="ro-RO"/>
        </w:rPr>
      </w:pPr>
    </w:p>
    <w:p w14:paraId="51DB320E" w14:textId="77777777" w:rsidR="00E02EA5" w:rsidRPr="00F941DA" w:rsidRDefault="00E02EA5" w:rsidP="00E02EA5">
      <w:pPr>
        <w:spacing w:after="0" w:line="276" w:lineRule="auto"/>
        <w:jc w:val="both"/>
        <w:rPr>
          <w:rFonts w:ascii="Times New Roman" w:eastAsia="Calibri" w:hAnsi="Times New Roman" w:cs="Times New Roman"/>
          <w:sz w:val="24"/>
          <w:szCs w:val="24"/>
          <w:lang w:eastAsia="ro-RO"/>
        </w:rPr>
      </w:pPr>
      <w:r w:rsidRPr="00F941DA">
        <w:rPr>
          <w:rFonts w:ascii="Times New Roman" w:eastAsia="Calibri" w:hAnsi="Times New Roman" w:cs="Times New Roman"/>
          <w:b/>
          <w:bCs/>
          <w:sz w:val="24"/>
          <w:szCs w:val="24"/>
          <w:lang w:eastAsia="ro-RO"/>
        </w:rPr>
        <w:t>VIII. Prescriptori:</w:t>
      </w:r>
      <w:r w:rsidRPr="00F941DA">
        <w:rPr>
          <w:rFonts w:ascii="Times New Roman" w:eastAsia="Calibri" w:hAnsi="Times New Roman" w:cs="Times New Roman"/>
          <w:sz w:val="24"/>
          <w:szCs w:val="24"/>
          <w:lang w:eastAsia="ro-RO"/>
        </w:rPr>
        <w:t xml:space="preserve"> </w:t>
      </w:r>
    </w:p>
    <w:p w14:paraId="611C20AB" w14:textId="77777777" w:rsidR="00E02EA5" w:rsidRPr="00F941DA" w:rsidRDefault="00E02EA5" w:rsidP="00E02EA5">
      <w:pPr>
        <w:spacing w:after="0" w:line="276" w:lineRule="auto"/>
        <w:jc w:val="both"/>
        <w:rPr>
          <w:rFonts w:ascii="Times New Roman" w:eastAsia="Calibri" w:hAnsi="Times New Roman" w:cs="Times New Roman"/>
          <w:sz w:val="24"/>
          <w:szCs w:val="24"/>
          <w:lang w:eastAsia="ro-RO"/>
        </w:rPr>
      </w:pPr>
      <w:r w:rsidRPr="00F941DA">
        <w:rPr>
          <w:rFonts w:ascii="Times New Roman" w:eastAsia="Calibri" w:hAnsi="Times New Roman" w:cs="Times New Roman"/>
          <w:sz w:val="24"/>
          <w:szCs w:val="24"/>
          <w:lang w:eastAsia="ro-RO"/>
        </w:rPr>
        <w:t>Iniţierea se face de către medicii diabetologi, alţi medici specialişti cu competenţa în diabet în baza protocolului terapeutic şi ghidului în vigoare, iar continuarea se poate face şi de către medicii desemnaţi conform prevederilor legale în vigoare sau medicii de familie, în dozele şi pe durata recomandată în scrisoarea medicală.”</w:t>
      </w:r>
    </w:p>
    <w:p w14:paraId="4FAD517A"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471B9FA5"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09C84D1E"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64433902"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01EEFC03"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4846C359"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5DC11961"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53F78C3B"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5ACBA626"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51B1DD2A"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2F7E7A89"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222FB14A"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1AB11D5B"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17BFEBC0"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38C3E75D"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4E8FA09E"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5BAC0300"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4E099BB5" w14:textId="7EF3FFFF" w:rsidR="007B60B7" w:rsidRPr="00F941DA" w:rsidRDefault="007B60B7" w:rsidP="007B60B7">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La anexa nr. 1, protocolul terapeutic corespunzător poziţiei nr. 43 cod (A16AB15): DCI VELMANAZA ALFA se modifică și se înlocuiește cu următorul protocol:</w:t>
      </w:r>
    </w:p>
    <w:p w14:paraId="61A745F8" w14:textId="77777777" w:rsidR="007B60B7" w:rsidRPr="00F941DA" w:rsidRDefault="007B60B7" w:rsidP="007B60B7">
      <w:pPr>
        <w:tabs>
          <w:tab w:val="left" w:pos="426"/>
        </w:tabs>
        <w:jc w:val="both"/>
        <w:rPr>
          <w:rFonts w:ascii="Times New Roman" w:eastAsia="Arial" w:hAnsi="Times New Roman" w:cs="Times New Roman"/>
          <w:b/>
          <w:bCs/>
          <w:sz w:val="24"/>
          <w:szCs w:val="24"/>
          <w:lang w:val="en-US"/>
        </w:rPr>
      </w:pPr>
    </w:p>
    <w:p w14:paraId="6934256A" w14:textId="74D2BC40" w:rsidR="007B60B7" w:rsidRPr="00F941DA" w:rsidRDefault="007B60B7" w:rsidP="007B60B7">
      <w:pPr>
        <w:tabs>
          <w:tab w:val="left" w:pos="426"/>
        </w:tabs>
        <w:jc w:val="both"/>
        <w:rPr>
          <w:rFonts w:ascii="Times New Roman" w:eastAsia="Arial" w:hAnsi="Times New Roman" w:cs="Times New Roman"/>
          <w:b/>
          <w:bCs/>
          <w:sz w:val="24"/>
          <w:szCs w:val="24"/>
          <w:lang w:val="en-US"/>
        </w:rPr>
      </w:pPr>
      <w:r w:rsidRPr="00F941DA">
        <w:rPr>
          <w:rFonts w:ascii="Times New Roman" w:eastAsia="Arial" w:hAnsi="Times New Roman" w:cs="Times New Roman"/>
          <w:b/>
          <w:bCs/>
          <w:sz w:val="24"/>
          <w:szCs w:val="24"/>
          <w:lang w:val="en-US"/>
        </w:rPr>
        <w:t>”Protocol terapeutic corespunzător poziţiei nr. 43 cod (A16AB15): DCI VELMANAZA ALFA</w:t>
      </w:r>
    </w:p>
    <w:p w14:paraId="6927C2EC" w14:textId="77777777" w:rsidR="006A440B" w:rsidRPr="00F941DA" w:rsidRDefault="006A440B" w:rsidP="006A440B">
      <w:pPr>
        <w:autoSpaceDE w:val="0"/>
        <w:autoSpaceDN w:val="0"/>
        <w:adjustRightInd w:val="0"/>
        <w:spacing w:after="0"/>
        <w:rPr>
          <w:rFonts w:ascii="Times New Roman" w:hAnsi="Times New Roman" w:cs="Times New Roman"/>
          <w:b/>
          <w:bCs/>
          <w:i/>
          <w:iCs/>
          <w:sz w:val="24"/>
          <w:szCs w:val="24"/>
          <w:lang w:val="x-none"/>
        </w:rPr>
      </w:pPr>
    </w:p>
    <w:p w14:paraId="2C39A493" w14:textId="1C4BE304" w:rsidR="00CB7B02" w:rsidRPr="00F941DA" w:rsidRDefault="00CB7B02" w:rsidP="006A440B">
      <w:pPr>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 xml:space="preserve">I. Indicație </w:t>
      </w:r>
    </w:p>
    <w:p w14:paraId="2650D278" w14:textId="77777777" w:rsidR="00CB7B02" w:rsidRPr="00F941DA" w:rsidRDefault="00CB7B02" w:rsidP="006A440B">
      <w:pPr>
        <w:spacing w:after="0"/>
        <w:jc w:val="both"/>
        <w:rPr>
          <w:rFonts w:ascii="Times New Roman" w:eastAsia="Calibri" w:hAnsi="Times New Roman" w:cs="Times New Roman"/>
          <w:b/>
          <w:sz w:val="24"/>
          <w:szCs w:val="24"/>
        </w:rPr>
      </w:pPr>
    </w:p>
    <w:p w14:paraId="32B0B885" w14:textId="27C55377" w:rsidR="00CB7B02" w:rsidRPr="00F941DA" w:rsidRDefault="00CB7B02" w:rsidP="006A440B">
      <w:pPr>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Terapia de substituție enzimatică în tratamentul manifestărilor nonneurologice la pacienți cu alfa-manozidoză ușoară până la moderată</w:t>
      </w:r>
      <w:r w:rsidRPr="00F941DA">
        <w:rPr>
          <w:rFonts w:ascii="Times New Roman" w:eastAsia="Calibri" w:hAnsi="Times New Roman" w:cs="Times New Roman"/>
          <w:b/>
          <w:sz w:val="24"/>
          <w:szCs w:val="24"/>
        </w:rPr>
        <w:cr/>
      </w:r>
    </w:p>
    <w:p w14:paraId="356DC19C" w14:textId="77777777" w:rsidR="006A440B" w:rsidRPr="00F941DA" w:rsidRDefault="006A440B" w:rsidP="006A440B">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Alfa-manozidoza (AM) este o boală de stocare lizozomală (LSD), foarte rară, determinată genetic. Alfa-manozidoza (AM) este o afecțiune progresivă, multisistemică, gravă și extrem de debilitantă, punând în pericol viața. Transmiterea sa este recesiv autosomală, fiind necesare doua copii identice ale mutației genei MAN2B1, pentru ca o persoană să manifeste boala.</w:t>
      </w:r>
    </w:p>
    <w:p w14:paraId="4EA94A66" w14:textId="77777777" w:rsidR="006A440B" w:rsidRPr="00F941DA" w:rsidRDefault="006A440B" w:rsidP="006A440B">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În mod similar cu alte boli genice, sunt cunoscute mai multe mutații ale genei MAN2B1 care afecteaza activitatea enzimei alfa-manozidază.</w:t>
      </w:r>
    </w:p>
    <w:p w14:paraId="4F9804E5" w14:textId="77777777" w:rsidR="006A440B" w:rsidRPr="00F941DA" w:rsidRDefault="006A440B" w:rsidP="006A440B">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Activitatea redusă a alfa-manozidazei are ca rezultat acumularea intracelulară (lizozomală) a oligozaharidelor (un complex de 2-10 zaharuri simple), complex care este toxic pentru celule și organe, ducand la aparitia simptomelor observate în AM. Deoarece alfa-manozidaza este prezentă în majoritatea tipurilor de celule, oligozaharidele se pot acumula în corp și pot afecta multiple sisteme, rezultând astfel caracteristicile clinice observate la pacienții care suferă de AM.</w:t>
      </w:r>
    </w:p>
    <w:p w14:paraId="160096DE" w14:textId="77777777" w:rsidR="006A440B" w:rsidRPr="00F941DA" w:rsidRDefault="006A440B" w:rsidP="006A440B">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Activitatea redusă a alfa-manozidazei poate fi determinata fie de un  nivel scăzut serologic, fie de o alterare calitativă a enzimei. </w:t>
      </w:r>
    </w:p>
    <w:p w14:paraId="448396BA" w14:textId="77777777" w:rsidR="006A440B" w:rsidRPr="00F941DA" w:rsidRDefault="006A440B" w:rsidP="006A440B">
      <w:pPr>
        <w:spacing w:after="0"/>
        <w:jc w:val="both"/>
        <w:rPr>
          <w:rFonts w:ascii="Times New Roman" w:eastAsia="Calibri" w:hAnsi="Times New Roman" w:cs="Times New Roman"/>
          <w:sz w:val="24"/>
          <w:szCs w:val="24"/>
        </w:rPr>
      </w:pPr>
    </w:p>
    <w:p w14:paraId="2FA875AD" w14:textId="2164EFB1" w:rsidR="006A440B" w:rsidRPr="00F941DA" w:rsidRDefault="00CB7B02" w:rsidP="006A440B">
      <w:pPr>
        <w:spacing w:after="0" w:line="276" w:lineRule="auto"/>
        <w:ind w:left="284" w:hanging="284"/>
        <w:contextualSpacing/>
        <w:jc w:val="both"/>
        <w:rPr>
          <w:rFonts w:ascii="Times New Roman" w:hAnsi="Times New Roman" w:cs="Times New Roman"/>
          <w:b/>
          <w:spacing w:val="-2"/>
          <w:sz w:val="24"/>
          <w:szCs w:val="24"/>
          <w:u w:color="000000"/>
          <w:bdr w:val="nil"/>
          <w:lang w:eastAsia="ro-RO"/>
        </w:rPr>
      </w:pPr>
      <w:r w:rsidRPr="00F941DA">
        <w:rPr>
          <w:rFonts w:ascii="Times New Roman" w:hAnsi="Times New Roman" w:cs="Times New Roman"/>
          <w:b/>
          <w:sz w:val="24"/>
          <w:szCs w:val="24"/>
          <w:u w:color="000000"/>
          <w:bdr w:val="nil"/>
          <w:lang w:eastAsia="ro-RO"/>
        </w:rPr>
        <w:t xml:space="preserve">II. </w:t>
      </w:r>
      <w:r w:rsidR="006A440B" w:rsidRPr="00F941DA">
        <w:rPr>
          <w:rFonts w:ascii="Times New Roman" w:hAnsi="Times New Roman" w:cs="Times New Roman"/>
          <w:b/>
          <w:sz w:val="24"/>
          <w:szCs w:val="24"/>
          <w:u w:color="000000"/>
          <w:bdr w:val="nil"/>
          <w:lang w:eastAsia="ro-RO"/>
        </w:rPr>
        <w:t xml:space="preserve">Criterii de eligibilitate pentru includerea în tratamentul cu </w:t>
      </w:r>
      <w:r w:rsidR="006A440B" w:rsidRPr="00F941DA">
        <w:rPr>
          <w:rFonts w:ascii="Times New Roman" w:hAnsi="Times New Roman" w:cs="Times New Roman"/>
          <w:b/>
          <w:spacing w:val="-2"/>
          <w:sz w:val="24"/>
          <w:szCs w:val="24"/>
          <w:u w:color="000000"/>
          <w:bdr w:val="nil"/>
          <w:lang w:eastAsia="ro-RO"/>
        </w:rPr>
        <w:t>Velmanza alfa</w:t>
      </w:r>
    </w:p>
    <w:p w14:paraId="6CB73C12" w14:textId="77777777" w:rsidR="006A440B" w:rsidRPr="00F941DA" w:rsidRDefault="006A440B" w:rsidP="006A440B">
      <w:pPr>
        <w:spacing w:after="0" w:line="276" w:lineRule="auto"/>
        <w:contextualSpacing/>
        <w:jc w:val="both"/>
        <w:rPr>
          <w:rFonts w:ascii="Times New Roman" w:hAnsi="Times New Roman" w:cs="Times New Roman"/>
          <w:sz w:val="24"/>
          <w:szCs w:val="24"/>
          <w:u w:color="000000"/>
          <w:bdr w:val="nil"/>
          <w:lang w:eastAsia="ro-RO"/>
        </w:rPr>
      </w:pPr>
    </w:p>
    <w:p w14:paraId="4C8870A8" w14:textId="77777777" w:rsidR="006A440B" w:rsidRPr="00F941DA" w:rsidRDefault="006A440B" w:rsidP="006A440B">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În alfa-manozidoză (AM), tabloul clinic acoperă un întreg spectru de severitate, variind de la forme ușoare la forme severe ale bolii, cu prognostic infaust. Manifestările clinice ale bolii se accentuează odată cu trecerea timpului. În formele severe predomină anomaliile scheletice și afectarea neurologică, în special miopatică.</w:t>
      </w:r>
    </w:p>
    <w:p w14:paraId="2956A916" w14:textId="77777777" w:rsidR="006A440B" w:rsidRPr="00F941DA" w:rsidRDefault="006A440B" w:rsidP="006A440B">
      <w:pPr>
        <w:spacing w:after="0"/>
        <w:jc w:val="both"/>
        <w:outlineLvl w:val="0"/>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Fiind o boală heterogenă, AM prezintă un tablou cu manifestări progresive, complexe, variabile, de la forma letală perinatală până la forme atenuate, care nu sunt diagnosticate decât la vârsta adultă. </w:t>
      </w:r>
    </w:p>
    <w:p w14:paraId="7CA1727A" w14:textId="77777777" w:rsidR="006A440B" w:rsidRPr="00F941DA" w:rsidRDefault="006A440B" w:rsidP="006A440B">
      <w:pPr>
        <w:spacing w:after="0"/>
        <w:jc w:val="both"/>
        <w:outlineLvl w:val="0"/>
        <w:rPr>
          <w:rFonts w:ascii="Times New Roman" w:eastAsia="Calibri" w:hAnsi="Times New Roman" w:cs="Times New Roman"/>
          <w:sz w:val="24"/>
          <w:szCs w:val="24"/>
        </w:rPr>
      </w:pPr>
      <w:r w:rsidRPr="00F941DA">
        <w:rPr>
          <w:rFonts w:ascii="Times New Roman" w:eastAsia="Calibri" w:hAnsi="Times New Roman" w:cs="Times New Roman"/>
          <w:sz w:val="24"/>
          <w:szCs w:val="24"/>
        </w:rPr>
        <w:t>Caracteristicile clinice observate la un individ (precum și morbiditatea asociată, riscul de deces și impactul asupra calității vieții [QoL]) pot fi extrem de diferite de la un pacient la altul și contribuie la scăderea calității vieții pacientului, dar și la o predictibilitate redusă a evoluției bolii.</w:t>
      </w:r>
    </w:p>
    <w:p w14:paraId="58B1A915" w14:textId="77777777" w:rsidR="006A440B" w:rsidRPr="00F941DA" w:rsidRDefault="006A440B" w:rsidP="006A440B">
      <w:pPr>
        <w:spacing w:after="0"/>
        <w:jc w:val="both"/>
        <w:outlineLvl w:val="0"/>
        <w:rPr>
          <w:rFonts w:ascii="Times New Roman" w:eastAsia="Calibri" w:hAnsi="Times New Roman" w:cs="Times New Roman"/>
          <w:sz w:val="24"/>
          <w:szCs w:val="24"/>
        </w:rPr>
      </w:pPr>
    </w:p>
    <w:p w14:paraId="32B060B9" w14:textId="77777777" w:rsidR="006A440B" w:rsidRPr="00F941DA" w:rsidRDefault="006A440B" w:rsidP="006A440B">
      <w:pPr>
        <w:spacing w:after="0" w:line="276" w:lineRule="auto"/>
        <w:contextualSpacing/>
        <w:jc w:val="both"/>
        <w:outlineLvl w:val="0"/>
        <w:rPr>
          <w:rFonts w:ascii="Times New Roman" w:eastAsia="Calibri" w:hAnsi="Times New Roman" w:cs="Times New Roman"/>
          <w:b/>
          <w:sz w:val="24"/>
          <w:szCs w:val="24"/>
        </w:rPr>
      </w:pPr>
      <w:r w:rsidRPr="00F941DA">
        <w:rPr>
          <w:rFonts w:ascii="Times New Roman" w:eastAsia="Calibri" w:hAnsi="Times New Roman" w:cs="Times New Roman"/>
          <w:b/>
          <w:sz w:val="24"/>
          <w:szCs w:val="24"/>
        </w:rPr>
        <w:t>1. Principalele manifestări din alfa-manozidoza (AM) sunt:</w:t>
      </w:r>
    </w:p>
    <w:p w14:paraId="337B67BC" w14:textId="77777777" w:rsidR="006A440B" w:rsidRPr="00F941DA"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F941DA">
        <w:rPr>
          <w:rFonts w:ascii="Times New Roman" w:hAnsi="Times New Roman" w:cs="Times New Roman"/>
          <w:sz w:val="24"/>
          <w:szCs w:val="24"/>
          <w:u w:color="000000"/>
          <w:bdr w:val="nil"/>
          <w:lang w:eastAsia="ro-RO"/>
        </w:rPr>
        <w:t>La nivel facial: unii pacienți prezintă frunte lată, nas mare cu baza turtită, dinți spațiați, macroglosie, macrocranie, trăsături faciale mai grosiere</w:t>
      </w:r>
    </w:p>
    <w:p w14:paraId="20475890" w14:textId="77777777" w:rsidR="006A440B" w:rsidRPr="00F941DA"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F941DA">
        <w:rPr>
          <w:rFonts w:ascii="Times New Roman" w:hAnsi="Times New Roman" w:cs="Times New Roman"/>
          <w:sz w:val="24"/>
          <w:szCs w:val="24"/>
          <w:u w:color="000000"/>
          <w:bdr w:val="nil"/>
          <w:lang w:eastAsia="ro-RO"/>
        </w:rPr>
        <w:t>Cognitiv: afectare a funcției intelectuale, retard în achizițiile psiho-motorii</w:t>
      </w:r>
    </w:p>
    <w:p w14:paraId="6C1D47CE" w14:textId="77777777" w:rsidR="006A440B" w:rsidRPr="00F941DA"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F941DA">
        <w:rPr>
          <w:rFonts w:ascii="Times New Roman" w:hAnsi="Times New Roman" w:cs="Times New Roman"/>
          <w:sz w:val="24"/>
          <w:szCs w:val="24"/>
          <w:u w:color="000000"/>
          <w:bdr w:val="nil"/>
          <w:lang w:eastAsia="ro-RO"/>
        </w:rPr>
        <w:t xml:space="preserve">La nivel cerebral: demielinizare și hidrocefalie;  </w:t>
      </w:r>
    </w:p>
    <w:p w14:paraId="3A588C38" w14:textId="77777777" w:rsidR="006A440B" w:rsidRPr="00F941DA"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F941DA">
        <w:rPr>
          <w:rFonts w:ascii="Times New Roman" w:hAnsi="Times New Roman" w:cs="Times New Roman"/>
          <w:sz w:val="24"/>
          <w:szCs w:val="24"/>
          <w:u w:color="000000"/>
          <w:bdr w:val="nil"/>
          <w:lang w:eastAsia="ro-RO"/>
        </w:rPr>
        <w:t>Scăderea pragului de percepție a durerii.</w:t>
      </w:r>
    </w:p>
    <w:p w14:paraId="720806D9" w14:textId="77777777" w:rsidR="006A440B" w:rsidRPr="00F941DA"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F941DA">
        <w:rPr>
          <w:rFonts w:ascii="Times New Roman" w:hAnsi="Times New Roman" w:cs="Times New Roman"/>
          <w:sz w:val="24"/>
          <w:szCs w:val="24"/>
          <w:u w:color="000000"/>
          <w:bdr w:val="nil"/>
          <w:lang w:eastAsia="ro-RO"/>
        </w:rPr>
        <w:t xml:space="preserve">La nivel musculo-scheletal și articular: deformări articulare (coxo-femurale, toracice, vertebrale), reducerea funcționalității articulare, sindrom de tunel carpian, tulburări ale funcției motorii. </w:t>
      </w:r>
    </w:p>
    <w:p w14:paraId="38FBB01D" w14:textId="77777777" w:rsidR="006A440B" w:rsidRPr="00F941DA"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F941DA">
        <w:rPr>
          <w:rFonts w:ascii="Times New Roman" w:hAnsi="Times New Roman" w:cs="Times New Roman"/>
          <w:sz w:val="24"/>
          <w:szCs w:val="24"/>
          <w:u w:color="000000"/>
          <w:bdr w:val="nil"/>
          <w:lang w:eastAsia="ro-RO"/>
        </w:rPr>
        <w:t>Respirator: deteriorarea funcției pulmonare</w:t>
      </w:r>
    </w:p>
    <w:p w14:paraId="2AA016FD" w14:textId="77777777" w:rsidR="006A440B" w:rsidRPr="00F941DA"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F941DA">
        <w:rPr>
          <w:rFonts w:ascii="Times New Roman" w:hAnsi="Times New Roman" w:cs="Times New Roman"/>
          <w:sz w:val="24"/>
          <w:szCs w:val="24"/>
          <w:u w:color="000000"/>
          <w:bdr w:val="nil"/>
          <w:lang w:eastAsia="ro-RO"/>
        </w:rPr>
        <w:t xml:space="preserve">Imunodeficiență și infecții </w:t>
      </w:r>
    </w:p>
    <w:p w14:paraId="5A9EA234" w14:textId="77777777" w:rsidR="006A440B" w:rsidRPr="00F941DA"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F941DA">
        <w:rPr>
          <w:rFonts w:ascii="Times New Roman" w:hAnsi="Times New Roman" w:cs="Times New Roman"/>
          <w:sz w:val="24"/>
          <w:szCs w:val="24"/>
          <w:u w:color="000000"/>
          <w:bdr w:val="nil"/>
          <w:lang w:eastAsia="ro-RO"/>
        </w:rPr>
        <w:t xml:space="preserve">Pierderea auzului  </w:t>
      </w:r>
    </w:p>
    <w:p w14:paraId="12C18ADF" w14:textId="77777777" w:rsidR="006A440B" w:rsidRPr="00F941DA"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F941DA">
        <w:rPr>
          <w:rFonts w:ascii="Times New Roman" w:hAnsi="Times New Roman" w:cs="Times New Roman"/>
          <w:sz w:val="24"/>
          <w:szCs w:val="24"/>
          <w:u w:color="000000"/>
          <w:bdr w:val="nil"/>
          <w:lang w:eastAsia="ro-RO"/>
        </w:rPr>
        <w:t xml:space="preserve">Afectarea vederii </w:t>
      </w:r>
    </w:p>
    <w:p w14:paraId="25F948A8" w14:textId="77777777" w:rsidR="006A440B" w:rsidRPr="00F941DA" w:rsidRDefault="006A440B" w:rsidP="006A440B">
      <w:pPr>
        <w:spacing w:after="0"/>
        <w:jc w:val="both"/>
        <w:outlineLvl w:val="0"/>
        <w:rPr>
          <w:rFonts w:ascii="Times New Roman" w:eastAsia="Calibri" w:hAnsi="Times New Roman" w:cs="Times New Roman"/>
          <w:sz w:val="24"/>
          <w:szCs w:val="24"/>
        </w:rPr>
      </w:pPr>
    </w:p>
    <w:p w14:paraId="67651EFC" w14:textId="77777777" w:rsidR="006A440B" w:rsidRPr="00F941DA" w:rsidRDefault="006A440B" w:rsidP="006A440B">
      <w:pPr>
        <w:spacing w:after="0"/>
        <w:jc w:val="both"/>
        <w:outlineLvl w:val="0"/>
        <w:rPr>
          <w:rFonts w:ascii="Times New Roman" w:eastAsia="Calibri" w:hAnsi="Times New Roman" w:cs="Times New Roman"/>
          <w:sz w:val="24"/>
          <w:szCs w:val="24"/>
        </w:rPr>
      </w:pPr>
      <w:r w:rsidRPr="00F941DA">
        <w:rPr>
          <w:rFonts w:ascii="Times New Roman" w:eastAsia="Calibri" w:hAnsi="Times New Roman" w:cs="Times New Roman"/>
          <w:sz w:val="24"/>
          <w:szCs w:val="24"/>
        </w:rPr>
        <w:lastRenderedPageBreak/>
        <w:t xml:space="preserve">Cu timpul, unele dintre manifestarile clinice ale bolii se pot stabiliza, în timp ce altele continuă să evolueze. Rata de progres a simptomelor variază de asemenea de la un pacient la altul. </w:t>
      </w:r>
    </w:p>
    <w:p w14:paraId="2D628E1A" w14:textId="77777777" w:rsidR="006A440B" w:rsidRPr="00F941DA" w:rsidRDefault="006A440B" w:rsidP="006A440B">
      <w:pPr>
        <w:spacing w:after="0"/>
        <w:jc w:val="both"/>
        <w:outlineLvl w:val="0"/>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În final, cei mai mulți pacienți devin dependenți de scaunul cu rotile și nu vor fi niciodată independenți social. </w:t>
      </w:r>
    </w:p>
    <w:p w14:paraId="38F24C25" w14:textId="77777777" w:rsidR="006A440B" w:rsidRPr="00F941DA" w:rsidRDefault="006A440B" w:rsidP="006A440B">
      <w:pPr>
        <w:spacing w:after="0"/>
        <w:jc w:val="both"/>
        <w:outlineLvl w:val="0"/>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În formele ușoare și moderate ale bolii, speranța de viață e buna, mulți pacienți trăiesc până la maturitate, necesitând îngrijire pe termen lung. </w:t>
      </w:r>
    </w:p>
    <w:p w14:paraId="384C226E" w14:textId="77777777" w:rsidR="00CB7B02" w:rsidRPr="00F941DA" w:rsidRDefault="00CB7B02" w:rsidP="006A440B">
      <w:pPr>
        <w:spacing w:after="0"/>
        <w:jc w:val="both"/>
        <w:outlineLvl w:val="0"/>
        <w:rPr>
          <w:rFonts w:ascii="Times New Roman" w:eastAsia="Calibri" w:hAnsi="Times New Roman" w:cs="Times New Roman"/>
          <w:b/>
          <w:sz w:val="24"/>
          <w:szCs w:val="24"/>
        </w:rPr>
      </w:pPr>
    </w:p>
    <w:p w14:paraId="425FF2F8" w14:textId="77777777" w:rsidR="006A440B" w:rsidRPr="00F941DA" w:rsidRDefault="006A440B" w:rsidP="006A440B">
      <w:pPr>
        <w:spacing w:after="0"/>
        <w:jc w:val="both"/>
        <w:outlineLvl w:val="0"/>
        <w:rPr>
          <w:rFonts w:ascii="Times New Roman" w:eastAsia="Calibri" w:hAnsi="Times New Roman" w:cs="Times New Roman"/>
          <w:b/>
          <w:sz w:val="24"/>
          <w:szCs w:val="24"/>
        </w:rPr>
      </w:pPr>
      <w:r w:rsidRPr="00F941DA">
        <w:rPr>
          <w:rFonts w:ascii="Times New Roman" w:eastAsia="Calibri" w:hAnsi="Times New Roman" w:cs="Times New Roman"/>
          <w:b/>
          <w:sz w:val="24"/>
          <w:szCs w:val="24"/>
        </w:rPr>
        <w:t>2. Criterii de confirmare a diagnosticului AM:</w:t>
      </w:r>
    </w:p>
    <w:p w14:paraId="75F8F187" w14:textId="77777777" w:rsidR="006A440B" w:rsidRPr="00F941DA" w:rsidRDefault="006A440B" w:rsidP="006A440B">
      <w:pPr>
        <w:spacing w:after="0"/>
        <w:jc w:val="both"/>
        <w:outlineLvl w:val="0"/>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Cei mai mulți pacienți sunt diagnosticați în prima sau a doua decadă a vieții, dar este posibilă și diagnosticarea prenatală. </w:t>
      </w:r>
    </w:p>
    <w:p w14:paraId="6A56B549" w14:textId="77777777" w:rsidR="006A440B" w:rsidRPr="00F941DA" w:rsidRDefault="006A440B" w:rsidP="006A440B">
      <w:pPr>
        <w:spacing w:after="0"/>
        <w:jc w:val="both"/>
        <w:outlineLvl w:val="0"/>
        <w:rPr>
          <w:rFonts w:ascii="Times New Roman" w:eastAsia="Calibri" w:hAnsi="Times New Roman" w:cs="Times New Roman"/>
          <w:sz w:val="24"/>
          <w:szCs w:val="24"/>
        </w:rPr>
      </w:pPr>
      <w:r w:rsidRPr="00F941DA">
        <w:rPr>
          <w:rFonts w:ascii="Times New Roman" w:eastAsia="Calibri" w:hAnsi="Times New Roman" w:cs="Times New Roman"/>
          <w:sz w:val="24"/>
          <w:szCs w:val="24"/>
        </w:rPr>
        <w:t>Multe dintre caracteristicile clinice ale AM se suprapun cu alte cazuri de LSD, diagnosticul diferențial necesitând metode de diagnostic specific, inclusiv testare genetică.</w:t>
      </w:r>
    </w:p>
    <w:p w14:paraId="1B75AB6E" w14:textId="77777777" w:rsidR="006A440B" w:rsidRPr="00F941DA" w:rsidRDefault="006A440B" w:rsidP="006A440B">
      <w:pPr>
        <w:spacing w:after="0"/>
        <w:jc w:val="both"/>
        <w:outlineLvl w:val="0"/>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Metodele utilizate pentru stabilirea diagnosticului de AM sau pentru confirmarea AM includ: </w:t>
      </w:r>
    </w:p>
    <w:p w14:paraId="0C3E62BF" w14:textId="77777777" w:rsidR="006A440B" w:rsidRPr="00F941DA" w:rsidRDefault="006A440B" w:rsidP="006A440B">
      <w:pPr>
        <w:numPr>
          <w:ilvl w:val="0"/>
          <w:numId w:val="113"/>
        </w:numPr>
        <w:spacing w:after="0" w:line="276" w:lineRule="auto"/>
        <w:contextualSpacing/>
        <w:jc w:val="both"/>
        <w:outlineLvl w:val="0"/>
        <w:rPr>
          <w:rFonts w:ascii="Times New Roman" w:hAnsi="Times New Roman" w:cs="Times New Roman"/>
          <w:sz w:val="24"/>
          <w:szCs w:val="24"/>
          <w:u w:color="000000"/>
          <w:bdr w:val="nil"/>
          <w:lang w:eastAsia="ro-RO"/>
        </w:rPr>
      </w:pPr>
      <w:r w:rsidRPr="00F941DA">
        <w:rPr>
          <w:rFonts w:ascii="Times New Roman" w:hAnsi="Times New Roman" w:cs="Times New Roman"/>
          <w:b/>
          <w:sz w:val="24"/>
          <w:szCs w:val="24"/>
          <w:u w:color="000000"/>
          <w:bdr w:val="nil"/>
          <w:lang w:eastAsia="ro-RO"/>
        </w:rPr>
        <w:t>Măsurarea oligozaharidelor (OZ)</w:t>
      </w:r>
      <w:r w:rsidRPr="00F941DA">
        <w:rPr>
          <w:rFonts w:ascii="Times New Roman" w:hAnsi="Times New Roman" w:cs="Times New Roman"/>
          <w:sz w:val="24"/>
          <w:szCs w:val="24"/>
          <w:u w:color="000000"/>
          <w:bdr w:val="nil"/>
          <w:lang w:eastAsia="ro-RO"/>
        </w:rPr>
        <w:t xml:space="preserve">: niveluri crescute de oligozaharide indică diagnosticul de AM. Valorile sunt măsurate în mod tipic în urină, dar pot fi de asemenea evaluate în ser; în cadrul studiilor clinice rhLAMAN valorile oligozaharidelor din ser ≥4 μmol/L au fost considerate ridicate. </w:t>
      </w:r>
    </w:p>
    <w:p w14:paraId="505EED50" w14:textId="77777777" w:rsidR="006A440B" w:rsidRPr="00F941DA" w:rsidRDefault="006A440B" w:rsidP="006A440B">
      <w:pPr>
        <w:numPr>
          <w:ilvl w:val="0"/>
          <w:numId w:val="113"/>
        </w:numPr>
        <w:spacing w:after="0" w:line="276" w:lineRule="auto"/>
        <w:contextualSpacing/>
        <w:jc w:val="both"/>
        <w:outlineLvl w:val="0"/>
        <w:rPr>
          <w:rFonts w:ascii="Times New Roman" w:hAnsi="Times New Roman" w:cs="Times New Roman"/>
          <w:sz w:val="24"/>
          <w:szCs w:val="24"/>
          <w:u w:color="000000"/>
          <w:bdr w:val="nil"/>
          <w:lang w:eastAsia="ro-RO"/>
        </w:rPr>
      </w:pPr>
      <w:r w:rsidRPr="00F941DA">
        <w:rPr>
          <w:rFonts w:ascii="Times New Roman" w:hAnsi="Times New Roman" w:cs="Times New Roman"/>
          <w:b/>
          <w:sz w:val="24"/>
          <w:szCs w:val="24"/>
          <w:u w:color="000000"/>
          <w:bdr w:val="nil"/>
          <w:lang w:eastAsia="ro-RO"/>
        </w:rPr>
        <w:t>Activitatea alfa-manozidazei</w:t>
      </w:r>
      <w:r w:rsidRPr="00F941DA">
        <w:rPr>
          <w:rFonts w:ascii="Times New Roman" w:hAnsi="Times New Roman" w:cs="Times New Roman"/>
          <w:sz w:val="24"/>
          <w:szCs w:val="24"/>
          <w:u w:color="000000"/>
          <w:bdr w:val="nil"/>
          <w:lang w:eastAsia="ro-RO"/>
        </w:rPr>
        <w:t xml:space="preserve"> este evaluată în leucocite sau fibroblasti (biopsie de piele). La pacienții cu AM, activitatea alfa-manozidazei este de 5–15% din activitatea normală. De menționat cazurile în care, deși nivelul serologic al alfa-manozidazei este normal sau chiar crescut, semnele clinice, asociate cu nivelul crescut al oligozaharidelor în urina sau ser precum și pozitivitatea testului  genetic, duc la confirmarea diagnosticului de AM.</w:t>
      </w:r>
    </w:p>
    <w:p w14:paraId="64C2EB2E" w14:textId="77777777" w:rsidR="006A440B" w:rsidRPr="00F941DA" w:rsidRDefault="006A440B" w:rsidP="006A440B">
      <w:pPr>
        <w:numPr>
          <w:ilvl w:val="0"/>
          <w:numId w:val="113"/>
        </w:numPr>
        <w:spacing w:after="0" w:line="276" w:lineRule="auto"/>
        <w:contextualSpacing/>
        <w:jc w:val="both"/>
        <w:outlineLvl w:val="0"/>
        <w:rPr>
          <w:rFonts w:ascii="Times New Roman" w:hAnsi="Times New Roman" w:cs="Times New Roman"/>
          <w:bCs/>
          <w:sz w:val="24"/>
          <w:szCs w:val="24"/>
          <w:u w:color="000000"/>
          <w:bdr w:val="nil"/>
          <w:lang w:eastAsia="ro-RO"/>
        </w:rPr>
      </w:pPr>
      <w:r w:rsidRPr="00F941DA">
        <w:rPr>
          <w:rFonts w:ascii="Times New Roman" w:hAnsi="Times New Roman" w:cs="Times New Roman"/>
          <w:b/>
          <w:sz w:val="24"/>
          <w:szCs w:val="24"/>
          <w:u w:color="000000"/>
          <w:bdr w:val="nil"/>
          <w:lang w:eastAsia="ro-RO"/>
        </w:rPr>
        <w:t>Testele genetice</w:t>
      </w:r>
      <w:r w:rsidRPr="00F941DA">
        <w:rPr>
          <w:rFonts w:ascii="Times New Roman" w:hAnsi="Times New Roman" w:cs="Times New Roman"/>
          <w:sz w:val="24"/>
          <w:szCs w:val="24"/>
          <w:u w:color="000000"/>
          <w:bdr w:val="nil"/>
          <w:lang w:eastAsia="ro-RO"/>
        </w:rPr>
        <w:t xml:space="preserve"> pentru detectarea mutației homozygote in gena MAN2B1, care cauzează AM, confirmă diagnosticul bolii. </w:t>
      </w:r>
    </w:p>
    <w:p w14:paraId="24C52ABD" w14:textId="77777777" w:rsidR="006A440B" w:rsidRPr="00F941DA" w:rsidRDefault="006A440B" w:rsidP="006A440B">
      <w:pPr>
        <w:numPr>
          <w:ilvl w:val="0"/>
          <w:numId w:val="113"/>
        </w:numPr>
        <w:spacing w:after="0" w:line="276" w:lineRule="auto"/>
        <w:contextualSpacing/>
        <w:jc w:val="both"/>
        <w:outlineLvl w:val="0"/>
        <w:rPr>
          <w:rFonts w:ascii="Times New Roman" w:hAnsi="Times New Roman" w:cs="Times New Roman"/>
          <w:bCs/>
          <w:sz w:val="24"/>
          <w:szCs w:val="24"/>
          <w:u w:color="000000"/>
          <w:bdr w:val="nil"/>
          <w:lang w:eastAsia="ro-RO"/>
        </w:rPr>
      </w:pPr>
      <w:r w:rsidRPr="00F941DA">
        <w:rPr>
          <w:rFonts w:ascii="Times New Roman" w:hAnsi="Times New Roman" w:cs="Times New Roman"/>
          <w:b/>
          <w:sz w:val="24"/>
          <w:szCs w:val="24"/>
          <w:u w:color="000000"/>
          <w:bdr w:val="nil"/>
          <w:lang w:eastAsia="ro-RO"/>
        </w:rPr>
        <w:t>Algoritm de diagnostic</w:t>
      </w:r>
      <w:r w:rsidRPr="00F941DA">
        <w:rPr>
          <w:rFonts w:ascii="Times New Roman" w:hAnsi="Times New Roman" w:cs="Times New Roman"/>
          <w:bCs/>
          <w:sz w:val="24"/>
          <w:szCs w:val="24"/>
          <w:u w:color="000000"/>
          <w:bdr w:val="nil"/>
          <w:lang w:eastAsia="ro-RO"/>
        </w:rPr>
        <w:t xml:space="preserve"> pentru alfa-manozidoză (adaptat local după </w:t>
      </w:r>
      <w:r w:rsidRPr="00F941DA">
        <w:rPr>
          <w:rFonts w:ascii="Times New Roman" w:hAnsi="Times New Roman" w:cs="Times New Roman"/>
          <w:bCs/>
          <w:i/>
          <w:iCs/>
          <w:sz w:val="24"/>
          <w:szCs w:val="24"/>
          <w:u w:color="000000"/>
          <w:bdr w:val="nil"/>
          <w:lang w:eastAsia="ro-RO"/>
        </w:rPr>
        <w:t xml:space="preserve">Recognition of alpha-mannosidosis in paediatric and adult patients: Presentation of a diagnostic algorithm from an international working group, </w:t>
      </w:r>
      <w:r w:rsidRPr="00F941DA">
        <w:rPr>
          <w:rFonts w:ascii="Times New Roman" w:hAnsi="Times New Roman" w:cs="Times New Roman"/>
          <w:bCs/>
          <w:sz w:val="24"/>
          <w:szCs w:val="24"/>
          <w:u w:color="000000"/>
          <w:bdr w:val="nil"/>
          <w:lang w:eastAsia="ro-RO"/>
        </w:rPr>
        <w:t>Guffon et al, Molecular Genetics and Metabolism, 2019):</w:t>
      </w:r>
    </w:p>
    <w:p w14:paraId="3B056522" w14:textId="77777777" w:rsidR="006A440B" w:rsidRPr="00F941DA" w:rsidRDefault="006A440B" w:rsidP="006A440B">
      <w:pPr>
        <w:numPr>
          <w:ilvl w:val="0"/>
          <w:numId w:val="113"/>
        </w:numPr>
        <w:spacing w:after="0" w:line="276" w:lineRule="auto"/>
        <w:contextualSpacing/>
        <w:jc w:val="both"/>
        <w:outlineLvl w:val="0"/>
        <w:rPr>
          <w:rFonts w:ascii="Times New Roman" w:hAnsi="Times New Roman" w:cs="Times New Roman"/>
          <w:bCs/>
          <w:sz w:val="24"/>
          <w:szCs w:val="24"/>
          <w:u w:color="000000"/>
          <w:bdr w:val="nil"/>
          <w:lang w:eastAsia="ro-RO"/>
        </w:rPr>
      </w:pPr>
      <w:r w:rsidRPr="00F941DA">
        <w:rPr>
          <w:rFonts w:ascii="Times New Roman" w:hAnsi="Times New Roman" w:cs="Times New Roman"/>
          <w:bCs/>
          <w:sz w:val="24"/>
          <w:szCs w:val="24"/>
          <w:u w:color="000000"/>
          <w:bdr w:val="nil"/>
          <w:lang w:eastAsia="ro-RO"/>
        </w:rPr>
        <w:t>Pacienți ≤ 10 ani</w:t>
      </w:r>
    </w:p>
    <w:p w14:paraId="5905A656" w14:textId="77777777" w:rsidR="006A440B" w:rsidRPr="00F941DA" w:rsidRDefault="006A440B" w:rsidP="006A440B">
      <w:pPr>
        <w:spacing w:after="0" w:line="276" w:lineRule="auto"/>
        <w:ind w:left="360"/>
        <w:contextualSpacing/>
        <w:jc w:val="both"/>
        <w:outlineLvl w:val="0"/>
        <w:rPr>
          <w:rFonts w:ascii="Times New Roman" w:hAnsi="Times New Roman" w:cs="Times New Roman"/>
          <w:bCs/>
          <w:sz w:val="24"/>
          <w:szCs w:val="24"/>
          <w:u w:color="000000"/>
          <w:bdr w:val="nil"/>
          <w:lang w:eastAsia="ro-RO"/>
        </w:rPr>
      </w:pPr>
    </w:p>
    <w:p w14:paraId="48CB1B0A" w14:textId="77777777" w:rsidR="006A440B" w:rsidRPr="00F941DA" w:rsidRDefault="006A440B" w:rsidP="006A440B">
      <w:pPr>
        <w:spacing w:after="0"/>
        <w:jc w:val="center"/>
        <w:outlineLvl w:val="0"/>
        <w:rPr>
          <w:rFonts w:ascii="Times New Roman" w:eastAsia="Calibri" w:hAnsi="Times New Roman" w:cs="Times New Roman"/>
          <w:bCs/>
          <w:sz w:val="24"/>
          <w:szCs w:val="24"/>
        </w:rPr>
      </w:pPr>
      <w:r w:rsidRPr="00F941DA">
        <w:rPr>
          <w:rFonts w:ascii="Times New Roman" w:eastAsia="Calibri" w:hAnsi="Times New Roman" w:cs="Times New Roman"/>
          <w:noProof/>
          <w:sz w:val="24"/>
          <w:szCs w:val="24"/>
          <w:lang w:val="en-US"/>
        </w:rPr>
        <w:drawing>
          <wp:inline distT="0" distB="0" distL="0" distR="0" wp14:anchorId="6BBFB59F" wp14:editId="34A78CF3">
            <wp:extent cx="4819650" cy="2962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2962275"/>
                    </a:xfrm>
                    <a:prstGeom prst="rect">
                      <a:avLst/>
                    </a:prstGeom>
                    <a:noFill/>
                    <a:ln>
                      <a:noFill/>
                    </a:ln>
                  </pic:spPr>
                </pic:pic>
              </a:graphicData>
            </a:graphic>
          </wp:inline>
        </w:drawing>
      </w:r>
    </w:p>
    <w:p w14:paraId="32D93AC1" w14:textId="77777777" w:rsidR="006A440B" w:rsidRPr="00F941DA" w:rsidRDefault="006A440B" w:rsidP="006A440B">
      <w:pPr>
        <w:spacing w:after="0"/>
        <w:jc w:val="both"/>
        <w:outlineLvl w:val="0"/>
        <w:rPr>
          <w:rFonts w:ascii="Times New Roman" w:eastAsia="Calibri" w:hAnsi="Times New Roman" w:cs="Times New Roman"/>
          <w:bCs/>
          <w:sz w:val="24"/>
          <w:szCs w:val="24"/>
        </w:rPr>
      </w:pPr>
      <w:r w:rsidRPr="00F941DA">
        <w:rPr>
          <w:rFonts w:ascii="Times New Roman" w:eastAsia="Calibri" w:hAnsi="Times New Roman" w:cs="Times New Roman"/>
          <w:bCs/>
          <w:sz w:val="24"/>
          <w:szCs w:val="24"/>
        </w:rPr>
        <w:t>*MPS = mucopolizaharidoză</w:t>
      </w:r>
    </w:p>
    <w:p w14:paraId="52AFDC13" w14:textId="77777777" w:rsidR="006A440B" w:rsidRPr="00F941DA" w:rsidRDefault="006A440B" w:rsidP="006A440B">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r w:rsidRPr="00F941DA">
        <w:rPr>
          <w:rFonts w:ascii="Times New Roman" w:hAnsi="Times New Roman" w:cs="Times New Roman"/>
          <w:bCs/>
          <w:sz w:val="24"/>
          <w:szCs w:val="24"/>
          <w:u w:color="000000"/>
          <w:bdr w:val="nil"/>
          <w:lang w:eastAsia="ro-RO"/>
        </w:rPr>
        <w:t xml:space="preserve"> </w:t>
      </w:r>
    </w:p>
    <w:p w14:paraId="3F9A9633" w14:textId="77777777" w:rsidR="006A440B" w:rsidRPr="00F941DA" w:rsidRDefault="006A440B" w:rsidP="006A440B">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52741F11" w14:textId="77777777" w:rsidR="006A440B" w:rsidRPr="00F941DA" w:rsidRDefault="006A440B" w:rsidP="006A440B">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5BD1BA97" w14:textId="77777777" w:rsidR="00CB7B02" w:rsidRPr="00F941DA" w:rsidRDefault="00CB7B02" w:rsidP="006A440B">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4BD89E60" w14:textId="77777777" w:rsidR="006A440B" w:rsidRPr="00F941DA" w:rsidRDefault="006A440B" w:rsidP="006A440B">
      <w:pPr>
        <w:numPr>
          <w:ilvl w:val="0"/>
          <w:numId w:val="114"/>
        </w:numPr>
        <w:spacing w:after="0" w:line="276" w:lineRule="auto"/>
        <w:contextualSpacing/>
        <w:jc w:val="both"/>
        <w:outlineLvl w:val="0"/>
        <w:rPr>
          <w:rFonts w:ascii="Times New Roman" w:hAnsi="Times New Roman" w:cs="Times New Roman"/>
          <w:bCs/>
          <w:sz w:val="24"/>
          <w:szCs w:val="24"/>
          <w:u w:color="000000"/>
          <w:bdr w:val="nil"/>
          <w:lang w:eastAsia="ro-RO"/>
        </w:rPr>
      </w:pPr>
      <w:r w:rsidRPr="00F941DA">
        <w:rPr>
          <w:rFonts w:ascii="Times New Roman" w:hAnsi="Times New Roman" w:cs="Times New Roman"/>
          <w:bCs/>
          <w:sz w:val="24"/>
          <w:szCs w:val="24"/>
          <w:u w:color="000000"/>
          <w:bdr w:val="nil"/>
          <w:lang w:eastAsia="ro-RO"/>
        </w:rPr>
        <w:lastRenderedPageBreak/>
        <w:t>Pacienți &gt; 10 ani</w:t>
      </w:r>
    </w:p>
    <w:p w14:paraId="5040A27D" w14:textId="77777777" w:rsidR="006A440B" w:rsidRPr="00F941DA" w:rsidRDefault="006A440B" w:rsidP="006A440B">
      <w:pPr>
        <w:spacing w:after="0"/>
        <w:jc w:val="both"/>
        <w:outlineLvl w:val="0"/>
        <w:rPr>
          <w:rFonts w:ascii="Times New Roman" w:eastAsia="Calibri" w:hAnsi="Times New Roman" w:cs="Times New Roman"/>
          <w:bCs/>
          <w:noProof/>
          <w:sz w:val="24"/>
          <w:szCs w:val="24"/>
        </w:rPr>
      </w:pPr>
    </w:p>
    <w:p w14:paraId="5AA6788A" w14:textId="77777777" w:rsidR="006A440B" w:rsidRPr="00F941DA" w:rsidRDefault="006A440B" w:rsidP="006A440B">
      <w:pPr>
        <w:spacing w:after="0"/>
        <w:jc w:val="center"/>
        <w:outlineLvl w:val="0"/>
        <w:rPr>
          <w:rFonts w:ascii="Times New Roman" w:eastAsia="Calibri" w:hAnsi="Times New Roman" w:cs="Times New Roman"/>
          <w:bCs/>
          <w:sz w:val="24"/>
          <w:szCs w:val="24"/>
        </w:rPr>
      </w:pPr>
      <w:r w:rsidRPr="00F941DA">
        <w:rPr>
          <w:rFonts w:ascii="Times New Roman" w:eastAsia="Calibri" w:hAnsi="Times New Roman" w:cs="Times New Roman"/>
          <w:noProof/>
          <w:sz w:val="24"/>
          <w:szCs w:val="24"/>
          <w:lang w:val="en-US"/>
        </w:rPr>
        <w:drawing>
          <wp:inline distT="0" distB="0" distL="0" distR="0" wp14:anchorId="1AD7073E" wp14:editId="463D9B82">
            <wp:extent cx="4619625" cy="3019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3019425"/>
                    </a:xfrm>
                    <a:prstGeom prst="rect">
                      <a:avLst/>
                    </a:prstGeom>
                    <a:noFill/>
                    <a:ln>
                      <a:noFill/>
                    </a:ln>
                  </pic:spPr>
                </pic:pic>
              </a:graphicData>
            </a:graphic>
          </wp:inline>
        </w:drawing>
      </w:r>
    </w:p>
    <w:p w14:paraId="3F6B2BE3" w14:textId="77777777" w:rsidR="006A440B" w:rsidRPr="00F941DA" w:rsidRDefault="006A440B" w:rsidP="006A440B">
      <w:pPr>
        <w:pBdr>
          <w:top w:val="nil"/>
          <w:left w:val="nil"/>
          <w:bottom w:val="nil"/>
          <w:right w:val="nil"/>
          <w:between w:val="nil"/>
          <w:bar w:val="nil"/>
        </w:pBdr>
        <w:spacing w:after="0"/>
        <w:ind w:left="720"/>
        <w:jc w:val="both"/>
        <w:outlineLvl w:val="0"/>
        <w:rPr>
          <w:rFonts w:ascii="Times New Roman" w:hAnsi="Times New Roman" w:cs="Times New Roman"/>
          <w:b/>
          <w:sz w:val="24"/>
          <w:szCs w:val="24"/>
          <w:u w:color="000000"/>
          <w:bdr w:val="nil"/>
          <w:lang w:eastAsia="ro-RO"/>
        </w:rPr>
      </w:pPr>
    </w:p>
    <w:p w14:paraId="0E5777B0" w14:textId="77777777" w:rsidR="006A440B" w:rsidRPr="00F941DA" w:rsidRDefault="006A440B" w:rsidP="006A440B">
      <w:pPr>
        <w:pBdr>
          <w:top w:val="nil"/>
          <w:left w:val="nil"/>
          <w:bottom w:val="nil"/>
          <w:right w:val="nil"/>
          <w:between w:val="nil"/>
          <w:bar w:val="nil"/>
        </w:pBdr>
        <w:spacing w:after="0"/>
        <w:ind w:left="720"/>
        <w:jc w:val="both"/>
        <w:outlineLvl w:val="0"/>
        <w:rPr>
          <w:rFonts w:ascii="Times New Roman" w:hAnsi="Times New Roman" w:cs="Times New Roman"/>
          <w:b/>
          <w:sz w:val="24"/>
          <w:szCs w:val="24"/>
          <w:u w:color="000000"/>
          <w:bdr w:val="nil"/>
          <w:lang w:eastAsia="ro-RO"/>
        </w:rPr>
      </w:pPr>
    </w:p>
    <w:p w14:paraId="0D7F7092" w14:textId="77777777" w:rsidR="006A440B" w:rsidRPr="00F941DA" w:rsidRDefault="006A440B" w:rsidP="006A440B">
      <w:pPr>
        <w:spacing w:after="0"/>
        <w:jc w:val="both"/>
        <w:outlineLvl w:val="0"/>
        <w:rPr>
          <w:rFonts w:ascii="Times New Roman" w:eastAsia="Calibri" w:hAnsi="Times New Roman" w:cs="Times New Roman"/>
          <w:b/>
          <w:sz w:val="24"/>
          <w:szCs w:val="24"/>
        </w:rPr>
      </w:pPr>
      <w:r w:rsidRPr="00F941DA">
        <w:rPr>
          <w:rFonts w:ascii="Times New Roman" w:eastAsia="Calibri" w:hAnsi="Times New Roman" w:cs="Times New Roman"/>
          <w:b/>
          <w:sz w:val="24"/>
          <w:szCs w:val="24"/>
        </w:rPr>
        <w:t xml:space="preserve">3. Indicaţiile terapiei cu </w:t>
      </w:r>
      <w:r w:rsidRPr="00F941DA">
        <w:rPr>
          <w:rFonts w:ascii="Times New Roman" w:hAnsi="Times New Roman" w:cs="Times New Roman"/>
          <w:sz w:val="21"/>
          <w:szCs w:val="21"/>
          <w:shd w:val="clear" w:color="auto" w:fill="F9F9F9"/>
        </w:rPr>
        <w:t>velmanaza alfa</w:t>
      </w:r>
      <w:r w:rsidRPr="00F941DA">
        <w:rPr>
          <w:rFonts w:ascii="Times New Roman" w:eastAsia="Calibri" w:hAnsi="Times New Roman" w:cs="Times New Roman"/>
          <w:b/>
          <w:sz w:val="24"/>
          <w:szCs w:val="24"/>
        </w:rPr>
        <w:t xml:space="preserve"> în AM:</w:t>
      </w:r>
    </w:p>
    <w:p w14:paraId="0568D897" w14:textId="77777777" w:rsidR="006A440B" w:rsidRPr="00F941DA" w:rsidRDefault="006A440B" w:rsidP="006A440B">
      <w:pPr>
        <w:spacing w:after="0"/>
        <w:jc w:val="both"/>
        <w:outlineLvl w:val="0"/>
        <w:rPr>
          <w:rFonts w:ascii="Times New Roman" w:eastAsia="Calibri" w:hAnsi="Times New Roman" w:cs="Times New Roman"/>
          <w:b/>
          <w:sz w:val="24"/>
          <w:szCs w:val="24"/>
        </w:rPr>
      </w:pPr>
    </w:p>
    <w:p w14:paraId="6D0E40FE" w14:textId="77777777" w:rsidR="006A440B" w:rsidRPr="00F941DA" w:rsidRDefault="006A440B" w:rsidP="006A440B">
      <w:pPr>
        <w:spacing w:after="0"/>
        <w:jc w:val="both"/>
        <w:outlineLvl w:val="0"/>
        <w:rPr>
          <w:rFonts w:ascii="Times New Roman" w:eastAsia="Calibri" w:hAnsi="Times New Roman" w:cs="Times New Roman"/>
          <w:sz w:val="24"/>
          <w:szCs w:val="24"/>
        </w:rPr>
      </w:pPr>
      <w:r w:rsidRPr="00F941DA">
        <w:rPr>
          <w:rFonts w:ascii="Times New Roman" w:eastAsia="Calibri" w:hAnsi="Times New Roman" w:cs="Times New Roman"/>
          <w:b/>
          <w:sz w:val="24"/>
          <w:szCs w:val="24"/>
        </w:rPr>
        <w:t>Indicații terapeutice</w:t>
      </w:r>
      <w:r w:rsidRPr="00F941DA">
        <w:rPr>
          <w:rFonts w:ascii="Times New Roman" w:eastAsia="Calibri" w:hAnsi="Times New Roman" w:cs="Times New Roman"/>
          <w:sz w:val="24"/>
          <w:szCs w:val="24"/>
        </w:rPr>
        <w:t xml:space="preserve">: terapia de substituție enzimatică în tratamentul manifestărilor non-neurologice la pacienți cu alfa-manozidoză ușoară până la moderată.  </w:t>
      </w:r>
    </w:p>
    <w:p w14:paraId="56E033B4" w14:textId="77777777" w:rsidR="006A440B" w:rsidRPr="00F941DA" w:rsidRDefault="006A440B" w:rsidP="006A440B">
      <w:pPr>
        <w:spacing w:after="0"/>
        <w:jc w:val="both"/>
        <w:outlineLvl w:val="0"/>
        <w:rPr>
          <w:rFonts w:ascii="Times New Roman" w:eastAsia="Calibri" w:hAnsi="Times New Roman" w:cs="Times New Roman"/>
          <w:sz w:val="24"/>
          <w:szCs w:val="24"/>
        </w:rPr>
      </w:pPr>
    </w:p>
    <w:p w14:paraId="722C5BBA" w14:textId="77777777" w:rsidR="006A440B" w:rsidRPr="00F941DA" w:rsidRDefault="006A440B" w:rsidP="006A440B">
      <w:pPr>
        <w:spacing w:after="0"/>
        <w:jc w:val="both"/>
        <w:outlineLvl w:val="0"/>
        <w:rPr>
          <w:rFonts w:ascii="Times New Roman" w:eastAsia="Calibri" w:hAnsi="Times New Roman" w:cs="Times New Roman"/>
          <w:b/>
          <w:sz w:val="24"/>
          <w:szCs w:val="24"/>
        </w:rPr>
      </w:pPr>
      <w:r w:rsidRPr="00F941DA">
        <w:rPr>
          <w:rFonts w:ascii="Times New Roman" w:eastAsia="Calibri" w:hAnsi="Times New Roman" w:cs="Times New Roman"/>
          <w:b/>
          <w:sz w:val="24"/>
          <w:szCs w:val="24"/>
        </w:rPr>
        <w:t xml:space="preserve">4. Obiectivele terapiei cu </w:t>
      </w:r>
      <w:r w:rsidRPr="00F941DA">
        <w:rPr>
          <w:rFonts w:ascii="Times New Roman" w:eastAsia="Calibri" w:hAnsi="Times New Roman" w:cs="Times New Roman"/>
          <w:b/>
          <w:spacing w:val="-2"/>
          <w:sz w:val="24"/>
          <w:szCs w:val="24"/>
        </w:rPr>
        <w:t>Velmanaza alfa</w:t>
      </w:r>
      <w:r w:rsidRPr="00F941DA">
        <w:rPr>
          <w:rFonts w:ascii="Times New Roman" w:eastAsia="Calibri" w:hAnsi="Times New Roman" w:cs="Times New Roman"/>
          <w:b/>
          <w:sz w:val="24"/>
          <w:szCs w:val="24"/>
        </w:rPr>
        <w:t xml:space="preserve">  în AM:</w:t>
      </w:r>
    </w:p>
    <w:p w14:paraId="2AC7D885" w14:textId="77777777" w:rsidR="006A440B" w:rsidRPr="00F941DA" w:rsidRDefault="006A440B" w:rsidP="006A440B">
      <w:pPr>
        <w:numPr>
          <w:ilvl w:val="0"/>
          <w:numId w:val="115"/>
        </w:numPr>
        <w:spacing w:after="0" w:line="276" w:lineRule="auto"/>
        <w:contextualSpacing/>
        <w:jc w:val="both"/>
        <w:rPr>
          <w:rFonts w:ascii="Times New Roman" w:hAnsi="Times New Roman" w:cs="Times New Roman"/>
          <w:b/>
          <w:sz w:val="24"/>
          <w:szCs w:val="24"/>
          <w:u w:color="000000"/>
          <w:bdr w:val="nil"/>
          <w:lang w:eastAsia="ro-RO"/>
        </w:rPr>
      </w:pPr>
      <w:r w:rsidRPr="00F941DA">
        <w:rPr>
          <w:rFonts w:ascii="Times New Roman" w:hAnsi="Times New Roman" w:cs="Times New Roman"/>
          <w:b/>
          <w:sz w:val="24"/>
          <w:szCs w:val="24"/>
          <w:u w:color="000000"/>
          <w:bdr w:val="nil"/>
          <w:lang w:eastAsia="ro-RO"/>
        </w:rPr>
        <w:t>ameliorarea simptomatologiei şi</w:t>
      </w:r>
    </w:p>
    <w:p w14:paraId="4FCA3A29" w14:textId="77777777" w:rsidR="006A440B" w:rsidRPr="00F941DA" w:rsidRDefault="006A440B" w:rsidP="006A440B">
      <w:pPr>
        <w:numPr>
          <w:ilvl w:val="0"/>
          <w:numId w:val="115"/>
        </w:numPr>
        <w:spacing w:after="0" w:line="276" w:lineRule="auto"/>
        <w:contextualSpacing/>
        <w:jc w:val="both"/>
        <w:rPr>
          <w:rFonts w:ascii="Times New Roman" w:hAnsi="Times New Roman" w:cs="Times New Roman"/>
          <w:b/>
          <w:sz w:val="24"/>
          <w:szCs w:val="24"/>
          <w:u w:color="000000"/>
          <w:bdr w:val="nil"/>
          <w:lang w:eastAsia="ro-RO"/>
        </w:rPr>
      </w:pPr>
      <w:r w:rsidRPr="00F941DA">
        <w:rPr>
          <w:rFonts w:ascii="Times New Roman" w:hAnsi="Times New Roman" w:cs="Times New Roman"/>
          <w:b/>
          <w:sz w:val="24"/>
          <w:szCs w:val="24"/>
          <w:u w:color="000000"/>
          <w:bdr w:val="nil"/>
          <w:lang w:eastAsia="ro-RO"/>
        </w:rPr>
        <w:t>prevenirea complicaţiilor tardive ale AM.</w:t>
      </w:r>
    </w:p>
    <w:p w14:paraId="1C261A8D" w14:textId="77777777" w:rsidR="006A440B" w:rsidRPr="00F941DA" w:rsidRDefault="006A440B" w:rsidP="006A440B">
      <w:pPr>
        <w:pBdr>
          <w:top w:val="nil"/>
          <w:left w:val="nil"/>
          <w:bottom w:val="nil"/>
          <w:right w:val="nil"/>
          <w:between w:val="nil"/>
          <w:bar w:val="nil"/>
        </w:pBdr>
        <w:spacing w:after="0"/>
        <w:ind w:left="720"/>
        <w:jc w:val="both"/>
        <w:rPr>
          <w:rFonts w:ascii="Times New Roman" w:hAnsi="Times New Roman" w:cs="Times New Roman"/>
          <w:strike/>
          <w:sz w:val="24"/>
          <w:szCs w:val="24"/>
          <w:highlight w:val="yellow"/>
          <w:u w:color="000000"/>
          <w:bdr w:val="nil"/>
          <w:lang w:eastAsia="ro-RO"/>
        </w:rPr>
      </w:pPr>
    </w:p>
    <w:p w14:paraId="7CD55D06" w14:textId="6ED07E15" w:rsidR="006A440B" w:rsidRPr="00F941DA" w:rsidRDefault="00CB7B02" w:rsidP="006A440B">
      <w:pPr>
        <w:tabs>
          <w:tab w:val="left" w:pos="284"/>
        </w:tabs>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III</w:t>
      </w:r>
      <w:r w:rsidR="006A440B" w:rsidRPr="00F941DA">
        <w:rPr>
          <w:rFonts w:ascii="Times New Roman" w:eastAsia="Calibri" w:hAnsi="Times New Roman" w:cs="Times New Roman"/>
          <w:b/>
          <w:sz w:val="24"/>
          <w:szCs w:val="24"/>
        </w:rPr>
        <w:t xml:space="preserve">.  Stabilirea schemei de tratament cu velmanaza alfa la pacienţii cu AM     </w:t>
      </w:r>
    </w:p>
    <w:p w14:paraId="29BAFC2B" w14:textId="77777777" w:rsidR="006A440B" w:rsidRPr="00F941DA" w:rsidRDefault="006A440B" w:rsidP="006A440B">
      <w:pPr>
        <w:spacing w:after="0"/>
        <w:jc w:val="both"/>
        <w:rPr>
          <w:rFonts w:ascii="Times New Roman" w:eastAsia="Calibri" w:hAnsi="Times New Roman" w:cs="Times New Roman"/>
          <w:b/>
          <w:sz w:val="24"/>
          <w:szCs w:val="24"/>
        </w:rPr>
      </w:pPr>
    </w:p>
    <w:p w14:paraId="205EAC2A" w14:textId="77777777" w:rsidR="006A440B" w:rsidRPr="00F941DA" w:rsidRDefault="006A440B" w:rsidP="006A440B">
      <w:pPr>
        <w:spacing w:after="0"/>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Doze și mod de administrare</w:t>
      </w:r>
      <w:r w:rsidRPr="00F941DA">
        <w:rPr>
          <w:rFonts w:ascii="Times New Roman" w:eastAsia="Calibri" w:hAnsi="Times New Roman" w:cs="Times New Roman"/>
          <w:sz w:val="24"/>
          <w:szCs w:val="24"/>
        </w:rPr>
        <w:t xml:space="preserve"> Tratamentul trebuie supravegheat de un medic cu experiență în abordarea terapeutică a pacienților cu alfa-manozidoză sau în administrarea altor terapii de substituție enzimatică (TSE) pentru tulburarea de depozitare lizozomală. Administrarea Velmanaza alfa trebuie efectuată de un profesionist din domeniul sănătății, care poate aborda TSE și urgențele medicale. </w:t>
      </w:r>
    </w:p>
    <w:p w14:paraId="6AFF79D5" w14:textId="77777777" w:rsidR="006A440B" w:rsidRPr="00F941DA" w:rsidRDefault="006A440B" w:rsidP="006A440B">
      <w:pPr>
        <w:spacing w:after="0"/>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Doze</w:t>
      </w:r>
      <w:r w:rsidRPr="00F941DA">
        <w:rPr>
          <w:rFonts w:ascii="Times New Roman" w:eastAsia="Calibri" w:hAnsi="Times New Roman" w:cs="Times New Roman"/>
          <w:sz w:val="24"/>
          <w:szCs w:val="24"/>
        </w:rPr>
        <w:t>. Schema terapeutică recomandată de administrare este de 1 mg/kg greutate corporală, doza fiind administrată o dată pe săptămână, prin perfuzie intravenoasă cu viteză controlată. Numarul de flacoane care se utilizeaza trebuie calculat in functie de greutatea fiecarui pacient. Daca numarul calculat de flacoane include o fractie, acesta trebuie rotunjit la urmatorul numar intreg.</w:t>
      </w:r>
    </w:p>
    <w:p w14:paraId="08FFBFF3" w14:textId="77777777" w:rsidR="006A440B" w:rsidRPr="00F941DA" w:rsidRDefault="006A440B" w:rsidP="006A440B">
      <w:pPr>
        <w:spacing w:after="0"/>
        <w:jc w:val="both"/>
        <w:rPr>
          <w:rFonts w:ascii="Times New Roman" w:hAnsi="Times New Roman" w:cs="Times New Roman"/>
        </w:rPr>
      </w:pPr>
    </w:p>
    <w:p w14:paraId="1F71E452" w14:textId="3EC58F3D" w:rsidR="00CB7B02" w:rsidRPr="00F941DA" w:rsidRDefault="00CB7B02" w:rsidP="006A440B">
      <w:pPr>
        <w:spacing w:after="0"/>
        <w:jc w:val="both"/>
        <w:rPr>
          <w:rFonts w:ascii="Times New Roman" w:hAnsi="Times New Roman" w:cs="Times New Roman"/>
          <w:b/>
          <w:bCs/>
          <w:sz w:val="24"/>
          <w:szCs w:val="24"/>
        </w:rPr>
      </w:pPr>
      <w:r w:rsidRPr="00F941DA">
        <w:rPr>
          <w:rFonts w:ascii="Times New Roman" w:hAnsi="Times New Roman" w:cs="Times New Roman"/>
          <w:b/>
          <w:bCs/>
          <w:sz w:val="24"/>
          <w:szCs w:val="24"/>
        </w:rPr>
        <w:t>IV. Contraindicații</w:t>
      </w:r>
      <w:r w:rsidR="006A440B" w:rsidRPr="00F941DA">
        <w:rPr>
          <w:rFonts w:ascii="Times New Roman" w:hAnsi="Times New Roman" w:cs="Times New Roman"/>
          <w:b/>
          <w:bCs/>
          <w:sz w:val="24"/>
          <w:szCs w:val="24"/>
        </w:rPr>
        <w:t xml:space="preserve"> </w:t>
      </w:r>
    </w:p>
    <w:p w14:paraId="27CBE18A" w14:textId="6F50D981" w:rsidR="006A440B" w:rsidRPr="00F941DA" w:rsidRDefault="006A440B" w:rsidP="006A440B">
      <w:pPr>
        <w:spacing w:after="0"/>
        <w:jc w:val="both"/>
        <w:rPr>
          <w:rFonts w:ascii="Times New Roman" w:hAnsi="Times New Roman" w:cs="Times New Roman"/>
          <w:b/>
          <w:bCs/>
          <w:sz w:val="24"/>
          <w:szCs w:val="24"/>
        </w:rPr>
      </w:pPr>
      <w:r w:rsidRPr="00F941DA">
        <w:rPr>
          <w:rFonts w:ascii="Times New Roman" w:hAnsi="Times New Roman" w:cs="Times New Roman"/>
          <w:sz w:val="24"/>
          <w:szCs w:val="24"/>
        </w:rPr>
        <w:t>Reacție alergică severă la substanța activă sau la oricare dintre excipienții enumerați.</w:t>
      </w:r>
    </w:p>
    <w:p w14:paraId="53982294" w14:textId="77777777" w:rsidR="006A440B" w:rsidRPr="00F941DA" w:rsidRDefault="006A440B" w:rsidP="006A440B">
      <w:pPr>
        <w:spacing w:after="0"/>
        <w:jc w:val="both"/>
        <w:rPr>
          <w:rFonts w:ascii="Times New Roman" w:eastAsia="Calibri" w:hAnsi="Times New Roman" w:cs="Times New Roman"/>
          <w:sz w:val="24"/>
          <w:szCs w:val="24"/>
        </w:rPr>
      </w:pPr>
    </w:p>
    <w:p w14:paraId="0E73717E" w14:textId="091E0DCF" w:rsidR="006A440B" w:rsidRPr="00F941DA" w:rsidRDefault="00CB7B02" w:rsidP="006A440B">
      <w:pPr>
        <w:tabs>
          <w:tab w:val="left" w:pos="284"/>
          <w:tab w:val="left" w:pos="426"/>
        </w:tabs>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V</w:t>
      </w:r>
      <w:r w:rsidR="006A440B" w:rsidRPr="00F941DA">
        <w:rPr>
          <w:rFonts w:ascii="Times New Roman" w:eastAsia="Calibri" w:hAnsi="Times New Roman" w:cs="Times New Roman"/>
          <w:b/>
          <w:sz w:val="24"/>
          <w:szCs w:val="24"/>
        </w:rPr>
        <w:t xml:space="preserve">. </w:t>
      </w:r>
      <w:r w:rsidR="006A440B" w:rsidRPr="00F941DA">
        <w:rPr>
          <w:rFonts w:ascii="Times New Roman" w:eastAsia="Calibri" w:hAnsi="Times New Roman" w:cs="Times New Roman"/>
          <w:b/>
          <w:sz w:val="24"/>
          <w:szCs w:val="24"/>
        </w:rPr>
        <w:tab/>
        <w:t xml:space="preserve">Criterii de excludere din tratamentul cu VELMANAZA ALFA </w:t>
      </w:r>
    </w:p>
    <w:p w14:paraId="7DD5AD8F" w14:textId="77777777" w:rsidR="006A440B" w:rsidRPr="00F941DA" w:rsidRDefault="006A440B" w:rsidP="006A440B">
      <w:pPr>
        <w:numPr>
          <w:ilvl w:val="0"/>
          <w:numId w:val="116"/>
        </w:numPr>
        <w:spacing w:after="0" w:line="276" w:lineRule="auto"/>
        <w:ind w:hanging="294"/>
        <w:contextualSpacing/>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În cazul unei deteriorări clinice semnificative, trebuie avută în vedere evaluarea clinică suplimentară sau întreruperea tratamentului cu VELMANAZA ALFA.</w:t>
      </w:r>
    </w:p>
    <w:p w14:paraId="09704F66" w14:textId="77777777" w:rsidR="006A440B" w:rsidRPr="00F941DA" w:rsidRDefault="006A440B" w:rsidP="006A440B">
      <w:pPr>
        <w:numPr>
          <w:ilvl w:val="0"/>
          <w:numId w:val="116"/>
        </w:numPr>
        <w:spacing w:after="0" w:line="276" w:lineRule="auto"/>
        <w:ind w:hanging="294"/>
        <w:contextualSpacing/>
        <w:jc w:val="both"/>
        <w:rPr>
          <w:rFonts w:ascii="Times New Roman" w:hAnsi="Times New Roman" w:cs="Times New Roman"/>
          <w:sz w:val="24"/>
          <w:szCs w:val="24"/>
          <w:u w:color="000000"/>
          <w:bdr w:val="nil"/>
          <w:lang w:eastAsia="ro-RO"/>
        </w:rPr>
      </w:pPr>
      <w:r w:rsidRPr="00F941DA">
        <w:rPr>
          <w:rFonts w:ascii="Times New Roman" w:hAnsi="Times New Roman" w:cs="Times New Roman"/>
          <w:bCs/>
          <w:sz w:val="24"/>
          <w:szCs w:val="24"/>
          <w:u w:color="000000"/>
          <w:bdr w:val="nil"/>
          <w:lang w:eastAsia="ro-RO"/>
        </w:rPr>
        <w:t>Eventuale efecte adverse severe ale terapiei: dispnee, tahicardie, dureri precordiale, angioedem sau șoc anafilactic.</w:t>
      </w:r>
    </w:p>
    <w:p w14:paraId="34A2A6B1" w14:textId="77777777" w:rsidR="006A440B" w:rsidRPr="00F941DA" w:rsidRDefault="006A440B" w:rsidP="006A440B">
      <w:pPr>
        <w:numPr>
          <w:ilvl w:val="0"/>
          <w:numId w:val="116"/>
        </w:numPr>
        <w:spacing w:after="0" w:line="276" w:lineRule="auto"/>
        <w:ind w:hanging="294"/>
        <w:contextualSpacing/>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Complianța scăzută la tratament.</w:t>
      </w:r>
    </w:p>
    <w:p w14:paraId="5EE19556" w14:textId="77777777" w:rsidR="006A440B" w:rsidRPr="00F941DA" w:rsidRDefault="006A440B" w:rsidP="006A440B">
      <w:pPr>
        <w:numPr>
          <w:ilvl w:val="0"/>
          <w:numId w:val="116"/>
        </w:numPr>
        <w:spacing w:after="0" w:line="276" w:lineRule="auto"/>
        <w:ind w:hanging="294"/>
        <w:contextualSpacing/>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Neprezentarea pacientului la evaluările periodice programate de monitorizare a evoluției.</w:t>
      </w:r>
    </w:p>
    <w:p w14:paraId="0F2AF78F" w14:textId="77777777" w:rsidR="006A440B" w:rsidRPr="00F941DA" w:rsidRDefault="006A440B" w:rsidP="006A440B">
      <w:pPr>
        <w:pBdr>
          <w:top w:val="nil"/>
          <w:left w:val="nil"/>
          <w:bottom w:val="nil"/>
          <w:right w:val="nil"/>
          <w:between w:val="nil"/>
          <w:bar w:val="nil"/>
        </w:pBdr>
        <w:spacing w:after="0"/>
        <w:jc w:val="both"/>
        <w:rPr>
          <w:rFonts w:ascii="Times New Roman" w:hAnsi="Times New Roman" w:cs="Times New Roman"/>
          <w:b/>
          <w:sz w:val="24"/>
          <w:szCs w:val="24"/>
          <w:u w:color="000000"/>
          <w:bdr w:val="nil"/>
          <w:lang w:eastAsia="ro-RO"/>
        </w:rPr>
      </w:pPr>
    </w:p>
    <w:p w14:paraId="7E67F154" w14:textId="7FFD48DF" w:rsidR="006A440B" w:rsidRPr="00F941DA" w:rsidRDefault="006A440B" w:rsidP="006A440B">
      <w:pPr>
        <w:tabs>
          <w:tab w:val="left" w:pos="426"/>
        </w:tabs>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lastRenderedPageBreak/>
        <w:t>V</w:t>
      </w:r>
      <w:r w:rsidR="00CB7B02" w:rsidRPr="00F941DA">
        <w:rPr>
          <w:rFonts w:ascii="Times New Roman" w:eastAsia="Calibri" w:hAnsi="Times New Roman" w:cs="Times New Roman"/>
          <w:b/>
          <w:sz w:val="24"/>
          <w:szCs w:val="24"/>
        </w:rPr>
        <w:t>I</w:t>
      </w:r>
      <w:r w:rsidRPr="00F941DA">
        <w:rPr>
          <w:rFonts w:ascii="Times New Roman" w:eastAsia="Calibri" w:hAnsi="Times New Roman" w:cs="Times New Roman"/>
          <w:b/>
          <w:sz w:val="24"/>
          <w:szCs w:val="24"/>
        </w:rPr>
        <w:t xml:space="preserve">. </w:t>
      </w:r>
      <w:r w:rsidRPr="00F941DA">
        <w:rPr>
          <w:rFonts w:ascii="Times New Roman" w:eastAsia="Calibri" w:hAnsi="Times New Roman" w:cs="Times New Roman"/>
          <w:b/>
          <w:sz w:val="24"/>
          <w:szCs w:val="24"/>
        </w:rPr>
        <w:tab/>
        <w:t>Evaluarea și monitorizarea pacienţilor cu am la iniţierea şi pe parcursul terapiei cu VELMANAZĂ ALFA</w:t>
      </w:r>
    </w:p>
    <w:p w14:paraId="74A20F2F" w14:textId="77777777" w:rsidR="006A440B" w:rsidRPr="00F941DA" w:rsidRDefault="006A440B" w:rsidP="006A440B">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Se recomandă monitorizarea periodică a stării clinice, o dată la 6 luni, în primul an de tratament. Începând cu al doilea an de tratament, monitorizarea copiilor va ramâne la fiecare 6 luni,  în timp ce pentru adulți, monitorizarea stării clinice va fi anuală (sistem musculo-scheletal și articular, funcție respiratorie, funcție cognitivă, funcție auditivă și vizuală), a </w:t>
      </w:r>
      <w:r w:rsidRPr="00F941DA">
        <w:rPr>
          <w:rFonts w:ascii="Times New Roman" w:eastAsia="Calibri" w:hAnsi="Times New Roman" w:cs="Times New Roman"/>
          <w:b/>
          <w:sz w:val="24"/>
          <w:szCs w:val="24"/>
        </w:rPr>
        <w:t>valorii markerilor biochimici</w:t>
      </w:r>
      <w:r w:rsidRPr="00F941DA">
        <w:rPr>
          <w:rFonts w:ascii="Times New Roman" w:eastAsia="Calibri" w:hAnsi="Times New Roman" w:cs="Times New Roman"/>
          <w:sz w:val="24"/>
          <w:szCs w:val="24"/>
        </w:rPr>
        <w:t xml:space="preserve"> la pacienții care au început tratamentul cu </w:t>
      </w:r>
      <w:r w:rsidRPr="00F941DA">
        <w:rPr>
          <w:rFonts w:ascii="Times New Roman" w:eastAsia="Calibri" w:hAnsi="Times New Roman" w:cs="Times New Roman"/>
          <w:b/>
          <w:sz w:val="24"/>
          <w:szCs w:val="24"/>
        </w:rPr>
        <w:t xml:space="preserve">VELMANAZĂ ALFA, </w:t>
      </w:r>
      <w:r w:rsidRPr="00F941DA">
        <w:rPr>
          <w:rFonts w:ascii="Times New Roman" w:eastAsia="Calibri" w:hAnsi="Times New Roman" w:cs="Times New Roman"/>
          <w:sz w:val="24"/>
          <w:szCs w:val="24"/>
        </w:rPr>
        <w:t>precum și</w:t>
      </w:r>
      <w:r w:rsidRPr="00F941DA">
        <w:rPr>
          <w:rFonts w:ascii="Times New Roman" w:eastAsia="Calibri" w:hAnsi="Times New Roman" w:cs="Times New Roman"/>
          <w:b/>
          <w:sz w:val="24"/>
          <w:szCs w:val="24"/>
        </w:rPr>
        <w:t xml:space="preserve"> calitatea vieții</w:t>
      </w:r>
      <w:r w:rsidRPr="00F941DA">
        <w:rPr>
          <w:rFonts w:ascii="Times New Roman" w:eastAsia="Calibri" w:hAnsi="Times New Roman" w:cs="Times New Roman"/>
          <w:sz w:val="24"/>
          <w:szCs w:val="24"/>
        </w:rPr>
        <w:t xml:space="preserve"> acestora.</w:t>
      </w:r>
    </w:p>
    <w:p w14:paraId="546EFA3F" w14:textId="77777777" w:rsidR="006A440B" w:rsidRPr="00F941DA" w:rsidRDefault="006A440B" w:rsidP="006A440B">
      <w:pPr>
        <w:spacing w:after="0"/>
        <w:rPr>
          <w:rFonts w:ascii="Times New Roman" w:eastAsia="Calibri" w:hAnsi="Times New Roman" w:cs="Times New Roman"/>
          <w:bCs/>
          <w:iCs/>
          <w:sz w:val="24"/>
          <w:szCs w:val="24"/>
          <w:lang w:eastAsia="ro-RO"/>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4536"/>
        <w:gridCol w:w="2543"/>
      </w:tblGrid>
      <w:tr w:rsidR="006A440B" w:rsidRPr="00F941DA" w14:paraId="34F6DD3F" w14:textId="77777777" w:rsidTr="00CB7B02">
        <w:tc>
          <w:tcPr>
            <w:tcW w:w="1378" w:type="pct"/>
          </w:tcPr>
          <w:p w14:paraId="40832066" w14:textId="77777777" w:rsidR="006A440B" w:rsidRPr="00F941DA" w:rsidRDefault="006A440B" w:rsidP="0001482A">
            <w:pPr>
              <w:spacing w:after="0"/>
              <w:jc w:val="both"/>
              <w:rPr>
                <w:rFonts w:ascii="Times New Roman" w:eastAsia="Calibri" w:hAnsi="Times New Roman" w:cs="Times New Roman"/>
                <w:b/>
                <w:sz w:val="20"/>
                <w:szCs w:val="20"/>
              </w:rPr>
            </w:pPr>
            <w:r w:rsidRPr="00F941DA">
              <w:rPr>
                <w:rFonts w:ascii="Times New Roman" w:eastAsia="Calibri" w:hAnsi="Times New Roman" w:cs="Times New Roman"/>
                <w:b/>
                <w:sz w:val="20"/>
                <w:szCs w:val="20"/>
              </w:rPr>
              <w:t>Evaluare</w:t>
            </w:r>
          </w:p>
        </w:tc>
        <w:tc>
          <w:tcPr>
            <w:tcW w:w="2321" w:type="pct"/>
          </w:tcPr>
          <w:p w14:paraId="017EB6E9" w14:textId="77777777" w:rsidR="006A440B" w:rsidRPr="00F941DA" w:rsidRDefault="006A440B" w:rsidP="0001482A">
            <w:pPr>
              <w:spacing w:after="0"/>
              <w:jc w:val="both"/>
              <w:rPr>
                <w:rFonts w:ascii="Times New Roman" w:eastAsia="Calibri" w:hAnsi="Times New Roman" w:cs="Times New Roman"/>
                <w:b/>
                <w:sz w:val="20"/>
                <w:szCs w:val="20"/>
              </w:rPr>
            </w:pPr>
            <w:r w:rsidRPr="00F941DA">
              <w:rPr>
                <w:rFonts w:ascii="Times New Roman" w:eastAsia="Calibri" w:hAnsi="Times New Roman" w:cs="Times New Roman"/>
                <w:b/>
                <w:sz w:val="20"/>
                <w:szCs w:val="20"/>
              </w:rPr>
              <w:t>Obiective, criterii şi mijloace</w:t>
            </w:r>
          </w:p>
        </w:tc>
        <w:tc>
          <w:tcPr>
            <w:tcW w:w="1301" w:type="pct"/>
          </w:tcPr>
          <w:p w14:paraId="753BB18D" w14:textId="77777777" w:rsidR="006A440B" w:rsidRPr="00F941DA" w:rsidRDefault="006A440B" w:rsidP="0001482A">
            <w:pPr>
              <w:spacing w:after="0"/>
              <w:jc w:val="both"/>
              <w:rPr>
                <w:rFonts w:ascii="Times New Roman" w:eastAsia="Calibri" w:hAnsi="Times New Roman" w:cs="Times New Roman"/>
                <w:b/>
                <w:sz w:val="20"/>
                <w:szCs w:val="20"/>
              </w:rPr>
            </w:pPr>
            <w:r w:rsidRPr="00F941DA">
              <w:rPr>
                <w:rFonts w:ascii="Times New Roman" w:eastAsia="Calibri" w:hAnsi="Times New Roman" w:cs="Times New Roman"/>
                <w:b/>
                <w:sz w:val="20"/>
                <w:szCs w:val="20"/>
              </w:rPr>
              <w:t>Periodicitatea evaluării,</w:t>
            </w:r>
          </w:p>
          <w:p w14:paraId="0E17752C" w14:textId="77777777" w:rsidR="006A440B" w:rsidRPr="00F941DA" w:rsidRDefault="006A440B" w:rsidP="0001482A">
            <w:pPr>
              <w:spacing w:after="0"/>
              <w:jc w:val="both"/>
              <w:rPr>
                <w:rFonts w:ascii="Times New Roman" w:eastAsia="Calibri" w:hAnsi="Times New Roman" w:cs="Times New Roman"/>
                <w:b/>
                <w:sz w:val="20"/>
                <w:szCs w:val="20"/>
              </w:rPr>
            </w:pPr>
            <w:r w:rsidRPr="00F941DA">
              <w:rPr>
                <w:rFonts w:ascii="Times New Roman" w:eastAsia="Calibri" w:hAnsi="Times New Roman" w:cs="Times New Roman"/>
                <w:b/>
                <w:sz w:val="20"/>
                <w:szCs w:val="20"/>
              </w:rPr>
              <w:t>Recomandări</w:t>
            </w:r>
          </w:p>
        </w:tc>
      </w:tr>
      <w:tr w:rsidR="006A440B" w:rsidRPr="00F941DA" w14:paraId="5EE37C31" w14:textId="77777777" w:rsidTr="00CB7B02">
        <w:trPr>
          <w:trHeight w:val="1032"/>
        </w:trPr>
        <w:tc>
          <w:tcPr>
            <w:tcW w:w="1378" w:type="pct"/>
          </w:tcPr>
          <w:p w14:paraId="7D927F91"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Generală</w:t>
            </w:r>
          </w:p>
          <w:p w14:paraId="7834DB07"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   </w:t>
            </w:r>
          </w:p>
        </w:tc>
        <w:tc>
          <w:tcPr>
            <w:tcW w:w="2321" w:type="pct"/>
          </w:tcPr>
          <w:p w14:paraId="1EC39767"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Activitatea enzimatică</w:t>
            </w:r>
          </w:p>
          <w:p w14:paraId="509407A2"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Genotip </w:t>
            </w:r>
          </w:p>
          <w:p w14:paraId="59F5BB0D"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Anamneza </w:t>
            </w:r>
          </w:p>
          <w:p w14:paraId="4315BC76"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Ex. clinic obiectiv (greutate, înălţime)</w:t>
            </w:r>
          </w:p>
        </w:tc>
        <w:tc>
          <w:tcPr>
            <w:tcW w:w="1301" w:type="pct"/>
          </w:tcPr>
          <w:p w14:paraId="33EBD36F"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Iniţial </w:t>
            </w:r>
          </w:p>
          <w:p w14:paraId="791B179F"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Iniţial</w:t>
            </w:r>
          </w:p>
          <w:p w14:paraId="1F6627D9"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Iniţial</w:t>
            </w:r>
          </w:p>
          <w:p w14:paraId="2D1377B1"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Iniţial, la fiecare 6/12 luni</w:t>
            </w:r>
          </w:p>
        </w:tc>
      </w:tr>
      <w:tr w:rsidR="006A440B" w:rsidRPr="00F941DA" w14:paraId="7EE5185A" w14:textId="77777777" w:rsidTr="00CB7B02">
        <w:tc>
          <w:tcPr>
            <w:tcW w:w="1378" w:type="pct"/>
          </w:tcPr>
          <w:p w14:paraId="58205B29" w14:textId="77777777" w:rsidR="006A440B" w:rsidRPr="00F941DA" w:rsidRDefault="006A440B" w:rsidP="0001482A">
            <w:pPr>
              <w:spacing w:after="0"/>
              <w:jc w:val="both"/>
              <w:outlineLvl w:val="0"/>
              <w:rPr>
                <w:rFonts w:ascii="Times New Roman" w:eastAsia="Calibri" w:hAnsi="Times New Roman" w:cs="Times New Roman"/>
                <w:b/>
                <w:sz w:val="20"/>
                <w:szCs w:val="20"/>
              </w:rPr>
            </w:pPr>
            <w:r w:rsidRPr="00F941DA">
              <w:rPr>
                <w:rFonts w:ascii="Times New Roman" w:eastAsia="Calibri" w:hAnsi="Times New Roman" w:cs="Times New Roman"/>
                <w:sz w:val="20"/>
                <w:szCs w:val="20"/>
              </w:rPr>
              <w:t xml:space="preserve">Afectare musculo-scheletală: deformări articulare (coxo-femurale, toracice, vertebrale) și osoase, reducerea functionalității articulare, sindrom de tunel carpian, tulburări ale funcției motorii. </w:t>
            </w:r>
          </w:p>
        </w:tc>
        <w:tc>
          <w:tcPr>
            <w:tcW w:w="2321" w:type="pct"/>
          </w:tcPr>
          <w:p w14:paraId="6C561B4B"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Ecografie musculo-scheletală</w:t>
            </w:r>
          </w:p>
          <w:p w14:paraId="3E61FF90"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Radiografii osoase/RMN osoasă</w:t>
            </w:r>
          </w:p>
          <w:p w14:paraId="5095FFC4"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lang w:eastAsia="ro-RO"/>
              </w:rPr>
              <w:t>(oase lungi, bazin, coloana vertebrală)</w:t>
            </w:r>
          </w:p>
          <w:p w14:paraId="2581F4D8" w14:textId="77777777" w:rsidR="006A440B" w:rsidRPr="00F941DA" w:rsidRDefault="006A440B" w:rsidP="0001482A">
            <w:pPr>
              <w:spacing w:after="0"/>
              <w:jc w:val="both"/>
              <w:rPr>
                <w:rFonts w:ascii="Times New Roman" w:eastAsia="Calibri" w:hAnsi="Times New Roman" w:cs="Times New Roman"/>
                <w:sz w:val="20"/>
                <w:szCs w:val="20"/>
              </w:rPr>
            </w:pPr>
          </w:p>
          <w:p w14:paraId="059AD8DD"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Mineralizarea osoasă  osteodensitometrie (la copilul mai mare de 5 ani)</w:t>
            </w:r>
          </w:p>
          <w:p w14:paraId="207E5A53" w14:textId="77777777" w:rsidR="006A440B" w:rsidRPr="00F941DA" w:rsidRDefault="006A440B" w:rsidP="0001482A">
            <w:pPr>
              <w:spacing w:after="0"/>
              <w:jc w:val="both"/>
              <w:rPr>
                <w:rFonts w:ascii="Times New Roman" w:eastAsia="Calibri" w:hAnsi="Times New Roman" w:cs="Times New Roman"/>
                <w:sz w:val="20"/>
                <w:szCs w:val="20"/>
              </w:rPr>
            </w:pPr>
          </w:p>
          <w:p w14:paraId="2A5BD2EF"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RMN cerebral/ coloana vertebrală și </w:t>
            </w:r>
          </w:p>
          <w:p w14:paraId="1FB7D7D1" w14:textId="77777777" w:rsidR="006A440B" w:rsidRPr="00F941DA" w:rsidRDefault="006A440B" w:rsidP="0001482A">
            <w:pPr>
              <w:spacing w:after="0"/>
              <w:jc w:val="both"/>
              <w:rPr>
                <w:rFonts w:ascii="Times New Roman" w:eastAsia="Calibri" w:hAnsi="Times New Roman" w:cs="Times New Roman"/>
                <w:sz w:val="20"/>
                <w:szCs w:val="20"/>
              </w:rPr>
            </w:pPr>
          </w:p>
          <w:p w14:paraId="6ADF4138"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Viteza de conducere nervoasă</w:t>
            </w:r>
          </w:p>
        </w:tc>
        <w:tc>
          <w:tcPr>
            <w:tcW w:w="1301" w:type="pct"/>
          </w:tcPr>
          <w:p w14:paraId="11D5E873"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Iniţial, la fiecare 6/12 luni</w:t>
            </w:r>
          </w:p>
          <w:p w14:paraId="564334DB"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Inițial, si la fiecare 24 luni* </w:t>
            </w:r>
          </w:p>
          <w:p w14:paraId="6B4F8E6C" w14:textId="77777777" w:rsidR="006A440B" w:rsidRPr="00F941DA" w:rsidRDefault="006A440B" w:rsidP="0001482A">
            <w:pPr>
              <w:spacing w:after="0"/>
              <w:jc w:val="both"/>
              <w:rPr>
                <w:rFonts w:ascii="Times New Roman" w:eastAsia="Calibri" w:hAnsi="Times New Roman" w:cs="Times New Roman"/>
                <w:sz w:val="20"/>
                <w:szCs w:val="20"/>
              </w:rPr>
            </w:pPr>
          </w:p>
          <w:p w14:paraId="6617AF68" w14:textId="77777777" w:rsidR="006A440B" w:rsidRPr="00F941DA" w:rsidRDefault="006A440B" w:rsidP="0001482A">
            <w:pPr>
              <w:spacing w:after="0"/>
              <w:jc w:val="both"/>
              <w:rPr>
                <w:rFonts w:ascii="Times New Roman" w:eastAsia="Calibri" w:hAnsi="Times New Roman" w:cs="Times New Roman"/>
                <w:sz w:val="20"/>
                <w:szCs w:val="20"/>
              </w:rPr>
            </w:pPr>
          </w:p>
          <w:p w14:paraId="35B11175"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Inițial, la  fiecare 6/12 luni</w:t>
            </w:r>
          </w:p>
          <w:p w14:paraId="64F785D3" w14:textId="77777777" w:rsidR="006A440B" w:rsidRPr="00F941DA" w:rsidRDefault="006A440B" w:rsidP="0001482A">
            <w:pPr>
              <w:spacing w:after="0"/>
              <w:jc w:val="both"/>
              <w:rPr>
                <w:rFonts w:ascii="Times New Roman" w:eastAsia="Calibri" w:hAnsi="Times New Roman" w:cs="Times New Roman"/>
                <w:sz w:val="20"/>
                <w:szCs w:val="20"/>
              </w:rPr>
            </w:pPr>
          </w:p>
          <w:p w14:paraId="06D5E512" w14:textId="77777777" w:rsidR="006A440B" w:rsidRPr="00F941DA" w:rsidRDefault="006A440B" w:rsidP="0001482A">
            <w:pPr>
              <w:spacing w:after="0"/>
              <w:jc w:val="both"/>
              <w:rPr>
                <w:rFonts w:ascii="Times New Roman" w:eastAsia="Calibri" w:hAnsi="Times New Roman" w:cs="Times New Roman"/>
                <w:sz w:val="20"/>
                <w:szCs w:val="20"/>
              </w:rPr>
            </w:pPr>
          </w:p>
          <w:p w14:paraId="56C188DA"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Inițial, la fiecare 24 luni*</w:t>
            </w:r>
          </w:p>
          <w:p w14:paraId="59ABFE91" w14:textId="77777777" w:rsidR="006A440B" w:rsidRPr="00F941DA" w:rsidRDefault="006A440B" w:rsidP="0001482A">
            <w:pPr>
              <w:spacing w:after="0"/>
              <w:jc w:val="both"/>
              <w:rPr>
                <w:rFonts w:ascii="Times New Roman" w:eastAsia="Calibri" w:hAnsi="Times New Roman" w:cs="Times New Roman"/>
                <w:sz w:val="20"/>
                <w:szCs w:val="20"/>
              </w:rPr>
            </w:pPr>
          </w:p>
          <w:p w14:paraId="3651E5AE"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Inițial, si la fiecare 6/12 luni</w:t>
            </w:r>
          </w:p>
        </w:tc>
      </w:tr>
      <w:tr w:rsidR="006A440B" w:rsidRPr="00F941DA" w14:paraId="7AF85CF7" w14:textId="77777777" w:rsidTr="00CB7B02">
        <w:tc>
          <w:tcPr>
            <w:tcW w:w="1378" w:type="pct"/>
          </w:tcPr>
          <w:p w14:paraId="35E43439" w14:textId="77777777" w:rsidR="006A440B" w:rsidRPr="00F941DA" w:rsidRDefault="006A440B" w:rsidP="0001482A">
            <w:pPr>
              <w:spacing w:after="0"/>
              <w:jc w:val="both"/>
              <w:outlineLvl w:val="0"/>
              <w:rPr>
                <w:rFonts w:ascii="Times New Roman" w:eastAsia="Calibri" w:hAnsi="Times New Roman" w:cs="Times New Roman"/>
                <w:b/>
                <w:sz w:val="20"/>
                <w:szCs w:val="20"/>
              </w:rPr>
            </w:pPr>
            <w:r w:rsidRPr="00F941DA">
              <w:rPr>
                <w:rFonts w:ascii="Times New Roman" w:eastAsia="Calibri" w:hAnsi="Times New Roman" w:cs="Times New Roman"/>
                <w:sz w:val="20"/>
                <w:szCs w:val="20"/>
              </w:rPr>
              <w:t>Funcție respiratorie redusă</w:t>
            </w:r>
          </w:p>
        </w:tc>
        <w:tc>
          <w:tcPr>
            <w:tcW w:w="2321" w:type="pct"/>
          </w:tcPr>
          <w:p w14:paraId="0EB44E8B"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Testul de urcare a scărilor cu durată de trei minute și  testul de mers cu durată de șase minute </w:t>
            </w:r>
          </w:p>
          <w:p w14:paraId="3635EA30" w14:textId="77777777" w:rsidR="006A440B" w:rsidRPr="00F941DA" w:rsidRDefault="006A440B" w:rsidP="0001482A">
            <w:pPr>
              <w:spacing w:after="0"/>
              <w:jc w:val="both"/>
              <w:rPr>
                <w:rFonts w:ascii="Times New Roman" w:eastAsia="Calibri" w:hAnsi="Times New Roman" w:cs="Times New Roman"/>
                <w:sz w:val="20"/>
                <w:szCs w:val="20"/>
              </w:rPr>
            </w:pPr>
          </w:p>
          <w:p w14:paraId="4D65F60C"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Determinarea saturației de O2</w:t>
            </w:r>
          </w:p>
          <w:p w14:paraId="5B9D168E" w14:textId="77777777" w:rsidR="006A440B" w:rsidRPr="00F941DA" w:rsidRDefault="006A440B" w:rsidP="0001482A">
            <w:pPr>
              <w:spacing w:after="0"/>
              <w:jc w:val="both"/>
              <w:rPr>
                <w:rFonts w:ascii="Times New Roman" w:eastAsia="Calibri" w:hAnsi="Times New Roman" w:cs="Times New Roman"/>
                <w:sz w:val="20"/>
                <w:szCs w:val="20"/>
              </w:rPr>
            </w:pPr>
          </w:p>
          <w:p w14:paraId="34772A84"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Spirometrie</w:t>
            </w:r>
          </w:p>
        </w:tc>
        <w:tc>
          <w:tcPr>
            <w:tcW w:w="1301" w:type="pct"/>
          </w:tcPr>
          <w:p w14:paraId="5AA6D721"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Inițial, la fiecare 6/12 luni </w:t>
            </w:r>
          </w:p>
          <w:p w14:paraId="4D97EA46" w14:textId="77777777" w:rsidR="006A440B" w:rsidRPr="00F941DA" w:rsidRDefault="006A440B" w:rsidP="0001482A">
            <w:pPr>
              <w:spacing w:after="0"/>
              <w:jc w:val="both"/>
              <w:rPr>
                <w:rFonts w:ascii="Times New Roman" w:eastAsia="Calibri" w:hAnsi="Times New Roman" w:cs="Times New Roman"/>
                <w:sz w:val="20"/>
                <w:szCs w:val="20"/>
              </w:rPr>
            </w:pPr>
          </w:p>
          <w:p w14:paraId="58035EBD" w14:textId="77777777" w:rsidR="006A440B" w:rsidRPr="00F941DA" w:rsidRDefault="006A440B" w:rsidP="0001482A">
            <w:pPr>
              <w:spacing w:after="0"/>
              <w:jc w:val="both"/>
              <w:rPr>
                <w:rFonts w:ascii="Times New Roman" w:eastAsia="Calibri" w:hAnsi="Times New Roman" w:cs="Times New Roman"/>
                <w:sz w:val="20"/>
                <w:szCs w:val="20"/>
              </w:rPr>
            </w:pPr>
          </w:p>
          <w:p w14:paraId="1456544D"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Inițial, la fiecare 6/12 luni </w:t>
            </w:r>
          </w:p>
          <w:p w14:paraId="4EECC711" w14:textId="77777777" w:rsidR="006A440B" w:rsidRPr="00F941DA" w:rsidRDefault="006A440B" w:rsidP="0001482A">
            <w:pPr>
              <w:spacing w:after="0"/>
              <w:jc w:val="both"/>
              <w:rPr>
                <w:rFonts w:ascii="Times New Roman" w:eastAsia="Calibri" w:hAnsi="Times New Roman" w:cs="Times New Roman"/>
                <w:sz w:val="20"/>
                <w:szCs w:val="20"/>
              </w:rPr>
            </w:pPr>
          </w:p>
          <w:p w14:paraId="6C9DC0BF"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Inițial, la fiecare 6/12 luni</w:t>
            </w:r>
          </w:p>
        </w:tc>
      </w:tr>
      <w:tr w:rsidR="006A440B" w:rsidRPr="00F941DA" w14:paraId="60391219" w14:textId="77777777" w:rsidTr="00CB7B02">
        <w:tc>
          <w:tcPr>
            <w:tcW w:w="1378" w:type="pct"/>
          </w:tcPr>
          <w:p w14:paraId="25135A0E" w14:textId="77777777" w:rsidR="006A440B" w:rsidRPr="00F941DA" w:rsidRDefault="006A440B" w:rsidP="0001482A">
            <w:pPr>
              <w:spacing w:after="0"/>
              <w:jc w:val="both"/>
              <w:outlineLvl w:val="0"/>
              <w:rPr>
                <w:rFonts w:ascii="Times New Roman" w:eastAsia="Calibri" w:hAnsi="Times New Roman" w:cs="Times New Roman"/>
                <w:b/>
                <w:sz w:val="20"/>
                <w:szCs w:val="20"/>
              </w:rPr>
            </w:pPr>
            <w:r w:rsidRPr="00F941DA">
              <w:rPr>
                <w:rFonts w:ascii="Times New Roman" w:eastAsia="Calibri" w:hAnsi="Times New Roman" w:cs="Times New Roman"/>
                <w:sz w:val="20"/>
                <w:szCs w:val="20"/>
              </w:rPr>
              <w:t xml:space="preserve">Afectarea funcției cognitive </w:t>
            </w:r>
          </w:p>
        </w:tc>
        <w:tc>
          <w:tcPr>
            <w:tcW w:w="2321" w:type="pct"/>
          </w:tcPr>
          <w:p w14:paraId="72729B55"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Evaluare psihologocă</w:t>
            </w:r>
          </w:p>
        </w:tc>
        <w:tc>
          <w:tcPr>
            <w:tcW w:w="1301" w:type="pct"/>
          </w:tcPr>
          <w:p w14:paraId="31BDFA53"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Inițial, la fiecare 6/12 luni</w:t>
            </w:r>
          </w:p>
        </w:tc>
      </w:tr>
      <w:tr w:rsidR="006A440B" w:rsidRPr="00F941DA" w14:paraId="03F7FB36" w14:textId="77777777" w:rsidTr="00CB7B02">
        <w:tc>
          <w:tcPr>
            <w:tcW w:w="1378" w:type="pct"/>
          </w:tcPr>
          <w:p w14:paraId="08784205"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Neurologică</w:t>
            </w:r>
          </w:p>
        </w:tc>
        <w:tc>
          <w:tcPr>
            <w:tcW w:w="2321" w:type="pct"/>
          </w:tcPr>
          <w:p w14:paraId="088973BD"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Tulburări motorii, ataxie.</w:t>
            </w:r>
          </w:p>
          <w:p w14:paraId="1C29DCCC"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Examen clinic</w:t>
            </w:r>
          </w:p>
          <w:p w14:paraId="0D084E5C" w14:textId="77777777" w:rsidR="006A440B" w:rsidRPr="00F941DA" w:rsidRDefault="006A440B" w:rsidP="0001482A">
            <w:pPr>
              <w:spacing w:after="0"/>
              <w:jc w:val="both"/>
              <w:rPr>
                <w:rFonts w:ascii="Times New Roman" w:eastAsia="Calibri" w:hAnsi="Times New Roman" w:cs="Times New Roman"/>
                <w:sz w:val="20"/>
                <w:szCs w:val="20"/>
              </w:rPr>
            </w:pPr>
          </w:p>
          <w:p w14:paraId="12B2E782"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RMN cerebral</w:t>
            </w:r>
          </w:p>
        </w:tc>
        <w:tc>
          <w:tcPr>
            <w:tcW w:w="1301" w:type="pct"/>
          </w:tcPr>
          <w:p w14:paraId="74680FA9" w14:textId="77777777" w:rsidR="006A440B" w:rsidRPr="00F941DA" w:rsidRDefault="006A440B" w:rsidP="0001482A">
            <w:pPr>
              <w:spacing w:after="0"/>
              <w:jc w:val="both"/>
              <w:rPr>
                <w:rFonts w:ascii="Times New Roman" w:eastAsia="Calibri" w:hAnsi="Times New Roman" w:cs="Times New Roman"/>
                <w:sz w:val="20"/>
                <w:szCs w:val="20"/>
              </w:rPr>
            </w:pPr>
          </w:p>
          <w:p w14:paraId="572DB164"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Inițial,la fiecare 6/12 luni</w:t>
            </w:r>
          </w:p>
          <w:p w14:paraId="0EFB31DB" w14:textId="77777777" w:rsidR="006A440B" w:rsidRPr="00F941DA" w:rsidRDefault="006A440B" w:rsidP="0001482A">
            <w:pPr>
              <w:spacing w:after="0"/>
              <w:jc w:val="both"/>
              <w:rPr>
                <w:rFonts w:ascii="Times New Roman" w:eastAsia="Calibri" w:hAnsi="Times New Roman" w:cs="Times New Roman"/>
                <w:sz w:val="20"/>
                <w:szCs w:val="20"/>
              </w:rPr>
            </w:pPr>
          </w:p>
          <w:p w14:paraId="55B460F2"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Inițial, la fiecare 24 luni*</w:t>
            </w:r>
          </w:p>
        </w:tc>
      </w:tr>
      <w:tr w:rsidR="006A440B" w:rsidRPr="00F941DA" w14:paraId="3247EEC6" w14:textId="77777777" w:rsidTr="00CB7B02">
        <w:tc>
          <w:tcPr>
            <w:tcW w:w="1378" w:type="pct"/>
          </w:tcPr>
          <w:p w14:paraId="5B6CEB2E"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ORL</w:t>
            </w:r>
          </w:p>
        </w:tc>
        <w:tc>
          <w:tcPr>
            <w:tcW w:w="2321" w:type="pct"/>
          </w:tcPr>
          <w:p w14:paraId="7C873620"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Hipoacuzie, acufene, vertij (da/nu)</w:t>
            </w:r>
          </w:p>
          <w:p w14:paraId="6A345179" w14:textId="77777777" w:rsidR="006A440B" w:rsidRPr="00F941DA" w:rsidRDefault="006A440B" w:rsidP="0001482A">
            <w:pPr>
              <w:spacing w:after="0"/>
              <w:jc w:val="both"/>
              <w:rPr>
                <w:rFonts w:ascii="Times New Roman" w:eastAsia="Calibri" w:hAnsi="Times New Roman" w:cs="Times New Roman"/>
                <w:sz w:val="20"/>
                <w:szCs w:val="20"/>
                <w:lang w:eastAsia="ro-RO"/>
              </w:rPr>
            </w:pPr>
            <w:r w:rsidRPr="00F941DA">
              <w:rPr>
                <w:rFonts w:ascii="Times New Roman" w:eastAsia="Calibri" w:hAnsi="Times New Roman" w:cs="Times New Roman"/>
                <w:sz w:val="20"/>
                <w:szCs w:val="20"/>
              </w:rPr>
              <w:t>Audiograma/</w:t>
            </w:r>
            <w:r w:rsidRPr="00F941DA">
              <w:rPr>
                <w:rFonts w:ascii="Times New Roman" w:eastAsia="Calibri" w:hAnsi="Times New Roman" w:cs="Times New Roman"/>
                <w:sz w:val="20"/>
                <w:szCs w:val="20"/>
                <w:lang w:eastAsia="ro-RO"/>
              </w:rPr>
              <w:t xml:space="preserve"> Potențiale auditive  evocate</w:t>
            </w:r>
          </w:p>
        </w:tc>
        <w:tc>
          <w:tcPr>
            <w:tcW w:w="1301" w:type="pct"/>
          </w:tcPr>
          <w:p w14:paraId="742685DE"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Inițial, la fiecare 6/12 luni</w:t>
            </w:r>
          </w:p>
          <w:p w14:paraId="04EA799B"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Inițial, la fiecare 6/12 luni</w:t>
            </w:r>
          </w:p>
        </w:tc>
      </w:tr>
      <w:tr w:rsidR="006A440B" w:rsidRPr="00F941DA" w14:paraId="0ED3BB44" w14:textId="77777777" w:rsidTr="00CB7B02">
        <w:trPr>
          <w:trHeight w:val="928"/>
        </w:trPr>
        <w:tc>
          <w:tcPr>
            <w:tcW w:w="1378" w:type="pct"/>
          </w:tcPr>
          <w:p w14:paraId="0C9FF601"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Cardiologică</w:t>
            </w:r>
          </w:p>
        </w:tc>
        <w:tc>
          <w:tcPr>
            <w:tcW w:w="2321" w:type="pct"/>
          </w:tcPr>
          <w:p w14:paraId="6FAD3032"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Scăderea capacității de efort </w:t>
            </w:r>
          </w:p>
          <w:p w14:paraId="621ED1F7"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EKG</w:t>
            </w:r>
          </w:p>
          <w:p w14:paraId="5369EED5" w14:textId="77777777" w:rsidR="006A440B" w:rsidRPr="00F941DA" w:rsidRDefault="006A440B" w:rsidP="0001482A">
            <w:pPr>
              <w:spacing w:after="0"/>
              <w:jc w:val="both"/>
              <w:rPr>
                <w:rFonts w:ascii="Times New Roman" w:eastAsia="Calibri" w:hAnsi="Times New Roman" w:cs="Times New Roman"/>
                <w:sz w:val="20"/>
                <w:szCs w:val="20"/>
              </w:rPr>
            </w:pPr>
          </w:p>
          <w:p w14:paraId="21FC561F"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Ecocardiograma</w:t>
            </w:r>
          </w:p>
        </w:tc>
        <w:tc>
          <w:tcPr>
            <w:tcW w:w="1301" w:type="pct"/>
          </w:tcPr>
          <w:p w14:paraId="68809696"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Inițial, la fiecare 6/12 luni</w:t>
            </w:r>
          </w:p>
          <w:p w14:paraId="281DE298"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 </w:t>
            </w:r>
          </w:p>
          <w:p w14:paraId="1D8A9C7D" w14:textId="77777777" w:rsidR="006A440B" w:rsidRPr="00F941DA" w:rsidRDefault="006A440B" w:rsidP="0001482A">
            <w:pPr>
              <w:spacing w:after="0"/>
              <w:jc w:val="both"/>
              <w:rPr>
                <w:rFonts w:ascii="Times New Roman" w:eastAsia="Calibri" w:hAnsi="Times New Roman" w:cs="Times New Roman"/>
                <w:sz w:val="20"/>
                <w:szCs w:val="20"/>
              </w:rPr>
            </w:pPr>
          </w:p>
          <w:p w14:paraId="69A234E2"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Inițial, la fiecare 6/12 luni*</w:t>
            </w:r>
          </w:p>
        </w:tc>
      </w:tr>
      <w:tr w:rsidR="006A440B" w:rsidRPr="00F941DA" w14:paraId="691C303A" w14:textId="77777777" w:rsidTr="00CB7B02">
        <w:trPr>
          <w:trHeight w:val="416"/>
        </w:trPr>
        <w:tc>
          <w:tcPr>
            <w:tcW w:w="1378" w:type="pct"/>
          </w:tcPr>
          <w:p w14:paraId="6BC3C829"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Nefrologică</w:t>
            </w:r>
          </w:p>
        </w:tc>
        <w:tc>
          <w:tcPr>
            <w:tcW w:w="2321" w:type="pct"/>
          </w:tcPr>
          <w:p w14:paraId="50E2D065"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Alterarea funcției renale.</w:t>
            </w:r>
          </w:p>
          <w:p w14:paraId="28618424" w14:textId="77777777" w:rsidR="006A440B" w:rsidRPr="00F941DA" w:rsidRDefault="006A440B" w:rsidP="0001482A">
            <w:pPr>
              <w:spacing w:after="0"/>
              <w:jc w:val="both"/>
              <w:rPr>
                <w:rFonts w:ascii="Times New Roman" w:eastAsia="Calibri" w:hAnsi="Times New Roman" w:cs="Times New Roman"/>
                <w:sz w:val="20"/>
                <w:szCs w:val="20"/>
              </w:rPr>
            </w:pPr>
          </w:p>
          <w:p w14:paraId="40171D90"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Examen de urina, Urocultură,</w:t>
            </w:r>
          </w:p>
          <w:p w14:paraId="51D5F7E6"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Creatinină</w:t>
            </w:r>
          </w:p>
        </w:tc>
        <w:tc>
          <w:tcPr>
            <w:tcW w:w="1301" w:type="pct"/>
          </w:tcPr>
          <w:p w14:paraId="1894238D"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Inițial, la fiecare 6/12 luni </w:t>
            </w:r>
          </w:p>
          <w:p w14:paraId="06248868" w14:textId="77777777" w:rsidR="006A440B" w:rsidRPr="00F941DA" w:rsidRDefault="006A440B" w:rsidP="0001482A">
            <w:pPr>
              <w:spacing w:after="0"/>
              <w:jc w:val="both"/>
              <w:rPr>
                <w:rFonts w:ascii="Times New Roman" w:eastAsia="Calibri" w:hAnsi="Times New Roman" w:cs="Times New Roman"/>
                <w:sz w:val="20"/>
                <w:szCs w:val="20"/>
              </w:rPr>
            </w:pPr>
          </w:p>
          <w:p w14:paraId="4291A964"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Inițial, la fiecare 6/12 luni </w:t>
            </w:r>
          </w:p>
        </w:tc>
      </w:tr>
      <w:tr w:rsidR="006A440B" w:rsidRPr="00F941DA" w14:paraId="6D26E70A" w14:textId="77777777" w:rsidTr="00CB7B02">
        <w:trPr>
          <w:trHeight w:val="928"/>
        </w:trPr>
        <w:tc>
          <w:tcPr>
            <w:tcW w:w="1378" w:type="pct"/>
          </w:tcPr>
          <w:p w14:paraId="7973052C"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Digestivă</w:t>
            </w:r>
          </w:p>
          <w:p w14:paraId="4C9A5C99" w14:textId="77777777" w:rsidR="006A440B" w:rsidRPr="00F941DA" w:rsidRDefault="006A440B" w:rsidP="0001482A">
            <w:pPr>
              <w:spacing w:after="0"/>
              <w:jc w:val="both"/>
              <w:rPr>
                <w:rFonts w:ascii="Times New Roman" w:eastAsia="Calibri" w:hAnsi="Times New Roman" w:cs="Times New Roman"/>
                <w:sz w:val="20"/>
                <w:szCs w:val="20"/>
              </w:rPr>
            </w:pPr>
          </w:p>
        </w:tc>
        <w:tc>
          <w:tcPr>
            <w:tcW w:w="2321" w:type="pct"/>
          </w:tcPr>
          <w:p w14:paraId="58DF3DE9"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Hepato-splenomegalie, </w:t>
            </w:r>
          </w:p>
          <w:p w14:paraId="0756F5CE"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Transaminaze (ALAT, ASAT)</w:t>
            </w:r>
          </w:p>
          <w:p w14:paraId="2E20915D" w14:textId="77777777" w:rsidR="006A440B" w:rsidRPr="00F941DA" w:rsidRDefault="006A440B" w:rsidP="0001482A">
            <w:pPr>
              <w:spacing w:after="0"/>
              <w:jc w:val="both"/>
              <w:rPr>
                <w:rFonts w:ascii="Times New Roman" w:eastAsia="Calibri" w:hAnsi="Times New Roman" w:cs="Times New Roman"/>
                <w:sz w:val="20"/>
                <w:szCs w:val="20"/>
              </w:rPr>
            </w:pPr>
          </w:p>
          <w:p w14:paraId="32757919"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Ecografie hepato-splenică (volum hepatosplenic)</w:t>
            </w:r>
          </w:p>
        </w:tc>
        <w:tc>
          <w:tcPr>
            <w:tcW w:w="1301" w:type="pct"/>
          </w:tcPr>
          <w:p w14:paraId="5FB38587" w14:textId="77777777" w:rsidR="006A440B" w:rsidRPr="00F941DA" w:rsidRDefault="006A440B" w:rsidP="0001482A">
            <w:pPr>
              <w:spacing w:after="0"/>
              <w:jc w:val="both"/>
              <w:rPr>
                <w:rFonts w:ascii="Times New Roman" w:eastAsia="Calibri" w:hAnsi="Times New Roman" w:cs="Times New Roman"/>
                <w:sz w:val="20"/>
                <w:szCs w:val="20"/>
              </w:rPr>
            </w:pPr>
          </w:p>
          <w:p w14:paraId="051676E5"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Inițial, la fiecare 6/12 luni </w:t>
            </w:r>
          </w:p>
          <w:p w14:paraId="49DBE36B" w14:textId="77777777" w:rsidR="006A440B" w:rsidRPr="00F941DA" w:rsidRDefault="006A440B" w:rsidP="0001482A">
            <w:pPr>
              <w:spacing w:after="0"/>
              <w:jc w:val="both"/>
              <w:rPr>
                <w:rFonts w:ascii="Times New Roman" w:eastAsia="Calibri" w:hAnsi="Times New Roman" w:cs="Times New Roman"/>
                <w:sz w:val="20"/>
                <w:szCs w:val="20"/>
              </w:rPr>
            </w:pPr>
          </w:p>
          <w:p w14:paraId="13B04A81"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Inițial, la fiecare 6/12 luni </w:t>
            </w:r>
          </w:p>
        </w:tc>
      </w:tr>
      <w:tr w:rsidR="006A440B" w:rsidRPr="00F941DA" w14:paraId="4C2B36F0" w14:textId="77777777" w:rsidTr="00CB7B02">
        <w:trPr>
          <w:trHeight w:val="928"/>
        </w:trPr>
        <w:tc>
          <w:tcPr>
            <w:tcW w:w="1378" w:type="pct"/>
          </w:tcPr>
          <w:p w14:paraId="087A62F9"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Hematologică/Imunologică</w:t>
            </w:r>
          </w:p>
        </w:tc>
        <w:tc>
          <w:tcPr>
            <w:tcW w:w="2321" w:type="pct"/>
          </w:tcPr>
          <w:p w14:paraId="5A339324"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Infecții respiratorii recidivante/deficit imun</w:t>
            </w:r>
          </w:p>
          <w:p w14:paraId="07A0BE1F"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Hemo-leucograma</w:t>
            </w:r>
          </w:p>
          <w:p w14:paraId="3CAA7045" w14:textId="77777777" w:rsidR="006A440B" w:rsidRPr="00F941DA" w:rsidRDefault="006A440B" w:rsidP="0001482A">
            <w:pPr>
              <w:spacing w:after="0"/>
              <w:jc w:val="both"/>
              <w:rPr>
                <w:rFonts w:ascii="Times New Roman" w:eastAsia="Calibri" w:hAnsi="Times New Roman" w:cs="Times New Roman"/>
                <w:sz w:val="20"/>
                <w:szCs w:val="20"/>
              </w:rPr>
            </w:pPr>
          </w:p>
          <w:p w14:paraId="71A1EC11"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Imunograma</w:t>
            </w:r>
          </w:p>
        </w:tc>
        <w:tc>
          <w:tcPr>
            <w:tcW w:w="1301" w:type="pct"/>
          </w:tcPr>
          <w:p w14:paraId="6BEA42AE" w14:textId="77777777" w:rsidR="006A440B" w:rsidRPr="00F941DA" w:rsidRDefault="006A440B" w:rsidP="0001482A">
            <w:pPr>
              <w:spacing w:after="0"/>
              <w:jc w:val="both"/>
              <w:rPr>
                <w:rFonts w:ascii="Times New Roman" w:eastAsia="Calibri" w:hAnsi="Times New Roman" w:cs="Times New Roman"/>
                <w:sz w:val="20"/>
                <w:szCs w:val="20"/>
              </w:rPr>
            </w:pPr>
          </w:p>
          <w:p w14:paraId="150D0CD1"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Inițial, la fiecare 6/12 luni </w:t>
            </w:r>
          </w:p>
          <w:p w14:paraId="30B16E4A" w14:textId="77777777" w:rsidR="006A440B" w:rsidRPr="00F941DA" w:rsidRDefault="006A440B" w:rsidP="0001482A">
            <w:pPr>
              <w:spacing w:after="0"/>
              <w:jc w:val="both"/>
              <w:rPr>
                <w:rFonts w:ascii="Times New Roman" w:eastAsia="Calibri" w:hAnsi="Times New Roman" w:cs="Times New Roman"/>
                <w:sz w:val="20"/>
                <w:szCs w:val="20"/>
              </w:rPr>
            </w:pPr>
          </w:p>
          <w:p w14:paraId="21E0E7D9"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Inițial, la fiecare 6/12 luni </w:t>
            </w:r>
          </w:p>
        </w:tc>
      </w:tr>
      <w:tr w:rsidR="006A440B" w:rsidRPr="00F941DA" w14:paraId="6CBD55DE" w14:textId="77777777" w:rsidTr="00CB7B02">
        <w:trPr>
          <w:trHeight w:val="420"/>
        </w:trPr>
        <w:tc>
          <w:tcPr>
            <w:tcW w:w="1378" w:type="pct"/>
          </w:tcPr>
          <w:p w14:paraId="30E77D7D"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Oftalmologică</w:t>
            </w:r>
          </w:p>
        </w:tc>
        <w:tc>
          <w:tcPr>
            <w:tcW w:w="2321" w:type="pct"/>
          </w:tcPr>
          <w:p w14:paraId="3BC5F841"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Acuitate vizuală, oftalmoscopie, ex. biomicroscopic</w:t>
            </w:r>
          </w:p>
        </w:tc>
        <w:tc>
          <w:tcPr>
            <w:tcW w:w="1301" w:type="pct"/>
          </w:tcPr>
          <w:p w14:paraId="34D1B945"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Inițial, la fiecare 6/12 luni</w:t>
            </w:r>
          </w:p>
        </w:tc>
      </w:tr>
      <w:tr w:rsidR="006A440B" w:rsidRPr="00F941DA" w14:paraId="2FECC0E7" w14:textId="77777777" w:rsidTr="00CB7B02">
        <w:trPr>
          <w:trHeight w:val="698"/>
        </w:trPr>
        <w:tc>
          <w:tcPr>
            <w:tcW w:w="1378" w:type="pct"/>
          </w:tcPr>
          <w:p w14:paraId="369422A1"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Teste specifice de laborator</w:t>
            </w:r>
          </w:p>
        </w:tc>
        <w:tc>
          <w:tcPr>
            <w:tcW w:w="2321" w:type="pct"/>
          </w:tcPr>
          <w:p w14:paraId="6C01536D"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anticorpi IgG serici anti-velmanază alfa</w:t>
            </w:r>
          </w:p>
          <w:p w14:paraId="09EA6DBE" w14:textId="77777777" w:rsidR="006A440B" w:rsidRPr="00F941DA" w:rsidRDefault="006A440B" w:rsidP="0001482A">
            <w:pPr>
              <w:spacing w:after="0"/>
              <w:jc w:val="both"/>
              <w:rPr>
                <w:rFonts w:ascii="Times New Roman" w:eastAsia="Calibri" w:hAnsi="Times New Roman" w:cs="Times New Roman"/>
                <w:sz w:val="20"/>
                <w:szCs w:val="20"/>
              </w:rPr>
            </w:pPr>
          </w:p>
          <w:p w14:paraId="0180D04B" w14:textId="77777777" w:rsidR="006A440B" w:rsidRPr="00F941DA" w:rsidRDefault="006A440B" w:rsidP="0001482A">
            <w:pPr>
              <w:spacing w:after="0"/>
              <w:jc w:val="both"/>
              <w:rPr>
                <w:rFonts w:ascii="Times New Roman" w:eastAsia="Calibri" w:hAnsi="Times New Roman" w:cs="Times New Roman"/>
                <w:sz w:val="20"/>
                <w:szCs w:val="20"/>
              </w:rPr>
            </w:pPr>
          </w:p>
          <w:p w14:paraId="45C37E8D" w14:textId="77777777" w:rsidR="006A440B" w:rsidRPr="00F941DA" w:rsidRDefault="006A440B" w:rsidP="0001482A">
            <w:pPr>
              <w:spacing w:after="0"/>
              <w:jc w:val="both"/>
              <w:rPr>
                <w:rFonts w:ascii="Times New Roman" w:eastAsia="Calibri" w:hAnsi="Times New Roman" w:cs="Times New Roman"/>
                <w:sz w:val="20"/>
                <w:szCs w:val="20"/>
              </w:rPr>
            </w:pPr>
          </w:p>
          <w:p w14:paraId="77DAAEA1"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Oligozaharide în ser/urină</w:t>
            </w:r>
          </w:p>
        </w:tc>
        <w:tc>
          <w:tcPr>
            <w:tcW w:w="1301" w:type="pct"/>
          </w:tcPr>
          <w:p w14:paraId="1B6A3FC4"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La pacienții la care simptomatologia nu se ameliorează sub tratament (nonresponderi)</w:t>
            </w:r>
          </w:p>
          <w:p w14:paraId="561CFD9F" w14:textId="77777777" w:rsidR="006A440B" w:rsidRPr="00F941DA" w:rsidRDefault="006A440B" w:rsidP="0001482A">
            <w:pPr>
              <w:spacing w:after="0"/>
              <w:jc w:val="both"/>
              <w:rPr>
                <w:rFonts w:ascii="Times New Roman" w:eastAsia="Calibri" w:hAnsi="Times New Roman" w:cs="Times New Roman"/>
                <w:sz w:val="20"/>
                <w:szCs w:val="20"/>
              </w:rPr>
            </w:pPr>
          </w:p>
          <w:p w14:paraId="313A982D"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lastRenderedPageBreak/>
              <w:t>Măsurarea oligozaharidelor în ser este cea mai importantă metodă de evaluare a eficacității tratamentului</w:t>
            </w:r>
          </w:p>
        </w:tc>
      </w:tr>
      <w:tr w:rsidR="006A440B" w:rsidRPr="00F941DA" w14:paraId="5E41F69C" w14:textId="77777777" w:rsidTr="00CB7B02">
        <w:trPr>
          <w:trHeight w:val="302"/>
        </w:trPr>
        <w:tc>
          <w:tcPr>
            <w:tcW w:w="1378" w:type="pct"/>
          </w:tcPr>
          <w:p w14:paraId="28B12D7E"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lastRenderedPageBreak/>
              <w:t>Durere/calitatea vieţii</w:t>
            </w:r>
          </w:p>
        </w:tc>
        <w:tc>
          <w:tcPr>
            <w:tcW w:w="2321" w:type="pct"/>
          </w:tcPr>
          <w:p w14:paraId="302B10DE" w14:textId="77777777" w:rsidR="006A440B" w:rsidRPr="00F941DA" w:rsidRDefault="006A440B" w:rsidP="0001482A">
            <w:pPr>
              <w:autoSpaceDE w:val="0"/>
              <w:autoSpaceDN w:val="0"/>
              <w:adjustRightInd w:val="0"/>
              <w:spacing w:after="0"/>
              <w:rPr>
                <w:rFonts w:ascii="Times New Roman" w:eastAsia="Calibri" w:hAnsi="Times New Roman" w:cs="Times New Roman"/>
                <w:bCs/>
                <w:sz w:val="20"/>
                <w:szCs w:val="20"/>
                <w:lang w:eastAsia="ro-RO"/>
              </w:rPr>
            </w:pPr>
            <w:r w:rsidRPr="00F941DA">
              <w:rPr>
                <w:rFonts w:ascii="Times New Roman" w:eastAsia="Calibri" w:hAnsi="Times New Roman" w:cs="Times New Roman"/>
                <w:bCs/>
                <w:sz w:val="20"/>
                <w:szCs w:val="20"/>
                <w:lang w:eastAsia="ro-RO"/>
              </w:rPr>
              <w:t>Ameliorarea calităţii vieţii-examen clinic obiectiv</w:t>
            </w:r>
          </w:p>
        </w:tc>
        <w:tc>
          <w:tcPr>
            <w:tcW w:w="1301" w:type="pct"/>
          </w:tcPr>
          <w:p w14:paraId="7F32E32B"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Inițial, la fiecare 6 luni</w:t>
            </w:r>
          </w:p>
        </w:tc>
      </w:tr>
      <w:tr w:rsidR="006A440B" w:rsidRPr="00F941DA" w14:paraId="2B97640F" w14:textId="77777777" w:rsidTr="00CB7B02">
        <w:tc>
          <w:tcPr>
            <w:tcW w:w="1378" w:type="pct"/>
          </w:tcPr>
          <w:p w14:paraId="239EA09B"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Efecte adverse ale terapiei</w:t>
            </w:r>
          </w:p>
        </w:tc>
        <w:tc>
          <w:tcPr>
            <w:tcW w:w="2321" w:type="pct"/>
          </w:tcPr>
          <w:p w14:paraId="17841D4C"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Raportare la Agentia Națională a medicamentului</w:t>
            </w:r>
          </w:p>
        </w:tc>
        <w:tc>
          <w:tcPr>
            <w:tcW w:w="1301" w:type="pct"/>
          </w:tcPr>
          <w:p w14:paraId="4264AEEC" w14:textId="77777777" w:rsidR="006A440B" w:rsidRPr="00F941DA" w:rsidRDefault="006A440B" w:rsidP="0001482A">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Monitorizare continuă</w:t>
            </w:r>
          </w:p>
        </w:tc>
      </w:tr>
    </w:tbl>
    <w:p w14:paraId="69E6627F" w14:textId="77777777" w:rsidR="006A440B" w:rsidRPr="00F941DA" w:rsidRDefault="006A440B" w:rsidP="006A440B">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Evaluare necesară la modificare schemei terapeutice sau la apariţia unor complicaţii / evenimente renale, cardiovasculare sau cerebrovasculare</w:t>
      </w:r>
    </w:p>
    <w:p w14:paraId="465D942D" w14:textId="77777777" w:rsidR="006A440B" w:rsidRPr="00F941DA" w:rsidRDefault="006A440B" w:rsidP="006A440B">
      <w:pPr>
        <w:spacing w:after="0"/>
        <w:jc w:val="both"/>
        <w:rPr>
          <w:rFonts w:ascii="Times New Roman" w:eastAsia="Calibri" w:hAnsi="Times New Roman" w:cs="Times New Roman"/>
          <w:b/>
          <w:sz w:val="24"/>
          <w:szCs w:val="24"/>
        </w:rPr>
      </w:pPr>
    </w:p>
    <w:p w14:paraId="0F0A6DB9" w14:textId="32E1A187" w:rsidR="006A440B" w:rsidRPr="00F941DA" w:rsidRDefault="006A440B" w:rsidP="00CB7B02">
      <w:pPr>
        <w:tabs>
          <w:tab w:val="left" w:pos="426"/>
          <w:tab w:val="left" w:pos="567"/>
        </w:tabs>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V</w:t>
      </w:r>
      <w:r w:rsidR="00CB7B02" w:rsidRPr="00F941DA">
        <w:rPr>
          <w:rFonts w:ascii="Times New Roman" w:eastAsia="Calibri" w:hAnsi="Times New Roman" w:cs="Times New Roman"/>
          <w:b/>
          <w:sz w:val="24"/>
          <w:szCs w:val="24"/>
        </w:rPr>
        <w:t>II</w:t>
      </w:r>
      <w:r w:rsidRPr="00F941DA">
        <w:rPr>
          <w:rFonts w:ascii="Times New Roman" w:eastAsia="Calibri" w:hAnsi="Times New Roman" w:cs="Times New Roman"/>
          <w:b/>
          <w:sz w:val="24"/>
          <w:szCs w:val="24"/>
        </w:rPr>
        <w:t xml:space="preserve">. </w:t>
      </w:r>
      <w:r w:rsidRPr="00F941DA">
        <w:rPr>
          <w:rFonts w:ascii="Times New Roman" w:eastAsia="Calibri" w:hAnsi="Times New Roman" w:cs="Times New Roman"/>
          <w:b/>
          <w:sz w:val="24"/>
          <w:szCs w:val="24"/>
        </w:rPr>
        <w:tab/>
        <w:t>PRESCRIPTORI</w:t>
      </w:r>
    </w:p>
    <w:p w14:paraId="1E2010D9" w14:textId="326799A4" w:rsidR="006A440B" w:rsidRPr="00F941DA" w:rsidRDefault="006A440B" w:rsidP="006A440B">
      <w:pPr>
        <w:shd w:val="clear" w:color="auto" w:fill="FFFFFF"/>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Medicii din specialitățile: pediatrie, genetică medicală, ORL, neurologie, neuropsihiatrie infantilă, gastroenterologie, medicină internă, hematologie, h</w:t>
      </w:r>
      <w:r w:rsidRPr="00F941DA">
        <w:rPr>
          <w:rFonts w:ascii="Times New Roman" w:eastAsia="Times New Roman" w:hAnsi="Times New Roman" w:cs="Times New Roman"/>
          <w:sz w:val="24"/>
          <w:szCs w:val="24"/>
          <w:lang w:val="en-US"/>
        </w:rPr>
        <w:t xml:space="preserve">ematologie pediatrica, psihiatrie, nefrologie </w:t>
      </w:r>
      <w:r w:rsidRPr="00F941DA">
        <w:rPr>
          <w:rFonts w:ascii="Times New Roman" w:eastAsia="Calibri" w:hAnsi="Times New Roman" w:cs="Times New Roman"/>
          <w:sz w:val="24"/>
          <w:szCs w:val="24"/>
        </w:rPr>
        <w:t>din unitatile de specialitate prin care se deruleaza programul.</w:t>
      </w:r>
      <w:r w:rsidR="0001482A" w:rsidRPr="00F941DA">
        <w:rPr>
          <w:rFonts w:ascii="Times New Roman" w:eastAsia="Calibri" w:hAnsi="Times New Roman" w:cs="Times New Roman"/>
          <w:sz w:val="24"/>
          <w:szCs w:val="24"/>
        </w:rPr>
        <w:t>”</w:t>
      </w:r>
    </w:p>
    <w:p w14:paraId="4F3328FA" w14:textId="77777777" w:rsidR="006A440B" w:rsidRPr="00F941DA" w:rsidRDefault="006A440B" w:rsidP="006A440B">
      <w:pPr>
        <w:spacing w:after="0"/>
        <w:jc w:val="both"/>
        <w:rPr>
          <w:rFonts w:ascii="Times New Roman" w:eastAsia="Calibri" w:hAnsi="Times New Roman" w:cs="Times New Roman"/>
          <w:sz w:val="24"/>
          <w:szCs w:val="24"/>
        </w:rPr>
      </w:pPr>
    </w:p>
    <w:p w14:paraId="78B7D7FB" w14:textId="77777777" w:rsidR="006A440B" w:rsidRPr="00F941DA" w:rsidRDefault="006A440B" w:rsidP="006A440B">
      <w:pPr>
        <w:spacing w:after="0"/>
        <w:jc w:val="both"/>
        <w:rPr>
          <w:rFonts w:ascii="Times New Roman" w:eastAsia="Calibri" w:hAnsi="Times New Roman" w:cs="Times New Roman"/>
          <w:sz w:val="24"/>
          <w:szCs w:val="24"/>
        </w:rPr>
      </w:pPr>
    </w:p>
    <w:p w14:paraId="3FE5BE3B" w14:textId="77777777" w:rsidR="006A440B" w:rsidRPr="00F941DA" w:rsidRDefault="006A440B" w:rsidP="006A440B"/>
    <w:p w14:paraId="10BA0716"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4BAE85F9"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01567707"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6D210BA6"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27C8E3C8"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60D73410"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3AF543CC"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6E36B7DB"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44384917"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3E58CD00"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6FBD4413"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4AE98D41"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7CDCD64B"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3F15F9BA"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491A1F6C"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2249B99A"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01620AE3"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294853F3"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56C94E92"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03D80C59"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125E7146"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0A345DAF" w14:textId="77777777" w:rsidR="006A440B" w:rsidRPr="00F941DA" w:rsidRDefault="006A440B" w:rsidP="007B60B7">
      <w:pPr>
        <w:tabs>
          <w:tab w:val="left" w:pos="426"/>
        </w:tabs>
        <w:jc w:val="both"/>
        <w:rPr>
          <w:rFonts w:ascii="Times New Roman" w:eastAsia="Arial" w:hAnsi="Times New Roman" w:cs="Times New Roman"/>
          <w:b/>
          <w:bCs/>
          <w:sz w:val="24"/>
          <w:szCs w:val="24"/>
          <w:lang w:val="en-US"/>
        </w:rPr>
      </w:pPr>
    </w:p>
    <w:p w14:paraId="4243187D" w14:textId="77777777" w:rsidR="00984957" w:rsidRPr="00F941DA" w:rsidRDefault="00984957" w:rsidP="00984957">
      <w:pPr>
        <w:pStyle w:val="ListParagraph"/>
        <w:rPr>
          <w:rFonts w:eastAsia="Arial"/>
          <w:b/>
          <w:bCs/>
          <w:color w:val="auto"/>
          <w:lang w:val="en-US"/>
        </w:rPr>
      </w:pPr>
    </w:p>
    <w:p w14:paraId="234659AF" w14:textId="6486B749" w:rsidR="007B60B7" w:rsidRPr="00F941DA" w:rsidRDefault="007B60B7" w:rsidP="007B60B7">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La anexa nr. 1, protocolul terapeutic corespunzător poziţiei nr. 50 cod (A16AX14): DCI MIGALASTATUM se modifică și se înlocuiește cu următorul protocol:</w:t>
      </w:r>
    </w:p>
    <w:p w14:paraId="5CEB6591" w14:textId="77777777" w:rsidR="007B60B7" w:rsidRPr="00F941DA" w:rsidRDefault="007B60B7" w:rsidP="007B60B7">
      <w:pPr>
        <w:tabs>
          <w:tab w:val="left" w:pos="426"/>
        </w:tabs>
        <w:jc w:val="both"/>
        <w:rPr>
          <w:rFonts w:ascii="Times New Roman" w:eastAsia="Arial" w:hAnsi="Times New Roman" w:cs="Times New Roman"/>
          <w:b/>
          <w:bCs/>
          <w:sz w:val="24"/>
          <w:szCs w:val="24"/>
          <w:lang w:val="en-US"/>
        </w:rPr>
      </w:pPr>
    </w:p>
    <w:p w14:paraId="4DA44118" w14:textId="371C2AF9" w:rsidR="007B60B7" w:rsidRPr="00F941DA" w:rsidRDefault="007B60B7" w:rsidP="007B60B7">
      <w:pPr>
        <w:tabs>
          <w:tab w:val="left" w:pos="426"/>
        </w:tabs>
        <w:jc w:val="both"/>
        <w:rPr>
          <w:rFonts w:ascii="Times New Roman" w:eastAsia="Arial" w:hAnsi="Times New Roman" w:cs="Times New Roman"/>
          <w:b/>
          <w:bCs/>
          <w:sz w:val="24"/>
          <w:szCs w:val="24"/>
          <w:lang w:val="en-US"/>
        </w:rPr>
      </w:pPr>
      <w:r w:rsidRPr="00F941DA">
        <w:rPr>
          <w:rFonts w:ascii="Times New Roman" w:eastAsia="Arial" w:hAnsi="Times New Roman" w:cs="Times New Roman"/>
          <w:b/>
          <w:bCs/>
          <w:sz w:val="24"/>
          <w:szCs w:val="24"/>
          <w:lang w:val="en-US"/>
        </w:rPr>
        <w:t>”Protocol terapeutic corespunzător poziţiei nr. 50 cod (A16AX14): DCI MIGALASTATUM</w:t>
      </w:r>
    </w:p>
    <w:p w14:paraId="6957F0B8"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2CD2CF41"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6DBAA645"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Boala Fabry este o afecţiune rară, progresivă, multisistemică, gravă şi extrem de debilitantă, punând în pericol viaţa. Transmiterea sa este legată de cromozomul X fiind caracterizată prin acumularea lizozomală progresivă, care afectează bărbaţii şi femeile.</w:t>
      </w:r>
    </w:p>
    <w:p w14:paraId="613AEE3F"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2C89A6B2"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Mutaţiile genei GLA, care se află la originea bolii Fabry, determină un deficit al enzimei lizozomale alfa-galactozidază A (alfa-Gal A) care este necesară pentru metabolismul substraturilor glicosfingolipidice (de exemplu, GL-3, lyso-Gb3). Prin urmare, reducerea activităţii alfa-Gal A este asociată cu acumularea progresivă de substrat în organele şi ţesuturile vulnerabile, ceea ce duce la morbiditatea şi mortalitatea asociate cu boala Fabry.</w:t>
      </w:r>
    </w:p>
    <w:p w14:paraId="0C778BCD"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37CCB76F" w14:textId="0222CF4E"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Anumite mutaţii ale genei GLA pot avea ca rezultat producerea unor forme mutante instabile ale alfa-Gal A, caracterizate printr-o pliere anormală.</w:t>
      </w:r>
    </w:p>
    <w:p w14:paraId="43A5DCB7"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p>
    <w:p w14:paraId="4D112595"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I. Criterii de eligibilitate pentru includerea în tratamentul cu migalastat</w:t>
      </w:r>
    </w:p>
    <w:p w14:paraId="25DB9B73"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În boala Fabry imaginea clinică acoperă un întreg spectru de severitate, variind de la forme uşoare (mai frecvente la femei heterozigote), cu forme severe (în special la bărbaţii hemizigoţi) prezentând manifestări caracteristice. Prezentarea clinică este variabilă. Odată cu vârsta, deteriorarea progresivă poate duce la eşecul organic. Insuficienţa renală în stadiu terminal şi complicaţiile cardio-cerebrovasculare pot pune viaţa în pericol.</w:t>
      </w:r>
    </w:p>
    <w:p w14:paraId="74E747D7"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p>
    <w:p w14:paraId="67BC04BB"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sz w:val="24"/>
          <w:szCs w:val="24"/>
          <w:lang w:val="x-none"/>
        </w:rPr>
        <w:t xml:space="preserve"> </w:t>
      </w:r>
      <w:r w:rsidRPr="00F941DA">
        <w:rPr>
          <w:rFonts w:ascii="Times New Roman" w:eastAsia="Times New Roman" w:hAnsi="Times New Roman" w:cs="Times New Roman"/>
          <w:b/>
          <w:bCs/>
          <w:sz w:val="24"/>
          <w:szCs w:val="24"/>
          <w:lang w:val="x-none"/>
        </w:rPr>
        <w:t>1. Principalele manifestări din boala Fabry sunt:</w:t>
      </w:r>
    </w:p>
    <w:p w14:paraId="330E5D11" w14:textId="77777777" w:rsidR="004D3144" w:rsidRPr="00F941DA" w:rsidRDefault="004D3144" w:rsidP="00D11DF1">
      <w:pPr>
        <w:numPr>
          <w:ilvl w:val="0"/>
          <w:numId w:val="152"/>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b/>
          <w:bCs/>
          <w:sz w:val="24"/>
          <w:szCs w:val="24"/>
          <w:lang w:val="x-none"/>
        </w:rPr>
        <w:t>Renale:</w:t>
      </w:r>
      <w:r w:rsidRPr="00F941DA">
        <w:rPr>
          <w:rFonts w:ascii="Times New Roman" w:eastAsia="Times New Roman" w:hAnsi="Times New Roman" w:cs="Times New Roman"/>
          <w:sz w:val="24"/>
          <w:szCs w:val="24"/>
          <w:lang w:val="x-none"/>
        </w:rPr>
        <w:t xml:space="preserve"> proteinurie, disfuncţii tubulare, insuficienţă renală cronică până la stadiul de uremie (decadele 4 - 5);</w:t>
      </w:r>
    </w:p>
    <w:p w14:paraId="49151491" w14:textId="77777777" w:rsidR="004D3144" w:rsidRPr="00F941DA" w:rsidRDefault="004D3144" w:rsidP="00D11DF1">
      <w:pPr>
        <w:numPr>
          <w:ilvl w:val="0"/>
          <w:numId w:val="152"/>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b/>
          <w:bCs/>
          <w:sz w:val="24"/>
          <w:szCs w:val="24"/>
          <w:lang w:val="x-none"/>
        </w:rPr>
        <w:t>Cardiace:</w:t>
      </w:r>
      <w:r w:rsidRPr="00F941DA">
        <w:rPr>
          <w:rFonts w:ascii="Times New Roman" w:eastAsia="Times New Roman" w:hAnsi="Times New Roman" w:cs="Times New Roman"/>
          <w:sz w:val="24"/>
          <w:szCs w:val="24"/>
          <w:lang w:val="x-none"/>
        </w:rPr>
        <w:t xml:space="preserve"> cardiomiopatie hipertrofică, aritmii, angor, infarct miocardic, insuficienţă cardiacă;</w:t>
      </w:r>
    </w:p>
    <w:p w14:paraId="48C2CBC7" w14:textId="77777777" w:rsidR="004D3144" w:rsidRPr="00F941DA" w:rsidRDefault="004D3144" w:rsidP="00D11DF1">
      <w:pPr>
        <w:numPr>
          <w:ilvl w:val="0"/>
          <w:numId w:val="152"/>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b/>
          <w:bCs/>
          <w:sz w:val="24"/>
          <w:szCs w:val="24"/>
          <w:lang w:val="x-none"/>
        </w:rPr>
        <w:t>Neurologice:</w:t>
      </w:r>
      <w:r w:rsidRPr="00F941DA">
        <w:rPr>
          <w:rFonts w:ascii="Times New Roman" w:eastAsia="Times New Roman" w:hAnsi="Times New Roman" w:cs="Times New Roman"/>
          <w:sz w:val="24"/>
          <w:szCs w:val="24"/>
          <w:lang w:val="x-none"/>
        </w:rPr>
        <w:t xml:space="preserve"> acroparestezii, hipo sau anhidroză, intoleranţă la frig/căldură, accidente vasculare cerebrale ischemice;</w:t>
      </w:r>
    </w:p>
    <w:p w14:paraId="7410679C" w14:textId="77777777" w:rsidR="004D3144" w:rsidRPr="00F941DA" w:rsidRDefault="004D3144" w:rsidP="00D11DF1">
      <w:pPr>
        <w:numPr>
          <w:ilvl w:val="0"/>
          <w:numId w:val="152"/>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b/>
          <w:bCs/>
          <w:sz w:val="24"/>
          <w:szCs w:val="24"/>
          <w:lang w:val="x-none"/>
        </w:rPr>
        <w:t>Gastrointestinale:</w:t>
      </w:r>
      <w:r w:rsidRPr="00F941DA">
        <w:rPr>
          <w:rFonts w:ascii="Times New Roman" w:eastAsia="Times New Roman" w:hAnsi="Times New Roman" w:cs="Times New Roman"/>
          <w:sz w:val="24"/>
          <w:szCs w:val="24"/>
          <w:lang w:val="x-none"/>
        </w:rPr>
        <w:t xml:space="preserve"> crize dureroase abdominale, diaree, greţuri, vomă, saţietate precoce;</w:t>
      </w:r>
    </w:p>
    <w:p w14:paraId="3463AF1A" w14:textId="77777777" w:rsidR="004D3144" w:rsidRPr="00F941DA" w:rsidRDefault="004D3144" w:rsidP="00D11DF1">
      <w:pPr>
        <w:numPr>
          <w:ilvl w:val="0"/>
          <w:numId w:val="152"/>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b/>
          <w:bCs/>
          <w:sz w:val="24"/>
          <w:szCs w:val="24"/>
          <w:lang w:val="x-none"/>
        </w:rPr>
        <w:t>ORL:</w:t>
      </w:r>
      <w:r w:rsidRPr="00F941DA">
        <w:rPr>
          <w:rFonts w:ascii="Times New Roman" w:eastAsia="Times New Roman" w:hAnsi="Times New Roman" w:cs="Times New Roman"/>
          <w:sz w:val="24"/>
          <w:szCs w:val="24"/>
          <w:lang w:val="x-none"/>
        </w:rPr>
        <w:t xml:space="preserve"> hipoacuzie neurosenzorială progresivă, surditate unilaterală busc instalată, acufene, vertij</w:t>
      </w:r>
    </w:p>
    <w:p w14:paraId="6F4153C8" w14:textId="77777777" w:rsidR="004D3144" w:rsidRPr="00F941DA" w:rsidRDefault="004D3144" w:rsidP="00D11DF1">
      <w:pPr>
        <w:numPr>
          <w:ilvl w:val="0"/>
          <w:numId w:val="152"/>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b/>
          <w:bCs/>
          <w:sz w:val="24"/>
          <w:szCs w:val="24"/>
          <w:lang w:val="x-none"/>
        </w:rPr>
        <w:t>Pulmonare:</w:t>
      </w:r>
      <w:r w:rsidRPr="00F941DA">
        <w:rPr>
          <w:rFonts w:ascii="Times New Roman" w:eastAsia="Times New Roman" w:hAnsi="Times New Roman" w:cs="Times New Roman"/>
          <w:sz w:val="24"/>
          <w:szCs w:val="24"/>
          <w:lang w:val="x-none"/>
        </w:rPr>
        <w:t xml:space="preserve"> tuse, disfuncţie ventilatorie obstructivă;</w:t>
      </w:r>
    </w:p>
    <w:p w14:paraId="3838099B" w14:textId="77777777" w:rsidR="004D3144" w:rsidRPr="00F941DA" w:rsidRDefault="004D3144" w:rsidP="00D11DF1">
      <w:pPr>
        <w:numPr>
          <w:ilvl w:val="0"/>
          <w:numId w:val="152"/>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b/>
          <w:bCs/>
          <w:sz w:val="24"/>
          <w:szCs w:val="24"/>
          <w:lang w:val="x-none"/>
        </w:rPr>
        <w:t>Cutanate:</w:t>
      </w:r>
      <w:r w:rsidRPr="00F941DA">
        <w:rPr>
          <w:rFonts w:ascii="Times New Roman" w:eastAsia="Times New Roman" w:hAnsi="Times New Roman" w:cs="Times New Roman"/>
          <w:sz w:val="24"/>
          <w:szCs w:val="24"/>
          <w:lang w:val="x-none"/>
        </w:rPr>
        <w:t xml:space="preserve"> angiokeratoame;</w:t>
      </w:r>
    </w:p>
    <w:p w14:paraId="58D55327" w14:textId="77777777" w:rsidR="004D3144" w:rsidRPr="00F941DA" w:rsidRDefault="004D3144" w:rsidP="00D11DF1">
      <w:pPr>
        <w:numPr>
          <w:ilvl w:val="0"/>
          <w:numId w:val="152"/>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b/>
          <w:bCs/>
          <w:sz w:val="24"/>
          <w:szCs w:val="24"/>
          <w:lang w:val="x-none"/>
        </w:rPr>
        <w:t>Oculare:</w:t>
      </w:r>
      <w:r w:rsidRPr="00F941DA">
        <w:rPr>
          <w:rFonts w:ascii="Times New Roman" w:eastAsia="Times New Roman" w:hAnsi="Times New Roman" w:cs="Times New Roman"/>
          <w:sz w:val="24"/>
          <w:szCs w:val="24"/>
          <w:lang w:val="x-none"/>
        </w:rPr>
        <w:t xml:space="preserve"> opacităţi corneene (cornea verticillata), cristaliniene, modificări vasculare retiniene;</w:t>
      </w:r>
    </w:p>
    <w:p w14:paraId="0AE3E2D3" w14:textId="77777777" w:rsidR="004D3144" w:rsidRPr="00F941DA" w:rsidRDefault="004D3144" w:rsidP="00D11DF1">
      <w:pPr>
        <w:numPr>
          <w:ilvl w:val="0"/>
          <w:numId w:val="152"/>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b/>
          <w:bCs/>
          <w:sz w:val="24"/>
          <w:szCs w:val="24"/>
          <w:lang w:val="x-none"/>
        </w:rPr>
        <w:t>Osoase:</w:t>
      </w:r>
      <w:r w:rsidRPr="00F941DA">
        <w:rPr>
          <w:rFonts w:ascii="Times New Roman" w:eastAsia="Times New Roman" w:hAnsi="Times New Roman" w:cs="Times New Roman"/>
          <w:sz w:val="24"/>
          <w:szCs w:val="24"/>
          <w:lang w:val="x-none"/>
        </w:rPr>
        <w:t xml:space="preserve"> osteopenie, osteoporoză.</w:t>
      </w:r>
    </w:p>
    <w:p w14:paraId="63818274"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p>
    <w:p w14:paraId="7A76991E"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2. Criterii de confirmare a diagnosticului de boală Fabry:</w:t>
      </w:r>
    </w:p>
    <w:p w14:paraId="32DD1334"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Diagnosticul este stabilit pe baza diagnosticului enzimatic, prin determinarea nivelului de activitate a alfa galactozidazei A. Un nivel scăzut al activităţii enzimatice sau chiar absenţa acesteia confirmă boala; diagnosticul molecular care, prin analiza ADN, permite identificarea mutaţiilor. O menţiune specială se impune referitor la femeile purtătoare (heterozigote) ale genei mutante, la care nivelul de activitate al enzimei se situează la limita inferioară a normalului; la acestea este necesară analiza ADN pentru identificarea mutaţiilor în vederea precizării stării de purtător.</w:t>
      </w:r>
    </w:p>
    <w:p w14:paraId="66367CBE" w14:textId="77777777" w:rsidR="004D3144" w:rsidRPr="00F941DA" w:rsidRDefault="004D3144" w:rsidP="00D11DF1">
      <w:pPr>
        <w:numPr>
          <w:ilvl w:val="0"/>
          <w:numId w:val="153"/>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b/>
          <w:bCs/>
          <w:sz w:val="24"/>
          <w:szCs w:val="24"/>
          <w:lang w:val="x-none"/>
        </w:rPr>
        <w:t>subiecţi de sex masculin:</w:t>
      </w:r>
      <w:r w:rsidRPr="00F941DA">
        <w:rPr>
          <w:rFonts w:ascii="Times New Roman" w:eastAsia="Times New Roman" w:hAnsi="Times New Roman" w:cs="Times New Roman"/>
          <w:sz w:val="24"/>
          <w:szCs w:val="24"/>
          <w:lang w:val="x-none"/>
        </w:rPr>
        <w:t xml:space="preserve"> nivel scăzut al activităţii α-galactozidazei A în plasmă şi leucocite.</w:t>
      </w:r>
    </w:p>
    <w:p w14:paraId="535C7078" w14:textId="77777777" w:rsidR="004D3144" w:rsidRPr="00F941DA" w:rsidRDefault="004D3144" w:rsidP="00D11DF1">
      <w:pPr>
        <w:numPr>
          <w:ilvl w:val="0"/>
          <w:numId w:val="153"/>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b/>
          <w:bCs/>
          <w:sz w:val="24"/>
          <w:szCs w:val="24"/>
          <w:lang w:val="x-none"/>
        </w:rPr>
        <w:t>subiecţi de sex feminin:</w:t>
      </w:r>
      <w:r w:rsidRPr="00F941DA">
        <w:rPr>
          <w:rFonts w:ascii="Times New Roman" w:eastAsia="Times New Roman" w:hAnsi="Times New Roman" w:cs="Times New Roman"/>
          <w:sz w:val="24"/>
          <w:szCs w:val="24"/>
          <w:lang w:val="x-none"/>
        </w:rPr>
        <w:t xml:space="preserve"> nivel scăzut al activităţii α-galactozidazei A în plasmă şi leucocite şi/sau mutaţie la nivelul genei GLA ce codifică α-galactozidaza A.</w:t>
      </w:r>
    </w:p>
    <w:p w14:paraId="1C539791" w14:textId="743B24D5"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Sunt eligibili pentru includerea în tratamentul cu migalastat pacienţii cu diagnostic cert de boală Fabry care prezintă o mutaţie sensibilă ("amenable mutation").</w:t>
      </w:r>
    </w:p>
    <w:p w14:paraId="4DEA65B3"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p>
    <w:p w14:paraId="0FEF8E84"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p>
    <w:p w14:paraId="344C5D91" w14:textId="1CD48723"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rPr>
        <w:lastRenderedPageBreak/>
        <w:t xml:space="preserve">II. </w:t>
      </w:r>
      <w:r w:rsidRPr="00F941DA">
        <w:rPr>
          <w:rFonts w:ascii="Times New Roman" w:eastAsia="Times New Roman" w:hAnsi="Times New Roman" w:cs="Times New Roman"/>
          <w:b/>
          <w:bCs/>
          <w:sz w:val="24"/>
          <w:szCs w:val="24"/>
          <w:lang w:val="x-none"/>
        </w:rPr>
        <w:t>Indicaţiile terapiei cu migalastat în boala Fabry (anexa 1):</w:t>
      </w:r>
    </w:p>
    <w:p w14:paraId="70AE5FD6"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Migalastatul este un şaperon farmacologic conceput pentru a se lega selectiv şi reversibil, cu afinitate crescută, de situsurile active ale anumitor forme mutante ale genei alfa-Gal A, ale căror genotipuri sunt denumite mutaţii sensibile.</w:t>
      </w:r>
    </w:p>
    <w:p w14:paraId="6C9F7E9D"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Legarea migalastatului stabilizează formele mutante ale genei alfa-Gal A din reticulul endoplasmic şi uşurează transferul normal al acestora către lizozomi. Odată acestea ajunse în lizozomi, descompunerea migalastatului restabileşte activitatea alfa-Gal A, ducând la catabolizarea GL-3 şi a substraturilor asociate.</w:t>
      </w:r>
    </w:p>
    <w:p w14:paraId="3DC94033"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Migalastat este indicat pentru tratamentul de lungă durată al adulţilor şi adolescenţilor în vârstă de cel puţin 1</w:t>
      </w:r>
      <w:r w:rsidRPr="00F941DA">
        <w:rPr>
          <w:rFonts w:ascii="Times New Roman" w:eastAsia="Times New Roman" w:hAnsi="Times New Roman" w:cs="Times New Roman"/>
          <w:b/>
          <w:bCs/>
          <w:sz w:val="24"/>
          <w:szCs w:val="24"/>
          <w:lang w:val="en-US"/>
        </w:rPr>
        <w:t>2</w:t>
      </w:r>
      <w:r w:rsidRPr="00F941DA">
        <w:rPr>
          <w:rFonts w:ascii="Times New Roman" w:eastAsia="Times New Roman" w:hAnsi="Times New Roman" w:cs="Times New Roman"/>
          <w:b/>
          <w:bCs/>
          <w:sz w:val="24"/>
          <w:szCs w:val="24"/>
          <w:lang w:val="x-none"/>
        </w:rPr>
        <w:t xml:space="preserve"> ani, cu diagnostic confirmat de boală Fabry (deficit de alfa-galactozidază A) şi care prezintă o mutaţie sensibilă ("amenable mutation").</w:t>
      </w:r>
    </w:p>
    <w:p w14:paraId="6CB0C568"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Mutaţiile genei GLA sensibile şi non-sensibile la tratamentul cu Migalastat sunt enumerate în rezumatul caracteristicilor produsului. Mutaţiile genei GLA sunt disponibile şi furnizorilor de servicii de sănătate la adresa </w:t>
      </w:r>
      <w:r w:rsidRPr="00F941DA">
        <w:rPr>
          <w:rFonts w:ascii="Times New Roman" w:eastAsia="Times New Roman" w:hAnsi="Times New Roman" w:cs="Times New Roman"/>
          <w:sz w:val="24"/>
          <w:szCs w:val="24"/>
          <w:u w:val="single"/>
          <w:lang w:val="x-none"/>
        </w:rPr>
        <w:t>www.migalastatamenabilitytable.com</w:t>
      </w:r>
      <w:r w:rsidRPr="00F941DA">
        <w:rPr>
          <w:rFonts w:ascii="Times New Roman" w:eastAsia="Times New Roman" w:hAnsi="Times New Roman" w:cs="Times New Roman"/>
          <w:sz w:val="24"/>
          <w:szCs w:val="24"/>
          <w:lang w:val="x-none"/>
        </w:rPr>
        <w:t>.</w:t>
      </w:r>
    </w:p>
    <w:p w14:paraId="549221AA"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p>
    <w:p w14:paraId="05224C68"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Modificările menţionate privind nucleotidele reprezintă modificări potenţiale ale secvenţei ADN, care determină mutaţia la nivelul aminoacizilor. Mutaţia la nivelul aminoacizilor (modificarea secvenţei proteice) este cel mai relevantă în stabilirea susceptibilităţii la tratament:</w:t>
      </w:r>
    </w:p>
    <w:p w14:paraId="0FD9D680" w14:textId="77777777" w:rsidR="004D3144" w:rsidRPr="00F941DA" w:rsidRDefault="004D3144" w:rsidP="00D11DF1">
      <w:pPr>
        <w:numPr>
          <w:ilvl w:val="0"/>
          <w:numId w:val="15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Dacă o dublă mutaţie este prezentă în acelaşi cromozom (la bărbaţi şi femei), pacientul respectiv este sensibil în cazul în care dubla mutaţie este înscrisă ca menţiune separată;</w:t>
      </w:r>
    </w:p>
    <w:p w14:paraId="3306A020" w14:textId="77777777" w:rsidR="004D3144" w:rsidRPr="00F941DA" w:rsidRDefault="004D3144" w:rsidP="00D11DF1">
      <w:pPr>
        <w:numPr>
          <w:ilvl w:val="0"/>
          <w:numId w:val="15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Dacă o dublă mutaţie este prezentă în doi cromozomi diferiţi (doar la femei), acel pacient este sensibil în cazul în care oricare dintre mutaţiile individuale este sensibilă.</w:t>
      </w:r>
    </w:p>
    <w:p w14:paraId="37253ACC" w14:textId="77777777" w:rsidR="002646F3" w:rsidRPr="00F941DA" w:rsidRDefault="002646F3"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64368DF1" w14:textId="46865B5C"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rPr>
        <w:t xml:space="preserve">III. </w:t>
      </w:r>
      <w:r w:rsidRPr="00F941DA">
        <w:rPr>
          <w:rFonts w:ascii="Times New Roman" w:eastAsia="Times New Roman" w:hAnsi="Times New Roman" w:cs="Times New Roman"/>
          <w:b/>
          <w:bCs/>
          <w:sz w:val="24"/>
          <w:szCs w:val="24"/>
          <w:lang w:val="x-none"/>
        </w:rPr>
        <w:t>Obiectivele terapiei cu migalastat în boala Fabry (anexa 1, anexa 2):</w:t>
      </w:r>
    </w:p>
    <w:p w14:paraId="1BF04BE4" w14:textId="77777777" w:rsidR="004D3144" w:rsidRPr="00F941DA" w:rsidRDefault="004D3144" w:rsidP="00D11DF1">
      <w:pPr>
        <w:numPr>
          <w:ilvl w:val="0"/>
          <w:numId w:val="155"/>
        </w:numPr>
        <w:autoSpaceDE w:val="0"/>
        <w:autoSpaceDN w:val="0"/>
        <w:adjustRightInd w:val="0"/>
        <w:spacing w:after="0" w:line="240" w:lineRule="auto"/>
        <w:ind w:left="426" w:hanging="426"/>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ameliorarea simptomatologiei şi</w:t>
      </w:r>
    </w:p>
    <w:p w14:paraId="6C9C2E89" w14:textId="77777777" w:rsidR="004D3144" w:rsidRPr="00F941DA" w:rsidRDefault="004D3144" w:rsidP="00D11DF1">
      <w:pPr>
        <w:numPr>
          <w:ilvl w:val="0"/>
          <w:numId w:val="155"/>
        </w:numPr>
        <w:autoSpaceDE w:val="0"/>
        <w:autoSpaceDN w:val="0"/>
        <w:adjustRightInd w:val="0"/>
        <w:spacing w:after="0" w:line="240" w:lineRule="auto"/>
        <w:ind w:left="426" w:hanging="426"/>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prevenirea complicaţiilor tardive ale bolii Fabry.</w:t>
      </w:r>
    </w:p>
    <w:p w14:paraId="3EB22D43" w14:textId="77777777" w:rsidR="004D3144" w:rsidRPr="00F941DA" w:rsidRDefault="004D3144" w:rsidP="00D11DF1">
      <w:pPr>
        <w:numPr>
          <w:ilvl w:val="0"/>
          <w:numId w:val="155"/>
        </w:numPr>
        <w:autoSpaceDE w:val="0"/>
        <w:autoSpaceDN w:val="0"/>
        <w:adjustRightInd w:val="0"/>
        <w:spacing w:after="0" w:line="240" w:lineRule="auto"/>
        <w:ind w:left="426" w:hanging="426"/>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Rezultatele terapiei cu migalastat privind funcţia renală:</w:t>
      </w:r>
    </w:p>
    <w:p w14:paraId="547F47F8" w14:textId="77777777" w:rsidR="004D3144" w:rsidRPr="00F941DA" w:rsidRDefault="004D3144" w:rsidP="002646F3">
      <w:pPr>
        <w:autoSpaceDE w:val="0"/>
        <w:autoSpaceDN w:val="0"/>
        <w:adjustRightInd w:val="0"/>
        <w:spacing w:after="0" w:line="240" w:lineRule="auto"/>
        <w:ind w:left="426" w:hanging="142"/>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sz w:val="24"/>
          <w:szCs w:val="24"/>
        </w:rPr>
        <w:t xml:space="preserve">  </w:t>
      </w:r>
      <w:r w:rsidRPr="00F941DA">
        <w:rPr>
          <w:rFonts w:ascii="Times New Roman" w:eastAsia="Times New Roman" w:hAnsi="Times New Roman" w:cs="Times New Roman"/>
          <w:sz w:val="24"/>
          <w:szCs w:val="24"/>
          <w:lang w:val="x-none"/>
        </w:rPr>
        <w:t xml:space="preserve">În studiul de fază 3 (ATTRACT) cu tratament anterior cu TSE (terapia de substituţie enzimatică), funcţia renală a rămas stabilă pe parcursul celor 18 luni de tratament cu Migalastat. În studiul de fază 3 (FACETS) fără tratament anterior cu TSE şi în faza de extensie deschisă: </w:t>
      </w:r>
      <w:r w:rsidRPr="00F941DA">
        <w:rPr>
          <w:rFonts w:ascii="Times New Roman" w:eastAsia="Times New Roman" w:hAnsi="Times New Roman" w:cs="Times New Roman"/>
          <w:b/>
          <w:bCs/>
          <w:sz w:val="24"/>
          <w:szCs w:val="24"/>
          <w:lang w:val="x-none"/>
        </w:rPr>
        <w:t>Funcţia renală a rămas stabilă pe parcursul a până la 5 ani de tratament cu migalastat.</w:t>
      </w:r>
    </w:p>
    <w:p w14:paraId="31F8CCC3" w14:textId="77777777" w:rsidR="004D3144" w:rsidRPr="00F941DA" w:rsidRDefault="004D3144" w:rsidP="00D11DF1">
      <w:pPr>
        <w:numPr>
          <w:ilvl w:val="0"/>
          <w:numId w:val="156"/>
        </w:numPr>
        <w:autoSpaceDE w:val="0"/>
        <w:autoSpaceDN w:val="0"/>
        <w:adjustRightInd w:val="0"/>
        <w:spacing w:after="0" w:line="240" w:lineRule="auto"/>
        <w:ind w:left="426" w:hanging="426"/>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Rezultatele privind funcţia cardiacă Indexul masei ventriculului stâng (IMVS):</w:t>
      </w:r>
    </w:p>
    <w:p w14:paraId="30D41C3F" w14:textId="77777777" w:rsidR="004D3144" w:rsidRPr="00F941DA" w:rsidRDefault="004D3144" w:rsidP="002646F3">
      <w:pPr>
        <w:autoSpaceDE w:val="0"/>
        <w:autoSpaceDN w:val="0"/>
        <w:adjustRightInd w:val="0"/>
        <w:spacing w:after="0" w:line="240" w:lineRule="auto"/>
        <w:ind w:left="426"/>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După 18 luni de tratament cu Migalastat, în studiul de fază 3 (ATTRACT) cu tratament anterior cu TSE s-a observat o scădere semnificativă din punct de vedere statistic a IMVS. În studiul de fază 3 (FACETS) fără tratament anterior cu TSE: tratamentul cu Migalastat a avut drept rezultat o scădere semnificativă din punct de vedere statistic a IMVS.</w:t>
      </w:r>
    </w:p>
    <w:p w14:paraId="544C7AB2" w14:textId="77777777" w:rsidR="004D3144" w:rsidRPr="00F941DA" w:rsidRDefault="004D3144" w:rsidP="00D11DF1">
      <w:pPr>
        <w:numPr>
          <w:ilvl w:val="0"/>
          <w:numId w:val="156"/>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Rezultatele privind reducerea substraturilor asociate bolii: În studiul de fază 3 (ATTRACT) cu tratament anterior TSE şi în studiul de fază 3 (FACETS) fără tratament anterior cu TSE: tratamentul cu Migalastat a dus la scăderi semnificative din punct de vedere statistic ale concentraţiilor plasmatice de lyso-Gb3 şi ale incluziunilor GL-3 în capilarele interstiţiale renale la pacienţii cu mutaţii sensibile.</w:t>
      </w:r>
    </w:p>
    <w:p w14:paraId="150BE864" w14:textId="77777777" w:rsidR="004D3144" w:rsidRPr="00F941DA" w:rsidRDefault="004D3144" w:rsidP="00D11DF1">
      <w:pPr>
        <w:numPr>
          <w:ilvl w:val="0"/>
          <w:numId w:val="156"/>
        </w:numPr>
        <w:autoSpaceDE w:val="0"/>
        <w:autoSpaceDN w:val="0"/>
        <w:adjustRightInd w:val="0"/>
        <w:spacing w:after="0" w:line="240" w:lineRule="auto"/>
        <w:ind w:left="426" w:hanging="426"/>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sz w:val="24"/>
          <w:szCs w:val="24"/>
          <w:lang w:val="x-none"/>
        </w:rPr>
        <w:t xml:space="preserve">Pe parcursul celor 12 luni de tratament cu Migalastat au fost observate reduceri calitative ale concentraţiilor GL-3 în mai multe tipuri de celule renale: </w:t>
      </w:r>
      <w:r w:rsidRPr="00F941DA">
        <w:rPr>
          <w:rFonts w:ascii="Times New Roman" w:eastAsia="Times New Roman" w:hAnsi="Times New Roman" w:cs="Times New Roman"/>
          <w:b/>
          <w:bCs/>
          <w:sz w:val="24"/>
          <w:szCs w:val="24"/>
          <w:lang w:val="x-none"/>
        </w:rPr>
        <w:t>podocite, celule mezangiale şi, respectiv, celule endoteliale glomerulare.</w:t>
      </w:r>
    </w:p>
    <w:p w14:paraId="04DF031F" w14:textId="77777777" w:rsidR="004D3144" w:rsidRPr="00F941DA" w:rsidRDefault="004D3144" w:rsidP="00D11DF1">
      <w:pPr>
        <w:numPr>
          <w:ilvl w:val="0"/>
          <w:numId w:val="156"/>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Criterii clinice compuse: În studiul cu tratament anterior TSE, o analiză a criteriilor clinice compuse, constând din evenimente renale, cardiace şi cerebrovasculare sau deces, a evidenţiat o frecvenţă a evenimentelor observate în grupul de tratament cu Migalastat de 29%, comparativ cu 44% în grupul TSE, pe o durată de 18 luni.</w:t>
      </w:r>
    </w:p>
    <w:p w14:paraId="7A8777FA" w14:textId="77777777" w:rsidR="004D3144" w:rsidRPr="00F941DA" w:rsidRDefault="004D3144" w:rsidP="00D11DF1">
      <w:pPr>
        <w:numPr>
          <w:ilvl w:val="0"/>
          <w:numId w:val="156"/>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Scala de evaluare a simptomelor gastrointestinale: tratamentul cu Migalastat a fost asociat cu ameliorări semnificative din punct de vedere statistic comparativ cu placebo, de la momentul iniţial la luna 6, în ceea ce priveşte diareea, precum şi cu ameliorări în ceea ce priveşte refluxul la pacienţii care prezentau simptome la momentul iniţial.</w:t>
      </w:r>
    </w:p>
    <w:p w14:paraId="3A12A91B" w14:textId="77777777" w:rsidR="004D3144" w:rsidRPr="00F941DA" w:rsidRDefault="004D3144" w:rsidP="00D11DF1">
      <w:pPr>
        <w:numPr>
          <w:ilvl w:val="0"/>
          <w:numId w:val="156"/>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Health-Related Quality of Life (HRQOL) a rămas stabilă peste 18 luni de tratament cu Migalastat la pacienţii trecuţi de la tratament anterior cu TSE. La pacienţii netrataţi anterior cu TSE </w:t>
      </w:r>
      <w:r w:rsidRPr="00F941DA">
        <w:rPr>
          <w:rFonts w:ascii="Times New Roman" w:eastAsia="Times New Roman" w:hAnsi="Times New Roman" w:cs="Times New Roman"/>
          <w:sz w:val="24"/>
          <w:szCs w:val="24"/>
          <w:lang w:val="x-none"/>
        </w:rPr>
        <w:lastRenderedPageBreak/>
        <w:t>(FACETS), Migalastat a produs îmbunătăţiri semnificative în domeniile vitalităţii şi sănătăţii generale ale chestionarului Health Status Questionnaire (SF-36) la 18/24 luni.</w:t>
      </w:r>
    </w:p>
    <w:p w14:paraId="78EE513D"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p>
    <w:p w14:paraId="69AF8898" w14:textId="70CCFEAC"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rPr>
        <w:t>IV</w:t>
      </w:r>
      <w:r w:rsidRPr="00F941DA">
        <w:rPr>
          <w:rFonts w:ascii="Times New Roman" w:eastAsia="Times New Roman" w:hAnsi="Times New Roman" w:cs="Times New Roman"/>
          <w:b/>
          <w:bCs/>
          <w:sz w:val="24"/>
          <w:szCs w:val="24"/>
          <w:lang w:val="x-none"/>
        </w:rPr>
        <w:t>. Stabilirea schemei de tratament cu migalastat la pacienţii cu boală Fabry</w:t>
      </w:r>
    </w:p>
    <w:p w14:paraId="0E181DBE"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p>
    <w:p w14:paraId="4E39B26D"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Doze migalastat: schema de dozare recomandată la adulţi şi adolescenţi cu vârsta de cel puţin 1</w:t>
      </w:r>
      <w:r w:rsidRPr="00F941DA">
        <w:rPr>
          <w:rFonts w:ascii="Times New Roman" w:eastAsia="Times New Roman" w:hAnsi="Times New Roman" w:cs="Times New Roman"/>
          <w:b/>
          <w:bCs/>
          <w:sz w:val="24"/>
          <w:szCs w:val="24"/>
          <w:lang w:val="en-US"/>
        </w:rPr>
        <w:t>2</w:t>
      </w:r>
      <w:r w:rsidRPr="00F941DA">
        <w:rPr>
          <w:rFonts w:ascii="Times New Roman" w:eastAsia="Times New Roman" w:hAnsi="Times New Roman" w:cs="Times New Roman"/>
          <w:b/>
          <w:bCs/>
          <w:sz w:val="24"/>
          <w:szCs w:val="24"/>
          <w:lang w:val="x-none"/>
        </w:rPr>
        <w:t xml:space="preserve"> ani este de 123 mg migalastat (1 capsulă) o dată la două zile, la aceeaşi oră.</w:t>
      </w:r>
    </w:p>
    <w:p w14:paraId="167EE67A"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Doză omisă de migalastat nu trebuie luată în 2 zile consecutive. Dacă se omite complet doza aferentă unei zile, pacientul trebuie să ia doza omisă de migalastat numai dacă se află în intervalul de 12 ore de la ora normală la care este luată doza. Dacă au trecut mai mult de 12 ore, pacientul trebuie să reia administrarea migalastat în următoarea zi şi la următoarea oră de administrare programată, conform schemei de administrare o dată la două zile.</w:t>
      </w:r>
    </w:p>
    <w:p w14:paraId="1D5C98DC"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p>
    <w:p w14:paraId="0460EECA"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b/>
          <w:bCs/>
          <w:sz w:val="24"/>
          <w:szCs w:val="24"/>
          <w:lang w:val="x-none"/>
        </w:rPr>
        <w:t>Mod de administrare migalastat:</w:t>
      </w:r>
      <w:r w:rsidRPr="00F941DA">
        <w:rPr>
          <w:rFonts w:ascii="Times New Roman" w:eastAsia="Times New Roman" w:hAnsi="Times New Roman" w:cs="Times New Roman"/>
          <w:sz w:val="24"/>
          <w:szCs w:val="24"/>
          <w:lang w:val="x-none"/>
        </w:rPr>
        <w:t xml:space="preserve"> expunerea scade cu aproximativ 40% atunci când se administrează împreună cu alimente, prin urmare nu trebuie consumate alimente </w:t>
      </w:r>
      <w:r w:rsidRPr="00F941DA">
        <w:rPr>
          <w:rFonts w:ascii="Times New Roman" w:eastAsia="Times New Roman" w:hAnsi="Times New Roman" w:cs="Times New Roman"/>
          <w:b/>
          <w:bCs/>
          <w:sz w:val="24"/>
          <w:szCs w:val="24"/>
          <w:lang w:val="x-none"/>
        </w:rPr>
        <w:t>cu cel puţin 2 ore înainte şi 2 ore după administrarea</w:t>
      </w:r>
      <w:r w:rsidRPr="00F941DA">
        <w:rPr>
          <w:rFonts w:ascii="Times New Roman" w:eastAsia="Times New Roman" w:hAnsi="Times New Roman" w:cs="Times New Roman"/>
          <w:sz w:val="24"/>
          <w:szCs w:val="24"/>
          <w:lang w:val="x-none"/>
        </w:rPr>
        <w:t xml:space="preserve"> migalastat, pentru a exista un repaus alimentar de minim 4 ore. În această perioadă se pot consuma lichide clare, inclusiv băuturi carbogazoase. Pentru asigurarea unor beneficii optime pentru pacient, migalastat trebuie luat o dată la două zile, la aceeaşi oră. Capsulele trebuie înghiţite întregi. Capsulele nu trebuie tăiate, sfărâmate sau mestecate.</w:t>
      </w:r>
    </w:p>
    <w:p w14:paraId="15B57E12"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 xml:space="preserve">    </w:t>
      </w:r>
    </w:p>
    <w:p w14:paraId="6EB24557"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Durata tratamentului cu migalastat: este indefinită, în principiu, pe tot parcursul vieţii.</w:t>
      </w:r>
    </w:p>
    <w:p w14:paraId="481AFB6A"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p>
    <w:p w14:paraId="4E2BDF0F" w14:textId="07BA73E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rPr>
        <w:t>V</w:t>
      </w:r>
      <w:r w:rsidRPr="00F941DA">
        <w:rPr>
          <w:rFonts w:ascii="Times New Roman" w:eastAsia="Times New Roman" w:hAnsi="Times New Roman" w:cs="Times New Roman"/>
          <w:b/>
          <w:bCs/>
          <w:sz w:val="24"/>
          <w:szCs w:val="24"/>
          <w:lang w:val="x-none"/>
        </w:rPr>
        <w:t>. Criterii de excludere din tratamentul cu migalastat (anexa 1, anexa 2)</w:t>
      </w:r>
    </w:p>
    <w:p w14:paraId="04191C38" w14:textId="77777777" w:rsidR="004D3144" w:rsidRPr="00F941DA" w:rsidRDefault="004D3144" w:rsidP="00D11DF1">
      <w:pPr>
        <w:numPr>
          <w:ilvl w:val="0"/>
          <w:numId w:val="15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Se recomandă monitorizarea periodică a funcţiei renale, a parametrilor ecocardiografici şi a markerilor biochimici (o dată la 6 luni) la pacienţii care au început tratamentul cu migalastat sau care au fost trecuţi la acest tratament.</w:t>
      </w:r>
    </w:p>
    <w:p w14:paraId="525C34AF" w14:textId="77777777" w:rsidR="004D3144" w:rsidRPr="00F941DA" w:rsidRDefault="004D3144" w:rsidP="00D11DF1">
      <w:pPr>
        <w:numPr>
          <w:ilvl w:val="0"/>
          <w:numId w:val="15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În cazul unei deteriorări clinice semnificative, trebuie avută în vedere evaluarea clinică suplimentară sau întreruperea tratamentului cu migalastat.</w:t>
      </w:r>
    </w:p>
    <w:p w14:paraId="43EC15E3" w14:textId="0A064C39" w:rsidR="004D3144" w:rsidRPr="00F941DA" w:rsidRDefault="004D3144" w:rsidP="00D11DF1">
      <w:pPr>
        <w:numPr>
          <w:ilvl w:val="0"/>
          <w:numId w:val="15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Reacţii adverse severe la medicament</w:t>
      </w:r>
    </w:p>
    <w:p w14:paraId="2EA6D6BC" w14:textId="77777777" w:rsidR="002646F3" w:rsidRPr="00F941DA" w:rsidRDefault="002646F3" w:rsidP="002646F3">
      <w:pPr>
        <w:autoSpaceDE w:val="0"/>
        <w:autoSpaceDN w:val="0"/>
        <w:adjustRightInd w:val="0"/>
        <w:spacing w:after="0" w:line="240" w:lineRule="auto"/>
        <w:ind w:left="284"/>
        <w:jc w:val="both"/>
        <w:rPr>
          <w:rFonts w:ascii="Times New Roman" w:eastAsia="Times New Roman" w:hAnsi="Times New Roman" w:cs="Times New Roman"/>
          <w:sz w:val="24"/>
          <w:szCs w:val="24"/>
          <w:lang w:val="x-none"/>
        </w:rPr>
      </w:pPr>
    </w:p>
    <w:p w14:paraId="4E7648D8" w14:textId="26707959"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sz w:val="24"/>
          <w:szCs w:val="24"/>
        </w:rPr>
      </w:pPr>
      <w:r w:rsidRPr="00F941DA">
        <w:rPr>
          <w:rFonts w:ascii="Times New Roman" w:eastAsia="Times New Roman" w:hAnsi="Times New Roman" w:cs="Times New Roman"/>
          <w:b/>
          <w:sz w:val="24"/>
          <w:szCs w:val="24"/>
        </w:rPr>
        <w:t>Contraindicații:</w:t>
      </w:r>
    </w:p>
    <w:p w14:paraId="2AD555BF" w14:textId="4F7E46C4" w:rsidR="004D3144" w:rsidRPr="00F941DA" w:rsidRDefault="004D3144" w:rsidP="00D11DF1">
      <w:pPr>
        <w:pStyle w:val="ListParagraph"/>
        <w:numPr>
          <w:ilvl w:val="0"/>
          <w:numId w:val="158"/>
        </w:numPr>
        <w:autoSpaceDE w:val="0"/>
        <w:autoSpaceDN w:val="0"/>
        <w:adjustRightInd w:val="0"/>
        <w:ind w:left="426" w:hanging="426"/>
        <w:jc w:val="both"/>
        <w:rPr>
          <w:color w:val="auto"/>
        </w:rPr>
      </w:pPr>
      <w:r w:rsidRPr="00F941DA">
        <w:rPr>
          <w:color w:val="auto"/>
        </w:rPr>
        <w:t>hipersensibilitate la substanța activă sau la oricare dintre excipienții enumerați.</w:t>
      </w:r>
    </w:p>
    <w:p w14:paraId="55473A9B" w14:textId="77777777" w:rsidR="004D3144" w:rsidRPr="00F941DA" w:rsidRDefault="004D3144" w:rsidP="00D11DF1">
      <w:pPr>
        <w:pStyle w:val="ListParagraph"/>
        <w:numPr>
          <w:ilvl w:val="0"/>
          <w:numId w:val="158"/>
        </w:numPr>
        <w:autoSpaceDE w:val="0"/>
        <w:autoSpaceDN w:val="0"/>
        <w:adjustRightInd w:val="0"/>
        <w:ind w:left="426" w:hanging="426"/>
        <w:jc w:val="both"/>
        <w:rPr>
          <w:color w:val="auto"/>
          <w:lang w:val="x-none"/>
        </w:rPr>
      </w:pPr>
      <w:r w:rsidRPr="00F941DA">
        <w:rPr>
          <w:rFonts w:eastAsiaTheme="minorHAnsi"/>
          <w:color w:val="auto"/>
        </w:rPr>
        <w:t>pacienţi cu mutaţii non-sensibile</w:t>
      </w:r>
      <w:r w:rsidRPr="00F941DA">
        <w:rPr>
          <w:color w:val="auto"/>
          <w:lang w:val="x-none"/>
        </w:rPr>
        <w:t>.</w:t>
      </w:r>
    </w:p>
    <w:p w14:paraId="28A02B52" w14:textId="77777777" w:rsidR="004D3144" w:rsidRPr="00F941DA" w:rsidRDefault="004D3144" w:rsidP="00D11DF1">
      <w:pPr>
        <w:pStyle w:val="ListParagraph"/>
        <w:numPr>
          <w:ilvl w:val="0"/>
          <w:numId w:val="158"/>
        </w:numPr>
        <w:autoSpaceDE w:val="0"/>
        <w:autoSpaceDN w:val="0"/>
        <w:adjustRightInd w:val="0"/>
        <w:ind w:left="426" w:hanging="426"/>
        <w:jc w:val="both"/>
        <w:rPr>
          <w:color w:val="auto"/>
        </w:rPr>
      </w:pPr>
      <w:r w:rsidRPr="00F941DA">
        <w:rPr>
          <w:color w:val="auto"/>
        </w:rPr>
        <w:t>femeile aflate la vârsta fertilă care nu utilizează măsuri contraceptive.</w:t>
      </w:r>
    </w:p>
    <w:p w14:paraId="23AAA88E" w14:textId="77777777" w:rsidR="004D3144" w:rsidRPr="00F941DA" w:rsidRDefault="004D3144" w:rsidP="00D11DF1">
      <w:pPr>
        <w:pStyle w:val="ListParagraph"/>
        <w:numPr>
          <w:ilvl w:val="0"/>
          <w:numId w:val="158"/>
        </w:numPr>
        <w:autoSpaceDE w:val="0"/>
        <w:autoSpaceDN w:val="0"/>
        <w:adjustRightInd w:val="0"/>
        <w:ind w:left="426" w:hanging="426"/>
        <w:jc w:val="both"/>
        <w:rPr>
          <w:color w:val="auto"/>
        </w:rPr>
      </w:pPr>
      <w:r w:rsidRPr="00F941DA">
        <w:rPr>
          <w:color w:val="auto"/>
        </w:rPr>
        <w:t>pacienții cu boală Fabry care prezintă o rată de filtrare glomerulară estimată mai mică de 30 ml/min/1,73 m</w:t>
      </w:r>
      <w:r w:rsidRPr="00F941DA">
        <w:rPr>
          <w:color w:val="auto"/>
          <w:vertAlign w:val="superscript"/>
        </w:rPr>
        <w:t>2</w:t>
      </w:r>
      <w:r w:rsidRPr="00F941DA">
        <w:rPr>
          <w:color w:val="auto"/>
        </w:rPr>
        <w:t>.</w:t>
      </w:r>
    </w:p>
    <w:p w14:paraId="23DD3AE4" w14:textId="2540977F" w:rsidR="004D3144" w:rsidRPr="00F941DA" w:rsidRDefault="004D3144" w:rsidP="00D11DF1">
      <w:pPr>
        <w:numPr>
          <w:ilvl w:val="0"/>
          <w:numId w:val="15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rPr>
        <w:t>adolescenți cu vârsta ≥12ani - &lt;18 ani și greutate &lt; 45 kg*</w:t>
      </w:r>
    </w:p>
    <w:p w14:paraId="5BFF4855" w14:textId="77777777" w:rsidR="004D3144" w:rsidRPr="00F941DA" w:rsidRDefault="004D3144" w:rsidP="004D3144">
      <w:pPr>
        <w:autoSpaceDE w:val="0"/>
        <w:autoSpaceDN w:val="0"/>
        <w:adjustRightInd w:val="0"/>
        <w:jc w:val="both"/>
        <w:rPr>
          <w:rFonts w:ascii="Times New Roman" w:hAnsi="Times New Roman" w:cs="Times New Roman"/>
          <w:sz w:val="20"/>
          <w:szCs w:val="20"/>
        </w:rPr>
      </w:pPr>
      <w:r w:rsidRPr="00F941DA">
        <w:rPr>
          <w:rFonts w:ascii="Times New Roman" w:hAnsi="Times New Roman" w:cs="Times New Roman"/>
          <w:sz w:val="20"/>
          <w:szCs w:val="20"/>
        </w:rPr>
        <w:t>* criteriu de temporizare a inițierii tratamentului, până la atingerea greutății de 45 kg</w:t>
      </w:r>
    </w:p>
    <w:p w14:paraId="2D0736BB"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rPr>
      </w:pPr>
    </w:p>
    <w:p w14:paraId="08CB6CB1" w14:textId="12E1F640"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rPr>
        <w:t>VI. E</w:t>
      </w:r>
      <w:r w:rsidRPr="00F941DA">
        <w:rPr>
          <w:rFonts w:ascii="Times New Roman" w:eastAsia="Times New Roman" w:hAnsi="Times New Roman" w:cs="Times New Roman"/>
          <w:b/>
          <w:bCs/>
          <w:sz w:val="24"/>
          <w:szCs w:val="24"/>
          <w:lang w:val="x-none"/>
        </w:rPr>
        <w:t>valuarea şi monitorizarea pacienţilor cu boala Fabry la iniţierea şi pe parcursul terapiei cu migalastat</w:t>
      </w:r>
    </w:p>
    <w:p w14:paraId="7F15841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4"/>
          <w:szCs w:val="24"/>
          <w:lang w:val="x-none"/>
        </w:rPr>
      </w:pPr>
    </w:p>
    <w:tbl>
      <w:tblPr>
        <w:tblW w:w="10311" w:type="dxa"/>
        <w:tblInd w:w="-8" w:type="dxa"/>
        <w:tblLayout w:type="fixed"/>
        <w:tblCellMar>
          <w:left w:w="105" w:type="dxa"/>
          <w:right w:w="105" w:type="dxa"/>
        </w:tblCellMar>
        <w:tblLook w:val="0000" w:firstRow="0" w:lastRow="0" w:firstColumn="0" w:lastColumn="0" w:noHBand="0" w:noVBand="0"/>
      </w:tblPr>
      <w:tblGrid>
        <w:gridCol w:w="1843"/>
        <w:gridCol w:w="4507"/>
        <w:gridCol w:w="3431"/>
        <w:gridCol w:w="530"/>
      </w:tblGrid>
      <w:tr w:rsidR="004D3144" w:rsidRPr="00F941DA" w14:paraId="27E6807B"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77792C43"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b/>
                <w:bCs/>
                <w:sz w:val="20"/>
                <w:szCs w:val="20"/>
                <w:lang w:val="x-none"/>
              </w:rPr>
              <w:t>Evaluare</w:t>
            </w:r>
          </w:p>
        </w:tc>
        <w:tc>
          <w:tcPr>
            <w:tcW w:w="4507" w:type="dxa"/>
            <w:tcBorders>
              <w:top w:val="single" w:sz="6" w:space="0" w:color="000000"/>
              <w:left w:val="single" w:sz="6" w:space="0" w:color="000000"/>
              <w:bottom w:val="single" w:sz="6" w:space="0" w:color="000000"/>
              <w:right w:val="single" w:sz="6" w:space="0" w:color="000000"/>
            </w:tcBorders>
          </w:tcPr>
          <w:p w14:paraId="7EA3F24F"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b/>
                <w:bCs/>
                <w:sz w:val="20"/>
                <w:szCs w:val="20"/>
                <w:lang w:val="x-none"/>
              </w:rPr>
              <w:t>Obiective, criterii şi mijloace</w:t>
            </w:r>
          </w:p>
        </w:tc>
        <w:tc>
          <w:tcPr>
            <w:tcW w:w="3431" w:type="dxa"/>
            <w:tcBorders>
              <w:top w:val="single" w:sz="6" w:space="0" w:color="000000"/>
              <w:left w:val="single" w:sz="6" w:space="0" w:color="000000"/>
              <w:bottom w:val="single" w:sz="6" w:space="0" w:color="000000"/>
              <w:right w:val="single" w:sz="6" w:space="0" w:color="000000"/>
            </w:tcBorders>
          </w:tcPr>
          <w:p w14:paraId="7293B728"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b/>
                <w:bCs/>
                <w:sz w:val="20"/>
                <w:szCs w:val="20"/>
                <w:lang w:val="x-none"/>
              </w:rPr>
              <w:t>Periodicitatea evaluării, Recomandări</w:t>
            </w:r>
          </w:p>
        </w:tc>
      </w:tr>
      <w:tr w:rsidR="004D3144" w:rsidRPr="00F941DA" w14:paraId="7BD05C97" w14:textId="77777777" w:rsidTr="002646F3">
        <w:trPr>
          <w:gridAfter w:val="1"/>
          <w:wAfter w:w="530" w:type="dxa"/>
        </w:trPr>
        <w:tc>
          <w:tcPr>
            <w:tcW w:w="1843" w:type="dxa"/>
            <w:tcBorders>
              <w:top w:val="single" w:sz="6" w:space="0" w:color="000000"/>
              <w:left w:val="single" w:sz="6" w:space="0" w:color="000000"/>
              <w:bottom w:val="nil"/>
              <w:right w:val="single" w:sz="6" w:space="0" w:color="000000"/>
            </w:tcBorders>
          </w:tcPr>
          <w:p w14:paraId="50DBA76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Generală</w:t>
            </w:r>
          </w:p>
        </w:tc>
        <w:tc>
          <w:tcPr>
            <w:tcW w:w="4507" w:type="dxa"/>
            <w:tcBorders>
              <w:top w:val="single" w:sz="6" w:space="0" w:color="000000"/>
              <w:left w:val="single" w:sz="6" w:space="0" w:color="000000"/>
              <w:bottom w:val="nil"/>
              <w:right w:val="single" w:sz="6" w:space="0" w:color="000000"/>
            </w:tcBorders>
          </w:tcPr>
          <w:p w14:paraId="15B2078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Date demografice</w:t>
            </w:r>
          </w:p>
        </w:tc>
        <w:tc>
          <w:tcPr>
            <w:tcW w:w="3431" w:type="dxa"/>
            <w:tcBorders>
              <w:top w:val="single" w:sz="6" w:space="0" w:color="000000"/>
              <w:left w:val="single" w:sz="6" w:space="0" w:color="000000"/>
              <w:bottom w:val="nil"/>
              <w:right w:val="single" w:sz="6" w:space="0" w:color="000000"/>
            </w:tcBorders>
          </w:tcPr>
          <w:p w14:paraId="69D7186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w:t>
            </w:r>
          </w:p>
        </w:tc>
      </w:tr>
      <w:tr w:rsidR="004D3144" w:rsidRPr="00F941DA" w14:paraId="5D0ED447" w14:textId="77777777" w:rsidTr="002646F3">
        <w:trPr>
          <w:gridAfter w:val="1"/>
          <w:wAfter w:w="530" w:type="dxa"/>
        </w:trPr>
        <w:tc>
          <w:tcPr>
            <w:tcW w:w="1843" w:type="dxa"/>
            <w:tcBorders>
              <w:top w:val="nil"/>
              <w:left w:val="single" w:sz="6" w:space="0" w:color="000000"/>
              <w:bottom w:val="nil"/>
              <w:right w:val="single" w:sz="6" w:space="0" w:color="000000"/>
            </w:tcBorders>
          </w:tcPr>
          <w:p w14:paraId="037D150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709B7C7C"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Activitatea enzimatică</w:t>
            </w:r>
          </w:p>
        </w:tc>
        <w:tc>
          <w:tcPr>
            <w:tcW w:w="3431" w:type="dxa"/>
            <w:tcBorders>
              <w:top w:val="nil"/>
              <w:left w:val="single" w:sz="6" w:space="0" w:color="000000"/>
              <w:bottom w:val="nil"/>
              <w:right w:val="single" w:sz="6" w:space="0" w:color="000000"/>
            </w:tcBorders>
          </w:tcPr>
          <w:p w14:paraId="180398E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w:t>
            </w:r>
          </w:p>
        </w:tc>
      </w:tr>
      <w:tr w:rsidR="004D3144" w:rsidRPr="00F941DA" w14:paraId="384C3AA4" w14:textId="77777777" w:rsidTr="002646F3">
        <w:trPr>
          <w:gridAfter w:val="1"/>
          <w:wAfter w:w="530" w:type="dxa"/>
        </w:trPr>
        <w:tc>
          <w:tcPr>
            <w:tcW w:w="1843" w:type="dxa"/>
            <w:tcBorders>
              <w:top w:val="nil"/>
              <w:left w:val="single" w:sz="6" w:space="0" w:color="000000"/>
              <w:bottom w:val="nil"/>
              <w:right w:val="single" w:sz="6" w:space="0" w:color="000000"/>
            </w:tcBorders>
          </w:tcPr>
          <w:p w14:paraId="1CF27E4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1DE29B5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Genotip</w:t>
            </w:r>
          </w:p>
        </w:tc>
        <w:tc>
          <w:tcPr>
            <w:tcW w:w="3431" w:type="dxa"/>
            <w:tcBorders>
              <w:top w:val="nil"/>
              <w:left w:val="single" w:sz="6" w:space="0" w:color="000000"/>
              <w:bottom w:val="nil"/>
              <w:right w:val="single" w:sz="6" w:space="0" w:color="000000"/>
            </w:tcBorders>
          </w:tcPr>
          <w:p w14:paraId="196E51F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w:t>
            </w:r>
          </w:p>
        </w:tc>
      </w:tr>
      <w:tr w:rsidR="004D3144" w:rsidRPr="00F941DA" w14:paraId="21146828" w14:textId="77777777" w:rsidTr="002646F3">
        <w:trPr>
          <w:gridAfter w:val="1"/>
          <w:wAfter w:w="530" w:type="dxa"/>
        </w:trPr>
        <w:tc>
          <w:tcPr>
            <w:tcW w:w="1843" w:type="dxa"/>
            <w:tcBorders>
              <w:top w:val="nil"/>
              <w:left w:val="single" w:sz="6" w:space="0" w:color="000000"/>
              <w:bottom w:val="nil"/>
              <w:right w:val="single" w:sz="6" w:space="0" w:color="000000"/>
            </w:tcBorders>
          </w:tcPr>
          <w:p w14:paraId="5F72765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45332D3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Anamneza şi ex. clinic obiectiv (greutate, înălţime)</w:t>
            </w:r>
          </w:p>
        </w:tc>
        <w:tc>
          <w:tcPr>
            <w:tcW w:w="3431" w:type="dxa"/>
            <w:tcBorders>
              <w:top w:val="nil"/>
              <w:left w:val="single" w:sz="6" w:space="0" w:color="000000"/>
              <w:bottom w:val="nil"/>
              <w:right w:val="single" w:sz="6" w:space="0" w:color="000000"/>
            </w:tcBorders>
          </w:tcPr>
          <w:p w14:paraId="57598A1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61BDEA7C" w14:textId="77777777" w:rsidTr="002646F3">
        <w:trPr>
          <w:gridAfter w:val="1"/>
          <w:wAfter w:w="530" w:type="dxa"/>
        </w:trPr>
        <w:tc>
          <w:tcPr>
            <w:tcW w:w="1843" w:type="dxa"/>
            <w:tcBorders>
              <w:top w:val="nil"/>
              <w:left w:val="single" w:sz="6" w:space="0" w:color="000000"/>
              <w:bottom w:val="single" w:sz="6" w:space="0" w:color="000000"/>
              <w:right w:val="single" w:sz="6" w:space="0" w:color="000000"/>
            </w:tcBorders>
          </w:tcPr>
          <w:p w14:paraId="26EC966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single" w:sz="6" w:space="0" w:color="000000"/>
              <w:right w:val="single" w:sz="6" w:space="0" w:color="000000"/>
            </w:tcBorders>
          </w:tcPr>
          <w:p w14:paraId="5D52DF6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Pedigree-ul clinic</w:t>
            </w:r>
          </w:p>
        </w:tc>
        <w:tc>
          <w:tcPr>
            <w:tcW w:w="3431" w:type="dxa"/>
            <w:tcBorders>
              <w:top w:val="nil"/>
              <w:left w:val="single" w:sz="6" w:space="0" w:color="000000"/>
              <w:bottom w:val="single" w:sz="6" w:space="0" w:color="000000"/>
              <w:right w:val="single" w:sz="6" w:space="0" w:color="000000"/>
            </w:tcBorders>
          </w:tcPr>
          <w:p w14:paraId="4F50970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actualizat la fiecare 6 luni</w:t>
            </w:r>
          </w:p>
        </w:tc>
      </w:tr>
      <w:tr w:rsidR="004D3144" w:rsidRPr="00F941DA" w14:paraId="7831CF6C"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4DD9912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Renală</w:t>
            </w:r>
          </w:p>
        </w:tc>
        <w:tc>
          <w:tcPr>
            <w:tcW w:w="4507" w:type="dxa"/>
            <w:tcBorders>
              <w:top w:val="single" w:sz="6" w:space="0" w:color="000000"/>
              <w:left w:val="single" w:sz="6" w:space="0" w:color="000000"/>
              <w:bottom w:val="single" w:sz="6" w:space="0" w:color="000000"/>
              <w:right w:val="single" w:sz="6" w:space="0" w:color="000000"/>
            </w:tcBorders>
          </w:tcPr>
          <w:p w14:paraId="2EA36E6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Creatinină, uree serică</w:t>
            </w:r>
          </w:p>
        </w:tc>
        <w:tc>
          <w:tcPr>
            <w:tcW w:w="3431" w:type="dxa"/>
            <w:tcBorders>
              <w:top w:val="single" w:sz="6" w:space="0" w:color="000000"/>
              <w:left w:val="single" w:sz="6" w:space="0" w:color="000000"/>
              <w:bottom w:val="single" w:sz="6" w:space="0" w:color="000000"/>
              <w:right w:val="single" w:sz="6" w:space="0" w:color="000000"/>
            </w:tcBorders>
          </w:tcPr>
          <w:p w14:paraId="4ECF0CFB"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5F0D72AA"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29EF651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6004CFFB"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Proteinurie/24 ore sau raport proteinurie/creatininurie din probă random</w:t>
            </w:r>
          </w:p>
        </w:tc>
        <w:tc>
          <w:tcPr>
            <w:tcW w:w="3431" w:type="dxa"/>
            <w:tcBorders>
              <w:top w:val="single" w:sz="6" w:space="0" w:color="000000"/>
              <w:left w:val="single" w:sz="6" w:space="0" w:color="000000"/>
              <w:bottom w:val="single" w:sz="6" w:space="0" w:color="000000"/>
              <w:right w:val="single" w:sz="6" w:space="0" w:color="000000"/>
            </w:tcBorders>
          </w:tcPr>
          <w:p w14:paraId="33ABC0B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0B41F537"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21F4CE75"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47A12B2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Rata filtrării glomerulare (cl.creatininic)</w:t>
            </w:r>
          </w:p>
        </w:tc>
        <w:tc>
          <w:tcPr>
            <w:tcW w:w="3431" w:type="dxa"/>
            <w:tcBorders>
              <w:top w:val="single" w:sz="6" w:space="0" w:color="000000"/>
              <w:left w:val="single" w:sz="6" w:space="0" w:color="000000"/>
              <w:bottom w:val="single" w:sz="6" w:space="0" w:color="000000"/>
              <w:right w:val="single" w:sz="6" w:space="0" w:color="000000"/>
            </w:tcBorders>
          </w:tcPr>
          <w:p w14:paraId="0D01706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6FCFCD86"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7C68F1A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610AA59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Dializă, transplant (da/nu)</w:t>
            </w:r>
          </w:p>
        </w:tc>
        <w:tc>
          <w:tcPr>
            <w:tcW w:w="3431" w:type="dxa"/>
            <w:tcBorders>
              <w:top w:val="single" w:sz="6" w:space="0" w:color="000000"/>
              <w:left w:val="single" w:sz="6" w:space="0" w:color="000000"/>
              <w:bottom w:val="single" w:sz="6" w:space="0" w:color="000000"/>
              <w:right w:val="single" w:sz="6" w:space="0" w:color="000000"/>
            </w:tcBorders>
          </w:tcPr>
          <w:p w14:paraId="707FBF0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6C770B0D" w14:textId="77777777" w:rsidTr="002646F3">
        <w:trPr>
          <w:gridAfter w:val="1"/>
          <w:wAfter w:w="530" w:type="dxa"/>
        </w:trPr>
        <w:tc>
          <w:tcPr>
            <w:tcW w:w="1843" w:type="dxa"/>
            <w:tcBorders>
              <w:top w:val="single" w:sz="6" w:space="0" w:color="000000"/>
              <w:left w:val="single" w:sz="6" w:space="0" w:color="000000"/>
              <w:bottom w:val="nil"/>
              <w:right w:val="single" w:sz="6" w:space="0" w:color="000000"/>
            </w:tcBorders>
          </w:tcPr>
          <w:p w14:paraId="120C7C3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Cardiovasculară</w:t>
            </w:r>
          </w:p>
        </w:tc>
        <w:tc>
          <w:tcPr>
            <w:tcW w:w="4507" w:type="dxa"/>
            <w:tcBorders>
              <w:top w:val="single" w:sz="6" w:space="0" w:color="000000"/>
              <w:left w:val="single" w:sz="6" w:space="0" w:color="000000"/>
              <w:bottom w:val="nil"/>
              <w:right w:val="single" w:sz="6" w:space="0" w:color="000000"/>
            </w:tcBorders>
          </w:tcPr>
          <w:p w14:paraId="0405876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Tensiunea arterială</w:t>
            </w:r>
          </w:p>
        </w:tc>
        <w:tc>
          <w:tcPr>
            <w:tcW w:w="3431" w:type="dxa"/>
            <w:tcBorders>
              <w:top w:val="single" w:sz="6" w:space="0" w:color="000000"/>
              <w:left w:val="single" w:sz="6" w:space="0" w:color="000000"/>
              <w:bottom w:val="nil"/>
              <w:right w:val="single" w:sz="6" w:space="0" w:color="000000"/>
            </w:tcBorders>
          </w:tcPr>
          <w:p w14:paraId="63270EF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2061E540" w14:textId="77777777" w:rsidTr="002646F3">
        <w:trPr>
          <w:gridAfter w:val="1"/>
          <w:wAfter w:w="530" w:type="dxa"/>
        </w:trPr>
        <w:tc>
          <w:tcPr>
            <w:tcW w:w="1843" w:type="dxa"/>
            <w:tcBorders>
              <w:top w:val="nil"/>
              <w:left w:val="single" w:sz="6" w:space="0" w:color="000000"/>
              <w:bottom w:val="single" w:sz="6" w:space="0" w:color="000000"/>
              <w:right w:val="single" w:sz="6" w:space="0" w:color="000000"/>
            </w:tcBorders>
          </w:tcPr>
          <w:p w14:paraId="2DEFD75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single" w:sz="6" w:space="0" w:color="000000"/>
              <w:right w:val="single" w:sz="6" w:space="0" w:color="000000"/>
            </w:tcBorders>
          </w:tcPr>
          <w:p w14:paraId="652470A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ECG, echocardiografie</w:t>
            </w:r>
          </w:p>
        </w:tc>
        <w:tc>
          <w:tcPr>
            <w:tcW w:w="3431" w:type="dxa"/>
            <w:tcBorders>
              <w:top w:val="nil"/>
              <w:left w:val="single" w:sz="6" w:space="0" w:color="000000"/>
              <w:bottom w:val="single" w:sz="6" w:space="0" w:color="000000"/>
              <w:right w:val="single" w:sz="6" w:space="0" w:color="000000"/>
            </w:tcBorders>
          </w:tcPr>
          <w:p w14:paraId="4203A1C5"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24 luni la pacienţi ≤ 35 ani, la fiecare 12 luni la pacienţi &gt; 35 ani*)</w:t>
            </w:r>
          </w:p>
        </w:tc>
      </w:tr>
      <w:tr w:rsidR="004D3144" w:rsidRPr="00F941DA" w14:paraId="7F0A5D24"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66A4843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507031A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Monitorizare Holter, coronarografie</w:t>
            </w:r>
          </w:p>
        </w:tc>
        <w:tc>
          <w:tcPr>
            <w:tcW w:w="3431" w:type="dxa"/>
            <w:tcBorders>
              <w:top w:val="single" w:sz="6" w:space="0" w:color="000000"/>
              <w:left w:val="single" w:sz="6" w:space="0" w:color="000000"/>
              <w:bottom w:val="single" w:sz="6" w:space="0" w:color="000000"/>
              <w:right w:val="single" w:sz="6" w:space="0" w:color="000000"/>
            </w:tcBorders>
          </w:tcPr>
          <w:p w14:paraId="7B2CC18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Suspiciune aritmii, respectiv, angor</w:t>
            </w:r>
          </w:p>
        </w:tc>
      </w:tr>
      <w:tr w:rsidR="004D3144" w:rsidRPr="00F941DA" w14:paraId="421AC811" w14:textId="77777777" w:rsidTr="002646F3">
        <w:trPr>
          <w:gridAfter w:val="1"/>
          <w:wAfter w:w="530" w:type="dxa"/>
        </w:trPr>
        <w:tc>
          <w:tcPr>
            <w:tcW w:w="1843" w:type="dxa"/>
            <w:tcBorders>
              <w:top w:val="single" w:sz="6" w:space="0" w:color="000000"/>
              <w:left w:val="single" w:sz="6" w:space="0" w:color="000000"/>
              <w:bottom w:val="nil"/>
              <w:right w:val="single" w:sz="6" w:space="0" w:color="000000"/>
            </w:tcBorders>
          </w:tcPr>
          <w:p w14:paraId="4BA4385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nil"/>
              <w:right w:val="single" w:sz="6" w:space="0" w:color="000000"/>
            </w:tcBorders>
          </w:tcPr>
          <w:p w14:paraId="7611809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Aritmii (da/nu)</w:t>
            </w:r>
          </w:p>
        </w:tc>
        <w:tc>
          <w:tcPr>
            <w:tcW w:w="3431" w:type="dxa"/>
            <w:tcBorders>
              <w:top w:val="single" w:sz="6" w:space="0" w:color="000000"/>
              <w:left w:val="single" w:sz="6" w:space="0" w:color="000000"/>
              <w:bottom w:val="nil"/>
              <w:right w:val="single" w:sz="6" w:space="0" w:color="000000"/>
            </w:tcBorders>
          </w:tcPr>
          <w:p w14:paraId="187E58A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29F9752A" w14:textId="77777777" w:rsidTr="002646F3">
        <w:trPr>
          <w:gridAfter w:val="1"/>
          <w:wAfter w:w="530" w:type="dxa"/>
        </w:trPr>
        <w:tc>
          <w:tcPr>
            <w:tcW w:w="1843" w:type="dxa"/>
            <w:tcBorders>
              <w:top w:val="nil"/>
              <w:left w:val="single" w:sz="6" w:space="0" w:color="000000"/>
              <w:bottom w:val="nil"/>
              <w:right w:val="single" w:sz="6" w:space="0" w:color="000000"/>
            </w:tcBorders>
          </w:tcPr>
          <w:p w14:paraId="187A1B2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1F6F8A7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Angor (da/nu)</w:t>
            </w:r>
          </w:p>
        </w:tc>
        <w:tc>
          <w:tcPr>
            <w:tcW w:w="3431" w:type="dxa"/>
            <w:tcBorders>
              <w:top w:val="nil"/>
              <w:left w:val="single" w:sz="6" w:space="0" w:color="000000"/>
              <w:bottom w:val="nil"/>
              <w:right w:val="single" w:sz="6" w:space="0" w:color="000000"/>
            </w:tcBorders>
          </w:tcPr>
          <w:p w14:paraId="1520E4E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7BFDC546" w14:textId="77777777" w:rsidTr="002646F3">
        <w:trPr>
          <w:gridAfter w:val="1"/>
          <w:wAfter w:w="530" w:type="dxa"/>
        </w:trPr>
        <w:tc>
          <w:tcPr>
            <w:tcW w:w="1843" w:type="dxa"/>
            <w:tcBorders>
              <w:top w:val="nil"/>
              <w:left w:val="single" w:sz="6" w:space="0" w:color="000000"/>
              <w:bottom w:val="nil"/>
              <w:right w:val="single" w:sz="6" w:space="0" w:color="000000"/>
            </w:tcBorders>
          </w:tcPr>
          <w:p w14:paraId="6210958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31459B5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Infarct miocardic (da/nu)</w:t>
            </w:r>
          </w:p>
        </w:tc>
        <w:tc>
          <w:tcPr>
            <w:tcW w:w="3431" w:type="dxa"/>
            <w:tcBorders>
              <w:top w:val="nil"/>
              <w:left w:val="single" w:sz="6" w:space="0" w:color="000000"/>
              <w:bottom w:val="nil"/>
              <w:right w:val="single" w:sz="6" w:space="0" w:color="000000"/>
            </w:tcBorders>
          </w:tcPr>
          <w:p w14:paraId="566501A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2614103C" w14:textId="77777777" w:rsidTr="002646F3">
        <w:trPr>
          <w:gridAfter w:val="1"/>
          <w:wAfter w:w="530" w:type="dxa"/>
        </w:trPr>
        <w:tc>
          <w:tcPr>
            <w:tcW w:w="1843" w:type="dxa"/>
            <w:tcBorders>
              <w:top w:val="nil"/>
              <w:left w:val="single" w:sz="6" w:space="0" w:color="000000"/>
              <w:bottom w:val="nil"/>
              <w:right w:val="single" w:sz="6" w:space="0" w:color="000000"/>
            </w:tcBorders>
          </w:tcPr>
          <w:p w14:paraId="51860B8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1E7653F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Insuficienţă cardiacă congestivă (da/nu)</w:t>
            </w:r>
          </w:p>
        </w:tc>
        <w:tc>
          <w:tcPr>
            <w:tcW w:w="3431" w:type="dxa"/>
            <w:tcBorders>
              <w:top w:val="nil"/>
              <w:left w:val="single" w:sz="6" w:space="0" w:color="000000"/>
              <w:bottom w:val="nil"/>
              <w:right w:val="single" w:sz="6" w:space="0" w:color="000000"/>
            </w:tcBorders>
          </w:tcPr>
          <w:p w14:paraId="3C806E4B"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1C1A2D29" w14:textId="77777777" w:rsidTr="002646F3">
        <w:trPr>
          <w:gridAfter w:val="1"/>
          <w:wAfter w:w="530" w:type="dxa"/>
        </w:trPr>
        <w:tc>
          <w:tcPr>
            <w:tcW w:w="1843" w:type="dxa"/>
            <w:tcBorders>
              <w:top w:val="nil"/>
              <w:left w:val="single" w:sz="6" w:space="0" w:color="000000"/>
              <w:bottom w:val="single" w:sz="6" w:space="0" w:color="000000"/>
              <w:right w:val="single" w:sz="6" w:space="0" w:color="000000"/>
            </w:tcBorders>
          </w:tcPr>
          <w:p w14:paraId="6ABF913B"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single" w:sz="6" w:space="0" w:color="000000"/>
              <w:right w:val="single" w:sz="6" w:space="0" w:color="000000"/>
            </w:tcBorders>
          </w:tcPr>
          <w:p w14:paraId="5233708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Investigaţii/intervenţii cardiace semnificative (da/nu)</w:t>
            </w:r>
          </w:p>
        </w:tc>
        <w:tc>
          <w:tcPr>
            <w:tcW w:w="3431" w:type="dxa"/>
            <w:tcBorders>
              <w:top w:val="nil"/>
              <w:left w:val="single" w:sz="6" w:space="0" w:color="000000"/>
              <w:bottom w:val="single" w:sz="6" w:space="0" w:color="000000"/>
              <w:right w:val="single" w:sz="6" w:space="0" w:color="000000"/>
            </w:tcBorders>
          </w:tcPr>
          <w:p w14:paraId="1A71D58C"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019542C6"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3343347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Neurologică</w:t>
            </w:r>
          </w:p>
        </w:tc>
        <w:tc>
          <w:tcPr>
            <w:tcW w:w="4507" w:type="dxa"/>
            <w:tcBorders>
              <w:top w:val="single" w:sz="6" w:space="0" w:color="000000"/>
              <w:left w:val="single" w:sz="6" w:space="0" w:color="000000"/>
              <w:bottom w:val="single" w:sz="6" w:space="0" w:color="000000"/>
              <w:right w:val="single" w:sz="6" w:space="0" w:color="000000"/>
            </w:tcBorders>
          </w:tcPr>
          <w:p w14:paraId="343FB5E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Perspiraţie (normală, hipohidroză, anhidroză)</w:t>
            </w:r>
          </w:p>
        </w:tc>
        <w:tc>
          <w:tcPr>
            <w:tcW w:w="3431" w:type="dxa"/>
            <w:tcBorders>
              <w:top w:val="single" w:sz="6" w:space="0" w:color="000000"/>
              <w:left w:val="single" w:sz="6" w:space="0" w:color="000000"/>
              <w:bottom w:val="single" w:sz="6" w:space="0" w:color="000000"/>
              <w:right w:val="single" w:sz="6" w:space="0" w:color="000000"/>
            </w:tcBorders>
          </w:tcPr>
          <w:p w14:paraId="0B3168FC"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386A0956" w14:textId="77777777" w:rsidTr="002646F3">
        <w:trPr>
          <w:gridAfter w:val="1"/>
          <w:wAfter w:w="530" w:type="dxa"/>
        </w:trPr>
        <w:tc>
          <w:tcPr>
            <w:tcW w:w="1843" w:type="dxa"/>
            <w:tcBorders>
              <w:top w:val="single" w:sz="6" w:space="0" w:color="000000"/>
              <w:left w:val="single" w:sz="6" w:space="0" w:color="000000"/>
              <w:bottom w:val="nil"/>
              <w:right w:val="single" w:sz="6" w:space="0" w:color="000000"/>
            </w:tcBorders>
          </w:tcPr>
          <w:p w14:paraId="562F546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nil"/>
              <w:right w:val="single" w:sz="6" w:space="0" w:color="000000"/>
            </w:tcBorders>
          </w:tcPr>
          <w:p w14:paraId="70C5251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Toleranţa la căldură/frig</w:t>
            </w:r>
          </w:p>
        </w:tc>
        <w:tc>
          <w:tcPr>
            <w:tcW w:w="3431" w:type="dxa"/>
            <w:tcBorders>
              <w:top w:val="single" w:sz="6" w:space="0" w:color="000000"/>
              <w:left w:val="single" w:sz="6" w:space="0" w:color="000000"/>
              <w:bottom w:val="nil"/>
              <w:right w:val="single" w:sz="6" w:space="0" w:color="000000"/>
            </w:tcBorders>
          </w:tcPr>
          <w:p w14:paraId="562DDC5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0B0E2D26" w14:textId="77777777" w:rsidTr="002646F3">
        <w:trPr>
          <w:gridAfter w:val="1"/>
          <w:wAfter w:w="530" w:type="dxa"/>
        </w:trPr>
        <w:tc>
          <w:tcPr>
            <w:tcW w:w="1843" w:type="dxa"/>
            <w:tcBorders>
              <w:top w:val="nil"/>
              <w:left w:val="single" w:sz="6" w:space="0" w:color="000000"/>
              <w:bottom w:val="nil"/>
              <w:right w:val="single" w:sz="6" w:space="0" w:color="000000"/>
            </w:tcBorders>
          </w:tcPr>
          <w:p w14:paraId="56F4F00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0DA8F07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Durere cronică/acută (da/nu), tratament</w:t>
            </w:r>
          </w:p>
        </w:tc>
        <w:tc>
          <w:tcPr>
            <w:tcW w:w="3431" w:type="dxa"/>
            <w:tcBorders>
              <w:top w:val="nil"/>
              <w:left w:val="single" w:sz="6" w:space="0" w:color="000000"/>
              <w:bottom w:val="nil"/>
              <w:right w:val="single" w:sz="6" w:space="0" w:color="000000"/>
            </w:tcBorders>
          </w:tcPr>
          <w:p w14:paraId="251E00B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556C09A9" w14:textId="77777777" w:rsidTr="002646F3">
        <w:trPr>
          <w:gridAfter w:val="1"/>
          <w:wAfter w:w="530" w:type="dxa"/>
        </w:trPr>
        <w:tc>
          <w:tcPr>
            <w:tcW w:w="1843" w:type="dxa"/>
            <w:tcBorders>
              <w:top w:val="nil"/>
              <w:left w:val="single" w:sz="6" w:space="0" w:color="000000"/>
              <w:bottom w:val="single" w:sz="6" w:space="0" w:color="000000"/>
              <w:right w:val="single" w:sz="6" w:space="0" w:color="000000"/>
            </w:tcBorders>
          </w:tcPr>
          <w:p w14:paraId="39E6B4E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single" w:sz="6" w:space="0" w:color="000000"/>
              <w:right w:val="single" w:sz="6" w:space="0" w:color="000000"/>
            </w:tcBorders>
          </w:tcPr>
          <w:p w14:paraId="62B751F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Depresie (da/nu)</w:t>
            </w:r>
          </w:p>
        </w:tc>
        <w:tc>
          <w:tcPr>
            <w:tcW w:w="3431" w:type="dxa"/>
            <w:tcBorders>
              <w:top w:val="nil"/>
              <w:left w:val="single" w:sz="6" w:space="0" w:color="000000"/>
              <w:bottom w:val="single" w:sz="6" w:space="0" w:color="000000"/>
              <w:right w:val="single" w:sz="6" w:space="0" w:color="000000"/>
            </w:tcBorders>
          </w:tcPr>
          <w:p w14:paraId="2DD1671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53EE91EC"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2CBB765B"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2EB8525B"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Accident vascular cerebral ischemic (da/nu)</w:t>
            </w:r>
          </w:p>
        </w:tc>
        <w:tc>
          <w:tcPr>
            <w:tcW w:w="3431" w:type="dxa"/>
            <w:tcBorders>
              <w:top w:val="single" w:sz="6" w:space="0" w:color="000000"/>
              <w:left w:val="single" w:sz="6" w:space="0" w:color="000000"/>
              <w:bottom w:val="single" w:sz="6" w:space="0" w:color="000000"/>
              <w:right w:val="single" w:sz="6" w:space="0" w:color="000000"/>
            </w:tcBorders>
          </w:tcPr>
          <w:p w14:paraId="703C49F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3B3B9E4E" w14:textId="77777777" w:rsidTr="002646F3">
        <w:trPr>
          <w:gridAfter w:val="1"/>
          <w:wAfter w:w="530" w:type="dxa"/>
        </w:trPr>
        <w:tc>
          <w:tcPr>
            <w:tcW w:w="1843" w:type="dxa"/>
            <w:tcBorders>
              <w:top w:val="single" w:sz="6" w:space="0" w:color="000000"/>
              <w:left w:val="single" w:sz="6" w:space="0" w:color="000000"/>
              <w:bottom w:val="nil"/>
              <w:right w:val="single" w:sz="6" w:space="0" w:color="000000"/>
            </w:tcBorders>
          </w:tcPr>
          <w:p w14:paraId="0260FB0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nil"/>
              <w:right w:val="single" w:sz="6" w:space="0" w:color="000000"/>
            </w:tcBorders>
          </w:tcPr>
          <w:p w14:paraId="5D8C064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Atac ischemic cerebral tranzitor (da/nu)</w:t>
            </w:r>
          </w:p>
        </w:tc>
        <w:tc>
          <w:tcPr>
            <w:tcW w:w="3431" w:type="dxa"/>
            <w:tcBorders>
              <w:top w:val="single" w:sz="6" w:space="0" w:color="000000"/>
              <w:left w:val="single" w:sz="6" w:space="0" w:color="000000"/>
              <w:bottom w:val="nil"/>
              <w:right w:val="single" w:sz="6" w:space="0" w:color="000000"/>
            </w:tcBorders>
          </w:tcPr>
          <w:p w14:paraId="5FD9A27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303015A0" w14:textId="77777777" w:rsidTr="002646F3">
        <w:trPr>
          <w:gridAfter w:val="1"/>
          <w:wAfter w:w="530" w:type="dxa"/>
        </w:trPr>
        <w:tc>
          <w:tcPr>
            <w:tcW w:w="1843" w:type="dxa"/>
            <w:tcBorders>
              <w:top w:val="nil"/>
              <w:left w:val="single" w:sz="6" w:space="0" w:color="000000"/>
              <w:bottom w:val="single" w:sz="6" w:space="0" w:color="000000"/>
              <w:right w:val="single" w:sz="6" w:space="0" w:color="000000"/>
            </w:tcBorders>
          </w:tcPr>
          <w:p w14:paraId="7934EAB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single" w:sz="6" w:space="0" w:color="000000"/>
              <w:right w:val="single" w:sz="6" w:space="0" w:color="000000"/>
            </w:tcBorders>
          </w:tcPr>
          <w:p w14:paraId="7E1CE975"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Examinare imagistică cerebrală RMN (da/nu)</w:t>
            </w:r>
          </w:p>
        </w:tc>
        <w:tc>
          <w:tcPr>
            <w:tcW w:w="3431" w:type="dxa"/>
            <w:tcBorders>
              <w:top w:val="nil"/>
              <w:left w:val="single" w:sz="6" w:space="0" w:color="000000"/>
              <w:bottom w:val="single" w:sz="6" w:space="0" w:color="000000"/>
              <w:right w:val="single" w:sz="6" w:space="0" w:color="000000"/>
            </w:tcBorders>
          </w:tcPr>
          <w:p w14:paraId="3635274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24 - 36 luni*)</w:t>
            </w:r>
          </w:p>
        </w:tc>
      </w:tr>
      <w:tr w:rsidR="004D3144" w:rsidRPr="00F941DA" w14:paraId="54748F23" w14:textId="77777777" w:rsidTr="002646F3">
        <w:trPr>
          <w:gridAfter w:val="1"/>
          <w:wAfter w:w="530" w:type="dxa"/>
        </w:trPr>
        <w:tc>
          <w:tcPr>
            <w:tcW w:w="1843" w:type="dxa"/>
            <w:tcBorders>
              <w:top w:val="single" w:sz="6" w:space="0" w:color="000000"/>
              <w:left w:val="single" w:sz="6" w:space="0" w:color="000000"/>
              <w:bottom w:val="nil"/>
              <w:right w:val="single" w:sz="6" w:space="0" w:color="000000"/>
            </w:tcBorders>
          </w:tcPr>
          <w:p w14:paraId="3FBA5E4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ORL</w:t>
            </w:r>
          </w:p>
        </w:tc>
        <w:tc>
          <w:tcPr>
            <w:tcW w:w="4507" w:type="dxa"/>
            <w:tcBorders>
              <w:top w:val="single" w:sz="6" w:space="0" w:color="000000"/>
              <w:left w:val="single" w:sz="6" w:space="0" w:color="000000"/>
              <w:bottom w:val="nil"/>
              <w:right w:val="single" w:sz="6" w:space="0" w:color="000000"/>
            </w:tcBorders>
          </w:tcPr>
          <w:p w14:paraId="6BBF009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Hipoacuzie, acufene, vertij (da/nu)</w:t>
            </w:r>
          </w:p>
        </w:tc>
        <w:tc>
          <w:tcPr>
            <w:tcW w:w="3431" w:type="dxa"/>
            <w:tcBorders>
              <w:top w:val="single" w:sz="6" w:space="0" w:color="000000"/>
              <w:left w:val="single" w:sz="6" w:space="0" w:color="000000"/>
              <w:bottom w:val="nil"/>
              <w:right w:val="single" w:sz="6" w:space="0" w:color="000000"/>
            </w:tcBorders>
          </w:tcPr>
          <w:p w14:paraId="198668F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5E8801B4" w14:textId="77777777" w:rsidTr="002646F3">
        <w:trPr>
          <w:gridAfter w:val="1"/>
          <w:wAfter w:w="530" w:type="dxa"/>
        </w:trPr>
        <w:tc>
          <w:tcPr>
            <w:tcW w:w="1843" w:type="dxa"/>
            <w:tcBorders>
              <w:top w:val="nil"/>
              <w:left w:val="single" w:sz="6" w:space="0" w:color="000000"/>
              <w:bottom w:val="single" w:sz="6" w:space="0" w:color="000000"/>
              <w:right w:val="single" w:sz="6" w:space="0" w:color="000000"/>
            </w:tcBorders>
          </w:tcPr>
          <w:p w14:paraId="16A4044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single" w:sz="6" w:space="0" w:color="000000"/>
              <w:right w:val="single" w:sz="6" w:space="0" w:color="000000"/>
            </w:tcBorders>
          </w:tcPr>
          <w:p w14:paraId="2D4544C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Audiograma</w:t>
            </w:r>
          </w:p>
        </w:tc>
        <w:tc>
          <w:tcPr>
            <w:tcW w:w="3431" w:type="dxa"/>
            <w:tcBorders>
              <w:top w:val="nil"/>
              <w:left w:val="single" w:sz="6" w:space="0" w:color="000000"/>
              <w:bottom w:val="single" w:sz="6" w:space="0" w:color="000000"/>
              <w:right w:val="single" w:sz="6" w:space="0" w:color="000000"/>
            </w:tcBorders>
          </w:tcPr>
          <w:p w14:paraId="556D55F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24 - 36 luni*)</w:t>
            </w:r>
          </w:p>
        </w:tc>
      </w:tr>
      <w:tr w:rsidR="004D3144" w:rsidRPr="00F941DA" w14:paraId="69056C83"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22B644D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Gastroenterologică</w:t>
            </w:r>
          </w:p>
        </w:tc>
        <w:tc>
          <w:tcPr>
            <w:tcW w:w="4507" w:type="dxa"/>
            <w:tcBorders>
              <w:top w:val="single" w:sz="6" w:space="0" w:color="000000"/>
              <w:left w:val="single" w:sz="6" w:space="0" w:color="000000"/>
              <w:bottom w:val="single" w:sz="6" w:space="0" w:color="000000"/>
              <w:right w:val="single" w:sz="6" w:space="0" w:color="000000"/>
            </w:tcBorders>
          </w:tcPr>
          <w:p w14:paraId="457B958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Dureri abdominale, diaree (da/nu)</w:t>
            </w:r>
          </w:p>
        </w:tc>
        <w:tc>
          <w:tcPr>
            <w:tcW w:w="3431" w:type="dxa"/>
            <w:tcBorders>
              <w:top w:val="single" w:sz="6" w:space="0" w:color="000000"/>
              <w:left w:val="single" w:sz="6" w:space="0" w:color="000000"/>
              <w:bottom w:val="single" w:sz="6" w:space="0" w:color="000000"/>
              <w:right w:val="single" w:sz="6" w:space="0" w:color="000000"/>
            </w:tcBorders>
          </w:tcPr>
          <w:p w14:paraId="3124BA2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1E1B191A"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1020C65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Dermatologică</w:t>
            </w:r>
          </w:p>
        </w:tc>
        <w:tc>
          <w:tcPr>
            <w:tcW w:w="4507" w:type="dxa"/>
            <w:tcBorders>
              <w:top w:val="single" w:sz="6" w:space="0" w:color="000000"/>
              <w:left w:val="single" w:sz="6" w:space="0" w:color="000000"/>
              <w:bottom w:val="single" w:sz="6" w:space="0" w:color="000000"/>
              <w:right w:val="single" w:sz="6" w:space="0" w:color="000000"/>
            </w:tcBorders>
          </w:tcPr>
          <w:p w14:paraId="5465CEE5"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Angiokeratoame (prezenţă, evoluţie)</w:t>
            </w:r>
          </w:p>
        </w:tc>
        <w:tc>
          <w:tcPr>
            <w:tcW w:w="3431" w:type="dxa"/>
            <w:tcBorders>
              <w:top w:val="single" w:sz="6" w:space="0" w:color="000000"/>
              <w:left w:val="single" w:sz="6" w:space="0" w:color="000000"/>
              <w:bottom w:val="single" w:sz="6" w:space="0" w:color="000000"/>
              <w:right w:val="single" w:sz="6" w:space="0" w:color="000000"/>
            </w:tcBorders>
          </w:tcPr>
          <w:p w14:paraId="60BF187B"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73699720"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109EBBF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Respiratorie</w:t>
            </w:r>
          </w:p>
        </w:tc>
        <w:tc>
          <w:tcPr>
            <w:tcW w:w="4507" w:type="dxa"/>
            <w:tcBorders>
              <w:top w:val="single" w:sz="6" w:space="0" w:color="000000"/>
              <w:left w:val="single" w:sz="6" w:space="0" w:color="000000"/>
              <w:bottom w:val="single" w:sz="6" w:space="0" w:color="000000"/>
              <w:right w:val="single" w:sz="6" w:space="0" w:color="000000"/>
            </w:tcBorders>
          </w:tcPr>
          <w:p w14:paraId="349C903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Tuse, sindrom de obstrucţie bronşică (da/nu)</w:t>
            </w:r>
          </w:p>
        </w:tc>
        <w:tc>
          <w:tcPr>
            <w:tcW w:w="3431" w:type="dxa"/>
            <w:tcBorders>
              <w:top w:val="single" w:sz="6" w:space="0" w:color="000000"/>
              <w:left w:val="single" w:sz="6" w:space="0" w:color="000000"/>
              <w:bottom w:val="single" w:sz="6" w:space="0" w:color="000000"/>
              <w:right w:val="single" w:sz="6" w:space="0" w:color="000000"/>
            </w:tcBorders>
          </w:tcPr>
          <w:p w14:paraId="7555B0B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36A6507B"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34D7927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4D1A07F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Fumat (da/nu)</w:t>
            </w:r>
          </w:p>
        </w:tc>
        <w:tc>
          <w:tcPr>
            <w:tcW w:w="3431" w:type="dxa"/>
            <w:tcBorders>
              <w:top w:val="single" w:sz="6" w:space="0" w:color="000000"/>
              <w:left w:val="single" w:sz="6" w:space="0" w:color="000000"/>
              <w:bottom w:val="single" w:sz="6" w:space="0" w:color="000000"/>
              <w:right w:val="single" w:sz="6" w:space="0" w:color="000000"/>
            </w:tcBorders>
          </w:tcPr>
          <w:p w14:paraId="7AAF6AE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57D59E25"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256A49B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7999B7F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Spirometrie</w:t>
            </w:r>
          </w:p>
        </w:tc>
        <w:tc>
          <w:tcPr>
            <w:tcW w:w="3431" w:type="dxa"/>
            <w:tcBorders>
              <w:top w:val="single" w:sz="6" w:space="0" w:color="000000"/>
              <w:left w:val="single" w:sz="6" w:space="0" w:color="000000"/>
              <w:bottom w:val="single" w:sz="6" w:space="0" w:color="000000"/>
              <w:right w:val="single" w:sz="6" w:space="0" w:color="000000"/>
            </w:tcBorders>
          </w:tcPr>
          <w:p w14:paraId="193315BC"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anual dacă este anormală, dacă este normală la fiecare 24 - 36 luni</w:t>
            </w:r>
          </w:p>
        </w:tc>
      </w:tr>
      <w:tr w:rsidR="004D3144" w:rsidRPr="00F941DA" w14:paraId="6E7BE2FD"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3920CAE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Oftalmologică</w:t>
            </w:r>
          </w:p>
        </w:tc>
        <w:tc>
          <w:tcPr>
            <w:tcW w:w="4507" w:type="dxa"/>
            <w:tcBorders>
              <w:top w:val="single" w:sz="6" w:space="0" w:color="000000"/>
              <w:left w:val="single" w:sz="6" w:space="0" w:color="000000"/>
              <w:bottom w:val="single" w:sz="6" w:space="0" w:color="000000"/>
              <w:right w:val="single" w:sz="6" w:space="0" w:color="000000"/>
            </w:tcBorders>
          </w:tcPr>
          <w:p w14:paraId="3A14FB7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Acuitate vizuală, oftalmoscopie, ex. biomicroscopic</w:t>
            </w:r>
          </w:p>
        </w:tc>
        <w:tc>
          <w:tcPr>
            <w:tcW w:w="3431" w:type="dxa"/>
            <w:tcBorders>
              <w:top w:val="single" w:sz="6" w:space="0" w:color="000000"/>
              <w:left w:val="single" w:sz="6" w:space="0" w:color="000000"/>
              <w:bottom w:val="single" w:sz="6" w:space="0" w:color="000000"/>
              <w:right w:val="single" w:sz="6" w:space="0" w:color="000000"/>
            </w:tcBorders>
          </w:tcPr>
          <w:p w14:paraId="52003EF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anual dacă există tortuozităţi ale vaselor retiniene</w:t>
            </w:r>
          </w:p>
        </w:tc>
      </w:tr>
      <w:tr w:rsidR="004D3144" w:rsidRPr="00F941DA" w14:paraId="399A857B" w14:textId="77777777" w:rsidTr="002646F3">
        <w:trPr>
          <w:gridAfter w:val="1"/>
          <w:wAfter w:w="530" w:type="dxa"/>
          <w:cantSplit/>
        </w:trPr>
        <w:tc>
          <w:tcPr>
            <w:tcW w:w="1843" w:type="dxa"/>
            <w:vMerge w:val="restart"/>
            <w:tcBorders>
              <w:top w:val="single" w:sz="6" w:space="0" w:color="000000"/>
              <w:left w:val="single" w:sz="6" w:space="0" w:color="000000"/>
              <w:bottom w:val="single" w:sz="6" w:space="0" w:color="000000"/>
              <w:right w:val="single" w:sz="6" w:space="0" w:color="000000"/>
            </w:tcBorders>
          </w:tcPr>
          <w:p w14:paraId="21C007A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Alte teste de laborator</w:t>
            </w:r>
          </w:p>
        </w:tc>
        <w:tc>
          <w:tcPr>
            <w:tcW w:w="4507" w:type="dxa"/>
            <w:tcBorders>
              <w:top w:val="single" w:sz="6" w:space="0" w:color="000000"/>
              <w:left w:val="single" w:sz="6" w:space="0" w:color="000000"/>
              <w:bottom w:val="single" w:sz="6" w:space="0" w:color="000000"/>
              <w:right w:val="single" w:sz="6" w:space="0" w:color="000000"/>
            </w:tcBorders>
          </w:tcPr>
          <w:p w14:paraId="5EF1B84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Profil lipidic</w:t>
            </w:r>
          </w:p>
        </w:tc>
        <w:tc>
          <w:tcPr>
            <w:tcW w:w="3431" w:type="dxa"/>
            <w:tcBorders>
              <w:top w:val="single" w:sz="6" w:space="0" w:color="000000"/>
              <w:left w:val="single" w:sz="6" w:space="0" w:color="000000"/>
              <w:bottom w:val="single" w:sz="6" w:space="0" w:color="000000"/>
              <w:right w:val="single" w:sz="6" w:space="0" w:color="000000"/>
            </w:tcBorders>
          </w:tcPr>
          <w:p w14:paraId="7A37613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anual</w:t>
            </w:r>
          </w:p>
        </w:tc>
      </w:tr>
      <w:tr w:rsidR="004D3144" w:rsidRPr="00F941DA" w14:paraId="54CC06AE" w14:textId="77777777" w:rsidTr="002646F3">
        <w:trPr>
          <w:gridAfter w:val="1"/>
          <w:wAfter w:w="530" w:type="dxa"/>
          <w:cantSplit/>
        </w:trPr>
        <w:tc>
          <w:tcPr>
            <w:tcW w:w="1843" w:type="dxa"/>
            <w:vMerge/>
            <w:tcBorders>
              <w:top w:val="single" w:sz="6" w:space="0" w:color="000000"/>
              <w:left w:val="single" w:sz="6" w:space="0" w:color="000000"/>
              <w:bottom w:val="single" w:sz="6" w:space="0" w:color="000000"/>
              <w:right w:val="single" w:sz="6" w:space="0" w:color="000000"/>
            </w:tcBorders>
          </w:tcPr>
          <w:p w14:paraId="77FF803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1FE5E71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Profil trombofilie (proteina C, proteina S, antitrombina III, etc.)</w:t>
            </w:r>
          </w:p>
        </w:tc>
        <w:tc>
          <w:tcPr>
            <w:tcW w:w="3431" w:type="dxa"/>
            <w:tcBorders>
              <w:top w:val="single" w:sz="6" w:space="0" w:color="000000"/>
              <w:left w:val="single" w:sz="6" w:space="0" w:color="000000"/>
              <w:bottom w:val="single" w:sz="6" w:space="0" w:color="000000"/>
              <w:right w:val="single" w:sz="6" w:space="0" w:color="000000"/>
            </w:tcBorders>
          </w:tcPr>
          <w:p w14:paraId="51DE360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dacă este accesibil</w:t>
            </w:r>
          </w:p>
        </w:tc>
      </w:tr>
      <w:tr w:rsidR="004D3144" w:rsidRPr="00F941DA" w14:paraId="3095CF77"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3229346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Teste de laborator specializate</w:t>
            </w:r>
          </w:p>
        </w:tc>
        <w:tc>
          <w:tcPr>
            <w:tcW w:w="4507" w:type="dxa"/>
            <w:tcBorders>
              <w:top w:val="single" w:sz="6" w:space="0" w:color="000000"/>
              <w:left w:val="single" w:sz="6" w:space="0" w:color="000000"/>
              <w:bottom w:val="single" w:sz="6" w:space="0" w:color="000000"/>
              <w:right w:val="single" w:sz="6" w:space="0" w:color="000000"/>
            </w:tcBorders>
          </w:tcPr>
          <w:p w14:paraId="71CB27A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GL-3 plasmatică, anticorpi IgG serici anti-agalsidasum beta</w:t>
            </w:r>
          </w:p>
        </w:tc>
        <w:tc>
          <w:tcPr>
            <w:tcW w:w="3431" w:type="dxa"/>
            <w:tcBorders>
              <w:top w:val="single" w:sz="6" w:space="0" w:color="000000"/>
              <w:left w:val="single" w:sz="6" w:space="0" w:color="000000"/>
              <w:bottom w:val="single" w:sz="6" w:space="0" w:color="000000"/>
              <w:right w:val="single" w:sz="6" w:space="0" w:color="000000"/>
            </w:tcBorders>
          </w:tcPr>
          <w:p w14:paraId="19BE322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pentru GL-3 plasmatic, la 6 luni de la iniţierea tratamentului pentru ambele, dacă sunt accesibile</w:t>
            </w:r>
          </w:p>
        </w:tc>
      </w:tr>
      <w:tr w:rsidR="004D3144" w:rsidRPr="00F941DA" w14:paraId="637E6FB8" w14:textId="77777777" w:rsidTr="002646F3">
        <w:trPr>
          <w:gridAfter w:val="1"/>
          <w:wAfter w:w="530" w:type="dxa"/>
          <w:cantSplit/>
        </w:trPr>
        <w:tc>
          <w:tcPr>
            <w:tcW w:w="1843" w:type="dxa"/>
            <w:vMerge w:val="restart"/>
            <w:tcBorders>
              <w:top w:val="single" w:sz="6" w:space="0" w:color="000000"/>
              <w:left w:val="single" w:sz="6" w:space="0" w:color="000000"/>
              <w:bottom w:val="single" w:sz="6" w:space="0" w:color="000000"/>
              <w:right w:val="single" w:sz="6" w:space="0" w:color="000000"/>
            </w:tcBorders>
          </w:tcPr>
          <w:p w14:paraId="7E44D9E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Durere/calitatea vieţii</w:t>
            </w:r>
          </w:p>
        </w:tc>
        <w:tc>
          <w:tcPr>
            <w:tcW w:w="4507" w:type="dxa"/>
            <w:tcBorders>
              <w:top w:val="single" w:sz="6" w:space="0" w:color="000000"/>
              <w:left w:val="single" w:sz="6" w:space="0" w:color="000000"/>
              <w:bottom w:val="nil"/>
              <w:right w:val="single" w:sz="6" w:space="0" w:color="000000"/>
            </w:tcBorders>
          </w:tcPr>
          <w:p w14:paraId="32684C4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Chestionar "Inventar sumar al durerii"</w:t>
            </w:r>
          </w:p>
        </w:tc>
        <w:tc>
          <w:tcPr>
            <w:tcW w:w="3431" w:type="dxa"/>
            <w:tcBorders>
              <w:top w:val="single" w:sz="6" w:space="0" w:color="000000"/>
              <w:left w:val="single" w:sz="6" w:space="0" w:color="000000"/>
              <w:bottom w:val="nil"/>
              <w:right w:val="single" w:sz="6" w:space="0" w:color="000000"/>
            </w:tcBorders>
          </w:tcPr>
          <w:p w14:paraId="664440F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3513E92C" w14:textId="77777777" w:rsidTr="002646F3">
        <w:trPr>
          <w:gridAfter w:val="1"/>
          <w:wAfter w:w="530" w:type="dxa"/>
          <w:cantSplit/>
        </w:trPr>
        <w:tc>
          <w:tcPr>
            <w:tcW w:w="1843" w:type="dxa"/>
            <w:vMerge/>
            <w:tcBorders>
              <w:top w:val="single" w:sz="6" w:space="0" w:color="000000"/>
              <w:left w:val="single" w:sz="6" w:space="0" w:color="000000"/>
              <w:bottom w:val="single" w:sz="6" w:space="0" w:color="000000"/>
              <w:right w:val="single" w:sz="6" w:space="0" w:color="000000"/>
            </w:tcBorders>
          </w:tcPr>
          <w:p w14:paraId="0490D41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43244B1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Chestionar de sănătate mos-36 (SF-36)</w:t>
            </w:r>
          </w:p>
        </w:tc>
        <w:tc>
          <w:tcPr>
            <w:tcW w:w="3431" w:type="dxa"/>
            <w:tcBorders>
              <w:top w:val="nil"/>
              <w:left w:val="single" w:sz="6" w:space="0" w:color="000000"/>
              <w:bottom w:val="nil"/>
              <w:right w:val="single" w:sz="6" w:space="0" w:color="000000"/>
            </w:tcBorders>
          </w:tcPr>
          <w:p w14:paraId="6260C28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041EA2D9" w14:textId="77777777" w:rsidTr="002646F3">
        <w:trPr>
          <w:gridAfter w:val="1"/>
          <w:wAfter w:w="530" w:type="dxa"/>
          <w:cantSplit/>
        </w:trPr>
        <w:tc>
          <w:tcPr>
            <w:tcW w:w="1843" w:type="dxa"/>
            <w:vMerge/>
            <w:tcBorders>
              <w:top w:val="single" w:sz="6" w:space="0" w:color="000000"/>
              <w:left w:val="single" w:sz="6" w:space="0" w:color="000000"/>
              <w:bottom w:val="single" w:sz="6" w:space="0" w:color="000000"/>
              <w:right w:val="single" w:sz="6" w:space="0" w:color="000000"/>
            </w:tcBorders>
          </w:tcPr>
          <w:p w14:paraId="57E509E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single" w:sz="6" w:space="0" w:color="000000"/>
              <w:right w:val="single" w:sz="6" w:space="0" w:color="000000"/>
            </w:tcBorders>
          </w:tcPr>
          <w:p w14:paraId="08BB049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Chestionar PedsQL (copii)</w:t>
            </w:r>
          </w:p>
        </w:tc>
        <w:tc>
          <w:tcPr>
            <w:tcW w:w="3431" w:type="dxa"/>
            <w:tcBorders>
              <w:top w:val="nil"/>
              <w:left w:val="single" w:sz="6" w:space="0" w:color="000000"/>
              <w:bottom w:val="single" w:sz="6" w:space="0" w:color="000000"/>
              <w:right w:val="single" w:sz="6" w:space="0" w:color="000000"/>
            </w:tcBorders>
          </w:tcPr>
          <w:p w14:paraId="09AB1A5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Iniţial, la fiecare 6 luni*)</w:t>
            </w:r>
          </w:p>
        </w:tc>
      </w:tr>
      <w:tr w:rsidR="004D3144" w:rsidRPr="00F941DA" w14:paraId="07BDFB05"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265A227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Efecte adverse ale terapiei</w:t>
            </w:r>
          </w:p>
        </w:tc>
        <w:tc>
          <w:tcPr>
            <w:tcW w:w="4507" w:type="dxa"/>
            <w:tcBorders>
              <w:top w:val="single" w:sz="6" w:space="0" w:color="000000"/>
              <w:left w:val="single" w:sz="6" w:space="0" w:color="000000"/>
              <w:bottom w:val="single" w:sz="6" w:space="0" w:color="000000"/>
              <w:right w:val="single" w:sz="6" w:space="0" w:color="000000"/>
            </w:tcBorders>
          </w:tcPr>
          <w:p w14:paraId="6AEA166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3431" w:type="dxa"/>
            <w:tcBorders>
              <w:top w:val="single" w:sz="6" w:space="0" w:color="000000"/>
              <w:left w:val="single" w:sz="6" w:space="0" w:color="000000"/>
              <w:bottom w:val="single" w:sz="6" w:space="0" w:color="000000"/>
              <w:right w:val="single" w:sz="6" w:space="0" w:color="000000"/>
            </w:tcBorders>
          </w:tcPr>
          <w:p w14:paraId="316B984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Monitorizare continuă</w:t>
            </w:r>
          </w:p>
        </w:tc>
      </w:tr>
      <w:tr w:rsidR="004D3144" w:rsidRPr="00F941DA" w14:paraId="6D587386" w14:textId="77777777" w:rsidTr="002646F3">
        <w:tc>
          <w:tcPr>
            <w:tcW w:w="10311" w:type="dxa"/>
            <w:gridSpan w:val="4"/>
            <w:tcBorders>
              <w:top w:val="nil"/>
              <w:left w:val="nil"/>
              <w:bottom w:val="nil"/>
              <w:right w:val="nil"/>
            </w:tcBorders>
          </w:tcPr>
          <w:p w14:paraId="0971C9D4" w14:textId="77777777" w:rsidR="004D3144" w:rsidRPr="00F941DA" w:rsidRDefault="004D3144" w:rsidP="002646F3">
            <w:pPr>
              <w:autoSpaceDE w:val="0"/>
              <w:autoSpaceDN w:val="0"/>
              <w:adjustRightInd w:val="0"/>
              <w:spacing w:after="0" w:line="240" w:lineRule="auto"/>
              <w:ind w:left="-105"/>
              <w:jc w:val="both"/>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b/>
                <w:bCs/>
                <w:sz w:val="20"/>
                <w:szCs w:val="20"/>
                <w:lang w:val="x-none"/>
              </w:rPr>
              <w:t>Notă</w:t>
            </w:r>
          </w:p>
        </w:tc>
      </w:tr>
      <w:tr w:rsidR="004D3144" w:rsidRPr="00F941DA" w14:paraId="5162176B" w14:textId="77777777" w:rsidTr="002646F3">
        <w:trPr>
          <w:trHeight w:val="80"/>
        </w:trPr>
        <w:tc>
          <w:tcPr>
            <w:tcW w:w="10311" w:type="dxa"/>
            <w:gridSpan w:val="4"/>
            <w:tcBorders>
              <w:top w:val="nil"/>
              <w:left w:val="nil"/>
              <w:bottom w:val="nil"/>
              <w:right w:val="nil"/>
            </w:tcBorders>
          </w:tcPr>
          <w:p w14:paraId="7554CDA5" w14:textId="77777777" w:rsidR="004D3144" w:rsidRPr="00F941DA" w:rsidRDefault="004D3144" w:rsidP="002646F3">
            <w:pPr>
              <w:autoSpaceDE w:val="0"/>
              <w:autoSpaceDN w:val="0"/>
              <w:adjustRightInd w:val="0"/>
              <w:spacing w:after="0" w:line="240" w:lineRule="auto"/>
              <w:ind w:left="-105" w:right="425"/>
              <w:jc w:val="both"/>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Evaluare necesară la modificare schemei terapeutice sau la apariţia unor complicaţii/evenimente renale, cardiovasculare sau cerebrovasculare</w:t>
            </w:r>
          </w:p>
        </w:tc>
      </w:tr>
    </w:tbl>
    <w:p w14:paraId="3B29540A"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3B89DA40" w14:textId="79215F8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 xml:space="preserve">Evaluarea şi monitorizarea pacienţilor cu boală Fabry ce nu beneficiază de tratament cu MIGALASTAT se face conform criteriilor şi mijloacelor expuse la punctul </w:t>
      </w:r>
      <w:r w:rsidRPr="00F941DA">
        <w:rPr>
          <w:rFonts w:ascii="Times New Roman" w:eastAsia="Times New Roman" w:hAnsi="Times New Roman" w:cs="Times New Roman"/>
          <w:b/>
          <w:bCs/>
          <w:sz w:val="24"/>
          <w:szCs w:val="24"/>
        </w:rPr>
        <w:t>VI</w:t>
      </w:r>
      <w:r w:rsidRPr="00F941DA">
        <w:rPr>
          <w:rFonts w:ascii="Times New Roman" w:eastAsia="Times New Roman" w:hAnsi="Times New Roman" w:cs="Times New Roman"/>
          <w:b/>
          <w:bCs/>
          <w:sz w:val="24"/>
          <w:szCs w:val="24"/>
          <w:lang w:val="x-none"/>
        </w:rPr>
        <w:t>, dar cu periodicitate anuală.</w:t>
      </w:r>
    </w:p>
    <w:p w14:paraId="3286A231"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p>
    <w:p w14:paraId="7208FC94" w14:textId="01C32559"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rPr>
        <w:t xml:space="preserve">VII. </w:t>
      </w:r>
      <w:r w:rsidRPr="00F941DA">
        <w:rPr>
          <w:rFonts w:ascii="Times New Roman" w:eastAsia="Times New Roman" w:hAnsi="Times New Roman" w:cs="Times New Roman"/>
          <w:b/>
          <w:bCs/>
          <w:sz w:val="24"/>
          <w:szCs w:val="24"/>
          <w:lang w:val="x-none"/>
        </w:rPr>
        <w:t>Măsuri terapeutice adjuvante şi preventive pentru cele mai importante manifestări ale bolii Fabry</w:t>
      </w:r>
    </w:p>
    <w:p w14:paraId="5DCE9E3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4"/>
          <w:szCs w:val="24"/>
          <w:lang w:val="x-none"/>
        </w:rPr>
      </w:pPr>
    </w:p>
    <w:tbl>
      <w:tblPr>
        <w:tblW w:w="9781" w:type="dxa"/>
        <w:tblInd w:w="-8" w:type="dxa"/>
        <w:tblLayout w:type="fixed"/>
        <w:tblCellMar>
          <w:left w:w="105" w:type="dxa"/>
          <w:right w:w="105" w:type="dxa"/>
        </w:tblCellMar>
        <w:tblLook w:val="0000" w:firstRow="0" w:lastRow="0" w:firstColumn="0" w:lastColumn="0" w:noHBand="0" w:noVBand="0"/>
      </w:tblPr>
      <w:tblGrid>
        <w:gridCol w:w="1956"/>
        <w:gridCol w:w="2977"/>
        <w:gridCol w:w="4848"/>
      </w:tblGrid>
      <w:tr w:rsidR="004D3144" w:rsidRPr="00F941DA" w14:paraId="4CC1F3D7" w14:textId="77777777" w:rsidTr="002646F3">
        <w:tc>
          <w:tcPr>
            <w:tcW w:w="1956" w:type="dxa"/>
            <w:tcBorders>
              <w:top w:val="single" w:sz="6" w:space="0" w:color="000000"/>
              <w:left w:val="single" w:sz="6" w:space="0" w:color="000000"/>
              <w:bottom w:val="single" w:sz="6" w:space="0" w:color="000000"/>
              <w:right w:val="single" w:sz="6" w:space="0" w:color="000000"/>
            </w:tcBorders>
          </w:tcPr>
          <w:p w14:paraId="5A99A0B1"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b/>
                <w:bCs/>
                <w:sz w:val="20"/>
                <w:szCs w:val="20"/>
                <w:lang w:val="x-none"/>
              </w:rPr>
              <w:t>Domeniu de patologie</w:t>
            </w:r>
          </w:p>
        </w:tc>
        <w:tc>
          <w:tcPr>
            <w:tcW w:w="2977" w:type="dxa"/>
            <w:tcBorders>
              <w:top w:val="single" w:sz="6" w:space="0" w:color="000000"/>
              <w:left w:val="single" w:sz="6" w:space="0" w:color="000000"/>
              <w:bottom w:val="single" w:sz="6" w:space="0" w:color="000000"/>
              <w:right w:val="single" w:sz="6" w:space="0" w:color="000000"/>
            </w:tcBorders>
          </w:tcPr>
          <w:p w14:paraId="52B67CEB"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b/>
                <w:bCs/>
                <w:sz w:val="20"/>
                <w:szCs w:val="20"/>
                <w:lang w:val="x-none"/>
              </w:rPr>
              <w:t>Manifestări</w:t>
            </w:r>
          </w:p>
        </w:tc>
        <w:tc>
          <w:tcPr>
            <w:tcW w:w="4848" w:type="dxa"/>
            <w:tcBorders>
              <w:top w:val="single" w:sz="6" w:space="0" w:color="000000"/>
              <w:left w:val="single" w:sz="6" w:space="0" w:color="000000"/>
              <w:bottom w:val="single" w:sz="6" w:space="0" w:color="000000"/>
              <w:right w:val="single" w:sz="6" w:space="0" w:color="000000"/>
            </w:tcBorders>
          </w:tcPr>
          <w:p w14:paraId="3DE31C50"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b/>
                <w:bCs/>
                <w:sz w:val="20"/>
                <w:szCs w:val="20"/>
                <w:lang w:val="x-none"/>
              </w:rPr>
              <w:t>Tratament adjuvant şi profilactic</w:t>
            </w:r>
          </w:p>
        </w:tc>
      </w:tr>
      <w:tr w:rsidR="004D3144" w:rsidRPr="00F941DA" w14:paraId="1DFA8532" w14:textId="77777777" w:rsidTr="002646F3">
        <w:tc>
          <w:tcPr>
            <w:tcW w:w="1956" w:type="dxa"/>
            <w:tcBorders>
              <w:top w:val="single" w:sz="6" w:space="0" w:color="000000"/>
              <w:left w:val="single" w:sz="6" w:space="0" w:color="000000"/>
              <w:bottom w:val="nil"/>
              <w:right w:val="single" w:sz="6" w:space="0" w:color="000000"/>
            </w:tcBorders>
          </w:tcPr>
          <w:p w14:paraId="47B4639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Renală</w:t>
            </w:r>
          </w:p>
        </w:tc>
        <w:tc>
          <w:tcPr>
            <w:tcW w:w="2977" w:type="dxa"/>
            <w:tcBorders>
              <w:top w:val="single" w:sz="6" w:space="0" w:color="000000"/>
              <w:left w:val="single" w:sz="6" w:space="0" w:color="000000"/>
              <w:bottom w:val="nil"/>
              <w:right w:val="single" w:sz="6" w:space="0" w:color="000000"/>
            </w:tcBorders>
          </w:tcPr>
          <w:p w14:paraId="6E5D3B3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Proteinurie</w:t>
            </w:r>
          </w:p>
        </w:tc>
        <w:tc>
          <w:tcPr>
            <w:tcW w:w="4848" w:type="dxa"/>
            <w:tcBorders>
              <w:top w:val="single" w:sz="6" w:space="0" w:color="000000"/>
              <w:left w:val="single" w:sz="6" w:space="0" w:color="000000"/>
              <w:bottom w:val="nil"/>
              <w:right w:val="single" w:sz="6" w:space="0" w:color="000000"/>
            </w:tcBorders>
          </w:tcPr>
          <w:p w14:paraId="09B5C95C"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Inhibitori ai ECA sau blocanţi ai receptorilor de angiotensină;</w:t>
            </w:r>
          </w:p>
        </w:tc>
      </w:tr>
      <w:tr w:rsidR="004D3144" w:rsidRPr="00F941DA" w14:paraId="4780E9B5" w14:textId="77777777" w:rsidTr="002646F3">
        <w:tc>
          <w:tcPr>
            <w:tcW w:w="1956" w:type="dxa"/>
            <w:tcBorders>
              <w:top w:val="nil"/>
              <w:left w:val="single" w:sz="6" w:space="0" w:color="000000"/>
              <w:bottom w:val="single" w:sz="6" w:space="0" w:color="000000"/>
              <w:right w:val="single" w:sz="6" w:space="0" w:color="000000"/>
            </w:tcBorders>
          </w:tcPr>
          <w:p w14:paraId="2ED4A08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single" w:sz="6" w:space="0" w:color="000000"/>
              <w:right w:val="single" w:sz="6" w:space="0" w:color="000000"/>
            </w:tcBorders>
          </w:tcPr>
          <w:p w14:paraId="2E1F8BA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Uremie</w:t>
            </w:r>
          </w:p>
        </w:tc>
        <w:tc>
          <w:tcPr>
            <w:tcW w:w="4848" w:type="dxa"/>
            <w:tcBorders>
              <w:top w:val="nil"/>
              <w:left w:val="single" w:sz="6" w:space="0" w:color="000000"/>
              <w:bottom w:val="single" w:sz="6" w:space="0" w:color="000000"/>
              <w:right w:val="single" w:sz="6" w:space="0" w:color="000000"/>
            </w:tcBorders>
          </w:tcPr>
          <w:p w14:paraId="0B3D3E05"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Dializă sau transplant renal (donator cu boală Fabry exclus);</w:t>
            </w:r>
          </w:p>
        </w:tc>
      </w:tr>
      <w:tr w:rsidR="004D3144" w:rsidRPr="00F941DA" w14:paraId="591E052D" w14:textId="77777777" w:rsidTr="002646F3">
        <w:tc>
          <w:tcPr>
            <w:tcW w:w="1956" w:type="dxa"/>
            <w:tcBorders>
              <w:top w:val="single" w:sz="6" w:space="0" w:color="000000"/>
              <w:left w:val="single" w:sz="6" w:space="0" w:color="000000"/>
              <w:bottom w:val="nil"/>
              <w:right w:val="single" w:sz="6" w:space="0" w:color="000000"/>
            </w:tcBorders>
          </w:tcPr>
          <w:p w14:paraId="37929ED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Cardiovasculară</w:t>
            </w:r>
          </w:p>
        </w:tc>
        <w:tc>
          <w:tcPr>
            <w:tcW w:w="2977" w:type="dxa"/>
            <w:tcBorders>
              <w:top w:val="single" w:sz="6" w:space="0" w:color="000000"/>
              <w:left w:val="single" w:sz="6" w:space="0" w:color="000000"/>
              <w:bottom w:val="nil"/>
              <w:right w:val="single" w:sz="6" w:space="0" w:color="000000"/>
            </w:tcBorders>
          </w:tcPr>
          <w:p w14:paraId="0EE39E8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Hipertensiune arterială</w:t>
            </w:r>
          </w:p>
        </w:tc>
        <w:tc>
          <w:tcPr>
            <w:tcW w:w="4848" w:type="dxa"/>
            <w:tcBorders>
              <w:top w:val="single" w:sz="6" w:space="0" w:color="000000"/>
              <w:left w:val="single" w:sz="6" w:space="0" w:color="000000"/>
              <w:bottom w:val="nil"/>
              <w:right w:val="single" w:sz="6" w:space="0" w:color="000000"/>
            </w:tcBorders>
          </w:tcPr>
          <w:p w14:paraId="4D4487E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Inhibitori ai ECA, blocanţi ai canalelor de calciu pentru combaterea disfuncţiei endoteliale şi a vasospasmului;</w:t>
            </w:r>
          </w:p>
        </w:tc>
      </w:tr>
      <w:tr w:rsidR="004D3144" w:rsidRPr="00F941DA" w14:paraId="2D19FE84" w14:textId="77777777" w:rsidTr="002646F3">
        <w:tc>
          <w:tcPr>
            <w:tcW w:w="1956" w:type="dxa"/>
            <w:tcBorders>
              <w:top w:val="nil"/>
              <w:left w:val="single" w:sz="6" w:space="0" w:color="000000"/>
              <w:bottom w:val="nil"/>
              <w:right w:val="single" w:sz="6" w:space="0" w:color="000000"/>
            </w:tcBorders>
          </w:tcPr>
          <w:p w14:paraId="6FB976E5"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nil"/>
              <w:right w:val="single" w:sz="6" w:space="0" w:color="000000"/>
            </w:tcBorders>
          </w:tcPr>
          <w:p w14:paraId="3913307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Hiperlipidemie</w:t>
            </w:r>
          </w:p>
        </w:tc>
        <w:tc>
          <w:tcPr>
            <w:tcW w:w="4848" w:type="dxa"/>
            <w:tcBorders>
              <w:top w:val="nil"/>
              <w:left w:val="single" w:sz="6" w:space="0" w:color="000000"/>
              <w:bottom w:val="nil"/>
              <w:right w:val="single" w:sz="6" w:space="0" w:color="000000"/>
            </w:tcBorders>
          </w:tcPr>
          <w:p w14:paraId="303645A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Statine;</w:t>
            </w:r>
          </w:p>
        </w:tc>
      </w:tr>
      <w:tr w:rsidR="004D3144" w:rsidRPr="00F941DA" w14:paraId="74367E2D" w14:textId="77777777" w:rsidTr="002646F3">
        <w:tc>
          <w:tcPr>
            <w:tcW w:w="1956" w:type="dxa"/>
            <w:tcBorders>
              <w:top w:val="nil"/>
              <w:left w:val="single" w:sz="6" w:space="0" w:color="000000"/>
              <w:bottom w:val="nil"/>
              <w:right w:val="single" w:sz="6" w:space="0" w:color="000000"/>
            </w:tcBorders>
          </w:tcPr>
          <w:p w14:paraId="5945DD4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nil"/>
              <w:right w:val="single" w:sz="6" w:space="0" w:color="000000"/>
            </w:tcBorders>
          </w:tcPr>
          <w:p w14:paraId="6847BA85"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Bloc A-V de grad înalt, bradicardie sau tahiaritmii severe</w:t>
            </w:r>
          </w:p>
        </w:tc>
        <w:tc>
          <w:tcPr>
            <w:tcW w:w="4848" w:type="dxa"/>
            <w:tcBorders>
              <w:top w:val="nil"/>
              <w:left w:val="single" w:sz="6" w:space="0" w:color="000000"/>
              <w:bottom w:val="nil"/>
              <w:right w:val="single" w:sz="6" w:space="0" w:color="000000"/>
            </w:tcBorders>
          </w:tcPr>
          <w:p w14:paraId="22CB819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Cardiostimulare permanentă;</w:t>
            </w:r>
          </w:p>
        </w:tc>
      </w:tr>
      <w:tr w:rsidR="004D3144" w:rsidRPr="00F941DA" w14:paraId="0967AEB8" w14:textId="77777777" w:rsidTr="002646F3">
        <w:tc>
          <w:tcPr>
            <w:tcW w:w="1956" w:type="dxa"/>
            <w:tcBorders>
              <w:top w:val="nil"/>
              <w:left w:val="single" w:sz="6" w:space="0" w:color="000000"/>
              <w:bottom w:val="nil"/>
              <w:right w:val="single" w:sz="6" w:space="0" w:color="000000"/>
            </w:tcBorders>
          </w:tcPr>
          <w:p w14:paraId="699370C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nil"/>
              <w:right w:val="single" w:sz="6" w:space="0" w:color="000000"/>
            </w:tcBorders>
          </w:tcPr>
          <w:p w14:paraId="585A091C"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Stenoze coronariene semnificative</w:t>
            </w:r>
          </w:p>
        </w:tc>
        <w:tc>
          <w:tcPr>
            <w:tcW w:w="4848" w:type="dxa"/>
            <w:tcBorders>
              <w:top w:val="nil"/>
              <w:left w:val="single" w:sz="6" w:space="0" w:color="000000"/>
              <w:bottom w:val="nil"/>
              <w:right w:val="single" w:sz="6" w:space="0" w:color="000000"/>
            </w:tcBorders>
          </w:tcPr>
          <w:p w14:paraId="111C655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PTCA sau by-pass aortocoronarian;</w:t>
            </w:r>
          </w:p>
        </w:tc>
      </w:tr>
      <w:tr w:rsidR="004D3144" w:rsidRPr="00F941DA" w14:paraId="775BFC6D" w14:textId="77777777" w:rsidTr="002646F3">
        <w:tc>
          <w:tcPr>
            <w:tcW w:w="1956" w:type="dxa"/>
            <w:tcBorders>
              <w:top w:val="nil"/>
              <w:left w:val="single" w:sz="6" w:space="0" w:color="000000"/>
              <w:bottom w:val="single" w:sz="6" w:space="0" w:color="000000"/>
              <w:right w:val="single" w:sz="6" w:space="0" w:color="000000"/>
            </w:tcBorders>
          </w:tcPr>
          <w:p w14:paraId="69A6779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single" w:sz="6" w:space="0" w:color="000000"/>
              <w:right w:val="single" w:sz="6" w:space="0" w:color="000000"/>
            </w:tcBorders>
          </w:tcPr>
          <w:p w14:paraId="32470F9C"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Insuficienţă cardiacă severă</w:t>
            </w:r>
          </w:p>
        </w:tc>
        <w:tc>
          <w:tcPr>
            <w:tcW w:w="4848" w:type="dxa"/>
            <w:tcBorders>
              <w:top w:val="nil"/>
              <w:left w:val="single" w:sz="6" w:space="0" w:color="000000"/>
              <w:bottom w:val="single" w:sz="6" w:space="0" w:color="000000"/>
              <w:right w:val="single" w:sz="6" w:space="0" w:color="000000"/>
            </w:tcBorders>
          </w:tcPr>
          <w:p w14:paraId="6B2EA42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Transplant cardiac;</w:t>
            </w:r>
          </w:p>
        </w:tc>
      </w:tr>
      <w:tr w:rsidR="004D3144" w:rsidRPr="00F941DA" w14:paraId="28ACDA12" w14:textId="77777777" w:rsidTr="002646F3">
        <w:tc>
          <w:tcPr>
            <w:tcW w:w="1956" w:type="dxa"/>
            <w:tcBorders>
              <w:top w:val="single" w:sz="6" w:space="0" w:color="000000"/>
              <w:left w:val="single" w:sz="6" w:space="0" w:color="000000"/>
              <w:bottom w:val="nil"/>
              <w:right w:val="single" w:sz="6" w:space="0" w:color="000000"/>
            </w:tcBorders>
          </w:tcPr>
          <w:p w14:paraId="1EEFCB7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Neurologică</w:t>
            </w:r>
          </w:p>
        </w:tc>
        <w:tc>
          <w:tcPr>
            <w:tcW w:w="2977" w:type="dxa"/>
            <w:tcBorders>
              <w:top w:val="single" w:sz="6" w:space="0" w:color="000000"/>
              <w:left w:val="single" w:sz="6" w:space="0" w:color="000000"/>
              <w:bottom w:val="nil"/>
              <w:right w:val="single" w:sz="6" w:space="0" w:color="000000"/>
            </w:tcBorders>
          </w:tcPr>
          <w:p w14:paraId="705DADC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Crize dureroase şi acroparestezii</w:t>
            </w:r>
          </w:p>
        </w:tc>
        <w:tc>
          <w:tcPr>
            <w:tcW w:w="4848" w:type="dxa"/>
            <w:tcBorders>
              <w:top w:val="single" w:sz="6" w:space="0" w:color="000000"/>
              <w:left w:val="single" w:sz="6" w:space="0" w:color="000000"/>
              <w:bottom w:val="nil"/>
              <w:right w:val="single" w:sz="6" w:space="0" w:color="000000"/>
            </w:tcBorders>
          </w:tcPr>
          <w:p w14:paraId="54DFCC4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Evitarea efortului fizic, a circumstanţelor care provocă crizele; fenitoin, carbamazepin, gabapentin;</w:t>
            </w:r>
          </w:p>
        </w:tc>
      </w:tr>
      <w:tr w:rsidR="004D3144" w:rsidRPr="00F941DA" w14:paraId="40A16B4B" w14:textId="77777777" w:rsidTr="002646F3">
        <w:tc>
          <w:tcPr>
            <w:tcW w:w="1956" w:type="dxa"/>
            <w:tcBorders>
              <w:top w:val="nil"/>
              <w:left w:val="single" w:sz="6" w:space="0" w:color="000000"/>
              <w:bottom w:val="nil"/>
              <w:right w:val="single" w:sz="6" w:space="0" w:color="000000"/>
            </w:tcBorders>
          </w:tcPr>
          <w:p w14:paraId="0A36BE4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nil"/>
              <w:right w:val="single" w:sz="6" w:space="0" w:color="000000"/>
            </w:tcBorders>
          </w:tcPr>
          <w:p w14:paraId="712F810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Profilaxia accidentelor vasculocerebrale</w:t>
            </w:r>
          </w:p>
        </w:tc>
        <w:tc>
          <w:tcPr>
            <w:tcW w:w="4848" w:type="dxa"/>
            <w:tcBorders>
              <w:top w:val="nil"/>
              <w:left w:val="single" w:sz="6" w:space="0" w:color="000000"/>
              <w:bottom w:val="nil"/>
              <w:right w:val="single" w:sz="6" w:space="0" w:color="000000"/>
            </w:tcBorders>
          </w:tcPr>
          <w:p w14:paraId="46763A25"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Aspirină 80 mg/zi la bărbaţi &gt; 30 ani şi femei &gt; 35 ani; Clopidogrel dacă aspirina nu este tolerată; ambele după accident vasculocerebral ischemic sau atac ischemic tranzitor.</w:t>
            </w:r>
          </w:p>
        </w:tc>
      </w:tr>
      <w:tr w:rsidR="004D3144" w:rsidRPr="00F941DA" w14:paraId="039E0D72" w14:textId="77777777" w:rsidTr="002646F3">
        <w:trPr>
          <w:cantSplit/>
        </w:trPr>
        <w:tc>
          <w:tcPr>
            <w:tcW w:w="1956" w:type="dxa"/>
            <w:tcBorders>
              <w:top w:val="nil"/>
              <w:left w:val="single" w:sz="6" w:space="0" w:color="000000"/>
              <w:bottom w:val="nil"/>
              <w:right w:val="single" w:sz="6" w:space="0" w:color="000000"/>
            </w:tcBorders>
          </w:tcPr>
          <w:p w14:paraId="0B9DEB8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vMerge w:val="restart"/>
            <w:tcBorders>
              <w:top w:val="nil"/>
              <w:left w:val="single" w:sz="6" w:space="0" w:color="000000"/>
              <w:bottom w:val="nil"/>
              <w:right w:val="single" w:sz="6" w:space="0" w:color="000000"/>
            </w:tcBorders>
          </w:tcPr>
          <w:p w14:paraId="44612DE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Depresie, anxietate, abuz de medicamente</w:t>
            </w:r>
          </w:p>
        </w:tc>
        <w:tc>
          <w:tcPr>
            <w:tcW w:w="4848" w:type="dxa"/>
            <w:tcBorders>
              <w:top w:val="nil"/>
              <w:left w:val="single" w:sz="6" w:space="0" w:color="000000"/>
              <w:bottom w:val="nil"/>
              <w:right w:val="single" w:sz="6" w:space="0" w:color="000000"/>
            </w:tcBorders>
          </w:tcPr>
          <w:p w14:paraId="5F2AAF9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Aport adecvat de vit. B12, 6, C, folat.</w:t>
            </w:r>
          </w:p>
        </w:tc>
      </w:tr>
      <w:tr w:rsidR="004D3144" w:rsidRPr="00F941DA" w14:paraId="4633E90E" w14:textId="77777777" w:rsidTr="002646F3">
        <w:trPr>
          <w:cantSplit/>
        </w:trPr>
        <w:tc>
          <w:tcPr>
            <w:tcW w:w="1956" w:type="dxa"/>
            <w:tcBorders>
              <w:top w:val="nil"/>
              <w:left w:val="single" w:sz="6" w:space="0" w:color="000000"/>
              <w:bottom w:val="single" w:sz="6" w:space="0" w:color="000000"/>
              <w:right w:val="single" w:sz="6" w:space="0" w:color="000000"/>
            </w:tcBorders>
          </w:tcPr>
          <w:p w14:paraId="617671A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vMerge/>
            <w:tcBorders>
              <w:top w:val="nil"/>
              <w:left w:val="single" w:sz="6" w:space="0" w:color="000000"/>
              <w:bottom w:val="nil"/>
              <w:right w:val="single" w:sz="6" w:space="0" w:color="000000"/>
            </w:tcBorders>
          </w:tcPr>
          <w:p w14:paraId="17F2159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848" w:type="dxa"/>
            <w:tcBorders>
              <w:top w:val="nil"/>
              <w:left w:val="single" w:sz="6" w:space="0" w:color="000000"/>
              <w:bottom w:val="single" w:sz="6" w:space="0" w:color="000000"/>
              <w:right w:val="single" w:sz="6" w:space="0" w:color="000000"/>
            </w:tcBorders>
          </w:tcPr>
          <w:p w14:paraId="3D321A9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Ex. psihiatric, inhibitori ai recaptării serotoninei;</w:t>
            </w:r>
          </w:p>
        </w:tc>
      </w:tr>
      <w:tr w:rsidR="004D3144" w:rsidRPr="00F941DA" w14:paraId="40749CCC" w14:textId="77777777" w:rsidTr="002646F3">
        <w:tc>
          <w:tcPr>
            <w:tcW w:w="1956" w:type="dxa"/>
            <w:tcBorders>
              <w:top w:val="single" w:sz="6" w:space="0" w:color="000000"/>
              <w:left w:val="single" w:sz="6" w:space="0" w:color="000000"/>
              <w:bottom w:val="nil"/>
              <w:right w:val="single" w:sz="6" w:space="0" w:color="000000"/>
            </w:tcBorders>
          </w:tcPr>
          <w:p w14:paraId="508086C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ORL</w:t>
            </w:r>
          </w:p>
        </w:tc>
        <w:tc>
          <w:tcPr>
            <w:tcW w:w="2977" w:type="dxa"/>
            <w:tcBorders>
              <w:top w:val="single" w:sz="6" w:space="0" w:color="000000"/>
              <w:left w:val="single" w:sz="6" w:space="0" w:color="000000"/>
              <w:bottom w:val="nil"/>
              <w:right w:val="single" w:sz="6" w:space="0" w:color="000000"/>
            </w:tcBorders>
          </w:tcPr>
          <w:p w14:paraId="6DBEEE6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Vertij</w:t>
            </w:r>
          </w:p>
        </w:tc>
        <w:tc>
          <w:tcPr>
            <w:tcW w:w="4848" w:type="dxa"/>
            <w:tcBorders>
              <w:top w:val="single" w:sz="6" w:space="0" w:color="000000"/>
              <w:left w:val="single" w:sz="6" w:space="0" w:color="000000"/>
              <w:bottom w:val="nil"/>
              <w:right w:val="single" w:sz="6" w:space="0" w:color="000000"/>
            </w:tcBorders>
          </w:tcPr>
          <w:p w14:paraId="50CC15F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Trimetobenzamidă, proclorperazină;</w:t>
            </w:r>
          </w:p>
        </w:tc>
      </w:tr>
      <w:tr w:rsidR="004D3144" w:rsidRPr="00F941DA" w14:paraId="69D91775" w14:textId="77777777" w:rsidTr="002646F3">
        <w:tc>
          <w:tcPr>
            <w:tcW w:w="1956" w:type="dxa"/>
            <w:tcBorders>
              <w:top w:val="nil"/>
              <w:left w:val="single" w:sz="6" w:space="0" w:color="000000"/>
              <w:bottom w:val="nil"/>
              <w:right w:val="single" w:sz="6" w:space="0" w:color="000000"/>
            </w:tcBorders>
          </w:tcPr>
          <w:p w14:paraId="54B00AA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nil"/>
              <w:right w:val="single" w:sz="6" w:space="0" w:color="000000"/>
            </w:tcBorders>
          </w:tcPr>
          <w:p w14:paraId="0096CDD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Hipoacuzie</w:t>
            </w:r>
          </w:p>
        </w:tc>
        <w:tc>
          <w:tcPr>
            <w:tcW w:w="4848" w:type="dxa"/>
            <w:tcBorders>
              <w:top w:val="nil"/>
              <w:left w:val="single" w:sz="6" w:space="0" w:color="000000"/>
              <w:bottom w:val="nil"/>
              <w:right w:val="single" w:sz="6" w:space="0" w:color="000000"/>
            </w:tcBorders>
          </w:tcPr>
          <w:p w14:paraId="34638B05"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Protezare auditivă;</w:t>
            </w:r>
          </w:p>
        </w:tc>
      </w:tr>
      <w:tr w:rsidR="004D3144" w:rsidRPr="00F941DA" w14:paraId="258E7422" w14:textId="77777777" w:rsidTr="002646F3">
        <w:tc>
          <w:tcPr>
            <w:tcW w:w="1956" w:type="dxa"/>
            <w:tcBorders>
              <w:top w:val="nil"/>
              <w:left w:val="single" w:sz="6" w:space="0" w:color="000000"/>
              <w:bottom w:val="single" w:sz="6" w:space="0" w:color="000000"/>
              <w:right w:val="single" w:sz="6" w:space="0" w:color="000000"/>
            </w:tcBorders>
          </w:tcPr>
          <w:p w14:paraId="4865C44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single" w:sz="6" w:space="0" w:color="000000"/>
              <w:right w:val="single" w:sz="6" w:space="0" w:color="000000"/>
            </w:tcBorders>
          </w:tcPr>
          <w:p w14:paraId="03278EA5"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Surditate</w:t>
            </w:r>
          </w:p>
        </w:tc>
        <w:tc>
          <w:tcPr>
            <w:tcW w:w="4848" w:type="dxa"/>
            <w:tcBorders>
              <w:top w:val="nil"/>
              <w:left w:val="single" w:sz="6" w:space="0" w:color="000000"/>
              <w:bottom w:val="single" w:sz="6" w:space="0" w:color="000000"/>
              <w:right w:val="single" w:sz="6" w:space="0" w:color="000000"/>
            </w:tcBorders>
          </w:tcPr>
          <w:p w14:paraId="1F9801EC"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Implant cohlear;</w:t>
            </w:r>
          </w:p>
        </w:tc>
      </w:tr>
      <w:tr w:rsidR="004D3144" w:rsidRPr="00F941DA" w14:paraId="09DAA730" w14:textId="77777777" w:rsidTr="002646F3">
        <w:tc>
          <w:tcPr>
            <w:tcW w:w="1956" w:type="dxa"/>
            <w:tcBorders>
              <w:top w:val="single" w:sz="6" w:space="0" w:color="000000"/>
              <w:left w:val="single" w:sz="6" w:space="0" w:color="000000"/>
              <w:bottom w:val="single" w:sz="6" w:space="0" w:color="000000"/>
              <w:right w:val="single" w:sz="6" w:space="0" w:color="000000"/>
            </w:tcBorders>
          </w:tcPr>
          <w:p w14:paraId="650A0C1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Dermatologică</w:t>
            </w:r>
          </w:p>
        </w:tc>
        <w:tc>
          <w:tcPr>
            <w:tcW w:w="2977" w:type="dxa"/>
            <w:tcBorders>
              <w:top w:val="single" w:sz="6" w:space="0" w:color="000000"/>
              <w:left w:val="single" w:sz="6" w:space="0" w:color="000000"/>
              <w:bottom w:val="single" w:sz="6" w:space="0" w:color="000000"/>
              <w:right w:val="single" w:sz="6" w:space="0" w:color="000000"/>
            </w:tcBorders>
          </w:tcPr>
          <w:p w14:paraId="4D7E18E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Angiokeratoame</w:t>
            </w:r>
          </w:p>
        </w:tc>
        <w:tc>
          <w:tcPr>
            <w:tcW w:w="4848" w:type="dxa"/>
            <w:tcBorders>
              <w:top w:val="single" w:sz="6" w:space="0" w:color="000000"/>
              <w:left w:val="single" w:sz="6" w:space="0" w:color="000000"/>
              <w:bottom w:val="single" w:sz="6" w:space="0" w:color="000000"/>
              <w:right w:val="single" w:sz="6" w:space="0" w:color="000000"/>
            </w:tcBorders>
          </w:tcPr>
          <w:p w14:paraId="798F4F1B"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Terapie cu laser;</w:t>
            </w:r>
          </w:p>
        </w:tc>
      </w:tr>
      <w:tr w:rsidR="004D3144" w:rsidRPr="00F941DA" w14:paraId="20253E03" w14:textId="77777777" w:rsidTr="002646F3">
        <w:tc>
          <w:tcPr>
            <w:tcW w:w="1956" w:type="dxa"/>
            <w:tcBorders>
              <w:top w:val="single" w:sz="6" w:space="0" w:color="000000"/>
              <w:left w:val="single" w:sz="6" w:space="0" w:color="000000"/>
              <w:bottom w:val="single" w:sz="6" w:space="0" w:color="000000"/>
              <w:right w:val="single" w:sz="6" w:space="0" w:color="000000"/>
            </w:tcBorders>
          </w:tcPr>
          <w:p w14:paraId="244C90F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Respiratorie</w:t>
            </w:r>
          </w:p>
        </w:tc>
        <w:tc>
          <w:tcPr>
            <w:tcW w:w="2977" w:type="dxa"/>
            <w:tcBorders>
              <w:top w:val="single" w:sz="6" w:space="0" w:color="000000"/>
              <w:left w:val="single" w:sz="6" w:space="0" w:color="000000"/>
              <w:bottom w:val="single" w:sz="6" w:space="0" w:color="000000"/>
              <w:right w:val="single" w:sz="6" w:space="0" w:color="000000"/>
            </w:tcBorders>
          </w:tcPr>
          <w:p w14:paraId="286213D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848" w:type="dxa"/>
            <w:tcBorders>
              <w:top w:val="single" w:sz="6" w:space="0" w:color="000000"/>
              <w:left w:val="single" w:sz="6" w:space="0" w:color="000000"/>
              <w:bottom w:val="single" w:sz="6" w:space="0" w:color="000000"/>
              <w:right w:val="single" w:sz="6" w:space="0" w:color="000000"/>
            </w:tcBorders>
          </w:tcPr>
          <w:p w14:paraId="55A1181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Abandonarea fumatului, bronhodilatatoare;</w:t>
            </w:r>
          </w:p>
        </w:tc>
      </w:tr>
      <w:tr w:rsidR="004D3144" w:rsidRPr="00F941DA" w14:paraId="7E7CA685" w14:textId="77777777" w:rsidTr="002646F3">
        <w:tc>
          <w:tcPr>
            <w:tcW w:w="1956" w:type="dxa"/>
            <w:tcBorders>
              <w:top w:val="single" w:sz="6" w:space="0" w:color="000000"/>
              <w:left w:val="single" w:sz="6" w:space="0" w:color="000000"/>
              <w:bottom w:val="single" w:sz="6" w:space="0" w:color="000000"/>
              <w:right w:val="single" w:sz="6" w:space="0" w:color="000000"/>
            </w:tcBorders>
          </w:tcPr>
          <w:p w14:paraId="4FC8B9E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Gastrointestinală</w:t>
            </w:r>
          </w:p>
        </w:tc>
        <w:tc>
          <w:tcPr>
            <w:tcW w:w="2977" w:type="dxa"/>
            <w:tcBorders>
              <w:top w:val="single" w:sz="6" w:space="0" w:color="000000"/>
              <w:left w:val="single" w:sz="6" w:space="0" w:color="000000"/>
              <w:bottom w:val="single" w:sz="6" w:space="0" w:color="000000"/>
              <w:right w:val="single" w:sz="6" w:space="0" w:color="000000"/>
            </w:tcBorders>
          </w:tcPr>
          <w:p w14:paraId="6290B15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Stază gastrică</w:t>
            </w:r>
          </w:p>
        </w:tc>
        <w:tc>
          <w:tcPr>
            <w:tcW w:w="4848" w:type="dxa"/>
            <w:tcBorders>
              <w:top w:val="single" w:sz="6" w:space="0" w:color="000000"/>
              <w:left w:val="single" w:sz="6" w:space="0" w:color="000000"/>
              <w:bottom w:val="single" w:sz="6" w:space="0" w:color="000000"/>
              <w:right w:val="single" w:sz="6" w:space="0" w:color="000000"/>
            </w:tcBorders>
          </w:tcPr>
          <w:p w14:paraId="63EFB84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Mese mici, fracţionate; metoclopramid</w:t>
            </w:r>
          </w:p>
        </w:tc>
      </w:tr>
    </w:tbl>
    <w:p w14:paraId="0F0D47C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4"/>
          <w:szCs w:val="24"/>
          <w:lang w:val="x-none"/>
        </w:rPr>
      </w:pPr>
    </w:p>
    <w:p w14:paraId="0B86B8AB" w14:textId="7306EFBA"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VI</w:t>
      </w:r>
      <w:r w:rsidRPr="00F941DA">
        <w:rPr>
          <w:rFonts w:ascii="Times New Roman" w:eastAsia="Times New Roman" w:hAnsi="Times New Roman" w:cs="Times New Roman"/>
          <w:b/>
          <w:bCs/>
          <w:sz w:val="24"/>
          <w:szCs w:val="24"/>
        </w:rPr>
        <w:t>II</w:t>
      </w:r>
      <w:r w:rsidRPr="00F941DA">
        <w:rPr>
          <w:rFonts w:ascii="Times New Roman" w:eastAsia="Times New Roman" w:hAnsi="Times New Roman" w:cs="Times New Roman"/>
          <w:b/>
          <w:bCs/>
          <w:sz w:val="24"/>
          <w:szCs w:val="24"/>
          <w:lang w:val="x-none"/>
        </w:rPr>
        <w:t>. Prescriptori</w:t>
      </w:r>
    </w:p>
    <w:p w14:paraId="4A672DC5" w14:textId="5CEC5F0A"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Medicii din specialităţile nefrologie, cardiologie, genetica medicală, neurologie şi pediatrie.</w:t>
      </w:r>
    </w:p>
    <w:p w14:paraId="7353BA80"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6E26BBD4"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Anexa Nr. 1</w:t>
      </w:r>
    </w:p>
    <w:tbl>
      <w:tblPr>
        <w:tblW w:w="10206" w:type="dxa"/>
        <w:tblInd w:w="105" w:type="dxa"/>
        <w:tblLayout w:type="fixed"/>
        <w:tblCellMar>
          <w:left w:w="105" w:type="dxa"/>
          <w:right w:w="105" w:type="dxa"/>
        </w:tblCellMar>
        <w:tblLook w:val="0000" w:firstRow="0" w:lastRow="0" w:firstColumn="0" w:lastColumn="0" w:noHBand="0" w:noVBand="0"/>
      </w:tblPr>
      <w:tblGrid>
        <w:gridCol w:w="10206"/>
      </w:tblGrid>
      <w:tr w:rsidR="004D3144" w:rsidRPr="00F941DA" w14:paraId="38F79B20" w14:textId="77777777" w:rsidTr="004D3144">
        <w:tc>
          <w:tcPr>
            <w:tcW w:w="10206" w:type="dxa"/>
            <w:tcBorders>
              <w:top w:val="nil"/>
              <w:left w:val="nil"/>
              <w:bottom w:val="nil"/>
              <w:right w:val="nil"/>
            </w:tcBorders>
          </w:tcPr>
          <w:p w14:paraId="5F00B39E"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REFERAT DE JUSTIFICARE</w:t>
            </w:r>
          </w:p>
        </w:tc>
      </w:tr>
      <w:tr w:rsidR="004D3144" w:rsidRPr="00F941DA" w14:paraId="3C0868F7" w14:textId="77777777" w:rsidTr="004D3144">
        <w:tc>
          <w:tcPr>
            <w:tcW w:w="10206" w:type="dxa"/>
            <w:tcBorders>
              <w:top w:val="nil"/>
              <w:left w:val="nil"/>
              <w:bottom w:val="nil"/>
              <w:right w:val="nil"/>
            </w:tcBorders>
          </w:tcPr>
          <w:p w14:paraId="0E06F59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4"/>
                <w:szCs w:val="24"/>
                <w:lang w:val="x-none"/>
              </w:rPr>
            </w:pPr>
          </w:p>
        </w:tc>
      </w:tr>
      <w:tr w:rsidR="004D3144" w:rsidRPr="00F941DA" w14:paraId="4EDAACF7" w14:textId="77777777" w:rsidTr="004D3144">
        <w:tc>
          <w:tcPr>
            <w:tcW w:w="10206" w:type="dxa"/>
            <w:tcBorders>
              <w:top w:val="nil"/>
              <w:left w:val="nil"/>
              <w:bottom w:val="nil"/>
              <w:right w:val="nil"/>
            </w:tcBorders>
          </w:tcPr>
          <w:p w14:paraId="29AF8DAB"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În atenţia Comisiei Naţionale pentru aprobarea tratamentului în boala Fabry</w:t>
            </w:r>
          </w:p>
        </w:tc>
      </w:tr>
      <w:tr w:rsidR="004D3144" w:rsidRPr="00F941DA" w14:paraId="133396C6" w14:textId="77777777" w:rsidTr="004D3144">
        <w:tc>
          <w:tcPr>
            <w:tcW w:w="10206" w:type="dxa"/>
            <w:tcBorders>
              <w:top w:val="nil"/>
              <w:left w:val="nil"/>
              <w:bottom w:val="nil"/>
              <w:right w:val="nil"/>
            </w:tcBorders>
          </w:tcPr>
          <w:p w14:paraId="362A636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4"/>
                <w:szCs w:val="24"/>
                <w:lang w:val="x-none"/>
              </w:rPr>
            </w:pPr>
          </w:p>
        </w:tc>
      </w:tr>
      <w:tr w:rsidR="004D3144" w:rsidRPr="00F941DA" w14:paraId="565E1603" w14:textId="77777777" w:rsidTr="004D3144">
        <w:tc>
          <w:tcPr>
            <w:tcW w:w="10206" w:type="dxa"/>
            <w:tcBorders>
              <w:top w:val="nil"/>
              <w:left w:val="nil"/>
              <w:bottom w:val="nil"/>
              <w:right w:val="nil"/>
            </w:tcBorders>
          </w:tcPr>
          <w:p w14:paraId="3D2BDA2F"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t>- BOALA FABRY -</w:t>
            </w:r>
          </w:p>
        </w:tc>
      </w:tr>
      <w:tr w:rsidR="004D3144" w:rsidRPr="00F941DA" w14:paraId="1BE855EA" w14:textId="77777777" w:rsidTr="004D3144">
        <w:tc>
          <w:tcPr>
            <w:tcW w:w="10206" w:type="dxa"/>
            <w:tcBorders>
              <w:top w:val="nil"/>
              <w:left w:val="nil"/>
              <w:bottom w:val="nil"/>
              <w:right w:val="nil"/>
            </w:tcBorders>
          </w:tcPr>
          <w:p w14:paraId="727F623B"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4"/>
                <w:szCs w:val="24"/>
                <w:lang w:val="x-none"/>
              </w:rPr>
            </w:pPr>
          </w:p>
        </w:tc>
      </w:tr>
      <w:tr w:rsidR="004D3144" w:rsidRPr="00F941DA" w14:paraId="7115F12D" w14:textId="77777777" w:rsidTr="004D3144">
        <w:tc>
          <w:tcPr>
            <w:tcW w:w="10206" w:type="dxa"/>
            <w:tcBorders>
              <w:top w:val="nil"/>
              <w:left w:val="nil"/>
              <w:bottom w:val="nil"/>
              <w:right w:val="nil"/>
            </w:tcBorders>
          </w:tcPr>
          <w:p w14:paraId="3B34BBD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FO nr. Aflat în evidenţă din .....</w:t>
            </w:r>
          </w:p>
        </w:tc>
      </w:tr>
      <w:tr w:rsidR="004D3144" w:rsidRPr="00F941DA" w14:paraId="2B86B386" w14:textId="77777777" w:rsidTr="004D3144">
        <w:tc>
          <w:tcPr>
            <w:tcW w:w="10206" w:type="dxa"/>
            <w:tcBorders>
              <w:top w:val="nil"/>
              <w:left w:val="nil"/>
              <w:bottom w:val="nil"/>
              <w:right w:val="nil"/>
            </w:tcBorders>
          </w:tcPr>
          <w:p w14:paraId="71D24AA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Număr dosar/</w:t>
            </w:r>
          </w:p>
        </w:tc>
      </w:tr>
      <w:tr w:rsidR="004D3144" w:rsidRPr="00F941DA" w14:paraId="023B64B0" w14:textId="77777777" w:rsidTr="004D3144">
        <w:tc>
          <w:tcPr>
            <w:tcW w:w="10206" w:type="dxa"/>
            <w:tcBorders>
              <w:top w:val="nil"/>
              <w:left w:val="nil"/>
              <w:bottom w:val="nil"/>
              <w:right w:val="nil"/>
            </w:tcBorders>
          </w:tcPr>
          <w:p w14:paraId="69A1E0D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Pacient</w:t>
            </w:r>
          </w:p>
        </w:tc>
      </w:tr>
      <w:tr w:rsidR="004D3144" w:rsidRPr="00F941DA" w14:paraId="787F773C" w14:textId="77777777" w:rsidTr="004D3144">
        <w:tc>
          <w:tcPr>
            <w:tcW w:w="10206" w:type="dxa"/>
            <w:tcBorders>
              <w:top w:val="nil"/>
              <w:left w:val="nil"/>
              <w:bottom w:val="nil"/>
              <w:right w:val="nil"/>
            </w:tcBorders>
          </w:tcPr>
          <w:p w14:paraId="3B92597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Nume ................................................ Prenume ............................................</w:t>
            </w:r>
          </w:p>
        </w:tc>
      </w:tr>
      <w:tr w:rsidR="004D3144" w:rsidRPr="00F941DA" w14:paraId="33324367" w14:textId="77777777" w:rsidTr="004D3144">
        <w:tc>
          <w:tcPr>
            <w:tcW w:w="10206" w:type="dxa"/>
            <w:tcBorders>
              <w:top w:val="nil"/>
              <w:left w:val="nil"/>
              <w:bottom w:val="nil"/>
              <w:right w:val="nil"/>
            </w:tcBorders>
          </w:tcPr>
          <w:p w14:paraId="4D0E287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Data naşterii ....................................... CNP .............................</w:t>
            </w:r>
          </w:p>
        </w:tc>
      </w:tr>
      <w:tr w:rsidR="004D3144" w:rsidRPr="00F941DA" w14:paraId="72A7EF91" w14:textId="77777777" w:rsidTr="004D3144">
        <w:tc>
          <w:tcPr>
            <w:tcW w:w="10206" w:type="dxa"/>
            <w:tcBorders>
              <w:top w:val="nil"/>
              <w:left w:val="nil"/>
              <w:bottom w:val="nil"/>
              <w:right w:val="nil"/>
            </w:tcBorders>
          </w:tcPr>
          <w:p w14:paraId="2A50A3C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Adresa ....................................................................</w:t>
            </w:r>
          </w:p>
        </w:tc>
      </w:tr>
      <w:tr w:rsidR="004D3144" w:rsidRPr="00F941DA" w14:paraId="705CA66B" w14:textId="77777777" w:rsidTr="004D3144">
        <w:tc>
          <w:tcPr>
            <w:tcW w:w="10206" w:type="dxa"/>
            <w:tcBorders>
              <w:top w:val="nil"/>
              <w:left w:val="nil"/>
              <w:bottom w:val="nil"/>
              <w:right w:val="nil"/>
            </w:tcBorders>
          </w:tcPr>
          <w:p w14:paraId="2F9E8B8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Telefon .......................</w:t>
            </w:r>
          </w:p>
        </w:tc>
      </w:tr>
      <w:tr w:rsidR="004D3144" w:rsidRPr="00F941DA" w14:paraId="395312DC" w14:textId="77777777" w:rsidTr="004D3144">
        <w:tc>
          <w:tcPr>
            <w:tcW w:w="10206" w:type="dxa"/>
            <w:tcBorders>
              <w:top w:val="nil"/>
              <w:left w:val="nil"/>
              <w:bottom w:val="nil"/>
              <w:right w:val="nil"/>
            </w:tcBorders>
          </w:tcPr>
          <w:p w14:paraId="2D693CE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Casa de Asigurări de Sănătate ................................................</w:t>
            </w:r>
          </w:p>
        </w:tc>
      </w:tr>
      <w:tr w:rsidR="004D3144" w:rsidRPr="00F941DA" w14:paraId="0B6F43FE" w14:textId="77777777" w:rsidTr="004D3144">
        <w:tc>
          <w:tcPr>
            <w:tcW w:w="10206" w:type="dxa"/>
            <w:tcBorders>
              <w:top w:val="nil"/>
              <w:left w:val="nil"/>
              <w:bottom w:val="nil"/>
              <w:right w:val="nil"/>
            </w:tcBorders>
          </w:tcPr>
          <w:p w14:paraId="430755B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Medic curant</w:t>
            </w:r>
          </w:p>
        </w:tc>
      </w:tr>
      <w:tr w:rsidR="004D3144" w:rsidRPr="00F941DA" w14:paraId="1F95FDFD" w14:textId="77777777" w:rsidTr="004D3144">
        <w:tc>
          <w:tcPr>
            <w:tcW w:w="10206" w:type="dxa"/>
            <w:tcBorders>
              <w:top w:val="nil"/>
              <w:left w:val="nil"/>
              <w:bottom w:val="nil"/>
              <w:right w:val="nil"/>
            </w:tcBorders>
          </w:tcPr>
          <w:p w14:paraId="46900ED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Nume ...................................... Prenume ......................................... CNP ....................................</w:t>
            </w:r>
          </w:p>
        </w:tc>
      </w:tr>
      <w:tr w:rsidR="004D3144" w:rsidRPr="00F941DA" w14:paraId="4BBDF11C" w14:textId="77777777" w:rsidTr="004D3144">
        <w:tc>
          <w:tcPr>
            <w:tcW w:w="10206" w:type="dxa"/>
            <w:tcBorders>
              <w:top w:val="nil"/>
              <w:left w:val="nil"/>
              <w:bottom w:val="nil"/>
              <w:right w:val="nil"/>
            </w:tcBorders>
          </w:tcPr>
          <w:p w14:paraId="583D890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Parafa şi semnătura ...................</w:t>
            </w:r>
          </w:p>
        </w:tc>
      </w:tr>
      <w:tr w:rsidR="004D3144" w:rsidRPr="00F941DA" w14:paraId="7B662AA1" w14:textId="77777777" w:rsidTr="004D3144">
        <w:tc>
          <w:tcPr>
            <w:tcW w:w="10206" w:type="dxa"/>
            <w:tcBorders>
              <w:top w:val="nil"/>
              <w:left w:val="nil"/>
              <w:bottom w:val="nil"/>
              <w:right w:val="nil"/>
            </w:tcBorders>
          </w:tcPr>
          <w:p w14:paraId="50D7A1C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Specialitatea .............................</w:t>
            </w:r>
          </w:p>
        </w:tc>
      </w:tr>
      <w:tr w:rsidR="004D3144" w:rsidRPr="00F941DA" w14:paraId="1D473889" w14:textId="77777777" w:rsidTr="004D3144">
        <w:tc>
          <w:tcPr>
            <w:tcW w:w="10206" w:type="dxa"/>
            <w:tcBorders>
              <w:top w:val="nil"/>
              <w:left w:val="nil"/>
              <w:bottom w:val="nil"/>
              <w:right w:val="nil"/>
            </w:tcBorders>
          </w:tcPr>
          <w:p w14:paraId="197E4C7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Unitatea sanitară .......................</w:t>
            </w:r>
          </w:p>
        </w:tc>
      </w:tr>
    </w:tbl>
    <w:p w14:paraId="50509D0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bl>
      <w:tblPr>
        <w:tblW w:w="10206" w:type="dxa"/>
        <w:tblInd w:w="105" w:type="dxa"/>
        <w:tblLayout w:type="fixed"/>
        <w:tblCellMar>
          <w:left w:w="105" w:type="dxa"/>
          <w:right w:w="105" w:type="dxa"/>
        </w:tblCellMar>
        <w:tblLook w:val="0000" w:firstRow="0" w:lastRow="0" w:firstColumn="0" w:lastColumn="0" w:noHBand="0" w:noVBand="0"/>
      </w:tblPr>
      <w:tblGrid>
        <w:gridCol w:w="8647"/>
        <w:gridCol w:w="1559"/>
      </w:tblGrid>
      <w:tr w:rsidR="004D3144" w:rsidRPr="00F941DA" w14:paraId="5BC35E64" w14:textId="77777777" w:rsidTr="004D3144">
        <w:tc>
          <w:tcPr>
            <w:tcW w:w="8647" w:type="dxa"/>
            <w:tcBorders>
              <w:top w:val="nil"/>
              <w:left w:val="nil"/>
              <w:bottom w:val="nil"/>
              <w:right w:val="nil"/>
            </w:tcBorders>
          </w:tcPr>
          <w:p w14:paraId="3FA6389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1. Solicitare:</w:t>
            </w:r>
          </w:p>
        </w:tc>
        <w:tc>
          <w:tcPr>
            <w:tcW w:w="1559" w:type="dxa"/>
            <w:tcBorders>
              <w:top w:val="nil"/>
              <w:left w:val="nil"/>
              <w:bottom w:val="nil"/>
              <w:right w:val="nil"/>
            </w:tcBorders>
          </w:tcPr>
          <w:p w14:paraId="66D6DC0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F941DA" w14:paraId="2AADEDB5" w14:textId="77777777" w:rsidTr="004D3144">
        <w:tc>
          <w:tcPr>
            <w:tcW w:w="8647" w:type="dxa"/>
            <w:tcBorders>
              <w:top w:val="nil"/>
              <w:left w:val="nil"/>
              <w:bottom w:val="nil"/>
              <w:right w:val="nil"/>
            </w:tcBorders>
          </w:tcPr>
          <w:p w14:paraId="7109137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Iniţială: </w:t>
            </w:r>
          </w:p>
        </w:tc>
        <w:tc>
          <w:tcPr>
            <w:tcW w:w="1559" w:type="dxa"/>
            <w:tcBorders>
              <w:top w:val="nil"/>
              <w:left w:val="nil"/>
              <w:bottom w:val="nil"/>
              <w:right w:val="nil"/>
            </w:tcBorders>
          </w:tcPr>
          <w:p w14:paraId="043CC714"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639E94FE" w14:textId="77777777" w:rsidTr="004D3144">
        <w:tc>
          <w:tcPr>
            <w:tcW w:w="8647" w:type="dxa"/>
            <w:tcBorders>
              <w:top w:val="nil"/>
              <w:left w:val="nil"/>
              <w:bottom w:val="nil"/>
              <w:right w:val="nil"/>
            </w:tcBorders>
          </w:tcPr>
          <w:p w14:paraId="6D850F5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În continuare:</w:t>
            </w:r>
          </w:p>
        </w:tc>
        <w:tc>
          <w:tcPr>
            <w:tcW w:w="1559" w:type="dxa"/>
            <w:tcBorders>
              <w:top w:val="nil"/>
              <w:left w:val="nil"/>
              <w:bottom w:val="nil"/>
              <w:right w:val="nil"/>
            </w:tcBorders>
          </w:tcPr>
          <w:p w14:paraId="24AB8874"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10A4DEF4" w14:textId="77777777" w:rsidTr="004D3144">
        <w:tc>
          <w:tcPr>
            <w:tcW w:w="8647" w:type="dxa"/>
            <w:tcBorders>
              <w:top w:val="nil"/>
              <w:left w:val="nil"/>
              <w:bottom w:val="nil"/>
              <w:right w:val="nil"/>
            </w:tcBorders>
          </w:tcPr>
          <w:p w14:paraId="55C6BFB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Doza de Migalastatul recomandată ..........................</w:t>
            </w:r>
          </w:p>
        </w:tc>
        <w:tc>
          <w:tcPr>
            <w:tcW w:w="1559" w:type="dxa"/>
            <w:tcBorders>
              <w:top w:val="nil"/>
              <w:left w:val="nil"/>
              <w:bottom w:val="nil"/>
              <w:right w:val="nil"/>
            </w:tcBorders>
          </w:tcPr>
          <w:p w14:paraId="44B5E1D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58BDDCDD" w14:textId="77777777" w:rsidTr="004D3144">
        <w:tc>
          <w:tcPr>
            <w:tcW w:w="8647" w:type="dxa"/>
            <w:tcBorders>
              <w:top w:val="nil"/>
              <w:left w:val="nil"/>
              <w:bottom w:val="nil"/>
              <w:right w:val="nil"/>
            </w:tcBorders>
          </w:tcPr>
          <w:p w14:paraId="2009E9D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2. Date clinice</w:t>
            </w:r>
          </w:p>
        </w:tc>
        <w:tc>
          <w:tcPr>
            <w:tcW w:w="1559" w:type="dxa"/>
            <w:tcBorders>
              <w:top w:val="nil"/>
              <w:left w:val="nil"/>
              <w:bottom w:val="nil"/>
              <w:right w:val="nil"/>
            </w:tcBorders>
          </w:tcPr>
          <w:p w14:paraId="375BD31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F941DA" w14:paraId="6B42AF26" w14:textId="77777777" w:rsidTr="004D3144">
        <w:tc>
          <w:tcPr>
            <w:tcW w:w="8647" w:type="dxa"/>
            <w:tcBorders>
              <w:top w:val="nil"/>
              <w:left w:val="nil"/>
              <w:bottom w:val="nil"/>
              <w:right w:val="nil"/>
            </w:tcBorders>
          </w:tcPr>
          <w:p w14:paraId="06CEFD6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Talia ................. (cm)</w:t>
            </w:r>
          </w:p>
        </w:tc>
        <w:tc>
          <w:tcPr>
            <w:tcW w:w="1559" w:type="dxa"/>
            <w:tcBorders>
              <w:top w:val="nil"/>
              <w:left w:val="nil"/>
              <w:bottom w:val="nil"/>
              <w:right w:val="nil"/>
            </w:tcBorders>
          </w:tcPr>
          <w:p w14:paraId="4DDB25B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16CD9A0C" w14:textId="77777777" w:rsidTr="004D3144">
        <w:tc>
          <w:tcPr>
            <w:tcW w:w="8647" w:type="dxa"/>
            <w:tcBorders>
              <w:top w:val="nil"/>
              <w:left w:val="nil"/>
              <w:bottom w:val="nil"/>
              <w:right w:val="nil"/>
            </w:tcBorders>
          </w:tcPr>
          <w:p w14:paraId="7846448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Greutatea ............. (Kg)</w:t>
            </w:r>
          </w:p>
        </w:tc>
        <w:tc>
          <w:tcPr>
            <w:tcW w:w="1559" w:type="dxa"/>
            <w:tcBorders>
              <w:top w:val="nil"/>
              <w:left w:val="nil"/>
              <w:bottom w:val="nil"/>
              <w:right w:val="nil"/>
            </w:tcBorders>
          </w:tcPr>
          <w:p w14:paraId="3AC0F04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11FAE5FE" w14:textId="77777777" w:rsidTr="004D3144">
        <w:tc>
          <w:tcPr>
            <w:tcW w:w="8647" w:type="dxa"/>
            <w:tcBorders>
              <w:top w:val="nil"/>
              <w:left w:val="nil"/>
              <w:bottom w:val="nil"/>
              <w:right w:val="nil"/>
            </w:tcBorders>
          </w:tcPr>
          <w:p w14:paraId="689B8D2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Data debutului clinic .................</w:t>
            </w:r>
          </w:p>
        </w:tc>
        <w:tc>
          <w:tcPr>
            <w:tcW w:w="1559" w:type="dxa"/>
            <w:tcBorders>
              <w:top w:val="nil"/>
              <w:left w:val="nil"/>
              <w:bottom w:val="nil"/>
              <w:right w:val="nil"/>
            </w:tcBorders>
          </w:tcPr>
          <w:p w14:paraId="3284213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4C1EE4F9" w14:textId="77777777" w:rsidTr="004D3144">
        <w:tc>
          <w:tcPr>
            <w:tcW w:w="8647" w:type="dxa"/>
            <w:tcBorders>
              <w:top w:val="nil"/>
              <w:left w:val="nil"/>
              <w:bottom w:val="nil"/>
              <w:right w:val="nil"/>
            </w:tcBorders>
          </w:tcPr>
          <w:p w14:paraId="6155FEC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Data confirmării diagnosticului .......</w:t>
            </w:r>
          </w:p>
        </w:tc>
        <w:tc>
          <w:tcPr>
            <w:tcW w:w="1559" w:type="dxa"/>
            <w:tcBorders>
              <w:top w:val="nil"/>
              <w:left w:val="nil"/>
              <w:bottom w:val="nil"/>
              <w:right w:val="nil"/>
            </w:tcBorders>
          </w:tcPr>
          <w:p w14:paraId="3B1C6A1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19B39038" w14:textId="77777777" w:rsidTr="004D3144">
        <w:tc>
          <w:tcPr>
            <w:tcW w:w="8647" w:type="dxa"/>
            <w:tcBorders>
              <w:top w:val="nil"/>
              <w:left w:val="nil"/>
              <w:bottom w:val="nil"/>
              <w:right w:val="nil"/>
            </w:tcBorders>
          </w:tcPr>
          <w:p w14:paraId="5842FE85"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Metoda de diagnostic utilizată:</w:t>
            </w:r>
          </w:p>
        </w:tc>
        <w:tc>
          <w:tcPr>
            <w:tcW w:w="1559" w:type="dxa"/>
            <w:tcBorders>
              <w:top w:val="nil"/>
              <w:left w:val="nil"/>
              <w:bottom w:val="nil"/>
              <w:right w:val="nil"/>
            </w:tcBorders>
          </w:tcPr>
          <w:p w14:paraId="1D2B1AE5"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46B904DA" w14:textId="77777777" w:rsidTr="004D3144">
        <w:tc>
          <w:tcPr>
            <w:tcW w:w="10206" w:type="dxa"/>
            <w:gridSpan w:val="2"/>
            <w:tcBorders>
              <w:top w:val="nil"/>
              <w:left w:val="nil"/>
              <w:bottom w:val="nil"/>
              <w:right w:val="nil"/>
            </w:tcBorders>
          </w:tcPr>
          <w:p w14:paraId="18B083B2" w14:textId="77777777" w:rsidR="004D3144" w:rsidRPr="00F941DA" w:rsidRDefault="004D3144" w:rsidP="004D3144">
            <w:pPr>
              <w:autoSpaceDE w:val="0"/>
              <w:autoSpaceDN w:val="0"/>
              <w:adjustRightInd w:val="0"/>
              <w:spacing w:after="0" w:line="240" w:lineRule="auto"/>
              <w:ind w:left="321" w:hanging="321"/>
              <w:jc w:val="both"/>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 determinarea activităţii alfa-galactozidazei plasmatice şi leucocitare - valori ............./(valori de </w:t>
            </w:r>
            <w:r w:rsidRPr="00F941DA">
              <w:rPr>
                <w:rFonts w:ascii="Times New Roman" w:eastAsia="Times New Roman" w:hAnsi="Times New Roman" w:cs="Times New Roman"/>
                <w:sz w:val="20"/>
                <w:szCs w:val="20"/>
              </w:rPr>
              <w:t xml:space="preserve">  </w:t>
            </w:r>
            <w:r w:rsidRPr="00F941DA">
              <w:rPr>
                <w:rFonts w:ascii="Times New Roman" w:eastAsia="Times New Roman" w:hAnsi="Times New Roman" w:cs="Times New Roman"/>
                <w:sz w:val="20"/>
                <w:szCs w:val="20"/>
                <w:lang w:val="x-none"/>
              </w:rPr>
              <w:t>referinţă ale laboratorului ...........)</w:t>
            </w:r>
          </w:p>
        </w:tc>
      </w:tr>
      <w:tr w:rsidR="004D3144" w:rsidRPr="00F941DA" w14:paraId="77178468" w14:textId="77777777" w:rsidTr="004D3144">
        <w:tc>
          <w:tcPr>
            <w:tcW w:w="8647" w:type="dxa"/>
            <w:tcBorders>
              <w:top w:val="nil"/>
              <w:left w:val="nil"/>
              <w:bottom w:val="nil"/>
              <w:right w:val="nil"/>
            </w:tcBorders>
          </w:tcPr>
          <w:p w14:paraId="42FBFA15"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Se anexează în copie buletinul de analiză)</w:t>
            </w:r>
          </w:p>
        </w:tc>
        <w:tc>
          <w:tcPr>
            <w:tcW w:w="1559" w:type="dxa"/>
            <w:tcBorders>
              <w:top w:val="nil"/>
              <w:left w:val="nil"/>
              <w:bottom w:val="nil"/>
              <w:right w:val="nil"/>
            </w:tcBorders>
          </w:tcPr>
          <w:p w14:paraId="57B5DE2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6E3F86C4" w14:textId="77777777" w:rsidTr="004D3144">
        <w:tc>
          <w:tcPr>
            <w:tcW w:w="8647" w:type="dxa"/>
            <w:tcBorders>
              <w:top w:val="nil"/>
              <w:left w:val="nil"/>
              <w:bottom w:val="nil"/>
              <w:right w:val="nil"/>
            </w:tcBorders>
          </w:tcPr>
          <w:p w14:paraId="5C3F839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 Analiza ADN: mutaţia identificată ..............</w:t>
            </w:r>
          </w:p>
        </w:tc>
        <w:tc>
          <w:tcPr>
            <w:tcW w:w="1559" w:type="dxa"/>
            <w:tcBorders>
              <w:top w:val="nil"/>
              <w:left w:val="nil"/>
              <w:bottom w:val="nil"/>
              <w:right w:val="nil"/>
            </w:tcBorders>
          </w:tcPr>
          <w:p w14:paraId="0BA9055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361C1ADD" w14:textId="77777777" w:rsidTr="004D3144">
        <w:tc>
          <w:tcPr>
            <w:tcW w:w="8647" w:type="dxa"/>
            <w:tcBorders>
              <w:top w:val="nil"/>
              <w:left w:val="nil"/>
              <w:bottom w:val="nil"/>
              <w:right w:val="nil"/>
            </w:tcBorders>
          </w:tcPr>
          <w:p w14:paraId="1622001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Se anexează în copie buletinul de analiză)</w:t>
            </w:r>
          </w:p>
        </w:tc>
        <w:tc>
          <w:tcPr>
            <w:tcW w:w="1559" w:type="dxa"/>
            <w:tcBorders>
              <w:top w:val="nil"/>
              <w:left w:val="nil"/>
              <w:bottom w:val="nil"/>
              <w:right w:val="nil"/>
            </w:tcBorders>
          </w:tcPr>
          <w:p w14:paraId="3169778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10F11076" w14:textId="77777777" w:rsidTr="004D3144">
        <w:tc>
          <w:tcPr>
            <w:tcW w:w="8647" w:type="dxa"/>
            <w:tcBorders>
              <w:top w:val="nil"/>
              <w:left w:val="nil"/>
              <w:bottom w:val="nil"/>
              <w:right w:val="nil"/>
            </w:tcBorders>
          </w:tcPr>
          <w:p w14:paraId="6F3F646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3. Evaluarea renală</w:t>
            </w:r>
          </w:p>
        </w:tc>
        <w:tc>
          <w:tcPr>
            <w:tcW w:w="1559" w:type="dxa"/>
            <w:tcBorders>
              <w:top w:val="nil"/>
              <w:left w:val="nil"/>
              <w:bottom w:val="nil"/>
              <w:right w:val="nil"/>
            </w:tcBorders>
          </w:tcPr>
          <w:p w14:paraId="6DFCA92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F941DA" w14:paraId="2543E20A" w14:textId="77777777" w:rsidTr="004D3144">
        <w:tc>
          <w:tcPr>
            <w:tcW w:w="8647" w:type="dxa"/>
            <w:tcBorders>
              <w:top w:val="nil"/>
              <w:left w:val="nil"/>
              <w:bottom w:val="nil"/>
              <w:right w:val="nil"/>
            </w:tcBorders>
          </w:tcPr>
          <w:p w14:paraId="0B113EA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2F9C966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2E930D22" w14:textId="77777777" w:rsidTr="004D3144">
        <w:tc>
          <w:tcPr>
            <w:tcW w:w="8647" w:type="dxa"/>
            <w:tcBorders>
              <w:top w:val="nil"/>
              <w:left w:val="nil"/>
              <w:bottom w:val="nil"/>
              <w:right w:val="nil"/>
            </w:tcBorders>
          </w:tcPr>
          <w:p w14:paraId="3843589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Creatinina serică ..........</w:t>
            </w:r>
          </w:p>
        </w:tc>
        <w:tc>
          <w:tcPr>
            <w:tcW w:w="1559" w:type="dxa"/>
            <w:tcBorders>
              <w:top w:val="nil"/>
              <w:left w:val="nil"/>
              <w:bottom w:val="nil"/>
              <w:right w:val="nil"/>
            </w:tcBorders>
          </w:tcPr>
          <w:p w14:paraId="0AA9C90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2A70E49D" w14:textId="77777777" w:rsidTr="004D3144">
        <w:tc>
          <w:tcPr>
            <w:tcW w:w="8647" w:type="dxa"/>
            <w:tcBorders>
              <w:top w:val="nil"/>
              <w:left w:val="nil"/>
              <w:bottom w:val="nil"/>
              <w:right w:val="nil"/>
            </w:tcBorders>
          </w:tcPr>
          <w:p w14:paraId="5A6B8C2B"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Uree serică ................</w:t>
            </w:r>
          </w:p>
        </w:tc>
        <w:tc>
          <w:tcPr>
            <w:tcW w:w="1559" w:type="dxa"/>
            <w:tcBorders>
              <w:top w:val="nil"/>
              <w:left w:val="nil"/>
              <w:bottom w:val="nil"/>
              <w:right w:val="nil"/>
            </w:tcBorders>
          </w:tcPr>
          <w:p w14:paraId="6AED3E0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49F5A3FE" w14:textId="77777777" w:rsidTr="004D3144">
        <w:tc>
          <w:tcPr>
            <w:tcW w:w="8647" w:type="dxa"/>
            <w:tcBorders>
              <w:top w:val="nil"/>
              <w:left w:val="nil"/>
              <w:bottom w:val="nil"/>
              <w:right w:val="nil"/>
            </w:tcBorders>
          </w:tcPr>
          <w:p w14:paraId="47FF27B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Proteinurie ................</w:t>
            </w:r>
          </w:p>
        </w:tc>
        <w:tc>
          <w:tcPr>
            <w:tcW w:w="1559" w:type="dxa"/>
            <w:tcBorders>
              <w:top w:val="nil"/>
              <w:left w:val="nil"/>
              <w:bottom w:val="nil"/>
              <w:right w:val="nil"/>
            </w:tcBorders>
          </w:tcPr>
          <w:p w14:paraId="22A25DC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796668EB" w14:textId="77777777" w:rsidTr="004D3144">
        <w:tc>
          <w:tcPr>
            <w:tcW w:w="8647" w:type="dxa"/>
            <w:tcBorders>
              <w:top w:val="nil"/>
              <w:left w:val="nil"/>
              <w:bottom w:val="nil"/>
              <w:right w:val="nil"/>
            </w:tcBorders>
          </w:tcPr>
          <w:p w14:paraId="6FA1204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Creatininurie ..............</w:t>
            </w:r>
          </w:p>
        </w:tc>
        <w:tc>
          <w:tcPr>
            <w:tcW w:w="1559" w:type="dxa"/>
            <w:tcBorders>
              <w:top w:val="nil"/>
              <w:left w:val="nil"/>
              <w:bottom w:val="nil"/>
              <w:right w:val="nil"/>
            </w:tcBorders>
          </w:tcPr>
          <w:p w14:paraId="136088A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4F7C18D3" w14:textId="77777777" w:rsidTr="004D3144">
        <w:tc>
          <w:tcPr>
            <w:tcW w:w="8647" w:type="dxa"/>
            <w:tcBorders>
              <w:top w:val="nil"/>
              <w:left w:val="nil"/>
              <w:bottom w:val="nil"/>
              <w:right w:val="nil"/>
            </w:tcBorders>
          </w:tcPr>
          <w:p w14:paraId="68D3F6C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Clearance creatininic ......</w:t>
            </w:r>
          </w:p>
        </w:tc>
        <w:tc>
          <w:tcPr>
            <w:tcW w:w="1559" w:type="dxa"/>
            <w:tcBorders>
              <w:top w:val="nil"/>
              <w:left w:val="nil"/>
              <w:bottom w:val="nil"/>
              <w:right w:val="nil"/>
            </w:tcBorders>
          </w:tcPr>
          <w:p w14:paraId="26B02B5B"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18BE9EC8" w14:textId="77777777" w:rsidTr="004D3144">
        <w:tc>
          <w:tcPr>
            <w:tcW w:w="8647" w:type="dxa"/>
            <w:tcBorders>
              <w:top w:val="nil"/>
              <w:left w:val="nil"/>
              <w:bottom w:val="nil"/>
              <w:right w:val="nil"/>
            </w:tcBorders>
          </w:tcPr>
          <w:p w14:paraId="66D13D8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Dializă </w:t>
            </w:r>
          </w:p>
        </w:tc>
        <w:tc>
          <w:tcPr>
            <w:tcW w:w="1559" w:type="dxa"/>
            <w:tcBorders>
              <w:top w:val="nil"/>
              <w:left w:val="nil"/>
              <w:bottom w:val="nil"/>
              <w:right w:val="nil"/>
            </w:tcBorders>
          </w:tcPr>
          <w:p w14:paraId="04324CF2"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55C7DB5F" w14:textId="77777777" w:rsidTr="004D3144">
        <w:tc>
          <w:tcPr>
            <w:tcW w:w="8647" w:type="dxa"/>
            <w:tcBorders>
              <w:top w:val="nil"/>
              <w:left w:val="nil"/>
              <w:bottom w:val="nil"/>
              <w:right w:val="nil"/>
            </w:tcBorders>
          </w:tcPr>
          <w:p w14:paraId="63DE215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Transplant renal </w:t>
            </w:r>
          </w:p>
        </w:tc>
        <w:tc>
          <w:tcPr>
            <w:tcW w:w="1559" w:type="dxa"/>
            <w:tcBorders>
              <w:top w:val="nil"/>
              <w:left w:val="nil"/>
              <w:bottom w:val="nil"/>
              <w:right w:val="nil"/>
            </w:tcBorders>
          </w:tcPr>
          <w:p w14:paraId="5BB1F9C5"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4576C4A3" w14:textId="77777777" w:rsidTr="004D3144">
        <w:tc>
          <w:tcPr>
            <w:tcW w:w="8647" w:type="dxa"/>
            <w:tcBorders>
              <w:top w:val="nil"/>
              <w:left w:val="nil"/>
              <w:bottom w:val="nil"/>
              <w:right w:val="nil"/>
            </w:tcBorders>
          </w:tcPr>
          <w:p w14:paraId="6F37BF6C"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4. Evaluarea cardiovasculară</w:t>
            </w:r>
          </w:p>
        </w:tc>
        <w:tc>
          <w:tcPr>
            <w:tcW w:w="1559" w:type="dxa"/>
            <w:tcBorders>
              <w:top w:val="nil"/>
              <w:left w:val="nil"/>
              <w:bottom w:val="nil"/>
              <w:right w:val="nil"/>
            </w:tcBorders>
          </w:tcPr>
          <w:p w14:paraId="48B7925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F941DA" w14:paraId="6015B53F" w14:textId="77777777" w:rsidTr="004D3144">
        <w:tc>
          <w:tcPr>
            <w:tcW w:w="8647" w:type="dxa"/>
            <w:tcBorders>
              <w:top w:val="nil"/>
              <w:left w:val="nil"/>
              <w:bottom w:val="nil"/>
              <w:right w:val="nil"/>
            </w:tcBorders>
          </w:tcPr>
          <w:p w14:paraId="78628CA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77BB1B5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3BDC4E13" w14:textId="77777777" w:rsidTr="004D3144">
        <w:tc>
          <w:tcPr>
            <w:tcW w:w="8647" w:type="dxa"/>
            <w:tcBorders>
              <w:top w:val="nil"/>
              <w:left w:val="nil"/>
              <w:bottom w:val="nil"/>
              <w:right w:val="nil"/>
            </w:tcBorders>
          </w:tcPr>
          <w:p w14:paraId="3BD7127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Tensiunea arterială ........</w:t>
            </w:r>
          </w:p>
        </w:tc>
        <w:tc>
          <w:tcPr>
            <w:tcW w:w="1559" w:type="dxa"/>
            <w:tcBorders>
              <w:top w:val="nil"/>
              <w:left w:val="nil"/>
              <w:bottom w:val="nil"/>
              <w:right w:val="nil"/>
            </w:tcBorders>
          </w:tcPr>
          <w:p w14:paraId="44EC649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566DEDC7" w14:textId="77777777" w:rsidTr="004D3144">
        <w:tc>
          <w:tcPr>
            <w:tcW w:w="8647" w:type="dxa"/>
            <w:tcBorders>
              <w:top w:val="nil"/>
              <w:left w:val="nil"/>
              <w:bottom w:val="nil"/>
              <w:right w:val="nil"/>
            </w:tcBorders>
          </w:tcPr>
          <w:p w14:paraId="0DABF87C"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lastRenderedPageBreak/>
              <w:t xml:space="preserve">    Cardiomiopatie hipertrofică </w:t>
            </w:r>
          </w:p>
        </w:tc>
        <w:tc>
          <w:tcPr>
            <w:tcW w:w="1559" w:type="dxa"/>
            <w:tcBorders>
              <w:top w:val="nil"/>
              <w:left w:val="nil"/>
              <w:bottom w:val="nil"/>
              <w:right w:val="nil"/>
            </w:tcBorders>
          </w:tcPr>
          <w:p w14:paraId="19686EC3"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2C80DE35" w14:textId="77777777" w:rsidTr="004D3144">
        <w:tc>
          <w:tcPr>
            <w:tcW w:w="8647" w:type="dxa"/>
            <w:tcBorders>
              <w:top w:val="nil"/>
              <w:left w:val="nil"/>
              <w:bottom w:val="nil"/>
              <w:right w:val="nil"/>
            </w:tcBorders>
          </w:tcPr>
          <w:p w14:paraId="5247DB4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Aritmii </w:t>
            </w:r>
          </w:p>
        </w:tc>
        <w:tc>
          <w:tcPr>
            <w:tcW w:w="1559" w:type="dxa"/>
            <w:tcBorders>
              <w:top w:val="nil"/>
              <w:left w:val="nil"/>
              <w:bottom w:val="nil"/>
              <w:right w:val="nil"/>
            </w:tcBorders>
          </w:tcPr>
          <w:p w14:paraId="29B554BF"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13EBC9CA" w14:textId="77777777" w:rsidTr="004D3144">
        <w:tc>
          <w:tcPr>
            <w:tcW w:w="8647" w:type="dxa"/>
            <w:tcBorders>
              <w:top w:val="nil"/>
              <w:left w:val="nil"/>
              <w:bottom w:val="nil"/>
              <w:right w:val="nil"/>
            </w:tcBorders>
          </w:tcPr>
          <w:p w14:paraId="66D9614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Angor </w:t>
            </w:r>
          </w:p>
        </w:tc>
        <w:tc>
          <w:tcPr>
            <w:tcW w:w="1559" w:type="dxa"/>
            <w:tcBorders>
              <w:top w:val="nil"/>
              <w:left w:val="nil"/>
              <w:bottom w:val="nil"/>
              <w:right w:val="nil"/>
            </w:tcBorders>
          </w:tcPr>
          <w:p w14:paraId="3C75F2AE"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0DBE22F8" w14:textId="77777777" w:rsidTr="004D3144">
        <w:tc>
          <w:tcPr>
            <w:tcW w:w="8647" w:type="dxa"/>
            <w:tcBorders>
              <w:top w:val="nil"/>
              <w:left w:val="nil"/>
              <w:bottom w:val="nil"/>
              <w:right w:val="nil"/>
            </w:tcBorders>
          </w:tcPr>
          <w:p w14:paraId="57A9164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Infarct miocardic </w:t>
            </w:r>
          </w:p>
        </w:tc>
        <w:tc>
          <w:tcPr>
            <w:tcW w:w="1559" w:type="dxa"/>
            <w:tcBorders>
              <w:top w:val="nil"/>
              <w:left w:val="nil"/>
              <w:bottom w:val="nil"/>
              <w:right w:val="nil"/>
            </w:tcBorders>
          </w:tcPr>
          <w:p w14:paraId="0CC8C870"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38FDBD2D" w14:textId="77777777" w:rsidTr="004D3144">
        <w:tc>
          <w:tcPr>
            <w:tcW w:w="8647" w:type="dxa"/>
            <w:tcBorders>
              <w:top w:val="nil"/>
              <w:left w:val="nil"/>
              <w:bottom w:val="nil"/>
              <w:right w:val="nil"/>
            </w:tcBorders>
          </w:tcPr>
          <w:p w14:paraId="5250330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Insuficienţă cardiacă congestivă </w:t>
            </w:r>
          </w:p>
        </w:tc>
        <w:tc>
          <w:tcPr>
            <w:tcW w:w="1559" w:type="dxa"/>
            <w:tcBorders>
              <w:top w:val="nil"/>
              <w:left w:val="nil"/>
              <w:bottom w:val="nil"/>
              <w:right w:val="nil"/>
            </w:tcBorders>
          </w:tcPr>
          <w:p w14:paraId="69C15599"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114CAE07" w14:textId="77777777" w:rsidTr="004D3144">
        <w:tc>
          <w:tcPr>
            <w:tcW w:w="8647" w:type="dxa"/>
            <w:tcBorders>
              <w:top w:val="nil"/>
              <w:left w:val="nil"/>
              <w:bottom w:val="nil"/>
              <w:right w:val="nil"/>
            </w:tcBorders>
          </w:tcPr>
          <w:p w14:paraId="794F451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Electrocardiogramă </w:t>
            </w:r>
          </w:p>
        </w:tc>
        <w:tc>
          <w:tcPr>
            <w:tcW w:w="1559" w:type="dxa"/>
            <w:tcBorders>
              <w:top w:val="nil"/>
              <w:left w:val="nil"/>
              <w:bottom w:val="nil"/>
              <w:right w:val="nil"/>
            </w:tcBorders>
          </w:tcPr>
          <w:p w14:paraId="711A1962"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07DF2FE1" w14:textId="77777777" w:rsidTr="004D3144">
        <w:tc>
          <w:tcPr>
            <w:tcW w:w="8647" w:type="dxa"/>
            <w:tcBorders>
              <w:top w:val="nil"/>
              <w:left w:val="nil"/>
              <w:bottom w:val="nil"/>
              <w:right w:val="nil"/>
            </w:tcBorders>
          </w:tcPr>
          <w:p w14:paraId="45BD0BE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Ecocardiografie </w:t>
            </w:r>
          </w:p>
        </w:tc>
        <w:tc>
          <w:tcPr>
            <w:tcW w:w="1559" w:type="dxa"/>
            <w:tcBorders>
              <w:top w:val="nil"/>
              <w:left w:val="nil"/>
              <w:bottom w:val="nil"/>
              <w:right w:val="nil"/>
            </w:tcBorders>
          </w:tcPr>
          <w:p w14:paraId="007E49BB"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44BAF076" w14:textId="77777777" w:rsidTr="004D3144">
        <w:tc>
          <w:tcPr>
            <w:tcW w:w="8647" w:type="dxa"/>
            <w:tcBorders>
              <w:top w:val="nil"/>
              <w:left w:val="nil"/>
              <w:bottom w:val="nil"/>
              <w:right w:val="nil"/>
            </w:tcBorders>
          </w:tcPr>
          <w:p w14:paraId="183C6CE9"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Investigaţii/intervenţii cardiace semnificative </w:t>
            </w:r>
          </w:p>
        </w:tc>
        <w:tc>
          <w:tcPr>
            <w:tcW w:w="1559" w:type="dxa"/>
            <w:tcBorders>
              <w:top w:val="nil"/>
              <w:left w:val="nil"/>
              <w:bottom w:val="nil"/>
              <w:right w:val="nil"/>
            </w:tcBorders>
          </w:tcPr>
          <w:p w14:paraId="612ADF07"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6876C0BA" w14:textId="77777777" w:rsidTr="004D3144">
        <w:tc>
          <w:tcPr>
            <w:tcW w:w="8647" w:type="dxa"/>
            <w:tcBorders>
              <w:top w:val="nil"/>
              <w:left w:val="nil"/>
              <w:bottom w:val="nil"/>
              <w:right w:val="nil"/>
            </w:tcBorders>
          </w:tcPr>
          <w:p w14:paraId="52A7CA0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5. Evaluarea neurologică</w:t>
            </w:r>
          </w:p>
        </w:tc>
        <w:tc>
          <w:tcPr>
            <w:tcW w:w="1559" w:type="dxa"/>
            <w:tcBorders>
              <w:top w:val="nil"/>
              <w:left w:val="nil"/>
              <w:bottom w:val="nil"/>
              <w:right w:val="nil"/>
            </w:tcBorders>
          </w:tcPr>
          <w:p w14:paraId="09FDCB8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F941DA" w14:paraId="62933FF5" w14:textId="77777777" w:rsidTr="004D3144">
        <w:tc>
          <w:tcPr>
            <w:tcW w:w="8647" w:type="dxa"/>
            <w:tcBorders>
              <w:top w:val="nil"/>
              <w:left w:val="nil"/>
              <w:bottom w:val="nil"/>
              <w:right w:val="nil"/>
            </w:tcBorders>
          </w:tcPr>
          <w:p w14:paraId="2ECC9DF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7AD543B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79656B71" w14:textId="77777777" w:rsidTr="004D3144">
        <w:tc>
          <w:tcPr>
            <w:tcW w:w="8647" w:type="dxa"/>
            <w:tcBorders>
              <w:top w:val="nil"/>
              <w:left w:val="nil"/>
              <w:bottom w:val="nil"/>
              <w:right w:val="nil"/>
            </w:tcBorders>
          </w:tcPr>
          <w:p w14:paraId="460985A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Perspiraţie (normală, hipohidroză, anhidroză) ..........</w:t>
            </w:r>
          </w:p>
        </w:tc>
        <w:tc>
          <w:tcPr>
            <w:tcW w:w="1559" w:type="dxa"/>
            <w:tcBorders>
              <w:top w:val="nil"/>
              <w:left w:val="nil"/>
              <w:bottom w:val="nil"/>
              <w:right w:val="nil"/>
            </w:tcBorders>
          </w:tcPr>
          <w:p w14:paraId="765A185C"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775A5177" w14:textId="77777777" w:rsidTr="004D3144">
        <w:tc>
          <w:tcPr>
            <w:tcW w:w="8647" w:type="dxa"/>
            <w:tcBorders>
              <w:top w:val="nil"/>
              <w:left w:val="nil"/>
              <w:bottom w:val="nil"/>
              <w:right w:val="nil"/>
            </w:tcBorders>
          </w:tcPr>
          <w:p w14:paraId="42D7CF2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Toleranţa la căldură/frig .............</w:t>
            </w:r>
          </w:p>
        </w:tc>
        <w:tc>
          <w:tcPr>
            <w:tcW w:w="1559" w:type="dxa"/>
            <w:tcBorders>
              <w:top w:val="nil"/>
              <w:left w:val="nil"/>
              <w:bottom w:val="nil"/>
              <w:right w:val="nil"/>
            </w:tcBorders>
          </w:tcPr>
          <w:p w14:paraId="6C32E3C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33C75114" w14:textId="77777777" w:rsidTr="004D3144">
        <w:tc>
          <w:tcPr>
            <w:tcW w:w="8647" w:type="dxa"/>
            <w:tcBorders>
              <w:top w:val="nil"/>
              <w:left w:val="nil"/>
              <w:bottom w:val="nil"/>
              <w:right w:val="nil"/>
            </w:tcBorders>
          </w:tcPr>
          <w:p w14:paraId="5EF4375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Durere cronică/acută ..................</w:t>
            </w:r>
          </w:p>
        </w:tc>
        <w:tc>
          <w:tcPr>
            <w:tcW w:w="1559" w:type="dxa"/>
            <w:tcBorders>
              <w:top w:val="nil"/>
              <w:left w:val="nil"/>
              <w:bottom w:val="nil"/>
              <w:right w:val="nil"/>
            </w:tcBorders>
          </w:tcPr>
          <w:p w14:paraId="59FC013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283B22FC" w14:textId="77777777" w:rsidTr="004D3144">
        <w:tc>
          <w:tcPr>
            <w:tcW w:w="8647" w:type="dxa"/>
            <w:tcBorders>
              <w:top w:val="nil"/>
              <w:left w:val="nil"/>
              <w:bottom w:val="nil"/>
              <w:right w:val="nil"/>
            </w:tcBorders>
          </w:tcPr>
          <w:p w14:paraId="007E4BA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Tratament antialgic ...................</w:t>
            </w:r>
          </w:p>
        </w:tc>
        <w:tc>
          <w:tcPr>
            <w:tcW w:w="1559" w:type="dxa"/>
            <w:tcBorders>
              <w:top w:val="nil"/>
              <w:left w:val="nil"/>
              <w:bottom w:val="nil"/>
              <w:right w:val="nil"/>
            </w:tcBorders>
          </w:tcPr>
          <w:p w14:paraId="082901E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1BE08569" w14:textId="77777777" w:rsidTr="004D3144">
        <w:tc>
          <w:tcPr>
            <w:tcW w:w="8647" w:type="dxa"/>
            <w:tcBorders>
              <w:top w:val="nil"/>
              <w:left w:val="nil"/>
              <w:bottom w:val="nil"/>
              <w:right w:val="nil"/>
            </w:tcBorders>
          </w:tcPr>
          <w:p w14:paraId="7FB9ECA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Depresie </w:t>
            </w:r>
          </w:p>
        </w:tc>
        <w:tc>
          <w:tcPr>
            <w:tcW w:w="1559" w:type="dxa"/>
            <w:tcBorders>
              <w:top w:val="nil"/>
              <w:left w:val="nil"/>
              <w:bottom w:val="nil"/>
              <w:right w:val="nil"/>
            </w:tcBorders>
          </w:tcPr>
          <w:p w14:paraId="1AB7E533"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261CA6E4" w14:textId="77777777" w:rsidTr="004D3144">
        <w:tc>
          <w:tcPr>
            <w:tcW w:w="8647" w:type="dxa"/>
            <w:tcBorders>
              <w:top w:val="nil"/>
              <w:left w:val="nil"/>
              <w:bottom w:val="nil"/>
              <w:right w:val="nil"/>
            </w:tcBorders>
          </w:tcPr>
          <w:p w14:paraId="0F6AC33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Accident vascular cerebral </w:t>
            </w:r>
          </w:p>
        </w:tc>
        <w:tc>
          <w:tcPr>
            <w:tcW w:w="1559" w:type="dxa"/>
            <w:tcBorders>
              <w:top w:val="nil"/>
              <w:left w:val="nil"/>
              <w:bottom w:val="nil"/>
              <w:right w:val="nil"/>
            </w:tcBorders>
          </w:tcPr>
          <w:p w14:paraId="0DD100E9"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39B231EE" w14:textId="77777777" w:rsidTr="004D3144">
        <w:tc>
          <w:tcPr>
            <w:tcW w:w="8647" w:type="dxa"/>
            <w:tcBorders>
              <w:top w:val="nil"/>
              <w:left w:val="nil"/>
              <w:bottom w:val="nil"/>
              <w:right w:val="nil"/>
            </w:tcBorders>
          </w:tcPr>
          <w:p w14:paraId="343B2DC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Atac ischemic cerebral tranzitor </w:t>
            </w:r>
          </w:p>
        </w:tc>
        <w:tc>
          <w:tcPr>
            <w:tcW w:w="1559" w:type="dxa"/>
            <w:tcBorders>
              <w:top w:val="nil"/>
              <w:left w:val="nil"/>
              <w:bottom w:val="nil"/>
              <w:right w:val="nil"/>
            </w:tcBorders>
          </w:tcPr>
          <w:p w14:paraId="5D58FB6B"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3FAE7B58" w14:textId="77777777" w:rsidTr="004D3144">
        <w:tc>
          <w:tcPr>
            <w:tcW w:w="8647" w:type="dxa"/>
            <w:tcBorders>
              <w:top w:val="nil"/>
              <w:left w:val="nil"/>
              <w:bottom w:val="nil"/>
              <w:right w:val="nil"/>
            </w:tcBorders>
          </w:tcPr>
          <w:p w14:paraId="04324D2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Examinare imagistică cerebrală </w:t>
            </w:r>
          </w:p>
        </w:tc>
        <w:tc>
          <w:tcPr>
            <w:tcW w:w="1559" w:type="dxa"/>
            <w:tcBorders>
              <w:top w:val="nil"/>
              <w:left w:val="nil"/>
              <w:bottom w:val="nil"/>
              <w:right w:val="nil"/>
            </w:tcBorders>
          </w:tcPr>
          <w:p w14:paraId="18C7AFC3"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7503656F" w14:textId="77777777" w:rsidTr="004D3144">
        <w:tc>
          <w:tcPr>
            <w:tcW w:w="8647" w:type="dxa"/>
            <w:tcBorders>
              <w:top w:val="nil"/>
              <w:left w:val="nil"/>
              <w:bottom w:val="nil"/>
              <w:right w:val="nil"/>
            </w:tcBorders>
          </w:tcPr>
          <w:p w14:paraId="23BEBEF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6. Evaluare ORL</w:t>
            </w:r>
          </w:p>
        </w:tc>
        <w:tc>
          <w:tcPr>
            <w:tcW w:w="1559" w:type="dxa"/>
            <w:tcBorders>
              <w:top w:val="nil"/>
              <w:left w:val="nil"/>
              <w:bottom w:val="nil"/>
              <w:right w:val="nil"/>
            </w:tcBorders>
          </w:tcPr>
          <w:p w14:paraId="67B0644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F941DA" w14:paraId="611E3EB6" w14:textId="77777777" w:rsidTr="004D3144">
        <w:tc>
          <w:tcPr>
            <w:tcW w:w="8647" w:type="dxa"/>
            <w:tcBorders>
              <w:top w:val="nil"/>
              <w:left w:val="nil"/>
              <w:bottom w:val="nil"/>
              <w:right w:val="nil"/>
            </w:tcBorders>
          </w:tcPr>
          <w:p w14:paraId="1E57404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1449751B"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00E5F0C6" w14:textId="77777777" w:rsidTr="004D3144">
        <w:tc>
          <w:tcPr>
            <w:tcW w:w="8647" w:type="dxa"/>
            <w:tcBorders>
              <w:top w:val="nil"/>
              <w:left w:val="nil"/>
              <w:bottom w:val="nil"/>
              <w:right w:val="nil"/>
            </w:tcBorders>
          </w:tcPr>
          <w:p w14:paraId="6058A4E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Hipoacuzie/Surditate </w:t>
            </w:r>
          </w:p>
        </w:tc>
        <w:tc>
          <w:tcPr>
            <w:tcW w:w="1559" w:type="dxa"/>
            <w:tcBorders>
              <w:top w:val="nil"/>
              <w:left w:val="nil"/>
              <w:bottom w:val="nil"/>
              <w:right w:val="nil"/>
            </w:tcBorders>
          </w:tcPr>
          <w:p w14:paraId="43BB3B7D"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353BE7A2" w14:textId="77777777" w:rsidTr="004D3144">
        <w:tc>
          <w:tcPr>
            <w:tcW w:w="8647" w:type="dxa"/>
            <w:tcBorders>
              <w:top w:val="nil"/>
              <w:left w:val="nil"/>
              <w:bottom w:val="nil"/>
              <w:right w:val="nil"/>
            </w:tcBorders>
          </w:tcPr>
          <w:p w14:paraId="10527E8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Acufene </w:t>
            </w:r>
          </w:p>
        </w:tc>
        <w:tc>
          <w:tcPr>
            <w:tcW w:w="1559" w:type="dxa"/>
            <w:tcBorders>
              <w:top w:val="nil"/>
              <w:left w:val="nil"/>
              <w:bottom w:val="nil"/>
              <w:right w:val="nil"/>
            </w:tcBorders>
          </w:tcPr>
          <w:p w14:paraId="47CD978D"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5D092C84" w14:textId="77777777" w:rsidTr="004D3144">
        <w:tc>
          <w:tcPr>
            <w:tcW w:w="8647" w:type="dxa"/>
            <w:tcBorders>
              <w:top w:val="nil"/>
              <w:left w:val="nil"/>
              <w:bottom w:val="nil"/>
              <w:right w:val="nil"/>
            </w:tcBorders>
          </w:tcPr>
          <w:p w14:paraId="5632071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Vertij </w:t>
            </w:r>
          </w:p>
        </w:tc>
        <w:tc>
          <w:tcPr>
            <w:tcW w:w="1559" w:type="dxa"/>
            <w:tcBorders>
              <w:top w:val="nil"/>
              <w:left w:val="nil"/>
              <w:bottom w:val="nil"/>
              <w:right w:val="nil"/>
            </w:tcBorders>
          </w:tcPr>
          <w:p w14:paraId="5847FEDC"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0D36D294" w14:textId="77777777" w:rsidTr="004D3144">
        <w:tc>
          <w:tcPr>
            <w:tcW w:w="8647" w:type="dxa"/>
            <w:tcBorders>
              <w:top w:val="nil"/>
              <w:left w:val="nil"/>
              <w:bottom w:val="nil"/>
              <w:right w:val="nil"/>
            </w:tcBorders>
          </w:tcPr>
          <w:p w14:paraId="43FDA1B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Audiograma </w:t>
            </w:r>
          </w:p>
        </w:tc>
        <w:tc>
          <w:tcPr>
            <w:tcW w:w="1559" w:type="dxa"/>
            <w:tcBorders>
              <w:top w:val="nil"/>
              <w:left w:val="nil"/>
              <w:bottom w:val="nil"/>
              <w:right w:val="nil"/>
            </w:tcBorders>
          </w:tcPr>
          <w:p w14:paraId="7430BFB1"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7D0E1EF6" w14:textId="77777777" w:rsidTr="004D3144">
        <w:tc>
          <w:tcPr>
            <w:tcW w:w="8647" w:type="dxa"/>
            <w:tcBorders>
              <w:top w:val="nil"/>
              <w:left w:val="nil"/>
              <w:bottom w:val="nil"/>
              <w:right w:val="nil"/>
            </w:tcBorders>
          </w:tcPr>
          <w:p w14:paraId="0B39333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7. Evaluare gastroenterologică</w:t>
            </w:r>
          </w:p>
        </w:tc>
        <w:tc>
          <w:tcPr>
            <w:tcW w:w="1559" w:type="dxa"/>
            <w:tcBorders>
              <w:top w:val="nil"/>
              <w:left w:val="nil"/>
              <w:bottom w:val="nil"/>
              <w:right w:val="nil"/>
            </w:tcBorders>
          </w:tcPr>
          <w:p w14:paraId="2C6D6D7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F941DA" w14:paraId="598BF93A" w14:textId="77777777" w:rsidTr="004D3144">
        <w:tc>
          <w:tcPr>
            <w:tcW w:w="8647" w:type="dxa"/>
            <w:tcBorders>
              <w:top w:val="nil"/>
              <w:left w:val="nil"/>
              <w:bottom w:val="nil"/>
              <w:right w:val="nil"/>
            </w:tcBorders>
          </w:tcPr>
          <w:p w14:paraId="21C6B94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5FBFBB9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67C21BB9" w14:textId="77777777" w:rsidTr="004D3144">
        <w:tc>
          <w:tcPr>
            <w:tcW w:w="8647" w:type="dxa"/>
            <w:tcBorders>
              <w:top w:val="nil"/>
              <w:left w:val="nil"/>
              <w:bottom w:val="nil"/>
              <w:right w:val="nil"/>
            </w:tcBorders>
          </w:tcPr>
          <w:p w14:paraId="69E5057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Dureri abdominale </w:t>
            </w:r>
          </w:p>
        </w:tc>
        <w:tc>
          <w:tcPr>
            <w:tcW w:w="1559" w:type="dxa"/>
            <w:tcBorders>
              <w:top w:val="nil"/>
              <w:left w:val="nil"/>
              <w:bottom w:val="nil"/>
              <w:right w:val="nil"/>
            </w:tcBorders>
          </w:tcPr>
          <w:p w14:paraId="120F15C0"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193952CA" w14:textId="77777777" w:rsidTr="004D3144">
        <w:tc>
          <w:tcPr>
            <w:tcW w:w="8647" w:type="dxa"/>
            <w:tcBorders>
              <w:top w:val="nil"/>
              <w:left w:val="nil"/>
              <w:bottom w:val="nil"/>
              <w:right w:val="nil"/>
            </w:tcBorders>
          </w:tcPr>
          <w:p w14:paraId="1CAE722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Diaree </w:t>
            </w:r>
          </w:p>
        </w:tc>
        <w:tc>
          <w:tcPr>
            <w:tcW w:w="1559" w:type="dxa"/>
            <w:tcBorders>
              <w:top w:val="nil"/>
              <w:left w:val="nil"/>
              <w:bottom w:val="nil"/>
              <w:right w:val="nil"/>
            </w:tcBorders>
          </w:tcPr>
          <w:p w14:paraId="6B5E3C39"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78D7BAFF" w14:textId="77777777" w:rsidTr="004D3144">
        <w:tc>
          <w:tcPr>
            <w:tcW w:w="8647" w:type="dxa"/>
            <w:tcBorders>
              <w:top w:val="nil"/>
              <w:left w:val="nil"/>
              <w:bottom w:val="nil"/>
              <w:right w:val="nil"/>
            </w:tcBorders>
          </w:tcPr>
          <w:p w14:paraId="4729E16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8. Evaluare dermatologică</w:t>
            </w:r>
          </w:p>
        </w:tc>
        <w:tc>
          <w:tcPr>
            <w:tcW w:w="1559" w:type="dxa"/>
            <w:tcBorders>
              <w:top w:val="nil"/>
              <w:left w:val="nil"/>
              <w:bottom w:val="nil"/>
              <w:right w:val="nil"/>
            </w:tcBorders>
          </w:tcPr>
          <w:p w14:paraId="2CBA0ED5"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F941DA" w14:paraId="1AA18C82" w14:textId="77777777" w:rsidTr="004D3144">
        <w:tc>
          <w:tcPr>
            <w:tcW w:w="8647" w:type="dxa"/>
            <w:tcBorders>
              <w:top w:val="nil"/>
              <w:left w:val="nil"/>
              <w:bottom w:val="nil"/>
              <w:right w:val="nil"/>
            </w:tcBorders>
          </w:tcPr>
          <w:p w14:paraId="072DBCA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00AA26D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23FB6A69" w14:textId="77777777" w:rsidTr="004D3144">
        <w:tc>
          <w:tcPr>
            <w:tcW w:w="8647" w:type="dxa"/>
            <w:tcBorders>
              <w:top w:val="nil"/>
              <w:left w:val="nil"/>
              <w:bottom w:val="nil"/>
              <w:right w:val="nil"/>
            </w:tcBorders>
          </w:tcPr>
          <w:p w14:paraId="42980EC0"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Angiokeratoame (prezenţă, evoluţie)</w:t>
            </w:r>
          </w:p>
        </w:tc>
        <w:tc>
          <w:tcPr>
            <w:tcW w:w="1559" w:type="dxa"/>
            <w:tcBorders>
              <w:top w:val="nil"/>
              <w:left w:val="nil"/>
              <w:bottom w:val="nil"/>
              <w:right w:val="nil"/>
            </w:tcBorders>
          </w:tcPr>
          <w:p w14:paraId="5E7AB19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23AF25A2" w14:textId="77777777" w:rsidTr="004D3144">
        <w:tc>
          <w:tcPr>
            <w:tcW w:w="8647" w:type="dxa"/>
            <w:tcBorders>
              <w:top w:val="nil"/>
              <w:left w:val="nil"/>
              <w:bottom w:val="nil"/>
              <w:right w:val="nil"/>
            </w:tcBorders>
          </w:tcPr>
          <w:p w14:paraId="7F2E0A5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9. Evaluare respiratorie</w:t>
            </w:r>
          </w:p>
        </w:tc>
        <w:tc>
          <w:tcPr>
            <w:tcW w:w="1559" w:type="dxa"/>
            <w:tcBorders>
              <w:top w:val="nil"/>
              <w:left w:val="nil"/>
              <w:bottom w:val="nil"/>
              <w:right w:val="nil"/>
            </w:tcBorders>
          </w:tcPr>
          <w:p w14:paraId="244FC7C2"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F941DA" w14:paraId="4539A854" w14:textId="77777777" w:rsidTr="004D3144">
        <w:tc>
          <w:tcPr>
            <w:tcW w:w="8647" w:type="dxa"/>
            <w:tcBorders>
              <w:top w:val="nil"/>
              <w:left w:val="nil"/>
              <w:bottom w:val="nil"/>
              <w:right w:val="nil"/>
            </w:tcBorders>
          </w:tcPr>
          <w:p w14:paraId="11438E9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67C32A4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56D51AB4" w14:textId="77777777" w:rsidTr="004D3144">
        <w:tc>
          <w:tcPr>
            <w:tcW w:w="8647" w:type="dxa"/>
            <w:tcBorders>
              <w:top w:val="nil"/>
              <w:left w:val="nil"/>
              <w:bottom w:val="nil"/>
              <w:right w:val="nil"/>
            </w:tcBorders>
          </w:tcPr>
          <w:p w14:paraId="4FFB83B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Tuse </w:t>
            </w:r>
          </w:p>
        </w:tc>
        <w:tc>
          <w:tcPr>
            <w:tcW w:w="1559" w:type="dxa"/>
            <w:tcBorders>
              <w:top w:val="nil"/>
              <w:left w:val="nil"/>
              <w:bottom w:val="nil"/>
              <w:right w:val="nil"/>
            </w:tcBorders>
          </w:tcPr>
          <w:p w14:paraId="7EF9F912"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696558EB" w14:textId="77777777" w:rsidTr="004D3144">
        <w:tc>
          <w:tcPr>
            <w:tcW w:w="8647" w:type="dxa"/>
            <w:tcBorders>
              <w:top w:val="nil"/>
              <w:left w:val="nil"/>
              <w:bottom w:val="nil"/>
              <w:right w:val="nil"/>
            </w:tcBorders>
          </w:tcPr>
          <w:p w14:paraId="486E4C4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Sindrom de obstrucţie bronşică </w:t>
            </w:r>
          </w:p>
        </w:tc>
        <w:tc>
          <w:tcPr>
            <w:tcW w:w="1559" w:type="dxa"/>
            <w:tcBorders>
              <w:top w:val="nil"/>
              <w:left w:val="nil"/>
              <w:bottom w:val="nil"/>
              <w:right w:val="nil"/>
            </w:tcBorders>
          </w:tcPr>
          <w:p w14:paraId="4A70EDF3"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04EFF1E9" w14:textId="77777777" w:rsidTr="004D3144">
        <w:tc>
          <w:tcPr>
            <w:tcW w:w="8647" w:type="dxa"/>
            <w:tcBorders>
              <w:top w:val="nil"/>
              <w:left w:val="nil"/>
              <w:bottom w:val="nil"/>
              <w:right w:val="nil"/>
            </w:tcBorders>
          </w:tcPr>
          <w:p w14:paraId="701120C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Spirometrie </w:t>
            </w:r>
          </w:p>
        </w:tc>
        <w:tc>
          <w:tcPr>
            <w:tcW w:w="1559" w:type="dxa"/>
            <w:tcBorders>
              <w:top w:val="nil"/>
              <w:left w:val="nil"/>
              <w:bottom w:val="nil"/>
              <w:right w:val="nil"/>
            </w:tcBorders>
          </w:tcPr>
          <w:p w14:paraId="5C24A58D"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31B9C7BB" w14:textId="77777777" w:rsidTr="004D3144">
        <w:tc>
          <w:tcPr>
            <w:tcW w:w="8647" w:type="dxa"/>
            <w:tcBorders>
              <w:top w:val="nil"/>
              <w:left w:val="nil"/>
              <w:bottom w:val="nil"/>
              <w:right w:val="nil"/>
            </w:tcBorders>
          </w:tcPr>
          <w:p w14:paraId="0420296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10. Evaluare oftalmologiei</w:t>
            </w:r>
          </w:p>
        </w:tc>
        <w:tc>
          <w:tcPr>
            <w:tcW w:w="1559" w:type="dxa"/>
            <w:tcBorders>
              <w:top w:val="nil"/>
              <w:left w:val="nil"/>
              <w:bottom w:val="nil"/>
              <w:right w:val="nil"/>
            </w:tcBorders>
          </w:tcPr>
          <w:p w14:paraId="60E0F8E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F941DA" w14:paraId="7BB0A1DA" w14:textId="77777777" w:rsidTr="004D3144">
        <w:tc>
          <w:tcPr>
            <w:tcW w:w="8647" w:type="dxa"/>
            <w:tcBorders>
              <w:top w:val="nil"/>
              <w:left w:val="nil"/>
              <w:bottom w:val="nil"/>
              <w:right w:val="nil"/>
            </w:tcBorders>
          </w:tcPr>
          <w:p w14:paraId="3F30168B"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32DDA285"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391C2550" w14:textId="77777777" w:rsidTr="004D3144">
        <w:tc>
          <w:tcPr>
            <w:tcW w:w="8647" w:type="dxa"/>
            <w:tcBorders>
              <w:top w:val="nil"/>
              <w:left w:val="nil"/>
              <w:bottom w:val="nil"/>
              <w:right w:val="nil"/>
            </w:tcBorders>
          </w:tcPr>
          <w:p w14:paraId="423E2AB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Acuitate vizuală </w:t>
            </w:r>
          </w:p>
        </w:tc>
        <w:tc>
          <w:tcPr>
            <w:tcW w:w="1559" w:type="dxa"/>
            <w:tcBorders>
              <w:top w:val="nil"/>
              <w:left w:val="nil"/>
              <w:bottom w:val="nil"/>
              <w:right w:val="nil"/>
            </w:tcBorders>
          </w:tcPr>
          <w:p w14:paraId="65F9BEDE"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038A0C47" w14:textId="77777777" w:rsidTr="004D3144">
        <w:tc>
          <w:tcPr>
            <w:tcW w:w="8647" w:type="dxa"/>
            <w:tcBorders>
              <w:top w:val="nil"/>
              <w:left w:val="nil"/>
              <w:bottom w:val="nil"/>
              <w:right w:val="nil"/>
            </w:tcBorders>
          </w:tcPr>
          <w:p w14:paraId="07D03FA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Oftalmoscopie </w:t>
            </w:r>
          </w:p>
        </w:tc>
        <w:tc>
          <w:tcPr>
            <w:tcW w:w="1559" w:type="dxa"/>
            <w:tcBorders>
              <w:top w:val="nil"/>
              <w:left w:val="nil"/>
              <w:bottom w:val="nil"/>
              <w:right w:val="nil"/>
            </w:tcBorders>
          </w:tcPr>
          <w:p w14:paraId="5B2708D0"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780D6A26" w14:textId="77777777" w:rsidTr="004D3144">
        <w:tc>
          <w:tcPr>
            <w:tcW w:w="8647" w:type="dxa"/>
            <w:tcBorders>
              <w:top w:val="nil"/>
              <w:left w:val="nil"/>
              <w:bottom w:val="nil"/>
              <w:right w:val="nil"/>
            </w:tcBorders>
          </w:tcPr>
          <w:p w14:paraId="6205A4C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Ex. biomicroscopic </w:t>
            </w:r>
          </w:p>
        </w:tc>
        <w:tc>
          <w:tcPr>
            <w:tcW w:w="1559" w:type="dxa"/>
            <w:tcBorders>
              <w:top w:val="nil"/>
              <w:left w:val="nil"/>
              <w:bottom w:val="nil"/>
              <w:right w:val="nil"/>
            </w:tcBorders>
          </w:tcPr>
          <w:p w14:paraId="0D9068B4"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Da        Nu</w:t>
            </w:r>
          </w:p>
        </w:tc>
      </w:tr>
      <w:tr w:rsidR="004D3144" w:rsidRPr="00F941DA" w14:paraId="151A06D0" w14:textId="77777777" w:rsidTr="004D3144">
        <w:tc>
          <w:tcPr>
            <w:tcW w:w="8647" w:type="dxa"/>
            <w:tcBorders>
              <w:top w:val="nil"/>
              <w:left w:val="nil"/>
              <w:bottom w:val="nil"/>
              <w:right w:val="nil"/>
            </w:tcBorders>
          </w:tcPr>
          <w:p w14:paraId="35AE2CD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11. Durere/calitatea vieţii (chestionare)</w:t>
            </w:r>
          </w:p>
        </w:tc>
        <w:tc>
          <w:tcPr>
            <w:tcW w:w="1559" w:type="dxa"/>
            <w:tcBorders>
              <w:top w:val="nil"/>
              <w:left w:val="nil"/>
              <w:bottom w:val="nil"/>
              <w:right w:val="nil"/>
            </w:tcBorders>
          </w:tcPr>
          <w:p w14:paraId="75FA0EE3"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F941DA" w14:paraId="160426FE" w14:textId="77777777" w:rsidTr="004D3144">
        <w:tc>
          <w:tcPr>
            <w:tcW w:w="8647" w:type="dxa"/>
            <w:tcBorders>
              <w:top w:val="nil"/>
              <w:left w:val="nil"/>
              <w:bottom w:val="nil"/>
              <w:right w:val="nil"/>
            </w:tcBorders>
          </w:tcPr>
          <w:p w14:paraId="2284263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Data completării ..................</w:t>
            </w:r>
          </w:p>
        </w:tc>
        <w:tc>
          <w:tcPr>
            <w:tcW w:w="1559" w:type="dxa"/>
            <w:tcBorders>
              <w:top w:val="nil"/>
              <w:left w:val="nil"/>
              <w:bottom w:val="nil"/>
              <w:right w:val="nil"/>
            </w:tcBorders>
          </w:tcPr>
          <w:p w14:paraId="42BADED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38332FD4" w14:textId="77777777" w:rsidTr="004D3144">
        <w:tc>
          <w:tcPr>
            <w:tcW w:w="8647" w:type="dxa"/>
            <w:tcBorders>
              <w:top w:val="nil"/>
              <w:left w:val="nil"/>
              <w:bottom w:val="nil"/>
              <w:right w:val="nil"/>
            </w:tcBorders>
          </w:tcPr>
          <w:p w14:paraId="385890E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Chestionar "Inventar sumar al durerii"</w:t>
            </w:r>
          </w:p>
        </w:tc>
        <w:tc>
          <w:tcPr>
            <w:tcW w:w="1559" w:type="dxa"/>
            <w:tcBorders>
              <w:top w:val="nil"/>
              <w:left w:val="nil"/>
              <w:bottom w:val="nil"/>
              <w:right w:val="nil"/>
            </w:tcBorders>
          </w:tcPr>
          <w:p w14:paraId="38BCA5D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467F03C9" w14:textId="77777777" w:rsidTr="004D3144">
        <w:tc>
          <w:tcPr>
            <w:tcW w:w="8647" w:type="dxa"/>
            <w:tcBorders>
              <w:top w:val="nil"/>
              <w:left w:val="nil"/>
              <w:bottom w:val="nil"/>
              <w:right w:val="nil"/>
            </w:tcBorders>
          </w:tcPr>
          <w:p w14:paraId="1EBEA21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Chestionar de sănătate mos-36 (SF-36)</w:t>
            </w:r>
          </w:p>
        </w:tc>
        <w:tc>
          <w:tcPr>
            <w:tcW w:w="1559" w:type="dxa"/>
            <w:tcBorders>
              <w:top w:val="nil"/>
              <w:left w:val="nil"/>
              <w:bottom w:val="nil"/>
              <w:right w:val="nil"/>
            </w:tcBorders>
          </w:tcPr>
          <w:p w14:paraId="125E4B64"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787A8E65" w14:textId="77777777" w:rsidTr="004D3144">
        <w:tc>
          <w:tcPr>
            <w:tcW w:w="8647" w:type="dxa"/>
            <w:tcBorders>
              <w:top w:val="nil"/>
              <w:left w:val="nil"/>
              <w:bottom w:val="nil"/>
              <w:right w:val="nil"/>
            </w:tcBorders>
          </w:tcPr>
          <w:p w14:paraId="11C1024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Chestionar PedsQL (copii)</w:t>
            </w:r>
          </w:p>
        </w:tc>
        <w:tc>
          <w:tcPr>
            <w:tcW w:w="1559" w:type="dxa"/>
            <w:tcBorders>
              <w:top w:val="nil"/>
              <w:left w:val="nil"/>
              <w:bottom w:val="nil"/>
              <w:right w:val="nil"/>
            </w:tcBorders>
          </w:tcPr>
          <w:p w14:paraId="3481F40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261B7F99" w14:textId="77777777" w:rsidTr="004D3144">
        <w:tc>
          <w:tcPr>
            <w:tcW w:w="10206" w:type="dxa"/>
            <w:gridSpan w:val="2"/>
            <w:tcBorders>
              <w:top w:val="nil"/>
              <w:left w:val="nil"/>
              <w:bottom w:val="nil"/>
              <w:right w:val="nil"/>
            </w:tcBorders>
          </w:tcPr>
          <w:p w14:paraId="10B5B633"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12. Efecte adverse ale terapiei cu Migalastatul (până la data actualei evaluări) .........................</w:t>
            </w:r>
          </w:p>
        </w:tc>
      </w:tr>
      <w:tr w:rsidR="004D3144" w:rsidRPr="00F941DA" w14:paraId="7DE26B92" w14:textId="77777777" w:rsidTr="004D3144">
        <w:tc>
          <w:tcPr>
            <w:tcW w:w="8647" w:type="dxa"/>
            <w:tcBorders>
              <w:top w:val="nil"/>
              <w:left w:val="nil"/>
              <w:bottom w:val="nil"/>
              <w:right w:val="nil"/>
            </w:tcBorders>
          </w:tcPr>
          <w:p w14:paraId="07FAC57C"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13. Alte afecţiuni (în afară de boala Fabry) ..........................</w:t>
            </w:r>
          </w:p>
        </w:tc>
        <w:tc>
          <w:tcPr>
            <w:tcW w:w="1559" w:type="dxa"/>
            <w:tcBorders>
              <w:top w:val="nil"/>
              <w:left w:val="nil"/>
              <w:bottom w:val="nil"/>
              <w:right w:val="nil"/>
            </w:tcBorders>
          </w:tcPr>
          <w:p w14:paraId="3A76E2A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F941DA" w14:paraId="78406407" w14:textId="77777777" w:rsidTr="004D3144">
        <w:tc>
          <w:tcPr>
            <w:tcW w:w="10206" w:type="dxa"/>
            <w:gridSpan w:val="2"/>
            <w:tcBorders>
              <w:top w:val="nil"/>
              <w:left w:val="nil"/>
              <w:bottom w:val="nil"/>
              <w:right w:val="nil"/>
            </w:tcBorders>
          </w:tcPr>
          <w:p w14:paraId="7245BBBE"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w:t>
            </w:r>
          </w:p>
        </w:tc>
      </w:tr>
      <w:tr w:rsidR="004D3144" w:rsidRPr="00F941DA" w14:paraId="133AEA7C" w14:textId="77777777" w:rsidTr="004D3144">
        <w:tc>
          <w:tcPr>
            <w:tcW w:w="10206" w:type="dxa"/>
            <w:gridSpan w:val="2"/>
            <w:tcBorders>
              <w:top w:val="nil"/>
              <w:left w:val="nil"/>
              <w:bottom w:val="nil"/>
              <w:right w:val="nil"/>
            </w:tcBorders>
          </w:tcPr>
          <w:p w14:paraId="594A520F"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14. Scurtă prezentare de către medicul curant a aspectelor esenţiale privind istoricul şi evoluţia bolii la pacientul respectiv</w:t>
            </w:r>
          </w:p>
        </w:tc>
      </w:tr>
      <w:tr w:rsidR="004D3144" w:rsidRPr="00F941DA" w14:paraId="497C597B" w14:textId="77777777" w:rsidTr="004D3144">
        <w:tc>
          <w:tcPr>
            <w:tcW w:w="10206" w:type="dxa"/>
            <w:gridSpan w:val="2"/>
            <w:tcBorders>
              <w:top w:val="nil"/>
              <w:left w:val="nil"/>
              <w:bottom w:val="nil"/>
              <w:right w:val="nil"/>
            </w:tcBorders>
          </w:tcPr>
          <w:p w14:paraId="56425323"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w:t>
            </w:r>
          </w:p>
        </w:tc>
      </w:tr>
      <w:tr w:rsidR="004D3144" w:rsidRPr="00F941DA" w14:paraId="7F6B6788" w14:textId="77777777" w:rsidTr="004D3144">
        <w:tc>
          <w:tcPr>
            <w:tcW w:w="10206" w:type="dxa"/>
            <w:gridSpan w:val="2"/>
            <w:tcBorders>
              <w:top w:val="nil"/>
              <w:left w:val="nil"/>
              <w:bottom w:val="nil"/>
              <w:right w:val="nil"/>
            </w:tcBorders>
          </w:tcPr>
          <w:p w14:paraId="42818F83"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w:t>
            </w:r>
          </w:p>
        </w:tc>
      </w:tr>
      <w:tr w:rsidR="004D3144" w:rsidRPr="00F941DA" w14:paraId="1A796974" w14:textId="77777777" w:rsidTr="004D3144">
        <w:tc>
          <w:tcPr>
            <w:tcW w:w="10206" w:type="dxa"/>
            <w:gridSpan w:val="2"/>
            <w:tcBorders>
              <w:top w:val="nil"/>
              <w:left w:val="nil"/>
              <w:bottom w:val="nil"/>
              <w:right w:val="nil"/>
            </w:tcBorders>
          </w:tcPr>
          <w:p w14:paraId="566FCF88"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w:t>
            </w:r>
          </w:p>
        </w:tc>
      </w:tr>
      <w:tr w:rsidR="004D3144" w:rsidRPr="00F941DA" w14:paraId="37868DDB" w14:textId="77777777" w:rsidTr="004D3144">
        <w:tc>
          <w:tcPr>
            <w:tcW w:w="8647" w:type="dxa"/>
            <w:tcBorders>
              <w:top w:val="nil"/>
              <w:left w:val="nil"/>
              <w:bottom w:val="nil"/>
              <w:right w:val="nil"/>
            </w:tcBorders>
          </w:tcPr>
          <w:p w14:paraId="3ECF40D6"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sz w:val="20"/>
                <w:szCs w:val="20"/>
                <w:lang w:val="x-none"/>
              </w:rPr>
              <w:t xml:space="preserve">    </w:t>
            </w:r>
            <w:r w:rsidRPr="00F941DA">
              <w:rPr>
                <w:rFonts w:ascii="Times New Roman" w:eastAsia="Times New Roman" w:hAnsi="Times New Roman" w:cs="Times New Roman"/>
                <w:b/>
                <w:bCs/>
                <w:sz w:val="20"/>
                <w:szCs w:val="20"/>
                <w:lang w:val="x-none"/>
              </w:rPr>
              <w:t>15. Tratamentul recomandat în boala Fabry:</w:t>
            </w:r>
          </w:p>
        </w:tc>
        <w:tc>
          <w:tcPr>
            <w:tcW w:w="1559" w:type="dxa"/>
            <w:tcBorders>
              <w:top w:val="nil"/>
              <w:left w:val="nil"/>
              <w:bottom w:val="nil"/>
              <w:right w:val="nil"/>
            </w:tcBorders>
          </w:tcPr>
          <w:p w14:paraId="2FF7265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F941DA" w14:paraId="20CCF284" w14:textId="77777777" w:rsidTr="004D3144">
        <w:tc>
          <w:tcPr>
            <w:tcW w:w="8647" w:type="dxa"/>
            <w:tcBorders>
              <w:top w:val="nil"/>
              <w:left w:val="nil"/>
              <w:bottom w:val="nil"/>
              <w:right w:val="nil"/>
            </w:tcBorders>
          </w:tcPr>
          <w:p w14:paraId="3FFCD184"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b/>
                <w:bCs/>
                <w:sz w:val="20"/>
                <w:szCs w:val="20"/>
                <w:lang w:val="x-none"/>
              </w:rPr>
              <w:t xml:space="preserve">    Migalastatul</w:t>
            </w:r>
          </w:p>
        </w:tc>
        <w:tc>
          <w:tcPr>
            <w:tcW w:w="1559" w:type="dxa"/>
            <w:tcBorders>
              <w:top w:val="nil"/>
              <w:left w:val="nil"/>
              <w:bottom w:val="nil"/>
              <w:right w:val="nil"/>
            </w:tcBorders>
          </w:tcPr>
          <w:p w14:paraId="60FE8F5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F941DA" w14:paraId="671BCEFB" w14:textId="77777777" w:rsidTr="004D3144">
        <w:tc>
          <w:tcPr>
            <w:tcW w:w="10206" w:type="dxa"/>
            <w:gridSpan w:val="2"/>
            <w:tcBorders>
              <w:top w:val="nil"/>
              <w:left w:val="nil"/>
              <w:bottom w:val="nil"/>
              <w:right w:val="nil"/>
            </w:tcBorders>
          </w:tcPr>
          <w:p w14:paraId="71806E7E"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b/>
                <w:bCs/>
                <w:sz w:val="20"/>
                <w:szCs w:val="20"/>
                <w:lang w:val="x-none"/>
              </w:rPr>
              <w:t xml:space="preserve">    Doza recomandată: 1 cps (123 mg) migalastat o dată la 2 zile, la aceeaşi oră, conform Indicaţiilor terapiei cu migalastat în boala Fabry (punct 3) şi anexa 1.</w:t>
            </w:r>
          </w:p>
        </w:tc>
      </w:tr>
      <w:tr w:rsidR="004D3144" w:rsidRPr="00F941DA" w14:paraId="2DABEF28" w14:textId="77777777" w:rsidTr="004D3144">
        <w:tc>
          <w:tcPr>
            <w:tcW w:w="10206" w:type="dxa"/>
            <w:gridSpan w:val="2"/>
            <w:tcBorders>
              <w:top w:val="nil"/>
              <w:left w:val="nil"/>
              <w:bottom w:val="nil"/>
              <w:right w:val="nil"/>
            </w:tcBorders>
          </w:tcPr>
          <w:p w14:paraId="30E07316"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b/>
                <w:bCs/>
                <w:sz w:val="20"/>
                <w:szCs w:val="20"/>
                <w:lang w:val="x-none"/>
              </w:rPr>
              <w:t xml:space="preserve">    Perioada de tratament recomandată: în funcţie de reevaluarea de la fiecare 6 luni, posibil toată viaţa.</w:t>
            </w:r>
          </w:p>
        </w:tc>
      </w:tr>
      <w:tr w:rsidR="004D3144" w:rsidRPr="00F941DA" w14:paraId="561C93B9" w14:textId="77777777" w:rsidTr="004D3144">
        <w:tc>
          <w:tcPr>
            <w:tcW w:w="10206" w:type="dxa"/>
            <w:gridSpan w:val="2"/>
            <w:tcBorders>
              <w:top w:val="nil"/>
              <w:left w:val="nil"/>
              <w:bottom w:val="nil"/>
              <w:right w:val="nil"/>
            </w:tcBorders>
          </w:tcPr>
          <w:p w14:paraId="3802950B"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b/>
                <w:bCs/>
                <w:sz w:val="20"/>
                <w:szCs w:val="20"/>
                <w:lang w:val="x-none"/>
              </w:rPr>
              <w:t xml:space="preserve">    Nr. total de ambalaje blister a 14 cps pentru 28 zile Migalastat a 123 mg 7 pentru perioada recomandată.</w:t>
            </w:r>
          </w:p>
        </w:tc>
      </w:tr>
      <w:tr w:rsidR="004D3144" w:rsidRPr="00F941DA" w14:paraId="399ABC4C" w14:textId="77777777" w:rsidTr="004D3144">
        <w:tc>
          <w:tcPr>
            <w:tcW w:w="8647" w:type="dxa"/>
            <w:tcBorders>
              <w:top w:val="nil"/>
              <w:left w:val="nil"/>
              <w:bottom w:val="nil"/>
              <w:right w:val="nil"/>
            </w:tcBorders>
          </w:tcPr>
          <w:p w14:paraId="215BFA0C"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b/>
                <w:bCs/>
                <w:sz w:val="20"/>
                <w:szCs w:val="20"/>
                <w:lang w:val="x-none"/>
              </w:rPr>
              <w:t xml:space="preserve">    16. Alte observaţii referitoare la tratament</w:t>
            </w:r>
          </w:p>
        </w:tc>
        <w:tc>
          <w:tcPr>
            <w:tcW w:w="1559" w:type="dxa"/>
            <w:tcBorders>
              <w:top w:val="nil"/>
              <w:left w:val="nil"/>
              <w:bottom w:val="nil"/>
              <w:right w:val="nil"/>
            </w:tcBorders>
          </w:tcPr>
          <w:p w14:paraId="60947008"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4586467F" w14:textId="77777777" w:rsidTr="004D3144">
        <w:tc>
          <w:tcPr>
            <w:tcW w:w="10206" w:type="dxa"/>
            <w:gridSpan w:val="2"/>
            <w:tcBorders>
              <w:top w:val="nil"/>
              <w:left w:val="nil"/>
              <w:bottom w:val="nil"/>
              <w:right w:val="nil"/>
            </w:tcBorders>
          </w:tcPr>
          <w:p w14:paraId="00367DD7"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w:t>
            </w:r>
          </w:p>
        </w:tc>
      </w:tr>
      <w:tr w:rsidR="004D3144" w:rsidRPr="00F941DA" w14:paraId="213441CE" w14:textId="77777777" w:rsidTr="004D3144">
        <w:tc>
          <w:tcPr>
            <w:tcW w:w="10206" w:type="dxa"/>
            <w:gridSpan w:val="2"/>
            <w:tcBorders>
              <w:top w:val="nil"/>
              <w:left w:val="nil"/>
              <w:bottom w:val="nil"/>
              <w:right w:val="nil"/>
            </w:tcBorders>
          </w:tcPr>
          <w:p w14:paraId="4B4B421D"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w:t>
            </w:r>
          </w:p>
        </w:tc>
      </w:tr>
      <w:tr w:rsidR="004D3144" w:rsidRPr="00F941DA" w14:paraId="1AD890FB" w14:textId="77777777" w:rsidTr="004D3144">
        <w:tc>
          <w:tcPr>
            <w:tcW w:w="10206" w:type="dxa"/>
            <w:gridSpan w:val="2"/>
            <w:tcBorders>
              <w:top w:val="nil"/>
              <w:left w:val="nil"/>
              <w:bottom w:val="nil"/>
              <w:right w:val="nil"/>
            </w:tcBorders>
          </w:tcPr>
          <w:p w14:paraId="6CCD4B8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F941DA">
              <w:rPr>
                <w:rFonts w:ascii="Times New Roman" w:eastAsia="Times New Roman" w:hAnsi="Times New Roman" w:cs="Times New Roman"/>
                <w:sz w:val="20"/>
                <w:szCs w:val="20"/>
                <w:lang w:val="x-none"/>
              </w:rPr>
              <w:t xml:space="preserve">    ......................................................................................................................................................................</w:t>
            </w:r>
          </w:p>
        </w:tc>
      </w:tr>
      <w:tr w:rsidR="004D3144" w:rsidRPr="00F941DA" w14:paraId="4504B303" w14:textId="77777777" w:rsidTr="004D3144">
        <w:tc>
          <w:tcPr>
            <w:tcW w:w="8647" w:type="dxa"/>
            <w:tcBorders>
              <w:top w:val="nil"/>
              <w:left w:val="nil"/>
              <w:bottom w:val="nil"/>
              <w:right w:val="nil"/>
            </w:tcBorders>
          </w:tcPr>
          <w:p w14:paraId="013EB38C"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1559" w:type="dxa"/>
            <w:tcBorders>
              <w:top w:val="nil"/>
              <w:left w:val="nil"/>
              <w:bottom w:val="nil"/>
              <w:right w:val="nil"/>
            </w:tcBorders>
          </w:tcPr>
          <w:p w14:paraId="5D7AA47A"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F941DA" w14:paraId="4AEFF328" w14:textId="77777777" w:rsidTr="004D3144">
        <w:tc>
          <w:tcPr>
            <w:tcW w:w="8647" w:type="dxa"/>
            <w:tcBorders>
              <w:top w:val="nil"/>
              <w:left w:val="nil"/>
              <w:bottom w:val="nil"/>
              <w:right w:val="nil"/>
            </w:tcBorders>
          </w:tcPr>
          <w:p w14:paraId="60546576"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F941DA">
              <w:rPr>
                <w:rFonts w:ascii="Times New Roman" w:eastAsia="Times New Roman" w:hAnsi="Times New Roman" w:cs="Times New Roman"/>
                <w:b/>
                <w:bCs/>
                <w:sz w:val="20"/>
                <w:szCs w:val="20"/>
                <w:lang w:val="x-none"/>
              </w:rPr>
              <w:t xml:space="preserve">    Semnătura şi parafa medicului curant</w:t>
            </w:r>
          </w:p>
        </w:tc>
        <w:tc>
          <w:tcPr>
            <w:tcW w:w="1559" w:type="dxa"/>
            <w:tcBorders>
              <w:top w:val="nil"/>
              <w:left w:val="nil"/>
              <w:bottom w:val="nil"/>
              <w:right w:val="nil"/>
            </w:tcBorders>
          </w:tcPr>
          <w:p w14:paraId="20C544DF"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bl>
    <w:p w14:paraId="22645E81"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b/>
          <w:bCs/>
          <w:sz w:val="24"/>
          <w:szCs w:val="24"/>
          <w:lang w:val="x-none"/>
        </w:rPr>
      </w:pPr>
      <w:r w:rsidRPr="00F941DA">
        <w:rPr>
          <w:rFonts w:ascii="Times New Roman" w:eastAsia="Times New Roman" w:hAnsi="Times New Roman" w:cs="Times New Roman"/>
          <w:b/>
          <w:bCs/>
          <w:sz w:val="24"/>
          <w:szCs w:val="24"/>
          <w:lang w:val="x-none"/>
        </w:rPr>
        <w:lastRenderedPageBreak/>
        <w:t>Anexa Nr. 2</w:t>
      </w:r>
    </w:p>
    <w:p w14:paraId="7F8A3FDE" w14:textId="77777777" w:rsidR="004D3144" w:rsidRPr="00F941DA" w:rsidRDefault="004D3144" w:rsidP="004D3144">
      <w:pPr>
        <w:autoSpaceDE w:val="0"/>
        <w:autoSpaceDN w:val="0"/>
        <w:adjustRightInd w:val="0"/>
        <w:spacing w:after="0" w:line="240" w:lineRule="auto"/>
        <w:rPr>
          <w:rFonts w:ascii="Times New Roman" w:eastAsia="Times New Roman" w:hAnsi="Times New Roman" w:cs="Times New Roman"/>
          <w:sz w:val="24"/>
          <w:szCs w:val="24"/>
          <w:lang w:val="x-none"/>
        </w:rPr>
      </w:pPr>
    </w:p>
    <w:p w14:paraId="75C13303"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F941DA">
        <w:rPr>
          <w:rFonts w:ascii="Times New Roman" w:eastAsia="Times New Roman" w:hAnsi="Times New Roman" w:cs="Times New Roman"/>
          <w:b/>
          <w:bCs/>
          <w:sz w:val="24"/>
          <w:szCs w:val="24"/>
          <w:lang w:val="x-none"/>
        </w:rPr>
        <w:t>CONSIMŢĂMÂNT INFORMAT</w:t>
      </w:r>
      <w:r w:rsidRPr="00F941DA">
        <w:rPr>
          <w:rFonts w:ascii="Times New Roman" w:eastAsia="Times New Roman" w:hAnsi="Times New Roman" w:cs="Times New Roman"/>
          <w:b/>
          <w:bCs/>
          <w:sz w:val="24"/>
          <w:szCs w:val="24"/>
          <w:lang w:val="en-US"/>
        </w:rPr>
        <w:t xml:space="preserve"> ADULT</w:t>
      </w:r>
    </w:p>
    <w:p w14:paraId="0FCEF49A"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x-none"/>
        </w:rPr>
      </w:pPr>
    </w:p>
    <w:p w14:paraId="118A6AD3"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0630E0F2" w14:textId="77777777" w:rsidR="004D3144" w:rsidRPr="00F941DA" w:rsidRDefault="004D3144" w:rsidP="004D3144">
      <w:pPr>
        <w:autoSpaceDE w:val="0"/>
        <w:autoSpaceDN w:val="0"/>
        <w:adjustRightInd w:val="0"/>
        <w:spacing w:after="0" w:line="240" w:lineRule="auto"/>
        <w:ind w:firstLine="720"/>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Subsemnatul .............................., CNP ..............., domiciliat în ...................., telefon ................. suferind de boala Fabry cu care am fost diagnosticat din data de ............., am fost pe deplin informat în legătură cu manifestările şi complicaţiile posibile ale bolii.</w:t>
      </w:r>
    </w:p>
    <w:p w14:paraId="1C32518C"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r w:rsidRPr="00F941DA">
        <w:rPr>
          <w:rFonts w:ascii="Times New Roman" w:eastAsia="Times New Roman" w:hAnsi="Times New Roman" w:cs="Times New Roman"/>
          <w:sz w:val="24"/>
          <w:szCs w:val="24"/>
          <w:lang w:val="x-none"/>
        </w:rPr>
        <w:tab/>
        <w:t>Am fost pe deplin informat asupra beneficiilor tratamentului cu Migalastatul privind ameliorarea simptomelor actuale şi prevenirea complicaţiilor ulterioare.</w:t>
      </w:r>
    </w:p>
    <w:p w14:paraId="516F3316"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r w:rsidRPr="00F941DA">
        <w:rPr>
          <w:rFonts w:ascii="Times New Roman" w:eastAsia="Times New Roman" w:hAnsi="Times New Roman" w:cs="Times New Roman"/>
          <w:sz w:val="24"/>
          <w:szCs w:val="24"/>
          <w:lang w:val="x-none"/>
        </w:rPr>
        <w:tab/>
        <w:t>De asemenea, am fost informat în legătură cu necesitatea administrării pe cale orală tratamentului cu Migalastatul o dată la două zile, la aceeaşi oră, pe termen nelimitat, precum şi în legătură cu riscurile acestui tratament.</w:t>
      </w:r>
    </w:p>
    <w:p w14:paraId="3207BAEB"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r w:rsidRPr="00F941DA">
        <w:rPr>
          <w:rFonts w:ascii="Times New Roman" w:eastAsia="Times New Roman" w:hAnsi="Times New Roman" w:cs="Times New Roman"/>
          <w:sz w:val="24"/>
          <w:szCs w:val="24"/>
          <w:lang w:val="x-none"/>
        </w:rPr>
        <w:tab/>
        <w:t>Mă angajez să respect cu stricteţe toate prescripţiile medicale legate de tratamentul cu Migalastatul şi măsurile adjuvante şi profilactice.</w:t>
      </w:r>
    </w:p>
    <w:p w14:paraId="6D9AA0BC"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r w:rsidRPr="00F941DA">
        <w:rPr>
          <w:rFonts w:ascii="Times New Roman" w:eastAsia="Times New Roman" w:hAnsi="Times New Roman" w:cs="Times New Roman"/>
          <w:sz w:val="24"/>
          <w:szCs w:val="24"/>
          <w:lang w:val="x-none"/>
        </w:rPr>
        <w:tab/>
        <w:t>Mă angajez să respect cu stricteţe recomandările privind evaluările medicale periodice necesare pe tot parcursul administrării tratamentului cu Migalastatul.</w:t>
      </w:r>
    </w:p>
    <w:p w14:paraId="6015448E"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r w:rsidRPr="00F941DA">
        <w:rPr>
          <w:rFonts w:ascii="Times New Roman" w:eastAsia="Times New Roman" w:hAnsi="Times New Roman" w:cs="Times New Roman"/>
          <w:sz w:val="24"/>
          <w:szCs w:val="24"/>
          <w:lang w:val="x-none"/>
        </w:rPr>
        <w:tab/>
        <w:t>Sunt de acord să mi se aplice tratamentul cu Migalastatul, precum şi cu condiţionările aferente menţionate mai sus.</w:t>
      </w:r>
    </w:p>
    <w:p w14:paraId="2AF3E9F5"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6A6324D5"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Nume prenume pacient,</w:t>
      </w:r>
    </w:p>
    <w:p w14:paraId="7888EE7F"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Semnătura,</w:t>
      </w:r>
    </w:p>
    <w:p w14:paraId="3832664A"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008AEAF2"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6C63F305"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Nume prenume medic curant,</w:t>
      </w:r>
    </w:p>
    <w:p w14:paraId="516EEDFE"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Semnătura,</w:t>
      </w:r>
    </w:p>
    <w:p w14:paraId="27AD134C"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35CA2546"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2704C007"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Data ........................</w:t>
      </w:r>
    </w:p>
    <w:p w14:paraId="7C479EF6"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iCs/>
          <w:sz w:val="24"/>
          <w:szCs w:val="24"/>
          <w:lang w:val="x-none"/>
        </w:rPr>
      </w:pPr>
    </w:p>
    <w:p w14:paraId="62AA3C13"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x-none"/>
        </w:rPr>
      </w:pPr>
    </w:p>
    <w:p w14:paraId="37CF96B8"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F941DA">
        <w:rPr>
          <w:rFonts w:ascii="Times New Roman" w:eastAsia="Times New Roman" w:hAnsi="Times New Roman" w:cs="Times New Roman"/>
          <w:b/>
          <w:bCs/>
          <w:sz w:val="24"/>
          <w:szCs w:val="24"/>
          <w:lang w:val="x-none"/>
        </w:rPr>
        <w:t>CONSIMŢĂMÂNT INFORMAT</w:t>
      </w:r>
      <w:r w:rsidRPr="00F941DA">
        <w:rPr>
          <w:rFonts w:ascii="Times New Roman" w:eastAsia="Times New Roman" w:hAnsi="Times New Roman" w:cs="Times New Roman"/>
          <w:b/>
          <w:bCs/>
          <w:sz w:val="24"/>
          <w:szCs w:val="24"/>
          <w:lang w:val="en-US"/>
        </w:rPr>
        <w:t xml:space="preserve"> ADOLESCENT (12-18 ani)</w:t>
      </w:r>
    </w:p>
    <w:p w14:paraId="31D5E750" w14:textId="77777777" w:rsidR="004D3144" w:rsidRPr="00F941DA"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x-none"/>
        </w:rPr>
      </w:pPr>
    </w:p>
    <w:p w14:paraId="7617B310"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941DA">
        <w:rPr>
          <w:rFonts w:ascii="Times New Roman" w:eastAsia="Times New Roman" w:hAnsi="Times New Roman" w:cs="Times New Roman"/>
          <w:sz w:val="24"/>
          <w:szCs w:val="24"/>
          <w:lang w:val="en-US"/>
        </w:rPr>
        <w:t xml:space="preserve">Subsemnatul </w:t>
      </w:r>
    </w:p>
    <w:p w14:paraId="063D6633"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p>
    <w:p w14:paraId="7C866FE4"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941DA">
        <w:rPr>
          <w:rFonts w:ascii="Times New Roman" w:eastAsia="Times New Roman" w:hAnsi="Times New Roman" w:cs="Times New Roman"/>
          <w:sz w:val="24"/>
          <w:szCs w:val="24"/>
          <w:lang w:val="en-US"/>
        </w:rPr>
        <w:t>Adolescentul: ……………………………………………………………………………..</w:t>
      </w:r>
    </w:p>
    <w:p w14:paraId="4C7F74F7"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941DA">
        <w:rPr>
          <w:rFonts w:ascii="Times New Roman" w:eastAsia="Times New Roman" w:hAnsi="Times New Roman" w:cs="Times New Roman"/>
          <w:sz w:val="24"/>
          <w:szCs w:val="24"/>
          <w:lang w:val="en-US"/>
        </w:rPr>
        <w:t>CNP adolescent: …………………………………………………………………………..</w:t>
      </w:r>
    </w:p>
    <w:p w14:paraId="50B6FA60"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p>
    <w:p w14:paraId="16B01C21"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941DA">
        <w:rPr>
          <w:rFonts w:ascii="Times New Roman" w:eastAsia="Times New Roman" w:hAnsi="Times New Roman" w:cs="Times New Roman"/>
          <w:sz w:val="24"/>
          <w:szCs w:val="24"/>
          <w:lang w:val="en-US"/>
        </w:rPr>
        <w:t>Subsemnaţii ………………………………………………………………………………,</w:t>
      </w:r>
    </w:p>
    <w:p w14:paraId="7D33DD00"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941DA">
        <w:rPr>
          <w:rFonts w:ascii="Times New Roman" w:eastAsia="Times New Roman" w:hAnsi="Times New Roman" w:cs="Times New Roman"/>
          <w:sz w:val="24"/>
          <w:szCs w:val="24"/>
          <w:lang w:val="en-US"/>
        </w:rPr>
        <w:t>CNP: ……………………….…….………………………………………………………..</w:t>
      </w:r>
    </w:p>
    <w:p w14:paraId="49B23FFC"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941DA">
        <w:rPr>
          <w:rFonts w:ascii="Times New Roman" w:eastAsia="Times New Roman" w:hAnsi="Times New Roman" w:cs="Times New Roman"/>
          <w:sz w:val="24"/>
          <w:szCs w:val="24"/>
          <w:lang w:val="en-US"/>
        </w:rPr>
        <w:t>CNP: ……………………………….…….………………………………………………..</w:t>
      </w:r>
    </w:p>
    <w:p w14:paraId="564D9178"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941DA">
        <w:rPr>
          <w:rFonts w:ascii="Times New Roman" w:eastAsia="Times New Roman" w:hAnsi="Times New Roman" w:cs="Times New Roman"/>
          <w:sz w:val="24"/>
          <w:szCs w:val="24"/>
          <w:lang w:val="en-US"/>
        </w:rPr>
        <w:t>(se completează CNP-urile părinţilor sau aparţinătorilor)</w:t>
      </w:r>
    </w:p>
    <w:p w14:paraId="78D28A26"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p>
    <w:p w14:paraId="400AC0AD"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en-US"/>
        </w:rPr>
        <w:t>Cu domiciliul în .............................................................................................................................</w:t>
      </w:r>
      <w:r w:rsidRPr="00F941DA">
        <w:rPr>
          <w:rFonts w:ascii="Times New Roman" w:eastAsia="Times New Roman" w:hAnsi="Times New Roman" w:cs="Times New Roman"/>
          <w:sz w:val="24"/>
          <w:szCs w:val="24"/>
          <w:lang w:val="x-none"/>
        </w:rPr>
        <w:t>..., telefon .................</w:t>
      </w:r>
      <w:r w:rsidRPr="00F941DA">
        <w:rPr>
          <w:rFonts w:ascii="Times New Roman" w:eastAsia="Times New Roman" w:hAnsi="Times New Roman" w:cs="Times New Roman"/>
          <w:sz w:val="24"/>
          <w:szCs w:val="24"/>
          <w:lang w:val="en-US"/>
        </w:rPr>
        <w:t xml:space="preserve"> în calitate de reprezentant legal al adolescentului  ……………………………………………………………………………………...………………, diagnosticat cu ……………………………………………………….…………….. sunt de acord să urmeze tratamentul cu ……………………………………………………………………………</w:t>
      </w:r>
      <w:r w:rsidRPr="00F941DA">
        <w:rPr>
          <w:rFonts w:ascii="Times New Roman" w:eastAsia="Times New Roman" w:hAnsi="Times New Roman" w:cs="Times New Roman"/>
          <w:sz w:val="24"/>
          <w:szCs w:val="24"/>
          <w:lang w:val="x-none"/>
        </w:rPr>
        <w:t xml:space="preserve"> suferind de boala Fabry cu care am fost diagnosticat din data de ............., am fost pe deplin informat în legătură cu manifestările şi complicaţiile posibile ale bolii.</w:t>
      </w:r>
    </w:p>
    <w:p w14:paraId="778E83D6"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r w:rsidRPr="00F941DA">
        <w:rPr>
          <w:rFonts w:ascii="Times New Roman" w:eastAsia="Times New Roman" w:hAnsi="Times New Roman" w:cs="Times New Roman"/>
          <w:sz w:val="24"/>
          <w:szCs w:val="24"/>
          <w:lang w:val="x-none"/>
        </w:rPr>
        <w:tab/>
        <w:t>Am fost pe deplin informat asupra beneficiilor tratamentului cu Migalastatul privind ameliorarea simptomelor actuale şi prevenirea complicaţiilor ulterioare.</w:t>
      </w:r>
    </w:p>
    <w:p w14:paraId="3164A486"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r w:rsidRPr="00F941DA">
        <w:rPr>
          <w:rFonts w:ascii="Times New Roman" w:eastAsia="Times New Roman" w:hAnsi="Times New Roman" w:cs="Times New Roman"/>
          <w:sz w:val="24"/>
          <w:szCs w:val="24"/>
          <w:lang w:val="x-none"/>
        </w:rPr>
        <w:tab/>
        <w:t>De asemenea, am fost informat în legătură cu necesitatea administrării pe cale orală tratamentului cu Migalastatul o dată la două zile, la aceeaşi oră, pe termen nelimitat, precum şi în legătură cu riscurile acestui tratament.</w:t>
      </w:r>
    </w:p>
    <w:p w14:paraId="7D088536"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lastRenderedPageBreak/>
        <w:t xml:space="preserve">    </w:t>
      </w:r>
      <w:r w:rsidRPr="00F941DA">
        <w:rPr>
          <w:rFonts w:ascii="Times New Roman" w:eastAsia="Times New Roman" w:hAnsi="Times New Roman" w:cs="Times New Roman"/>
          <w:sz w:val="24"/>
          <w:szCs w:val="24"/>
          <w:lang w:val="x-none"/>
        </w:rPr>
        <w:tab/>
        <w:t>Mă angajez să respect cu stricteţe toate prescripţiile medicale legate de tratamentul cu Migalastatul şi măsurile adjuvante şi profilactice.</w:t>
      </w:r>
    </w:p>
    <w:p w14:paraId="4AEB7555"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r w:rsidRPr="00F941DA">
        <w:rPr>
          <w:rFonts w:ascii="Times New Roman" w:eastAsia="Times New Roman" w:hAnsi="Times New Roman" w:cs="Times New Roman"/>
          <w:sz w:val="24"/>
          <w:szCs w:val="24"/>
          <w:lang w:val="x-none"/>
        </w:rPr>
        <w:tab/>
        <w:t>Mă angajez să respect cu stricteţe recomandările privind evaluările medicale periodice necesare pe tot parcursul administrării tratamentului cu Migalastatul.</w:t>
      </w:r>
    </w:p>
    <w:p w14:paraId="46011C83"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w:t>
      </w:r>
      <w:r w:rsidRPr="00F941DA">
        <w:rPr>
          <w:rFonts w:ascii="Times New Roman" w:eastAsia="Times New Roman" w:hAnsi="Times New Roman" w:cs="Times New Roman"/>
          <w:sz w:val="24"/>
          <w:szCs w:val="24"/>
          <w:lang w:val="x-none"/>
        </w:rPr>
        <w:tab/>
        <w:t>Sunt de acord să mi se aplice tratamentul cu Migalastatul, precum şi cu condiţionările aferente menţionate mai sus.</w:t>
      </w:r>
    </w:p>
    <w:p w14:paraId="33AFB73D"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77157D58"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941DA">
        <w:rPr>
          <w:rFonts w:ascii="Times New Roman" w:eastAsia="Times New Roman" w:hAnsi="Times New Roman" w:cs="Times New Roman"/>
          <w:sz w:val="24"/>
          <w:szCs w:val="24"/>
          <w:lang w:val="x-none"/>
        </w:rPr>
        <w:t xml:space="preserve">Nume prenume </w:t>
      </w:r>
      <w:r w:rsidRPr="00F941DA">
        <w:rPr>
          <w:rFonts w:ascii="Times New Roman" w:eastAsia="Times New Roman" w:hAnsi="Times New Roman" w:cs="Times New Roman"/>
          <w:sz w:val="24"/>
          <w:szCs w:val="24"/>
          <w:lang w:val="en-US"/>
        </w:rPr>
        <w:t>(</w:t>
      </w:r>
      <w:r w:rsidRPr="00F941DA">
        <w:rPr>
          <w:rFonts w:ascii="Times New Roman" w:eastAsia="Times New Roman" w:hAnsi="Times New Roman" w:cs="Times New Roman"/>
          <w:sz w:val="24"/>
          <w:szCs w:val="24"/>
          <w:lang w:val="x-none"/>
        </w:rPr>
        <w:t>părinţi sau aparţinători</w:t>
      </w:r>
      <w:r w:rsidRPr="00F941DA">
        <w:rPr>
          <w:rFonts w:ascii="Times New Roman" w:eastAsia="Times New Roman" w:hAnsi="Times New Roman" w:cs="Times New Roman"/>
          <w:sz w:val="24"/>
          <w:szCs w:val="24"/>
          <w:lang w:val="en-US"/>
        </w:rPr>
        <w:t>)</w:t>
      </w:r>
    </w:p>
    <w:p w14:paraId="0E767F2D"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Semnătura,</w:t>
      </w:r>
    </w:p>
    <w:p w14:paraId="72F98B88"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6A6AC45C"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Nume prenume </w:t>
      </w:r>
      <w:r w:rsidRPr="00F941DA">
        <w:rPr>
          <w:rFonts w:ascii="Times New Roman" w:eastAsia="Times New Roman" w:hAnsi="Times New Roman" w:cs="Times New Roman"/>
          <w:sz w:val="24"/>
          <w:szCs w:val="24"/>
          <w:lang w:val="en-US"/>
        </w:rPr>
        <w:t xml:space="preserve"> adolescent</w:t>
      </w:r>
      <w:r w:rsidRPr="00F941DA">
        <w:rPr>
          <w:rFonts w:ascii="Times New Roman" w:eastAsia="Times New Roman" w:hAnsi="Times New Roman" w:cs="Times New Roman"/>
          <w:sz w:val="24"/>
          <w:szCs w:val="24"/>
          <w:lang w:val="x-none"/>
        </w:rPr>
        <w:t>(</w:t>
      </w:r>
      <w:r w:rsidRPr="00F941DA">
        <w:rPr>
          <w:rFonts w:ascii="Times New Roman" w:eastAsia="Times New Roman" w:hAnsi="Times New Roman" w:cs="Times New Roman"/>
          <w:sz w:val="24"/>
          <w:szCs w:val="24"/>
          <w:lang w:val="en-US"/>
        </w:rPr>
        <w:t>in</w:t>
      </w:r>
      <w:r w:rsidRPr="00F941DA">
        <w:rPr>
          <w:rFonts w:ascii="Times New Roman" w:eastAsia="Times New Roman" w:hAnsi="Times New Roman" w:cs="Times New Roman"/>
          <w:sz w:val="24"/>
          <w:szCs w:val="24"/>
          <w:lang w:val="x-none"/>
        </w:rPr>
        <w:t xml:space="preserve"> vârsta de 1</w:t>
      </w:r>
      <w:r w:rsidRPr="00F941DA">
        <w:rPr>
          <w:rFonts w:ascii="Times New Roman" w:eastAsia="Times New Roman" w:hAnsi="Times New Roman" w:cs="Times New Roman"/>
          <w:sz w:val="24"/>
          <w:szCs w:val="24"/>
          <w:lang w:val="en-US"/>
        </w:rPr>
        <w:t>2-18</w:t>
      </w:r>
      <w:r w:rsidRPr="00F941DA">
        <w:rPr>
          <w:rFonts w:ascii="Times New Roman" w:eastAsia="Times New Roman" w:hAnsi="Times New Roman" w:cs="Times New Roman"/>
          <w:sz w:val="24"/>
          <w:szCs w:val="24"/>
          <w:lang w:val="x-none"/>
        </w:rPr>
        <w:t xml:space="preserve"> ani)</w:t>
      </w:r>
    </w:p>
    <w:p w14:paraId="1CFBE340"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(facultativ)</w:t>
      </w:r>
    </w:p>
    <w:p w14:paraId="0649E253"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5B7C35FC"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Nume prenume medic curant,</w:t>
      </w:r>
    </w:p>
    <w:p w14:paraId="472FE85A"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F941DA">
        <w:rPr>
          <w:rFonts w:ascii="Times New Roman" w:eastAsia="Times New Roman" w:hAnsi="Times New Roman" w:cs="Times New Roman"/>
          <w:sz w:val="24"/>
          <w:szCs w:val="24"/>
          <w:lang w:val="x-none"/>
        </w:rPr>
        <w:t xml:space="preserve"> Semnătura,</w:t>
      </w:r>
    </w:p>
    <w:p w14:paraId="13F19C70"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370B4310"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46189680" w14:textId="2999B6D5"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rPr>
      </w:pPr>
      <w:r w:rsidRPr="00F941DA">
        <w:rPr>
          <w:rFonts w:ascii="Times New Roman" w:eastAsia="Times New Roman" w:hAnsi="Times New Roman" w:cs="Times New Roman"/>
          <w:sz w:val="24"/>
          <w:szCs w:val="24"/>
          <w:lang w:val="x-none"/>
        </w:rPr>
        <w:t xml:space="preserve"> Data ........................</w:t>
      </w:r>
      <w:r w:rsidR="002646F3" w:rsidRPr="00F941DA">
        <w:rPr>
          <w:rFonts w:ascii="Times New Roman" w:eastAsia="Times New Roman" w:hAnsi="Times New Roman" w:cs="Times New Roman"/>
          <w:sz w:val="24"/>
          <w:szCs w:val="24"/>
        </w:rPr>
        <w:t>”</w:t>
      </w:r>
    </w:p>
    <w:p w14:paraId="38529699"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iCs/>
          <w:sz w:val="24"/>
          <w:szCs w:val="24"/>
          <w:lang w:val="x-none"/>
        </w:rPr>
      </w:pPr>
    </w:p>
    <w:p w14:paraId="53684D36" w14:textId="77777777" w:rsidR="004D3144" w:rsidRPr="00F941DA" w:rsidRDefault="004D3144" w:rsidP="004D3144">
      <w:pPr>
        <w:autoSpaceDE w:val="0"/>
        <w:autoSpaceDN w:val="0"/>
        <w:adjustRightInd w:val="0"/>
        <w:spacing w:after="0" w:line="240" w:lineRule="auto"/>
        <w:jc w:val="both"/>
        <w:rPr>
          <w:rFonts w:ascii="Times New Roman" w:eastAsia="Times New Roman" w:hAnsi="Times New Roman" w:cs="Times New Roman"/>
          <w:b/>
          <w:bCs/>
          <w:iCs/>
          <w:sz w:val="24"/>
          <w:szCs w:val="24"/>
          <w:lang w:val="x-none"/>
        </w:rPr>
      </w:pPr>
    </w:p>
    <w:p w14:paraId="63670474" w14:textId="77777777" w:rsidR="004D3144" w:rsidRPr="00F941DA" w:rsidRDefault="004D3144" w:rsidP="004D3144">
      <w:pPr>
        <w:spacing w:line="276" w:lineRule="auto"/>
        <w:ind w:right="-567"/>
        <w:jc w:val="both"/>
        <w:rPr>
          <w:rFonts w:ascii="Arial" w:eastAsia="Arial" w:hAnsi="Arial" w:cs="Arial"/>
          <w:b/>
          <w:bCs/>
          <w:sz w:val="24"/>
          <w:szCs w:val="24"/>
          <w:lang w:val="en-GB"/>
        </w:rPr>
      </w:pPr>
    </w:p>
    <w:p w14:paraId="0802BC12"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6BF5AEF1"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4B453A6D"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39DF5093"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4722DD3C"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1F8E2BBA"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2C304BBF"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53D6BBAC"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6FEA94CA"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155B0B63"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60D08E22"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3BE99EE5"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0C818A4A"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60A2FD37"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67D919FE"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0EC71E83"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07EA3706"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241BE8AD"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0907C22E" w14:textId="77777777" w:rsidR="002646F3" w:rsidRPr="00F941DA" w:rsidRDefault="002646F3" w:rsidP="007B60B7">
      <w:pPr>
        <w:tabs>
          <w:tab w:val="left" w:pos="426"/>
        </w:tabs>
        <w:jc w:val="both"/>
        <w:rPr>
          <w:rFonts w:ascii="Times New Roman" w:eastAsia="Arial" w:hAnsi="Times New Roman" w:cs="Times New Roman"/>
          <w:b/>
          <w:bCs/>
          <w:sz w:val="24"/>
          <w:szCs w:val="24"/>
          <w:lang w:val="en-US"/>
        </w:rPr>
      </w:pPr>
    </w:p>
    <w:p w14:paraId="7890F92B" w14:textId="77777777" w:rsidR="007B60B7" w:rsidRPr="00F941DA" w:rsidRDefault="007B60B7" w:rsidP="00984957">
      <w:pPr>
        <w:pStyle w:val="ListParagraph"/>
        <w:rPr>
          <w:rFonts w:eastAsia="Arial"/>
          <w:b/>
          <w:bCs/>
          <w:color w:val="auto"/>
          <w:lang w:val="en-US"/>
        </w:rPr>
      </w:pPr>
    </w:p>
    <w:p w14:paraId="69E73B36" w14:textId="08705D54" w:rsidR="007B60B7" w:rsidRPr="00F941DA" w:rsidRDefault="007B60B7" w:rsidP="00CA4F71">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 xml:space="preserve">La anexa nr. 1, protocolul terapeutic corespunzător poziţiei nr. </w:t>
      </w:r>
      <w:r w:rsidR="00CA4F71" w:rsidRPr="00F941DA">
        <w:rPr>
          <w:rFonts w:eastAsia="Arial"/>
          <w:b/>
          <w:bCs/>
          <w:color w:val="auto"/>
          <w:lang w:val="en-US"/>
        </w:rPr>
        <w:t>75</w:t>
      </w:r>
      <w:r w:rsidRPr="00F941DA">
        <w:rPr>
          <w:rFonts w:eastAsia="Arial"/>
          <w:b/>
          <w:bCs/>
          <w:color w:val="auto"/>
          <w:lang w:val="en-US"/>
        </w:rPr>
        <w:t xml:space="preserve"> cod (</w:t>
      </w:r>
      <w:r w:rsidR="00CA4F71" w:rsidRPr="00F941DA">
        <w:rPr>
          <w:rFonts w:eastAsia="Arial"/>
          <w:b/>
          <w:bCs/>
          <w:color w:val="auto"/>
          <w:lang w:val="en-US"/>
        </w:rPr>
        <w:t>C09DX04</w:t>
      </w:r>
      <w:r w:rsidRPr="00F941DA">
        <w:rPr>
          <w:rFonts w:eastAsia="Arial"/>
          <w:b/>
          <w:bCs/>
          <w:color w:val="auto"/>
          <w:lang w:val="en-US"/>
        </w:rPr>
        <w:t xml:space="preserve">): DCI </w:t>
      </w:r>
      <w:r w:rsidR="00CA4F71" w:rsidRPr="00F941DA">
        <w:rPr>
          <w:rFonts w:eastAsia="Arial"/>
          <w:b/>
          <w:bCs/>
          <w:color w:val="auto"/>
          <w:lang w:val="en-US"/>
        </w:rPr>
        <w:t>SACUBITRILUM/VALSARTANUM</w:t>
      </w:r>
      <w:r w:rsidRPr="00F941DA">
        <w:rPr>
          <w:rFonts w:eastAsia="Arial"/>
          <w:b/>
          <w:bCs/>
          <w:color w:val="auto"/>
          <w:lang w:val="en-US"/>
        </w:rPr>
        <w:t xml:space="preserve"> se modifică și se înlocuiește cu următorul protocol:</w:t>
      </w:r>
    </w:p>
    <w:p w14:paraId="66D788B1" w14:textId="77777777" w:rsidR="007B60B7" w:rsidRPr="00F941DA" w:rsidRDefault="007B60B7" w:rsidP="007B60B7">
      <w:pPr>
        <w:tabs>
          <w:tab w:val="left" w:pos="426"/>
        </w:tabs>
        <w:jc w:val="both"/>
        <w:rPr>
          <w:rFonts w:ascii="Times New Roman" w:eastAsia="Arial" w:hAnsi="Times New Roman" w:cs="Times New Roman"/>
          <w:b/>
          <w:bCs/>
          <w:sz w:val="24"/>
          <w:szCs w:val="24"/>
          <w:lang w:val="en-US"/>
        </w:rPr>
      </w:pPr>
    </w:p>
    <w:p w14:paraId="75A3D4BA" w14:textId="4E616CEC" w:rsidR="007B60B7" w:rsidRPr="00F941DA" w:rsidRDefault="007B60B7" w:rsidP="007B60B7">
      <w:pPr>
        <w:tabs>
          <w:tab w:val="left" w:pos="426"/>
        </w:tabs>
        <w:jc w:val="both"/>
        <w:rPr>
          <w:rFonts w:ascii="Times New Roman" w:eastAsia="Arial" w:hAnsi="Times New Roman" w:cs="Times New Roman"/>
          <w:b/>
          <w:bCs/>
          <w:sz w:val="24"/>
          <w:szCs w:val="24"/>
          <w:lang w:val="en-US"/>
        </w:rPr>
      </w:pPr>
      <w:r w:rsidRPr="00F941DA">
        <w:rPr>
          <w:rFonts w:ascii="Times New Roman" w:eastAsia="Arial" w:hAnsi="Times New Roman" w:cs="Times New Roman"/>
          <w:b/>
          <w:bCs/>
          <w:sz w:val="24"/>
          <w:szCs w:val="24"/>
          <w:lang w:val="en-US"/>
        </w:rPr>
        <w:t xml:space="preserve">”Protocol terapeutic corespunzător poziţiei nr. </w:t>
      </w:r>
      <w:r w:rsidR="00CA4F71" w:rsidRPr="00F941DA">
        <w:rPr>
          <w:rFonts w:ascii="Times New Roman" w:eastAsia="Arial" w:hAnsi="Times New Roman" w:cs="Times New Roman"/>
          <w:b/>
          <w:bCs/>
          <w:sz w:val="24"/>
          <w:szCs w:val="24"/>
          <w:lang w:val="en-US"/>
        </w:rPr>
        <w:t>75 cod (C09DX04): DCI SACUBITRILUM/VALSARTANUM</w:t>
      </w:r>
    </w:p>
    <w:p w14:paraId="433E409C" w14:textId="77777777" w:rsidR="007B60B7" w:rsidRPr="00F941DA" w:rsidRDefault="007B60B7" w:rsidP="007B60B7">
      <w:pPr>
        <w:tabs>
          <w:tab w:val="left" w:pos="426"/>
        </w:tabs>
        <w:jc w:val="both"/>
        <w:rPr>
          <w:rFonts w:ascii="Times New Roman" w:eastAsia="Arial" w:hAnsi="Times New Roman" w:cs="Times New Roman"/>
          <w:b/>
          <w:bCs/>
          <w:sz w:val="24"/>
          <w:szCs w:val="24"/>
          <w:lang w:val="en-US"/>
        </w:rPr>
      </w:pPr>
    </w:p>
    <w:p w14:paraId="5DBA0924" w14:textId="77777777" w:rsidR="00224480" w:rsidRPr="00F941DA" w:rsidRDefault="00224480" w:rsidP="00D11DF1">
      <w:pPr>
        <w:numPr>
          <w:ilvl w:val="0"/>
          <w:numId w:val="145"/>
        </w:numPr>
        <w:ind w:left="284" w:hanging="284"/>
        <w:contextualSpacing/>
        <w:jc w:val="both"/>
        <w:rPr>
          <w:rFonts w:ascii="Times New Roman" w:hAnsi="Times New Roman" w:cs="Times New Roman"/>
          <w:b/>
          <w:sz w:val="24"/>
          <w:szCs w:val="24"/>
          <w:u w:color="000000"/>
          <w:bdr w:val="nil"/>
          <w:lang w:eastAsia="ro-RO"/>
        </w:rPr>
      </w:pPr>
      <w:r w:rsidRPr="00F941DA">
        <w:rPr>
          <w:rFonts w:ascii="Times New Roman" w:hAnsi="Times New Roman" w:cs="Times New Roman"/>
          <w:b/>
          <w:sz w:val="24"/>
          <w:szCs w:val="24"/>
          <w:u w:color="000000"/>
          <w:bdr w:val="nil"/>
          <w:lang w:eastAsia="ro-RO"/>
        </w:rPr>
        <w:t>Indicații</w:t>
      </w:r>
    </w:p>
    <w:p w14:paraId="44FD912E" w14:textId="77777777" w:rsidR="00224480" w:rsidRPr="00F941DA" w:rsidRDefault="00224480" w:rsidP="00224480">
      <w:pPr>
        <w:contextualSpacing/>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Tratamentul pacienților adulți cu insuficiență cardiacă simptomatică cronică cu fracție de ejecție redusă.</w:t>
      </w:r>
    </w:p>
    <w:p w14:paraId="4EB76927" w14:textId="77777777" w:rsidR="00224480" w:rsidRPr="00F941DA" w:rsidRDefault="00224480" w:rsidP="00224480">
      <w:pPr>
        <w:contextualSpacing/>
        <w:jc w:val="both"/>
        <w:rPr>
          <w:rFonts w:ascii="Times New Roman" w:eastAsia="Calibri" w:hAnsi="Times New Roman" w:cs="Times New Roman"/>
          <w:b/>
          <w:sz w:val="24"/>
          <w:szCs w:val="24"/>
        </w:rPr>
      </w:pPr>
    </w:p>
    <w:p w14:paraId="6D49D608" w14:textId="77777777" w:rsidR="00224480" w:rsidRPr="00F941DA" w:rsidRDefault="00224480" w:rsidP="00D11DF1">
      <w:pPr>
        <w:numPr>
          <w:ilvl w:val="0"/>
          <w:numId w:val="145"/>
        </w:numPr>
        <w:spacing w:after="0"/>
        <w:ind w:left="284" w:hanging="284"/>
        <w:contextualSpacing/>
        <w:jc w:val="both"/>
        <w:rPr>
          <w:rFonts w:ascii="Times New Roman" w:hAnsi="Times New Roman" w:cs="Times New Roman"/>
          <w:b/>
          <w:sz w:val="24"/>
          <w:szCs w:val="24"/>
          <w:u w:color="000000"/>
          <w:bdr w:val="nil"/>
          <w:lang w:eastAsia="ro-RO"/>
        </w:rPr>
      </w:pPr>
      <w:r w:rsidRPr="00F941DA">
        <w:rPr>
          <w:rFonts w:ascii="Times New Roman" w:hAnsi="Times New Roman" w:cs="Times New Roman"/>
          <w:b/>
          <w:sz w:val="24"/>
          <w:szCs w:val="24"/>
          <w:u w:color="000000"/>
          <w:bdr w:val="nil"/>
          <w:lang w:eastAsia="ro-RO"/>
        </w:rPr>
        <w:t>Criterii de includere</w:t>
      </w:r>
    </w:p>
    <w:p w14:paraId="44A4DB14" w14:textId="77777777" w:rsidR="00224480" w:rsidRPr="00F941DA" w:rsidRDefault="00224480" w:rsidP="00224480">
      <w:pPr>
        <w:contextualSpacing/>
        <w:jc w:val="both"/>
        <w:rPr>
          <w:rFonts w:ascii="Times New Roman" w:hAnsi="Times New Roman" w:cs="Times New Roman"/>
          <w:b/>
          <w:sz w:val="24"/>
          <w:szCs w:val="24"/>
          <w:u w:color="000000"/>
          <w:bdr w:val="nil"/>
          <w:lang w:eastAsia="ro-RO"/>
        </w:rPr>
      </w:pPr>
    </w:p>
    <w:p w14:paraId="037576F2" w14:textId="77777777" w:rsidR="00224480" w:rsidRPr="00F941DA" w:rsidRDefault="00224480" w:rsidP="00D11DF1">
      <w:pPr>
        <w:numPr>
          <w:ilvl w:val="0"/>
          <w:numId w:val="144"/>
        </w:numPr>
        <w:spacing w:after="0"/>
        <w:ind w:left="288" w:hanging="288"/>
        <w:contextualSpacing/>
        <w:jc w:val="both"/>
        <w:rPr>
          <w:rFonts w:ascii="Times New Roman" w:hAnsi="Times New Roman" w:cs="Times New Roman"/>
          <w:b/>
          <w:sz w:val="24"/>
          <w:szCs w:val="24"/>
          <w:u w:color="000000"/>
          <w:bdr w:val="nil"/>
          <w:lang w:eastAsia="ro-RO"/>
        </w:rPr>
      </w:pPr>
      <w:r w:rsidRPr="00F941DA">
        <w:rPr>
          <w:rFonts w:ascii="Times New Roman" w:hAnsi="Times New Roman" w:cs="Times New Roman"/>
          <w:b/>
          <w:sz w:val="24"/>
          <w:szCs w:val="24"/>
          <w:u w:color="000000"/>
          <w:bdr w:val="nil"/>
          <w:lang w:eastAsia="ro-RO"/>
        </w:rPr>
        <w:t xml:space="preserve">În caz de inițiere a terapiei în ambulator (îndeplinirea criteriilor de mai jos cumulativ): </w:t>
      </w:r>
    </w:p>
    <w:p w14:paraId="4C60CBE0" w14:textId="77777777" w:rsidR="00224480" w:rsidRPr="00F941DA" w:rsidRDefault="00224480" w:rsidP="00D11DF1">
      <w:pPr>
        <w:pStyle w:val="ListParagraph"/>
        <w:numPr>
          <w:ilvl w:val="0"/>
          <w:numId w:val="150"/>
        </w:numPr>
        <w:ind w:hanging="436"/>
        <w:contextualSpacing/>
        <w:jc w:val="both"/>
        <w:rPr>
          <w:color w:val="auto"/>
        </w:rPr>
      </w:pPr>
      <w:r w:rsidRPr="00F941DA">
        <w:rPr>
          <w:color w:val="auto"/>
        </w:rPr>
        <w:t>pacienți simptomatici, cu simptome de insuficiență cardiacă, cu fracție de ejecție redusă, clasele NYHA II, III sau IV:</w:t>
      </w:r>
    </w:p>
    <w:p w14:paraId="387A1F6D" w14:textId="77777777" w:rsidR="00224480" w:rsidRPr="00F941DA" w:rsidRDefault="00224480" w:rsidP="00D11DF1">
      <w:pPr>
        <w:pStyle w:val="ListParagraph"/>
        <w:numPr>
          <w:ilvl w:val="1"/>
          <w:numId w:val="151"/>
        </w:numPr>
        <w:ind w:left="1276" w:hanging="567"/>
        <w:contextualSpacing/>
        <w:jc w:val="both"/>
        <w:rPr>
          <w:color w:val="auto"/>
        </w:rPr>
      </w:pPr>
      <w:r w:rsidRPr="00F941DA">
        <w:rPr>
          <w:color w:val="auto"/>
        </w:rPr>
        <w:t xml:space="preserve">în ciuda tratamentului optim cu inhibitori ai enzimei de conversie (IECA) sau blocanți de receptor ai angiotensinei (BRA) </w:t>
      </w:r>
    </w:p>
    <w:p w14:paraId="40146447" w14:textId="77777777" w:rsidR="00224480" w:rsidRPr="00F941DA" w:rsidRDefault="00224480" w:rsidP="00224480">
      <w:pPr>
        <w:pStyle w:val="ListParagraph"/>
        <w:ind w:left="1276"/>
        <w:contextualSpacing/>
        <w:jc w:val="both"/>
        <w:rPr>
          <w:color w:val="auto"/>
          <w:u w:val="single"/>
        </w:rPr>
      </w:pPr>
      <w:r w:rsidRPr="00F941DA">
        <w:rPr>
          <w:color w:val="auto"/>
          <w:u w:val="single"/>
        </w:rPr>
        <w:t xml:space="preserve">sau </w:t>
      </w:r>
    </w:p>
    <w:p w14:paraId="6957BCCD" w14:textId="77777777" w:rsidR="00224480" w:rsidRPr="00F941DA" w:rsidRDefault="00224480" w:rsidP="00D11DF1">
      <w:pPr>
        <w:pStyle w:val="ListParagraph"/>
        <w:numPr>
          <w:ilvl w:val="1"/>
          <w:numId w:val="151"/>
        </w:numPr>
        <w:ind w:left="1276" w:hanging="567"/>
        <w:contextualSpacing/>
        <w:jc w:val="both"/>
        <w:rPr>
          <w:color w:val="auto"/>
        </w:rPr>
      </w:pPr>
      <w:r w:rsidRPr="00F941DA">
        <w:rPr>
          <w:color w:val="auto"/>
        </w:rPr>
        <w:t>cărora nu li se administrează în prezent IECA sau BRA</w:t>
      </w:r>
    </w:p>
    <w:p w14:paraId="253077D5" w14:textId="77777777" w:rsidR="00224480" w:rsidRPr="00F941DA" w:rsidRDefault="00224480" w:rsidP="00224480">
      <w:pPr>
        <w:pStyle w:val="ListParagraph"/>
        <w:ind w:left="1429"/>
        <w:contextualSpacing/>
        <w:jc w:val="both"/>
        <w:rPr>
          <w:color w:val="auto"/>
        </w:rPr>
      </w:pPr>
    </w:p>
    <w:p w14:paraId="65F2E979" w14:textId="77777777" w:rsidR="00224480" w:rsidRPr="00F941DA" w:rsidRDefault="00224480" w:rsidP="00D11DF1">
      <w:pPr>
        <w:pStyle w:val="ListParagraph"/>
        <w:numPr>
          <w:ilvl w:val="0"/>
          <w:numId w:val="149"/>
        </w:numPr>
        <w:tabs>
          <w:tab w:val="left" w:pos="709"/>
        </w:tabs>
        <w:ind w:hanging="1516"/>
        <w:contextualSpacing/>
        <w:jc w:val="both"/>
        <w:rPr>
          <w:color w:val="auto"/>
        </w:rPr>
      </w:pPr>
      <w:r w:rsidRPr="00F941DA">
        <w:rPr>
          <w:color w:val="auto"/>
        </w:rPr>
        <w:t>Fracție de ejecție ≤ 40% (documentată prin ecocardiografie sau RMN cardiac);</w:t>
      </w:r>
    </w:p>
    <w:p w14:paraId="32F3C177" w14:textId="77777777" w:rsidR="00224480" w:rsidRPr="00F941DA" w:rsidRDefault="00224480" w:rsidP="00224480">
      <w:pPr>
        <w:pStyle w:val="ListParagraph"/>
        <w:ind w:left="1800"/>
        <w:contextualSpacing/>
        <w:jc w:val="both"/>
        <w:rPr>
          <w:color w:val="auto"/>
        </w:rPr>
      </w:pPr>
    </w:p>
    <w:p w14:paraId="4C51CB65" w14:textId="77777777" w:rsidR="00224480" w:rsidRPr="00F941DA" w:rsidRDefault="00224480" w:rsidP="00D11DF1">
      <w:pPr>
        <w:pStyle w:val="ListParagraph"/>
        <w:numPr>
          <w:ilvl w:val="0"/>
          <w:numId w:val="144"/>
        </w:numPr>
        <w:ind w:left="284" w:hanging="284"/>
        <w:contextualSpacing/>
        <w:jc w:val="both"/>
        <w:rPr>
          <w:b/>
          <w:color w:val="auto"/>
        </w:rPr>
      </w:pPr>
      <w:r w:rsidRPr="00F941DA">
        <w:rPr>
          <w:b/>
          <w:color w:val="auto"/>
        </w:rPr>
        <w:t xml:space="preserve">În caz de inițiere a terapiei la pacienții spitalizați: </w:t>
      </w:r>
    </w:p>
    <w:p w14:paraId="78F4C15F" w14:textId="77777777" w:rsidR="00224480" w:rsidRPr="00F941DA" w:rsidRDefault="00224480" w:rsidP="00224480">
      <w:pPr>
        <w:ind w:left="288"/>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Pacienți spitalizați pentru insuficiență cardiacă acută sau insuficiență cardiacă cronică agravată, stabilizați hemodinamic, cu îndeplinirea criteriului: fracție de ejecție ≤ 40%.</w:t>
      </w:r>
    </w:p>
    <w:p w14:paraId="60AB57FD" w14:textId="77777777" w:rsidR="00224480" w:rsidRPr="00F941DA" w:rsidRDefault="00224480" w:rsidP="00D11DF1">
      <w:pPr>
        <w:numPr>
          <w:ilvl w:val="0"/>
          <w:numId w:val="144"/>
        </w:numPr>
        <w:spacing w:after="0"/>
        <w:ind w:left="288" w:hanging="288"/>
        <w:contextualSpacing/>
        <w:jc w:val="both"/>
        <w:rPr>
          <w:rFonts w:ascii="Times New Roman" w:hAnsi="Times New Roman" w:cs="Times New Roman"/>
          <w:b/>
          <w:sz w:val="24"/>
          <w:szCs w:val="24"/>
          <w:u w:color="000000"/>
          <w:bdr w:val="nil"/>
          <w:lang w:eastAsia="ro-RO"/>
        </w:rPr>
      </w:pPr>
      <w:r w:rsidRPr="00F941DA">
        <w:rPr>
          <w:rFonts w:ascii="Times New Roman" w:hAnsi="Times New Roman" w:cs="Times New Roman"/>
          <w:b/>
          <w:sz w:val="24"/>
          <w:szCs w:val="24"/>
          <w:u w:color="000000"/>
          <w:bdr w:val="nil"/>
          <w:lang w:eastAsia="ro-RO"/>
        </w:rPr>
        <w:t>Pentru continuarea terapiei la pacienți aflați pe tratament cronic cu Sacubitrilum/Valsartanum, inițiați în afara sistemului de asigurări sociale de sănătate:</w:t>
      </w:r>
    </w:p>
    <w:p w14:paraId="285B7621" w14:textId="77777777" w:rsidR="00224480" w:rsidRPr="00F941DA" w:rsidRDefault="00224480" w:rsidP="00224480">
      <w:pPr>
        <w:ind w:left="288"/>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Document medical care să ateste că pacientul este de cel puțin 1 lună pe tratament cu Sacubitrilum/Valsartanum, la inițiere fiind respectate criteriile prevăzute la pct a) sau b), după caz.</w:t>
      </w:r>
    </w:p>
    <w:p w14:paraId="57CF9512" w14:textId="77777777" w:rsidR="00224480" w:rsidRPr="00F941DA" w:rsidRDefault="00224480" w:rsidP="00D11DF1">
      <w:pPr>
        <w:numPr>
          <w:ilvl w:val="0"/>
          <w:numId w:val="145"/>
        </w:numPr>
        <w:ind w:left="426" w:hanging="426"/>
        <w:contextualSpacing/>
        <w:jc w:val="both"/>
        <w:rPr>
          <w:rFonts w:ascii="Times New Roman" w:hAnsi="Times New Roman" w:cs="Times New Roman"/>
          <w:b/>
          <w:sz w:val="24"/>
          <w:szCs w:val="24"/>
          <w:u w:color="000000"/>
          <w:bdr w:val="nil"/>
          <w:lang w:eastAsia="ro-RO"/>
        </w:rPr>
      </w:pPr>
      <w:r w:rsidRPr="00F941DA">
        <w:rPr>
          <w:rFonts w:ascii="Times New Roman" w:hAnsi="Times New Roman" w:cs="Times New Roman"/>
          <w:b/>
          <w:sz w:val="24"/>
          <w:szCs w:val="24"/>
          <w:u w:color="000000"/>
          <w:bdr w:val="nil"/>
          <w:lang w:eastAsia="ro-RO"/>
        </w:rPr>
        <w:t>Criterii de excludere/întrerupere sau oprire a tratamentului</w:t>
      </w:r>
    </w:p>
    <w:p w14:paraId="5196BF83" w14:textId="77777777" w:rsidR="00224480" w:rsidRPr="00F941DA" w:rsidRDefault="00224480" w:rsidP="00D11DF1">
      <w:pPr>
        <w:numPr>
          <w:ilvl w:val="0"/>
          <w:numId w:val="146"/>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 xml:space="preserve">Tratamentul cu Sacubitrilum/Valsartanum nu trebuie inițiat la pacienții cu valori plasmatice ale potasiului de &gt;5,4 mmol/l sau cu valori ale TA sistolice sub 100 mm Hg. </w:t>
      </w:r>
    </w:p>
    <w:p w14:paraId="1F3DD49E" w14:textId="77777777" w:rsidR="00224480" w:rsidRPr="00F941DA" w:rsidRDefault="00224480" w:rsidP="00D11DF1">
      <w:pPr>
        <w:numPr>
          <w:ilvl w:val="0"/>
          <w:numId w:val="146"/>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 xml:space="preserve">Tratamentul cu Sacubitrilum/Valsartanum nu trebuie administrat concomitent cu un IECA sau un BRA. Din cauza riscului posibil de apariţie a angioedemului la administrarea concomitentă cu un IECA, tratamentul cu Sacubitrilum/Valsartanum nu trebuie inițiat timp de cel putin 36 ore de la întreruperea administrării tratamentului cu IECA. </w:t>
      </w:r>
    </w:p>
    <w:p w14:paraId="22126494" w14:textId="77777777" w:rsidR="00224480" w:rsidRPr="00F941DA" w:rsidRDefault="00224480" w:rsidP="00D11DF1">
      <w:pPr>
        <w:numPr>
          <w:ilvl w:val="0"/>
          <w:numId w:val="146"/>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Dacă pacienții prezintă probleme de tolerabilitate (tensiune arterială sistolică ≤95 mmHg, hipotensiune arterială simptomatică, hiperpotasemie, disfuncție renală), se recomandă reducerea dozei dacă nu s-a început cu doza minimă, ajustarea dozelor din medicamentele administrate concomitent, reducerea temporară a dozei sau întreruperea definitivă a administrării.</w:t>
      </w:r>
    </w:p>
    <w:p w14:paraId="36A93791" w14:textId="77777777" w:rsidR="00224480" w:rsidRPr="00F941DA" w:rsidRDefault="00224480" w:rsidP="00D11DF1">
      <w:pPr>
        <w:pStyle w:val="ListParagraph"/>
        <w:numPr>
          <w:ilvl w:val="0"/>
          <w:numId w:val="146"/>
        </w:numPr>
        <w:jc w:val="both"/>
        <w:rPr>
          <w:rFonts w:eastAsiaTheme="minorHAnsi"/>
          <w:color w:val="auto"/>
        </w:rPr>
      </w:pPr>
      <w:r w:rsidRPr="00F941DA">
        <w:rPr>
          <w:color w:val="auto"/>
        </w:rPr>
        <w:t xml:space="preserve">Tratamentul cu Sacubitrilum/Valsartanum nu trebuie inițiat la pacientii cu </w:t>
      </w:r>
      <w:r w:rsidRPr="00F941DA">
        <w:rPr>
          <w:rFonts w:eastAsiaTheme="minorHAnsi"/>
          <w:color w:val="auto"/>
        </w:rPr>
        <w:t>insuficiență hepatică severă, ciroză biliară și colestază (Child-Pugh clasa C), la pacienții cu angiedem ereditar sau idiopatic</w:t>
      </w:r>
    </w:p>
    <w:p w14:paraId="14C57930" w14:textId="77777777" w:rsidR="00224480" w:rsidRPr="00F941DA" w:rsidRDefault="00224480" w:rsidP="00D11DF1">
      <w:pPr>
        <w:numPr>
          <w:ilvl w:val="0"/>
          <w:numId w:val="146"/>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Tratamentul cu Sacubitrilum/Valsartanum nu se inițiază la pacientele însarcinate (nu este recomandată administarea în primul trimestru de sarcină și este contraindicată în trimestrele al doilea și al treilea de sarcină)</w:t>
      </w:r>
    </w:p>
    <w:p w14:paraId="76C6F329" w14:textId="77777777" w:rsidR="00224480" w:rsidRPr="00F941DA" w:rsidRDefault="00224480" w:rsidP="00224480">
      <w:pPr>
        <w:pBdr>
          <w:top w:val="nil"/>
          <w:left w:val="nil"/>
          <w:bottom w:val="nil"/>
          <w:right w:val="nil"/>
          <w:between w:val="nil"/>
          <w:bar w:val="nil"/>
        </w:pBdr>
        <w:spacing w:after="0"/>
        <w:ind w:left="720"/>
        <w:jc w:val="both"/>
        <w:rPr>
          <w:rFonts w:ascii="Times New Roman" w:hAnsi="Times New Roman" w:cs="Times New Roman"/>
          <w:sz w:val="24"/>
          <w:szCs w:val="24"/>
          <w:u w:color="000000"/>
          <w:bdr w:val="nil"/>
          <w:lang w:eastAsia="ro-RO"/>
        </w:rPr>
      </w:pPr>
    </w:p>
    <w:p w14:paraId="40E2393F" w14:textId="77777777" w:rsidR="00224480" w:rsidRPr="00F941DA" w:rsidRDefault="00224480" w:rsidP="00224480">
      <w:pPr>
        <w:pBdr>
          <w:top w:val="nil"/>
          <w:left w:val="nil"/>
          <w:bottom w:val="nil"/>
          <w:right w:val="nil"/>
          <w:between w:val="nil"/>
          <w:bar w:val="nil"/>
        </w:pBdr>
        <w:spacing w:after="0"/>
        <w:ind w:left="720"/>
        <w:jc w:val="both"/>
        <w:rPr>
          <w:rFonts w:ascii="Times New Roman" w:hAnsi="Times New Roman" w:cs="Times New Roman"/>
          <w:sz w:val="24"/>
          <w:szCs w:val="24"/>
          <w:u w:color="000000"/>
          <w:bdr w:val="nil"/>
          <w:lang w:eastAsia="ro-RO"/>
        </w:rPr>
      </w:pPr>
    </w:p>
    <w:p w14:paraId="41BAEC52" w14:textId="77777777" w:rsidR="00224480" w:rsidRPr="00F941DA" w:rsidRDefault="00224480" w:rsidP="00224480">
      <w:pPr>
        <w:pBdr>
          <w:top w:val="nil"/>
          <w:left w:val="nil"/>
          <w:bottom w:val="nil"/>
          <w:right w:val="nil"/>
          <w:between w:val="nil"/>
          <w:bar w:val="nil"/>
        </w:pBdr>
        <w:spacing w:after="0"/>
        <w:ind w:left="720"/>
        <w:jc w:val="both"/>
        <w:rPr>
          <w:rFonts w:ascii="Times New Roman" w:hAnsi="Times New Roman" w:cs="Times New Roman"/>
          <w:sz w:val="24"/>
          <w:szCs w:val="24"/>
          <w:u w:color="000000"/>
          <w:bdr w:val="nil"/>
          <w:lang w:eastAsia="ro-RO"/>
        </w:rPr>
      </w:pPr>
    </w:p>
    <w:p w14:paraId="496B6C19" w14:textId="77777777" w:rsidR="00224480" w:rsidRPr="00F941DA" w:rsidRDefault="00224480" w:rsidP="00D11DF1">
      <w:pPr>
        <w:numPr>
          <w:ilvl w:val="0"/>
          <w:numId w:val="145"/>
        </w:numPr>
        <w:ind w:left="426" w:hanging="426"/>
        <w:contextualSpacing/>
        <w:jc w:val="both"/>
        <w:rPr>
          <w:rFonts w:ascii="Times New Roman" w:hAnsi="Times New Roman" w:cs="Times New Roman"/>
          <w:b/>
          <w:sz w:val="24"/>
          <w:szCs w:val="24"/>
          <w:u w:color="000000"/>
          <w:bdr w:val="nil"/>
          <w:lang w:eastAsia="ro-RO"/>
        </w:rPr>
      </w:pPr>
      <w:r w:rsidRPr="00F941DA">
        <w:rPr>
          <w:rFonts w:ascii="Times New Roman" w:hAnsi="Times New Roman" w:cs="Times New Roman"/>
          <w:b/>
          <w:sz w:val="24"/>
          <w:szCs w:val="24"/>
          <w:u w:color="000000"/>
          <w:bdr w:val="nil"/>
          <w:lang w:eastAsia="ro-RO"/>
        </w:rPr>
        <w:lastRenderedPageBreak/>
        <w:t>Administrare</w:t>
      </w:r>
    </w:p>
    <w:p w14:paraId="3B08D5BD" w14:textId="77777777" w:rsidR="00224480" w:rsidRPr="00F941DA" w:rsidRDefault="00224480" w:rsidP="00224480">
      <w:pPr>
        <w:spacing w:after="0"/>
        <w:jc w:val="both"/>
        <w:rPr>
          <w:rFonts w:ascii="Times New Roman" w:eastAsia="Calibri" w:hAnsi="Times New Roman" w:cs="Times New Roman"/>
          <w:b/>
          <w:sz w:val="24"/>
          <w:szCs w:val="24"/>
        </w:rPr>
      </w:pPr>
    </w:p>
    <w:p w14:paraId="391ECCD4" w14:textId="77777777" w:rsidR="00224480" w:rsidRPr="00F941DA" w:rsidRDefault="00224480" w:rsidP="00224480">
      <w:pPr>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 xml:space="preserve">Inițiere: </w:t>
      </w:r>
      <w:r w:rsidRPr="00F941DA">
        <w:rPr>
          <w:rFonts w:ascii="Times New Roman" w:eastAsia="Calibri" w:hAnsi="Times New Roman" w:cs="Times New Roman"/>
          <w:sz w:val="24"/>
          <w:szCs w:val="24"/>
        </w:rPr>
        <w:t>Doza inițială recomandată este de</w:t>
      </w:r>
      <w:r w:rsidRPr="00F941DA">
        <w:rPr>
          <w:rFonts w:ascii="Times New Roman" w:eastAsia="Calibri" w:hAnsi="Times New Roman" w:cs="Times New Roman"/>
          <w:b/>
          <w:sz w:val="24"/>
          <w:szCs w:val="24"/>
        </w:rPr>
        <w:t xml:space="preserve"> </w:t>
      </w:r>
      <w:r w:rsidRPr="00F941DA">
        <w:rPr>
          <w:rFonts w:ascii="Times New Roman" w:eastAsia="Calibri" w:hAnsi="Times New Roman" w:cs="Times New Roman"/>
          <w:sz w:val="24"/>
          <w:szCs w:val="24"/>
        </w:rPr>
        <w:t>49/51 mg b.i.d. (un comprimat de 49/51 mg de două ori pe zi). Poate fi avută în vedere o doză inițială de 24/26 mg de două ori pe zi în funcție de decizia medicului prescriptor, sau în conformitate cu rezumatul caracteristicilor produsului (RCP). Sacubitrilum/Valsartanum se poate iniția în următoarele condiții, îndeplinite cumulativ:</w:t>
      </w:r>
    </w:p>
    <w:p w14:paraId="6DA4C15F" w14:textId="77777777" w:rsidR="00224480" w:rsidRPr="00F941DA" w:rsidRDefault="00224480" w:rsidP="00D11DF1">
      <w:pPr>
        <w:numPr>
          <w:ilvl w:val="0"/>
          <w:numId w:val="148"/>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pacienți cu tensiune arteriala sistolica ≥100 mmHg;</w:t>
      </w:r>
    </w:p>
    <w:p w14:paraId="649B49FA" w14:textId="77777777" w:rsidR="00224480" w:rsidRPr="00F941DA" w:rsidRDefault="00224480" w:rsidP="00D11DF1">
      <w:pPr>
        <w:numPr>
          <w:ilvl w:val="0"/>
          <w:numId w:val="148"/>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pacienți cărora nu li se administrează concomitent un IECA sau BRA.</w:t>
      </w:r>
    </w:p>
    <w:p w14:paraId="3471EE63" w14:textId="77777777" w:rsidR="00224480" w:rsidRPr="00F941DA" w:rsidRDefault="00224480" w:rsidP="00224480">
      <w:pPr>
        <w:pBdr>
          <w:top w:val="nil"/>
          <w:left w:val="nil"/>
          <w:bottom w:val="nil"/>
          <w:right w:val="nil"/>
          <w:between w:val="nil"/>
          <w:bar w:val="nil"/>
        </w:pBdr>
        <w:spacing w:after="0"/>
        <w:ind w:left="720"/>
        <w:jc w:val="both"/>
        <w:rPr>
          <w:rFonts w:ascii="Times New Roman" w:hAnsi="Times New Roman" w:cs="Times New Roman"/>
          <w:sz w:val="24"/>
          <w:szCs w:val="24"/>
          <w:u w:color="000000"/>
          <w:bdr w:val="nil"/>
          <w:lang w:eastAsia="ro-RO"/>
        </w:rPr>
      </w:pPr>
    </w:p>
    <w:p w14:paraId="11D31B64" w14:textId="77777777" w:rsidR="00224480" w:rsidRPr="00F941DA" w:rsidRDefault="00224480" w:rsidP="00224480">
      <w:pPr>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 xml:space="preserve">Continuare: </w:t>
      </w:r>
      <w:r w:rsidRPr="00F941DA">
        <w:rPr>
          <w:rFonts w:ascii="Times New Roman" w:eastAsia="Calibri" w:hAnsi="Times New Roman" w:cs="Times New Roman"/>
          <w:sz w:val="24"/>
          <w:szCs w:val="24"/>
        </w:rPr>
        <w:t>Doza inițială se dublează la 2-4 săptămâni până la atingerea dozei țintă de menținere de 97/103 mg b.i.d. (un comprimat de 97/103 mg de două ori pe zi).</w:t>
      </w:r>
    </w:p>
    <w:p w14:paraId="6ACE937B" w14:textId="77777777" w:rsidR="00224480" w:rsidRPr="00F941DA" w:rsidRDefault="00224480" w:rsidP="00224480">
      <w:pPr>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Durata tratamentului</w:t>
      </w:r>
      <w:r w:rsidRPr="00F941DA">
        <w:rPr>
          <w:rFonts w:ascii="Times New Roman" w:eastAsia="Calibri" w:hAnsi="Times New Roman" w:cs="Times New Roman"/>
          <w:sz w:val="24"/>
          <w:szCs w:val="24"/>
        </w:rPr>
        <w:t>: tratament cronic. Prescrierea de către medicii specialiști sau medicii de familie se poate face pentru maxim 28 de zile; în cazul în care monitorizarea tratamentului indică necesitatea măririi/reducerii temporare a dozei, se poate revizui prescrierea pe perioade de timp fracționate, în funcție de evoluția clinică a pacientului. Pentru menținerea beneficiilor clinice, tratamentul cu Sacubitrilum/Valsartanum trebuie continuat pentru pacienții a căror fracție de ejecție se ameliorează în urma tratamentului (inclusiv daca fracția de ejecție este peste 40%, sub tratament).</w:t>
      </w:r>
    </w:p>
    <w:p w14:paraId="11FCD2D1" w14:textId="77777777" w:rsidR="00224480" w:rsidRPr="00F941DA" w:rsidRDefault="00224480" w:rsidP="00224480">
      <w:pPr>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 xml:space="preserve">Administrarea la pacienții cu insuficiență renală: </w:t>
      </w:r>
    </w:p>
    <w:p w14:paraId="2B305C97" w14:textId="77777777" w:rsidR="00224480" w:rsidRPr="00F941DA" w:rsidRDefault="00224480" w:rsidP="00D11DF1">
      <w:pPr>
        <w:numPr>
          <w:ilvl w:val="0"/>
          <w:numId w:val="147"/>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la pacienții cu insuficiență renală moderată (rată de filtrare glomerulară estimată [eGFR] 60-90 ml/min/1,73 m2) nu este necesară ajustarea dozei;</w:t>
      </w:r>
    </w:p>
    <w:p w14:paraId="795CDD53" w14:textId="77777777" w:rsidR="00224480" w:rsidRPr="00F941DA" w:rsidRDefault="00224480" w:rsidP="00D11DF1">
      <w:pPr>
        <w:numPr>
          <w:ilvl w:val="0"/>
          <w:numId w:val="147"/>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la pacienții cu insuficiență renală moderată (eGFR 30-60 ml/min/1,73 m2) trebuie avută în vedere o doză inițială de 24 mg/26 mg x 2/zi;</w:t>
      </w:r>
    </w:p>
    <w:p w14:paraId="29AE83AE" w14:textId="1A0072B0" w:rsidR="00224480" w:rsidRPr="00F941DA" w:rsidRDefault="00224480" w:rsidP="00D11DF1">
      <w:pPr>
        <w:numPr>
          <w:ilvl w:val="0"/>
          <w:numId w:val="147"/>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la pacienţii cu insuficienţă renală severă (eGFR &lt;30 ml/min/1,73 m2) se recomandă precauții și o doză inițială de 24 mg/26 mg x 2/zi, conform RCP.</w:t>
      </w:r>
    </w:p>
    <w:p w14:paraId="1E3C8475" w14:textId="77777777" w:rsidR="00224480" w:rsidRPr="00F941DA" w:rsidRDefault="00224480" w:rsidP="00224480">
      <w:pPr>
        <w:pBdr>
          <w:top w:val="nil"/>
          <w:left w:val="nil"/>
          <w:bottom w:val="nil"/>
          <w:right w:val="nil"/>
          <w:between w:val="nil"/>
          <w:bar w:val="nil"/>
        </w:pBdr>
        <w:spacing w:after="0"/>
        <w:ind w:left="720"/>
        <w:jc w:val="both"/>
        <w:rPr>
          <w:rFonts w:ascii="Times New Roman" w:hAnsi="Times New Roman" w:cs="Times New Roman"/>
          <w:sz w:val="24"/>
          <w:szCs w:val="24"/>
          <w:u w:color="000000"/>
          <w:bdr w:val="nil"/>
          <w:lang w:eastAsia="ro-RO"/>
        </w:rPr>
      </w:pPr>
    </w:p>
    <w:p w14:paraId="26FE64BB" w14:textId="77777777" w:rsidR="00224480" w:rsidRPr="00F941DA" w:rsidRDefault="00224480" w:rsidP="00D11DF1">
      <w:pPr>
        <w:numPr>
          <w:ilvl w:val="0"/>
          <w:numId w:val="145"/>
        </w:numPr>
        <w:ind w:left="284" w:hanging="284"/>
        <w:contextualSpacing/>
        <w:jc w:val="both"/>
        <w:rPr>
          <w:rFonts w:ascii="Times New Roman" w:hAnsi="Times New Roman" w:cs="Times New Roman"/>
          <w:b/>
          <w:sz w:val="24"/>
          <w:szCs w:val="24"/>
          <w:u w:color="000000"/>
          <w:bdr w:val="nil"/>
          <w:lang w:eastAsia="ro-RO"/>
        </w:rPr>
      </w:pPr>
      <w:r w:rsidRPr="00F941DA">
        <w:rPr>
          <w:rFonts w:ascii="Times New Roman" w:hAnsi="Times New Roman" w:cs="Times New Roman"/>
          <w:b/>
          <w:sz w:val="24"/>
          <w:szCs w:val="24"/>
          <w:u w:color="000000"/>
          <w:bdr w:val="nil"/>
          <w:lang w:eastAsia="ro-RO"/>
        </w:rPr>
        <w:t>Monitorizarea tratamentului</w:t>
      </w:r>
    </w:p>
    <w:p w14:paraId="086B2E75" w14:textId="77777777" w:rsidR="00224480" w:rsidRPr="00F941DA" w:rsidRDefault="00224480" w:rsidP="00224480">
      <w:pPr>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La inițierea tratamentului sau în timpul creșterii dozei trebuie monitorizată regulat tensiunea arterială. Dacă apare hipotensiune arterială simptomatică sau tensiunea scade sub 95 mmHg, se recomandă scăderea temporară a dozei sau întreruperea administrării de Sacubitrilum/Valsartanum.</w:t>
      </w:r>
    </w:p>
    <w:p w14:paraId="12E1EDC9" w14:textId="77777777" w:rsidR="00224480" w:rsidRPr="00F941DA" w:rsidRDefault="00224480" w:rsidP="00224480">
      <w:pPr>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Pe parcursul tratamentului este recomandată monitorizarea tensiunii arteriale și a valorilor serice ale potasiului și creatininei. </w:t>
      </w:r>
    </w:p>
    <w:p w14:paraId="36D28226" w14:textId="12B25107" w:rsidR="00224480" w:rsidRPr="00F941DA" w:rsidRDefault="00224480" w:rsidP="00224480">
      <w:pPr>
        <w:jc w:val="both"/>
        <w:rPr>
          <w:rFonts w:ascii="Times New Roman" w:eastAsia="Calibri" w:hAnsi="Times New Roman" w:cs="Times New Roman"/>
          <w:strike/>
          <w:sz w:val="24"/>
          <w:szCs w:val="24"/>
        </w:rPr>
      </w:pPr>
      <w:r w:rsidRPr="00F941DA">
        <w:rPr>
          <w:rFonts w:ascii="Times New Roman" w:eastAsia="Calibri" w:hAnsi="Times New Roman" w:cs="Times New Roman"/>
          <w:sz w:val="24"/>
          <w:szCs w:val="24"/>
        </w:rPr>
        <w:t>Monitorizarea valorilor potasiului plasmatic este recomandată mai ales la pacienţii care prezintă factori de risc pentru aceasta, cum sunt insuficienţă renală, diabet zaharat sau hipoaldosteronism, cei care au un regim alimentar cu conţinut ridicat de potasiu sau cărora li se administrează antagoniști de mineralocorticoizi. Dacă pacienții prezintă hiperpotasemie semnificativă din punct de vedere clinic, sau valorile plasmatice ale potasiului sunt &gt;5,4 mmol/l se recomandă ajustarea medicației administrate concomitent, scăderea temporară a dozelor sau întreruperea administrării.</w:t>
      </w:r>
      <w:r w:rsidRPr="00F941DA">
        <w:rPr>
          <w:rFonts w:ascii="Times New Roman" w:eastAsia="Calibri" w:hAnsi="Times New Roman" w:cs="Times New Roman"/>
          <w:strike/>
          <w:sz w:val="24"/>
          <w:szCs w:val="24"/>
        </w:rPr>
        <w:t xml:space="preserve"> </w:t>
      </w:r>
    </w:p>
    <w:p w14:paraId="5DDB28D2" w14:textId="77777777" w:rsidR="00224480" w:rsidRPr="00F941DA" w:rsidRDefault="00224480" w:rsidP="00224480">
      <w:pPr>
        <w:spacing w:after="0"/>
        <w:jc w:val="both"/>
        <w:rPr>
          <w:rFonts w:ascii="Times New Roman" w:eastAsia="Calibri" w:hAnsi="Times New Roman" w:cs="Times New Roman"/>
          <w:strike/>
          <w:sz w:val="24"/>
          <w:szCs w:val="24"/>
        </w:rPr>
      </w:pPr>
    </w:p>
    <w:p w14:paraId="44D7C86B" w14:textId="13E19620" w:rsidR="00224480" w:rsidRPr="00F941DA" w:rsidRDefault="00224480" w:rsidP="00D11DF1">
      <w:pPr>
        <w:numPr>
          <w:ilvl w:val="0"/>
          <w:numId w:val="145"/>
        </w:numPr>
        <w:ind w:left="0" w:firstLine="0"/>
        <w:contextualSpacing/>
        <w:jc w:val="both"/>
        <w:rPr>
          <w:rFonts w:ascii="Times New Roman" w:hAnsi="Times New Roman" w:cs="Times New Roman"/>
          <w:b/>
          <w:sz w:val="24"/>
          <w:szCs w:val="24"/>
        </w:rPr>
      </w:pPr>
      <w:r w:rsidRPr="00F941DA">
        <w:rPr>
          <w:rFonts w:ascii="Times New Roman" w:hAnsi="Times New Roman" w:cs="Times New Roman"/>
          <w:b/>
          <w:sz w:val="24"/>
          <w:szCs w:val="24"/>
          <w:u w:color="000000"/>
          <w:bdr w:val="nil"/>
          <w:lang w:eastAsia="ro-RO"/>
        </w:rPr>
        <w:t xml:space="preserve">Prescriptori: </w:t>
      </w:r>
      <w:r w:rsidRPr="00F941DA">
        <w:rPr>
          <w:rFonts w:ascii="Times New Roman" w:hAnsi="Times New Roman" w:cs="Times New Roman"/>
          <w:sz w:val="24"/>
          <w:szCs w:val="24"/>
          <w:u w:color="000000"/>
          <w:bdr w:val="nil"/>
          <w:lang w:eastAsia="ro-RO"/>
        </w:rPr>
        <w:t>medici specialiști cardiologi; medici specialiști de medicină internă; tratamentul poate fi continuat și de către medicul de familie în dozele și pe durata prevăzută în scrisoarea medicală.”</w:t>
      </w:r>
    </w:p>
    <w:p w14:paraId="5009F1E2" w14:textId="77777777" w:rsidR="0001482A" w:rsidRPr="00F941DA" w:rsidRDefault="0001482A" w:rsidP="007B60B7">
      <w:pPr>
        <w:tabs>
          <w:tab w:val="left" w:pos="426"/>
        </w:tabs>
        <w:jc w:val="both"/>
        <w:rPr>
          <w:rFonts w:ascii="Times New Roman" w:eastAsia="Arial" w:hAnsi="Times New Roman" w:cs="Times New Roman"/>
          <w:b/>
          <w:bCs/>
          <w:sz w:val="24"/>
          <w:szCs w:val="24"/>
          <w:lang w:val="en-US"/>
        </w:rPr>
      </w:pPr>
    </w:p>
    <w:p w14:paraId="28914DC9" w14:textId="77777777" w:rsidR="0001482A" w:rsidRPr="00F941DA" w:rsidRDefault="0001482A" w:rsidP="007B60B7">
      <w:pPr>
        <w:tabs>
          <w:tab w:val="left" w:pos="426"/>
        </w:tabs>
        <w:jc w:val="both"/>
        <w:rPr>
          <w:rFonts w:ascii="Times New Roman" w:eastAsia="Arial" w:hAnsi="Times New Roman" w:cs="Times New Roman"/>
          <w:b/>
          <w:bCs/>
          <w:sz w:val="24"/>
          <w:szCs w:val="24"/>
          <w:lang w:val="en-US"/>
        </w:rPr>
      </w:pPr>
    </w:p>
    <w:p w14:paraId="62245A95" w14:textId="77777777" w:rsidR="0001482A" w:rsidRPr="00F941DA" w:rsidRDefault="0001482A" w:rsidP="007B60B7">
      <w:pPr>
        <w:tabs>
          <w:tab w:val="left" w:pos="426"/>
        </w:tabs>
        <w:jc w:val="both"/>
        <w:rPr>
          <w:rFonts w:ascii="Times New Roman" w:eastAsia="Arial" w:hAnsi="Times New Roman" w:cs="Times New Roman"/>
          <w:b/>
          <w:bCs/>
          <w:sz w:val="24"/>
          <w:szCs w:val="24"/>
          <w:lang w:val="en-US"/>
        </w:rPr>
      </w:pPr>
    </w:p>
    <w:p w14:paraId="614A5ED4" w14:textId="77777777" w:rsidR="00224480" w:rsidRPr="00F941DA" w:rsidRDefault="00224480" w:rsidP="007B60B7">
      <w:pPr>
        <w:tabs>
          <w:tab w:val="left" w:pos="426"/>
        </w:tabs>
        <w:jc w:val="both"/>
        <w:rPr>
          <w:rFonts w:ascii="Times New Roman" w:eastAsia="Arial" w:hAnsi="Times New Roman" w:cs="Times New Roman"/>
          <w:b/>
          <w:bCs/>
          <w:sz w:val="24"/>
          <w:szCs w:val="24"/>
          <w:lang w:val="en-US"/>
        </w:rPr>
      </w:pPr>
    </w:p>
    <w:p w14:paraId="6682A61B" w14:textId="39537A50" w:rsidR="007B60B7" w:rsidRPr="00F941DA" w:rsidRDefault="007B60B7" w:rsidP="00CA4F71">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 xml:space="preserve">La anexa nr. 1, protocolul terapeutic corespunzător poziţiei nr. </w:t>
      </w:r>
      <w:r w:rsidR="00CA4F71" w:rsidRPr="00F941DA">
        <w:rPr>
          <w:rFonts w:eastAsia="Arial"/>
          <w:b/>
          <w:bCs/>
          <w:color w:val="auto"/>
          <w:lang w:val="en-US"/>
        </w:rPr>
        <w:t>98</w:t>
      </w:r>
      <w:r w:rsidRPr="00F941DA">
        <w:rPr>
          <w:rFonts w:eastAsia="Arial"/>
          <w:b/>
          <w:bCs/>
          <w:color w:val="auto"/>
          <w:lang w:val="en-US"/>
        </w:rPr>
        <w:t xml:space="preserve"> cod (</w:t>
      </w:r>
      <w:r w:rsidR="00CA4F71" w:rsidRPr="00F941DA">
        <w:rPr>
          <w:rFonts w:eastAsia="Arial"/>
          <w:b/>
          <w:bCs/>
          <w:color w:val="auto"/>
          <w:lang w:val="en-US"/>
        </w:rPr>
        <w:t>H01CB05</w:t>
      </w:r>
      <w:r w:rsidRPr="00F941DA">
        <w:rPr>
          <w:rFonts w:eastAsia="Arial"/>
          <w:b/>
          <w:bCs/>
          <w:color w:val="auto"/>
          <w:lang w:val="en-US"/>
        </w:rPr>
        <w:t xml:space="preserve">): DCI </w:t>
      </w:r>
      <w:r w:rsidR="00CA4F71" w:rsidRPr="00F941DA">
        <w:rPr>
          <w:rFonts w:eastAsia="Arial"/>
          <w:b/>
          <w:bCs/>
          <w:color w:val="auto"/>
          <w:lang w:val="en-US"/>
        </w:rPr>
        <w:t>PASIREOTIDUM</w:t>
      </w:r>
      <w:r w:rsidRPr="00F941DA">
        <w:rPr>
          <w:rFonts w:eastAsia="Arial"/>
          <w:b/>
          <w:bCs/>
          <w:color w:val="auto"/>
          <w:lang w:val="en-US"/>
        </w:rPr>
        <w:t xml:space="preserve"> se modifică și se înlocuiește cu următorul protocol:</w:t>
      </w:r>
    </w:p>
    <w:p w14:paraId="3D2B59DD" w14:textId="77777777" w:rsidR="007B60B7" w:rsidRPr="00F941DA" w:rsidRDefault="007B60B7" w:rsidP="007B60B7">
      <w:pPr>
        <w:tabs>
          <w:tab w:val="left" w:pos="426"/>
        </w:tabs>
        <w:jc w:val="both"/>
        <w:rPr>
          <w:rFonts w:ascii="Times New Roman" w:eastAsia="Arial" w:hAnsi="Times New Roman" w:cs="Times New Roman"/>
          <w:b/>
          <w:bCs/>
          <w:sz w:val="24"/>
          <w:szCs w:val="24"/>
          <w:lang w:val="en-US"/>
        </w:rPr>
      </w:pPr>
    </w:p>
    <w:p w14:paraId="43234E06" w14:textId="219A3B19" w:rsidR="007B60B7" w:rsidRPr="00F941DA" w:rsidRDefault="007B60B7" w:rsidP="007B60B7">
      <w:pPr>
        <w:tabs>
          <w:tab w:val="left" w:pos="426"/>
        </w:tabs>
        <w:jc w:val="both"/>
        <w:rPr>
          <w:rFonts w:ascii="Times New Roman" w:eastAsia="Arial" w:hAnsi="Times New Roman" w:cs="Times New Roman"/>
          <w:b/>
          <w:bCs/>
          <w:sz w:val="24"/>
          <w:szCs w:val="24"/>
          <w:lang w:val="en-US"/>
        </w:rPr>
      </w:pPr>
      <w:r w:rsidRPr="00F941DA">
        <w:rPr>
          <w:rFonts w:ascii="Times New Roman" w:eastAsia="Arial" w:hAnsi="Times New Roman" w:cs="Times New Roman"/>
          <w:b/>
          <w:bCs/>
          <w:sz w:val="24"/>
          <w:szCs w:val="24"/>
          <w:lang w:val="en-US"/>
        </w:rPr>
        <w:t xml:space="preserve">”Protocol terapeutic corespunzător poziţiei nr. </w:t>
      </w:r>
      <w:r w:rsidR="00CA4F71" w:rsidRPr="00F941DA">
        <w:rPr>
          <w:rFonts w:ascii="Times New Roman" w:eastAsia="Arial" w:hAnsi="Times New Roman" w:cs="Times New Roman"/>
          <w:b/>
          <w:bCs/>
          <w:sz w:val="24"/>
          <w:szCs w:val="24"/>
          <w:lang w:val="en-US"/>
        </w:rPr>
        <w:t>98 cod (H01CB05): DCI PASIREOTIDUM</w:t>
      </w:r>
    </w:p>
    <w:p w14:paraId="1CC486C7" w14:textId="77777777" w:rsidR="0001482A" w:rsidRPr="00F941DA" w:rsidRDefault="0001482A" w:rsidP="0001482A">
      <w:pPr>
        <w:pBdr>
          <w:top w:val="nil"/>
          <w:left w:val="nil"/>
          <w:bottom w:val="nil"/>
          <w:right w:val="nil"/>
          <w:between w:val="nil"/>
          <w:bar w:val="nil"/>
        </w:pBdr>
        <w:spacing w:after="0" w:line="240" w:lineRule="auto"/>
        <w:rPr>
          <w:rFonts w:ascii="Times New Roman" w:eastAsia="Arial" w:hAnsi="Times New Roman" w:cs="Times New Roman"/>
          <w:b/>
          <w:bCs/>
          <w:sz w:val="24"/>
          <w:szCs w:val="24"/>
          <w:u w:color="000000"/>
          <w:bdr w:val="nil"/>
          <w:lang w:eastAsia="ro-RO"/>
        </w:rPr>
      </w:pPr>
    </w:p>
    <w:p w14:paraId="533291FE" w14:textId="77777777" w:rsidR="0001482A" w:rsidRPr="00F941DA" w:rsidRDefault="0001482A" w:rsidP="0001482A">
      <w:pPr>
        <w:autoSpaceDE w:val="0"/>
        <w:autoSpaceDN w:val="0"/>
        <w:adjustRightInd w:val="0"/>
        <w:contextualSpacing/>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I. Indicaţie:</w:t>
      </w:r>
    </w:p>
    <w:p w14:paraId="5617A56D" w14:textId="1FCE45F2" w:rsidR="0001482A" w:rsidRPr="00F941DA" w:rsidRDefault="0001482A" w:rsidP="0001482A">
      <w:pPr>
        <w:autoSpaceDE w:val="0"/>
        <w:autoSpaceDN w:val="0"/>
        <w:adjustRightInd w:val="0"/>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Tratamentul pacienţilor adulţi cu boala Cushing pentru care o intervenţie chirurgicală nu constituie o opţiune terapeutică, sau la care intervenţia chirurgicală a eşuat</w:t>
      </w:r>
    </w:p>
    <w:p w14:paraId="643217F8" w14:textId="77777777" w:rsidR="0001482A" w:rsidRPr="00F941DA" w:rsidRDefault="0001482A" w:rsidP="0001482A">
      <w:pPr>
        <w:autoSpaceDE w:val="0"/>
        <w:autoSpaceDN w:val="0"/>
        <w:adjustRightInd w:val="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Boala Cushing este o afecţiune rară, caracterizată prin hipercortizolism cronic, datorat unui adenom hipofizar corticotrop hipersecretant de ACTH (hormon adrenocorticotrop). Boala Cushing se asociază cu o scădere importantă a calităţii vieţii pacienţilor, cu o morbiditate crescută (obezitate centrală, boală cardiovasculară şi hipertensiune arterială, dislipidemie, rezistenţă la insulină, diabet zaharat, osteoporoză şi risc crescut de fracturi osteoporotice etc.), precum şi cu o mortalitate de patru ori mai mare comparativ cu populaţia normală.</w:t>
      </w:r>
    </w:p>
    <w:p w14:paraId="70CE68F8" w14:textId="77777777" w:rsidR="0001482A" w:rsidRPr="00F941DA" w:rsidRDefault="0001482A" w:rsidP="0001482A">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Aceasta indicaţie se codifică la prescriere prin codul 252 (conform clasificării internaţionale a maladiilor revizia a 10-a, varianta 999 coduri de boală).</w:t>
      </w:r>
    </w:p>
    <w:p w14:paraId="399DF72B" w14:textId="77777777" w:rsidR="0001482A" w:rsidRPr="00F941DA" w:rsidRDefault="0001482A" w:rsidP="0001482A">
      <w:pPr>
        <w:autoSpaceDE w:val="0"/>
        <w:autoSpaceDN w:val="0"/>
        <w:adjustRightInd w:val="0"/>
        <w:jc w:val="both"/>
        <w:rPr>
          <w:rFonts w:ascii="Times New Roman" w:eastAsia="Calibri" w:hAnsi="Times New Roman" w:cs="Times New Roman"/>
          <w:sz w:val="24"/>
          <w:szCs w:val="24"/>
        </w:rPr>
      </w:pPr>
    </w:p>
    <w:p w14:paraId="7C1FF6DF" w14:textId="77777777" w:rsidR="0001482A" w:rsidRPr="00F941DA" w:rsidRDefault="0001482A" w:rsidP="0001482A">
      <w:pPr>
        <w:autoSpaceDE w:val="0"/>
        <w:autoSpaceDN w:val="0"/>
        <w:adjustRightInd w:val="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II. Criterii de includere în tratamentul cu Pasireotid:</w:t>
      </w:r>
    </w:p>
    <w:p w14:paraId="714EC970" w14:textId="77777777" w:rsidR="0001482A" w:rsidRPr="00F941DA" w:rsidRDefault="0001482A" w:rsidP="0001482A">
      <w:pPr>
        <w:autoSpaceDE w:val="0"/>
        <w:autoSpaceDN w:val="0"/>
        <w:adjustRightInd w:val="0"/>
        <w:jc w:val="both"/>
        <w:rPr>
          <w:rFonts w:ascii="Times New Roman" w:eastAsia="Calibri" w:hAnsi="Times New Roman" w:cs="Times New Roman"/>
          <w:sz w:val="24"/>
          <w:szCs w:val="24"/>
        </w:rPr>
      </w:pPr>
      <w:r w:rsidRPr="00F941DA">
        <w:rPr>
          <w:rFonts w:ascii="Times New Roman" w:eastAsia="Calibri" w:hAnsi="Times New Roman" w:cs="Times New Roman"/>
          <w:b/>
          <w:bCs/>
          <w:sz w:val="24"/>
          <w:szCs w:val="24"/>
        </w:rPr>
        <w:t>Pacienţi adulţi (≥18 ani) cu boala Cushing activă</w:t>
      </w:r>
      <w:r w:rsidRPr="00F941DA">
        <w:rPr>
          <w:rFonts w:ascii="Times New Roman" w:eastAsia="Calibri" w:hAnsi="Times New Roman" w:cs="Times New Roman"/>
          <w:sz w:val="24"/>
          <w:szCs w:val="24"/>
        </w:rPr>
        <w:t>, în oricare din următoarele situaţii:</w:t>
      </w:r>
    </w:p>
    <w:p w14:paraId="7692B469" w14:textId="77777777" w:rsidR="0001482A" w:rsidRPr="00F941DA" w:rsidRDefault="0001482A" w:rsidP="0001482A">
      <w:pPr>
        <w:numPr>
          <w:ilvl w:val="0"/>
          <w:numId w:val="126"/>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Persistenţa sau recidiva bolii după intervenţia chirurgicală (hipofizectomie);</w:t>
      </w:r>
    </w:p>
    <w:p w14:paraId="7520218B" w14:textId="77777777" w:rsidR="0001482A" w:rsidRPr="00F941DA" w:rsidRDefault="0001482A" w:rsidP="0001482A">
      <w:pPr>
        <w:numPr>
          <w:ilvl w:val="0"/>
          <w:numId w:val="126"/>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Intervenţia chirurgicală nu constituie o opţiune terapeutică.</w:t>
      </w:r>
    </w:p>
    <w:p w14:paraId="6CB3C602" w14:textId="77777777" w:rsidR="0001482A" w:rsidRPr="00F941DA" w:rsidRDefault="0001482A" w:rsidP="0001482A">
      <w:pPr>
        <w:autoSpaceDE w:val="0"/>
        <w:autoSpaceDN w:val="0"/>
        <w:adjustRightInd w:val="0"/>
        <w:spacing w:after="0" w:line="240" w:lineRule="auto"/>
        <w:ind w:left="720"/>
        <w:jc w:val="both"/>
        <w:rPr>
          <w:rFonts w:ascii="Times New Roman" w:eastAsia="Calibri" w:hAnsi="Times New Roman" w:cs="Times New Roman"/>
          <w:sz w:val="24"/>
          <w:szCs w:val="24"/>
        </w:rPr>
      </w:pPr>
    </w:p>
    <w:p w14:paraId="47C025F3" w14:textId="77777777" w:rsidR="0001482A" w:rsidRPr="00F941DA" w:rsidRDefault="0001482A" w:rsidP="0001482A">
      <w:pPr>
        <w:autoSpaceDE w:val="0"/>
        <w:autoSpaceDN w:val="0"/>
        <w:adjustRightInd w:val="0"/>
        <w:spacing w:after="0"/>
        <w:jc w:val="both"/>
        <w:rPr>
          <w:rFonts w:ascii="Times New Roman" w:eastAsia="Calibri" w:hAnsi="Times New Roman" w:cs="Times New Roman"/>
          <w:sz w:val="24"/>
          <w:szCs w:val="24"/>
        </w:rPr>
      </w:pPr>
      <w:r w:rsidRPr="00F941DA">
        <w:rPr>
          <w:rFonts w:ascii="Times New Roman" w:eastAsia="Calibri" w:hAnsi="Times New Roman" w:cs="Times New Roman"/>
          <w:b/>
          <w:bCs/>
          <w:sz w:val="24"/>
          <w:szCs w:val="24"/>
        </w:rPr>
        <w:t>a. Boala Cushing activă</w:t>
      </w:r>
      <w:r w:rsidRPr="00F941DA">
        <w:rPr>
          <w:rFonts w:ascii="Times New Roman" w:eastAsia="Calibri" w:hAnsi="Times New Roman" w:cs="Times New Roman"/>
          <w:sz w:val="24"/>
          <w:szCs w:val="24"/>
        </w:rPr>
        <w:t xml:space="preserve"> este documentată prin:</w:t>
      </w:r>
    </w:p>
    <w:p w14:paraId="317CB26C" w14:textId="77777777" w:rsidR="0001482A" w:rsidRPr="00F941DA" w:rsidRDefault="0001482A" w:rsidP="0001482A">
      <w:pPr>
        <w:numPr>
          <w:ilvl w:val="0"/>
          <w:numId w:val="127"/>
        </w:numPr>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Pacient cu cel puțin unul din semnele clinice de sindrom Cushing: redistribuţie centripetă a țesutului adipos, facies pletoric, vergeturi violacee, fragilitate vasculară, hipertensiune arterială, hipogonadism, hirsutism la femei, depresie, miopatie proximală, osteoporoză şi risc de fracturi de fragilitate</w:t>
      </w:r>
    </w:p>
    <w:p w14:paraId="17D5963B" w14:textId="77777777" w:rsidR="0001482A" w:rsidRPr="00F941DA" w:rsidRDefault="0001482A" w:rsidP="0001482A">
      <w:pPr>
        <w:numPr>
          <w:ilvl w:val="0"/>
          <w:numId w:val="127"/>
        </w:numPr>
        <w:spacing w:after="0" w:line="240" w:lineRule="auto"/>
        <w:ind w:left="714" w:hanging="357"/>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 xml:space="preserve">lipsa supresiei cortizolului seric &lt; 1,8 μg/dl sau 50 nmol/l după testul de supresie la dexametazonă 1mg overnight sau 2mg x2 zile </w:t>
      </w:r>
    </w:p>
    <w:p w14:paraId="77F1035D" w14:textId="77777777" w:rsidR="0001482A" w:rsidRPr="00F941DA" w:rsidRDefault="0001482A" w:rsidP="0001482A">
      <w:pPr>
        <w:numPr>
          <w:ilvl w:val="0"/>
          <w:numId w:val="127"/>
        </w:numPr>
        <w:spacing w:after="0" w:line="240" w:lineRule="auto"/>
        <w:ind w:left="714" w:hanging="357"/>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două valori crescute ale cortizolului liber urinar - urina/24h</w:t>
      </w:r>
    </w:p>
    <w:p w14:paraId="741AEDE2" w14:textId="77777777" w:rsidR="0001482A" w:rsidRPr="00F941DA" w:rsidRDefault="0001482A" w:rsidP="0001482A">
      <w:pPr>
        <w:numPr>
          <w:ilvl w:val="0"/>
          <w:numId w:val="127"/>
        </w:numPr>
        <w:spacing w:after="0" w:line="240" w:lineRule="auto"/>
        <w:ind w:left="714" w:hanging="357"/>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pierderea bioritmului cortizolului: valori crescute ale  cortizolului salivar sau plasmatic la ora 23:00</w:t>
      </w:r>
    </w:p>
    <w:p w14:paraId="4824F4E8" w14:textId="77777777" w:rsidR="0001482A" w:rsidRPr="00F941DA" w:rsidRDefault="0001482A" w:rsidP="0001482A">
      <w:pPr>
        <w:numPr>
          <w:ilvl w:val="0"/>
          <w:numId w:val="127"/>
        </w:numPr>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Valori ale ACTH-ului plasmatic, recoltat matinal, ora 8 - 9 a.m.</w:t>
      </w:r>
      <w:r w:rsidRPr="00F941DA">
        <w:rPr>
          <w:rFonts w:ascii="Times New Roman" w:eastAsia="Calibri" w:hAnsi="Times New Roman" w:cs="Times New Roman"/>
          <w:strike/>
          <w:sz w:val="24"/>
          <w:szCs w:val="24"/>
        </w:rPr>
        <w:t xml:space="preserve"> </w:t>
      </w:r>
      <w:r w:rsidRPr="00F941DA">
        <w:rPr>
          <w:rFonts w:ascii="Times New Roman" w:eastAsia="Calibri" w:hAnsi="Times New Roman" w:cs="Times New Roman"/>
          <w:sz w:val="24"/>
          <w:szCs w:val="24"/>
        </w:rPr>
        <w:t>nesupresat</w:t>
      </w:r>
    </w:p>
    <w:p w14:paraId="4CD44138" w14:textId="77777777" w:rsidR="0001482A" w:rsidRPr="00F941DA" w:rsidRDefault="0001482A" w:rsidP="0001482A">
      <w:pPr>
        <w:numPr>
          <w:ilvl w:val="0"/>
          <w:numId w:val="127"/>
        </w:numPr>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La pacienţii care au fost supuşi hipofizectomiei, examen histopatologic va fi atasat, eventual imunohistochimia pozitivă pentru ACTH, dacă este disponibilă. </w:t>
      </w:r>
    </w:p>
    <w:p w14:paraId="05D6F27D" w14:textId="77777777" w:rsidR="0001482A" w:rsidRPr="00F941DA" w:rsidRDefault="0001482A" w:rsidP="0001482A">
      <w:pPr>
        <w:numPr>
          <w:ilvl w:val="0"/>
          <w:numId w:val="127"/>
        </w:numPr>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În cazul în care este relevant, se pot efectua înainte de iniţierea terapiei cu Pasireotidum şi examene imagistice: RMN sau CT hipofizar.</w:t>
      </w:r>
    </w:p>
    <w:p w14:paraId="75F3FBC5" w14:textId="4160D49C" w:rsidR="0001482A" w:rsidRPr="00F941DA" w:rsidRDefault="0001482A" w:rsidP="0001482A">
      <w:pPr>
        <w:autoSpaceDE w:val="0"/>
        <w:autoSpaceDN w:val="0"/>
        <w:adjustRightInd w:val="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Confirmarea diagnosticului pozitiv se recomandă a fi făcută de către endocrinolog, într-un centru universitar de endocrinologie specializat.</w:t>
      </w:r>
    </w:p>
    <w:p w14:paraId="0D98B8F6" w14:textId="77777777" w:rsidR="0001482A" w:rsidRPr="00F941DA" w:rsidRDefault="0001482A" w:rsidP="0001482A">
      <w:pPr>
        <w:autoSpaceDE w:val="0"/>
        <w:autoSpaceDN w:val="0"/>
        <w:adjustRightInd w:val="0"/>
        <w:jc w:val="both"/>
        <w:rPr>
          <w:rFonts w:ascii="Times New Roman" w:eastAsia="Calibri" w:hAnsi="Times New Roman" w:cs="Times New Roman"/>
          <w:b/>
          <w:bCs/>
          <w:sz w:val="24"/>
          <w:szCs w:val="24"/>
        </w:rPr>
      </w:pPr>
    </w:p>
    <w:p w14:paraId="2C0EAA94" w14:textId="77777777" w:rsidR="0001482A" w:rsidRPr="00F941DA" w:rsidRDefault="0001482A" w:rsidP="0001482A">
      <w:pPr>
        <w:autoSpaceDE w:val="0"/>
        <w:autoSpaceDN w:val="0"/>
        <w:adjustRightInd w:val="0"/>
        <w:spacing w:after="0"/>
        <w:jc w:val="both"/>
        <w:rPr>
          <w:rFonts w:ascii="Times New Roman" w:eastAsia="Calibri" w:hAnsi="Times New Roman" w:cs="Times New Roman"/>
          <w:sz w:val="24"/>
          <w:szCs w:val="24"/>
        </w:rPr>
      </w:pPr>
      <w:r w:rsidRPr="00F941DA">
        <w:rPr>
          <w:rFonts w:ascii="Times New Roman" w:eastAsia="Calibri" w:hAnsi="Times New Roman" w:cs="Times New Roman"/>
          <w:b/>
          <w:bCs/>
          <w:sz w:val="24"/>
          <w:szCs w:val="24"/>
        </w:rPr>
        <w:t>b. Înaintea iniţierii terapiei cu pasireotid se recomandă efectuarea următoarelor investigaţii suplimentare</w:t>
      </w:r>
      <w:r w:rsidRPr="00F941DA">
        <w:rPr>
          <w:rFonts w:ascii="Times New Roman" w:eastAsia="Calibri" w:hAnsi="Times New Roman" w:cs="Times New Roman"/>
          <w:sz w:val="24"/>
          <w:szCs w:val="24"/>
        </w:rPr>
        <w:t xml:space="preserve"> (care vor fi utile în monitorizarea evoluţiei pacientului în tratament cu Pasireotidum):</w:t>
      </w:r>
    </w:p>
    <w:p w14:paraId="49B2CCE7"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Evaluarea status-ul glicemic: glicemia a jeun şi hemoglobina glicozilată (HbA1c);</w:t>
      </w:r>
    </w:p>
    <w:p w14:paraId="6B6B8B4A"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Enzimele hepatice: TGO, TGP;</w:t>
      </w:r>
    </w:p>
    <w:p w14:paraId="17CB79C4"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Ecografia de colecist;</w:t>
      </w:r>
    </w:p>
    <w:p w14:paraId="740B0C9F"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Consultul cardiologic şi EKG;</w:t>
      </w:r>
    </w:p>
    <w:p w14:paraId="1FA41C1C" w14:textId="2936F934"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Evaluarea funcţiei adenohipofizare (TSH/T4 liber, GH/IGF1), în special în cazul pacienţilor cu boala Cushing care au fost supuşi chirurgiei transsfenoidale şi/sau iradierii hipofizare.</w:t>
      </w:r>
    </w:p>
    <w:p w14:paraId="75D718EA" w14:textId="77777777" w:rsidR="0001482A" w:rsidRPr="00F941DA" w:rsidRDefault="0001482A" w:rsidP="0001482A">
      <w:pPr>
        <w:autoSpaceDE w:val="0"/>
        <w:autoSpaceDN w:val="0"/>
        <w:adjustRightInd w:val="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lastRenderedPageBreak/>
        <w:t>III. Contraindicaţii pentru includere în tratamentul cu Pasireotidum:</w:t>
      </w:r>
    </w:p>
    <w:p w14:paraId="57E3B26E"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Pacienţi cu boala Cushing care au indicaţie de intervenţie chirurgicală;</w:t>
      </w:r>
    </w:p>
    <w:p w14:paraId="554115AE"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Pacienţi cu insuficienţă hepatică severă;</w:t>
      </w:r>
    </w:p>
    <w:p w14:paraId="3CE98762"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Hipersensibilitate la substanţa activă sau la oricare dintre excipienţi.</w:t>
      </w:r>
    </w:p>
    <w:p w14:paraId="65FB85E7" w14:textId="77777777" w:rsidR="0001482A" w:rsidRPr="00F941DA" w:rsidRDefault="0001482A" w:rsidP="0001482A">
      <w:pPr>
        <w:autoSpaceDE w:val="0"/>
        <w:autoSpaceDN w:val="0"/>
        <w:adjustRightInd w:val="0"/>
        <w:jc w:val="both"/>
        <w:rPr>
          <w:rFonts w:ascii="Times New Roman" w:eastAsia="Calibri" w:hAnsi="Times New Roman" w:cs="Times New Roman"/>
          <w:sz w:val="24"/>
          <w:szCs w:val="24"/>
        </w:rPr>
      </w:pPr>
    </w:p>
    <w:p w14:paraId="7D4CDDCF" w14:textId="77777777" w:rsidR="0001482A" w:rsidRPr="00F941DA" w:rsidRDefault="0001482A" w:rsidP="0001482A">
      <w:pPr>
        <w:autoSpaceDE w:val="0"/>
        <w:autoSpaceDN w:val="0"/>
        <w:adjustRightInd w:val="0"/>
        <w:jc w:val="both"/>
        <w:rPr>
          <w:rFonts w:ascii="Times New Roman" w:eastAsia="Calibri" w:hAnsi="Times New Roman" w:cs="Times New Roman"/>
          <w:b/>
          <w:bCs/>
          <w:sz w:val="24"/>
          <w:szCs w:val="24"/>
        </w:rPr>
      </w:pPr>
      <w:r w:rsidRPr="00F941DA">
        <w:rPr>
          <w:rFonts w:ascii="Times New Roman" w:eastAsia="Calibri" w:hAnsi="Times New Roman" w:cs="Times New Roman"/>
          <w:b/>
          <w:sz w:val="24"/>
          <w:szCs w:val="24"/>
        </w:rPr>
        <w:t>I</w:t>
      </w:r>
      <w:r w:rsidRPr="00F941DA">
        <w:rPr>
          <w:rFonts w:ascii="Times New Roman" w:eastAsia="Calibri" w:hAnsi="Times New Roman" w:cs="Times New Roman"/>
          <w:b/>
          <w:bCs/>
          <w:sz w:val="24"/>
          <w:szCs w:val="24"/>
        </w:rPr>
        <w:t>V. Posologie/Recomandări privind administrarea de Pasireotidum</w:t>
      </w:r>
    </w:p>
    <w:p w14:paraId="08E647D0"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Doza iniţială recomandată de Pasireotidum este de 0,6 mg, administrată prin injecţie subcutanată, de două ori pe zi sau Pasireotid LAR, 10 mg administrat im/28 zile .</w:t>
      </w:r>
    </w:p>
    <w:p w14:paraId="055DA28D"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Pasireotidum va fi administrat subcutanat prin autoinjectare. Pacienţii trebuie să primească instrucţiuni de la medic sau de la personalul medical avizat privind modul de injectare subcutanată a Pasireotidum. Pasireotid LAR se adminstrează intramuscular profund  la 28 zile.</w:t>
      </w:r>
    </w:p>
    <w:p w14:paraId="7431A03C"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Nu sunt disponibile date clinice privind trecerea de la formula de pasireotidă subcutanată la cea intramusculară. Dacă este necesară o astfel de trecere, se utilizează doza inițială recomandată, cu monitorizarea reacției de răspuns și a tolerabilității.</w:t>
      </w:r>
    </w:p>
    <w:p w14:paraId="2EDD13A9"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Tratamentul trebuie continuat atât timp cât se observă beneficii clinice sau până la apariţia unei toxicităţi inacceptabile;</w:t>
      </w:r>
    </w:p>
    <w:p w14:paraId="72480997" w14:textId="77777777" w:rsidR="0001482A" w:rsidRPr="00F941DA" w:rsidRDefault="0001482A" w:rsidP="0001482A">
      <w:pPr>
        <w:autoSpaceDE w:val="0"/>
        <w:autoSpaceDN w:val="0"/>
        <w:adjustRightInd w:val="0"/>
        <w:spacing w:after="0" w:line="240" w:lineRule="auto"/>
        <w:ind w:left="360"/>
        <w:jc w:val="both"/>
        <w:rPr>
          <w:rFonts w:ascii="Times New Roman" w:eastAsia="Calibri" w:hAnsi="Times New Roman" w:cs="Times New Roman"/>
          <w:sz w:val="24"/>
          <w:szCs w:val="24"/>
        </w:rPr>
      </w:pPr>
    </w:p>
    <w:p w14:paraId="50A4E5D5"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Rezolvarea reacţiilor adverse suspectate în orice moment în timpul tratamentului poate necesita o reducere temporară a dozei de Pasireotidum. Se recomandă reducerea treptată a dozei cu câte 0,3 mg, in administrarea sc, de două ori pe zi, iar în cazul administrării im, cu 10 mg/28 zile</w:t>
      </w:r>
    </w:p>
    <w:p w14:paraId="72F72C2B" w14:textId="77777777" w:rsidR="0001482A" w:rsidRPr="00F941DA" w:rsidRDefault="0001482A" w:rsidP="0001482A">
      <w:pPr>
        <w:autoSpaceDE w:val="0"/>
        <w:autoSpaceDN w:val="0"/>
        <w:adjustRightInd w:val="0"/>
        <w:jc w:val="both"/>
        <w:rPr>
          <w:rFonts w:ascii="Times New Roman" w:eastAsia="Calibri" w:hAnsi="Times New Roman" w:cs="Times New Roman"/>
          <w:b/>
          <w:bCs/>
          <w:sz w:val="24"/>
          <w:szCs w:val="24"/>
        </w:rPr>
      </w:pPr>
    </w:p>
    <w:p w14:paraId="0F666F53" w14:textId="77777777" w:rsidR="0001482A" w:rsidRPr="00F941DA" w:rsidRDefault="0001482A" w:rsidP="0001482A">
      <w:pPr>
        <w:autoSpaceDE w:val="0"/>
        <w:autoSpaceDN w:val="0"/>
        <w:adjustRightInd w:val="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V. Evaluarea răspunsului la tratamentul cu Pasireotidum</w:t>
      </w:r>
    </w:p>
    <w:p w14:paraId="67C986CF" w14:textId="77777777" w:rsidR="0001482A" w:rsidRPr="00F941DA" w:rsidRDefault="0001482A" w:rsidP="0001482A">
      <w:pPr>
        <w:autoSpaceDE w:val="0"/>
        <w:autoSpaceDN w:val="0"/>
        <w:adjustRightInd w:val="0"/>
        <w:spacing w:after="0"/>
        <w:jc w:val="both"/>
        <w:rPr>
          <w:rFonts w:ascii="Times New Roman" w:eastAsia="Calibri" w:hAnsi="Times New Roman" w:cs="Times New Roman"/>
          <w:sz w:val="24"/>
          <w:szCs w:val="24"/>
        </w:rPr>
      </w:pPr>
      <w:r w:rsidRPr="00F941DA">
        <w:rPr>
          <w:rFonts w:ascii="Times New Roman" w:eastAsia="Calibri" w:hAnsi="Times New Roman" w:cs="Times New Roman"/>
          <w:b/>
          <w:bCs/>
          <w:sz w:val="24"/>
          <w:szCs w:val="24"/>
        </w:rPr>
        <w:t xml:space="preserve">1. La două luni de la începerea administrării tratamentului cu Pasireotidum, </w:t>
      </w:r>
      <w:r w:rsidRPr="00F941DA">
        <w:rPr>
          <w:rFonts w:ascii="Times New Roman" w:eastAsia="Calibri" w:hAnsi="Times New Roman" w:cs="Times New Roman"/>
          <w:sz w:val="24"/>
          <w:szCs w:val="24"/>
        </w:rPr>
        <w:t>pacienţii trebuie evaluaţi pentru a se identifica beneficiul terapeutic, prin:</w:t>
      </w:r>
    </w:p>
    <w:p w14:paraId="3945B43A"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Examen clinic;</w:t>
      </w:r>
    </w:p>
    <w:p w14:paraId="421FE6AB"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Măsurarea </w:t>
      </w:r>
      <w:r w:rsidRPr="00F941DA">
        <w:rPr>
          <w:rFonts w:ascii="Times New Roman" w:eastAsia="Calibri" w:hAnsi="Times New Roman" w:cs="Times New Roman"/>
          <w:b/>
          <w:bCs/>
          <w:sz w:val="24"/>
          <w:szCs w:val="24"/>
        </w:rPr>
        <w:t>cortizolului urinar liber/plasmatic</w:t>
      </w:r>
      <w:r w:rsidRPr="00F941DA">
        <w:rPr>
          <w:rFonts w:ascii="Times New Roman" w:eastAsia="Calibri" w:hAnsi="Times New Roman" w:cs="Times New Roman"/>
          <w:sz w:val="24"/>
          <w:szCs w:val="24"/>
        </w:rPr>
        <w:t xml:space="preserve">. Pacienţii care prezintă o reducere semnificativă a concentraţiilor de cortizol liber urinar/plasmatic trebuie să continue administrarea de Pasireotidum atâta timp cât se menţine beneficiul terapeutic. </w:t>
      </w:r>
    </w:p>
    <w:p w14:paraId="5CE1008A"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La pacienții tratați cu Pasireotid sc, poate fi avută în vedere o creştere a dozei până la 0,9 mg, sc de două ori pe zi, în funcţie de răspunsul la tratament, atâta timp cât doza de 0,6 mg a fost bine tolerată de pacient. </w:t>
      </w:r>
    </w:p>
    <w:p w14:paraId="3EDEA6D8"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La pacienții tratați cu Pasireotid LAR, doza poate fi crescută până la maxim 40 mg/28 zile im în funcție de răspuns și tolerabilitate.</w:t>
      </w:r>
    </w:p>
    <w:p w14:paraId="7EB377D8"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Pacienţii care nu au răspuns la administrarea Pasireotidum, după două luni de tratament, trebuie avuţi în vedere pentru întreruperea tratamentului.</w:t>
      </w:r>
    </w:p>
    <w:p w14:paraId="46098F55" w14:textId="77777777" w:rsidR="0001482A" w:rsidRPr="00F941DA" w:rsidRDefault="0001482A" w:rsidP="0001482A">
      <w:pPr>
        <w:autoSpaceDE w:val="0"/>
        <w:autoSpaceDN w:val="0"/>
        <w:adjustRightInd w:val="0"/>
        <w:jc w:val="both"/>
        <w:rPr>
          <w:rFonts w:ascii="Times New Roman" w:eastAsia="Calibri" w:hAnsi="Times New Roman" w:cs="Times New Roman"/>
          <w:sz w:val="24"/>
          <w:szCs w:val="24"/>
        </w:rPr>
      </w:pPr>
    </w:p>
    <w:p w14:paraId="77CC7F13" w14:textId="77777777" w:rsidR="0001482A" w:rsidRPr="00F941DA" w:rsidRDefault="0001482A" w:rsidP="0001482A">
      <w:pPr>
        <w:autoSpaceDE w:val="0"/>
        <w:autoSpaceDN w:val="0"/>
        <w:adjustRightInd w:val="0"/>
        <w:spacing w:after="0"/>
        <w:jc w:val="both"/>
        <w:rPr>
          <w:rFonts w:ascii="Times New Roman" w:eastAsia="Calibri" w:hAnsi="Times New Roman" w:cs="Times New Roman"/>
          <w:sz w:val="24"/>
          <w:szCs w:val="24"/>
        </w:rPr>
      </w:pPr>
      <w:r w:rsidRPr="00F941DA">
        <w:rPr>
          <w:rFonts w:ascii="Times New Roman" w:eastAsia="Calibri" w:hAnsi="Times New Roman" w:cs="Times New Roman"/>
          <w:b/>
          <w:bCs/>
          <w:sz w:val="24"/>
          <w:szCs w:val="24"/>
        </w:rPr>
        <w:t>2. Ulterior răspunsul terapeutic se va evalua la fiecare 3-6 luni de tratament</w:t>
      </w:r>
      <w:r w:rsidRPr="00F941DA">
        <w:rPr>
          <w:rFonts w:ascii="Times New Roman" w:eastAsia="Calibri" w:hAnsi="Times New Roman" w:cs="Times New Roman"/>
          <w:sz w:val="24"/>
          <w:szCs w:val="24"/>
        </w:rPr>
        <w:t>, prin:</w:t>
      </w:r>
    </w:p>
    <w:p w14:paraId="7B33FBE0"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Examen clinic;</w:t>
      </w:r>
    </w:p>
    <w:p w14:paraId="1452C9DF"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Determinarea cortizolului liber urinar/plasmatic;</w:t>
      </w:r>
    </w:p>
    <w:p w14:paraId="47172F7A"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Dozarea ACTH;</w:t>
      </w:r>
    </w:p>
    <w:p w14:paraId="5F852F63" w14:textId="77777777" w:rsidR="0001482A" w:rsidRPr="00F941D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Examene imagistice numai dacă sunt considerate relevante (RMN sau CT).</w:t>
      </w:r>
    </w:p>
    <w:p w14:paraId="1377E187" w14:textId="77777777" w:rsidR="0001482A" w:rsidRPr="00F941DA" w:rsidRDefault="0001482A" w:rsidP="0001482A">
      <w:pPr>
        <w:autoSpaceDE w:val="0"/>
        <w:autoSpaceDN w:val="0"/>
        <w:adjustRightInd w:val="0"/>
        <w:jc w:val="both"/>
        <w:rPr>
          <w:rFonts w:ascii="Times New Roman" w:eastAsia="Calibri" w:hAnsi="Times New Roman" w:cs="Times New Roman"/>
          <w:sz w:val="24"/>
          <w:szCs w:val="24"/>
        </w:rPr>
      </w:pPr>
    </w:p>
    <w:p w14:paraId="7913B57B" w14:textId="77777777" w:rsidR="0001482A" w:rsidRPr="00F941DA" w:rsidRDefault="0001482A" w:rsidP="0001482A">
      <w:pPr>
        <w:autoSpaceDE w:val="0"/>
        <w:autoSpaceDN w:val="0"/>
        <w:adjustRightInd w:val="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VI. Monitorizarea posibilelor reacţii adverse ale terapiei cu Pasireotidum:</w:t>
      </w:r>
    </w:p>
    <w:p w14:paraId="04262DCB" w14:textId="77777777" w:rsidR="0001482A" w:rsidRPr="00F941DA" w:rsidRDefault="0001482A" w:rsidP="0001482A">
      <w:pPr>
        <w:autoSpaceDE w:val="0"/>
        <w:autoSpaceDN w:val="0"/>
        <w:adjustRightInd w:val="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1. Monitorizarea metabolismului glucozei:</w:t>
      </w:r>
    </w:p>
    <w:p w14:paraId="47B76CD5" w14:textId="77777777" w:rsidR="0001482A" w:rsidRPr="00F941DA" w:rsidRDefault="0001482A" w:rsidP="0001482A">
      <w:pPr>
        <w:numPr>
          <w:ilvl w:val="0"/>
          <w:numId w:val="12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Monitorizarea glicemiei à jeun şi a hemoglobinei A1c în timpul tratamentului trebuie să respecte reguli stricte. La pacienţii cu diabet zaharat necontrolat, terapia antidiabetică trebuie iniţiată înaintea începerii tratamentului cu Pasireotid.</w:t>
      </w:r>
    </w:p>
    <w:p w14:paraId="482BAE55" w14:textId="77777777" w:rsidR="0001482A" w:rsidRPr="00F941DA" w:rsidRDefault="0001482A" w:rsidP="0001482A">
      <w:pPr>
        <w:autoSpaceDE w:val="0"/>
        <w:autoSpaceDN w:val="0"/>
        <w:adjustRightInd w:val="0"/>
        <w:jc w:val="both"/>
        <w:rPr>
          <w:rFonts w:ascii="Times New Roman" w:eastAsia="Calibri" w:hAnsi="Times New Roman" w:cs="Times New Roman"/>
          <w:b/>
          <w:bCs/>
          <w:sz w:val="24"/>
          <w:szCs w:val="24"/>
        </w:rPr>
      </w:pPr>
    </w:p>
    <w:p w14:paraId="62D70809" w14:textId="77777777" w:rsidR="0001482A" w:rsidRPr="00F941DA" w:rsidRDefault="0001482A" w:rsidP="0001482A">
      <w:pPr>
        <w:autoSpaceDE w:val="0"/>
        <w:autoSpaceDN w:val="0"/>
        <w:adjustRightInd w:val="0"/>
        <w:jc w:val="both"/>
        <w:rPr>
          <w:rFonts w:ascii="Times New Roman" w:eastAsia="Calibri" w:hAnsi="Times New Roman" w:cs="Times New Roman"/>
          <w:sz w:val="24"/>
          <w:szCs w:val="24"/>
        </w:rPr>
      </w:pPr>
      <w:r w:rsidRPr="00F941DA">
        <w:rPr>
          <w:rFonts w:ascii="Times New Roman" w:eastAsia="Calibri" w:hAnsi="Times New Roman" w:cs="Times New Roman"/>
          <w:b/>
          <w:bCs/>
          <w:sz w:val="24"/>
          <w:szCs w:val="24"/>
        </w:rPr>
        <w:lastRenderedPageBreak/>
        <w:t xml:space="preserve">Determinarea glicemiei trebuie să fie efectuată în fiecare săptămână în primele două până la trei luni de tratament cu Pasireotidum </w:t>
      </w:r>
      <w:r w:rsidRPr="00F941DA">
        <w:rPr>
          <w:rFonts w:ascii="Times New Roman" w:eastAsia="Calibri" w:hAnsi="Times New Roman" w:cs="Times New Roman"/>
          <w:sz w:val="24"/>
          <w:szCs w:val="24"/>
        </w:rPr>
        <w:t>şi ulterior, periodic, după cum se impune în funcţie de evoluţia individuală a pacienţilor. Suplimentar, trebuie efectuată monitorizarea glicemiei à jeun la 4 săptămâni şi a HbA1c la 3 luni de la oprirea tratamentului cu Pasireotid.</w:t>
      </w:r>
    </w:p>
    <w:p w14:paraId="6E5C273F" w14:textId="77777777" w:rsidR="0001482A" w:rsidRPr="00F941DA" w:rsidRDefault="0001482A" w:rsidP="0001482A">
      <w:pPr>
        <w:numPr>
          <w:ilvl w:val="0"/>
          <w:numId w:val="12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b/>
          <w:bCs/>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 xml:space="preserve">Dacă apare hiperglicemie la un pacient tratat cu Pasireotidum, se recomandă iniţierea sau ajustarea tratamentului antidiabetic. </w:t>
      </w:r>
      <w:r w:rsidRPr="00F941DA">
        <w:rPr>
          <w:rFonts w:ascii="Times New Roman" w:eastAsia="Times New Roman" w:hAnsi="Times New Roman" w:cs="Times New Roman"/>
          <w:b/>
          <w:bCs/>
          <w:sz w:val="24"/>
          <w:szCs w:val="24"/>
          <w:u w:color="000000"/>
          <w:bdr w:val="nil"/>
          <w:lang w:eastAsia="ro-RO"/>
        </w:rPr>
        <w:t>Dacă hiperglicemia necontrolată persistă în ciuda terapiei antidiabetice adecvate, doza de Pasireotidum trebuie redusă sau tratamentul cu Pasireotidum trebuie întrerupt.</w:t>
      </w:r>
    </w:p>
    <w:p w14:paraId="605A7DE4" w14:textId="77777777" w:rsidR="0001482A" w:rsidRPr="00F941DA" w:rsidRDefault="0001482A" w:rsidP="0001482A">
      <w:pPr>
        <w:autoSpaceDE w:val="0"/>
        <w:autoSpaceDN w:val="0"/>
        <w:adjustRightInd w:val="0"/>
        <w:jc w:val="both"/>
        <w:rPr>
          <w:rFonts w:ascii="Times New Roman" w:eastAsia="Calibri" w:hAnsi="Times New Roman" w:cs="Times New Roman"/>
          <w:b/>
          <w:bCs/>
          <w:sz w:val="24"/>
          <w:szCs w:val="24"/>
        </w:rPr>
      </w:pPr>
    </w:p>
    <w:p w14:paraId="0A9C8426" w14:textId="77777777" w:rsidR="0001482A" w:rsidRPr="00F941DA" w:rsidRDefault="0001482A" w:rsidP="0001482A">
      <w:pPr>
        <w:autoSpaceDE w:val="0"/>
        <w:autoSpaceDN w:val="0"/>
        <w:adjustRightInd w:val="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2. Monitorizarea funcţiei cardiace pentru riscul de bradicardie şi a alungirii intervalului QT:</w:t>
      </w:r>
    </w:p>
    <w:p w14:paraId="318663FF" w14:textId="77777777" w:rsidR="0001482A" w:rsidRPr="00F941DA" w:rsidRDefault="0001482A" w:rsidP="0001482A">
      <w:pPr>
        <w:numPr>
          <w:ilvl w:val="0"/>
          <w:numId w:val="130"/>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Pacienţii cu afecţiuni cardiace şi/sau factori de risc pentru bradicardie trebuie atent monitorizaţi;</w:t>
      </w:r>
    </w:p>
    <w:p w14:paraId="0BB6FE57" w14:textId="77777777" w:rsidR="0001482A" w:rsidRPr="00F941DA" w:rsidRDefault="0001482A" w:rsidP="0001482A">
      <w:pPr>
        <w:numPr>
          <w:ilvl w:val="0"/>
          <w:numId w:val="130"/>
        </w:numPr>
        <w:autoSpaceDE w:val="0"/>
        <w:autoSpaceDN w:val="0"/>
        <w:adjustRightInd w:val="0"/>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Repetarea periodică a EKG în timpul tratamentului cu Pasireotidum la pacienţii cu risc de a dezvolta alungirea intervalului QT (insuficienţa cardiacă congestivă, angina instabilă, terapie anti-aritmică, hipokaliemie, hipomagneziemie etc.).</w:t>
      </w:r>
    </w:p>
    <w:p w14:paraId="0647F4C6" w14:textId="77777777" w:rsidR="0001482A" w:rsidRPr="00F941DA" w:rsidRDefault="0001482A" w:rsidP="0001482A">
      <w:pPr>
        <w:autoSpaceDE w:val="0"/>
        <w:autoSpaceDN w:val="0"/>
        <w:adjustRightInd w:val="0"/>
        <w:spacing w:after="0" w:line="240" w:lineRule="auto"/>
        <w:ind w:left="360"/>
        <w:jc w:val="both"/>
        <w:rPr>
          <w:rFonts w:ascii="Times New Roman" w:eastAsia="Calibri" w:hAnsi="Times New Roman" w:cs="Times New Roman"/>
          <w:sz w:val="24"/>
          <w:szCs w:val="24"/>
        </w:rPr>
      </w:pPr>
    </w:p>
    <w:p w14:paraId="11860701" w14:textId="77777777" w:rsidR="0001482A" w:rsidRPr="00F941DA" w:rsidRDefault="0001482A" w:rsidP="0001482A">
      <w:pPr>
        <w:autoSpaceDE w:val="0"/>
        <w:autoSpaceDN w:val="0"/>
        <w:adjustRightInd w:val="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3. Evaluarea funcţiei hepatice: transaminaze (ALT, AST), bilirubina, fosfataza alcalină</w:t>
      </w:r>
    </w:p>
    <w:p w14:paraId="5DC7783E" w14:textId="77777777" w:rsidR="0001482A" w:rsidRPr="00F941DA" w:rsidRDefault="0001482A" w:rsidP="0001482A">
      <w:pPr>
        <w:numPr>
          <w:ilvl w:val="0"/>
          <w:numId w:val="131"/>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Testele hepatice trebuiesc efectuate după primele 2 săptămâni de tratament, apoi lunar pentru 3 luni şi apoi la 6 luni. Creşteri importante ale ALT (3 - 5 ori peste limita superioară a normalului) impun repetarea testelor săptămânal sau chiar la 48 de ore, şi în cazul confirmării creşterii acestora se impune oprirea tratamentului cu Pasireotidum pentru elucidarea cauzei afectării hepatice.</w:t>
      </w:r>
    </w:p>
    <w:p w14:paraId="485CDC48" w14:textId="77777777" w:rsidR="0001482A" w:rsidRPr="00F941DA" w:rsidRDefault="0001482A" w:rsidP="0001482A">
      <w:pPr>
        <w:autoSpaceDE w:val="0"/>
        <w:autoSpaceDN w:val="0"/>
        <w:adjustRightInd w:val="0"/>
        <w:spacing w:after="0" w:line="240" w:lineRule="auto"/>
        <w:ind w:left="360"/>
        <w:jc w:val="both"/>
        <w:rPr>
          <w:rFonts w:ascii="Times New Roman" w:eastAsia="Calibri" w:hAnsi="Times New Roman" w:cs="Times New Roman"/>
          <w:sz w:val="24"/>
          <w:szCs w:val="24"/>
        </w:rPr>
      </w:pPr>
    </w:p>
    <w:p w14:paraId="2D7B965E" w14:textId="77777777" w:rsidR="0001482A" w:rsidRPr="00F941DA" w:rsidRDefault="0001482A" w:rsidP="0001482A">
      <w:pPr>
        <w:autoSpaceDE w:val="0"/>
        <w:autoSpaceDN w:val="0"/>
        <w:adjustRightInd w:val="0"/>
        <w:jc w:val="both"/>
        <w:rPr>
          <w:rFonts w:ascii="Times New Roman" w:eastAsia="Calibri" w:hAnsi="Times New Roman" w:cs="Times New Roman"/>
          <w:sz w:val="24"/>
          <w:szCs w:val="24"/>
        </w:rPr>
      </w:pPr>
      <w:r w:rsidRPr="00F941DA">
        <w:rPr>
          <w:rFonts w:ascii="Times New Roman" w:eastAsia="Calibri" w:hAnsi="Times New Roman" w:cs="Times New Roman"/>
          <w:b/>
          <w:bCs/>
          <w:sz w:val="24"/>
          <w:szCs w:val="24"/>
        </w:rPr>
        <w:t>4. Riscul de litiază biliară:</w:t>
      </w:r>
      <w:r w:rsidRPr="00F941DA">
        <w:rPr>
          <w:rFonts w:ascii="Times New Roman" w:eastAsia="Calibri" w:hAnsi="Times New Roman" w:cs="Times New Roman"/>
          <w:sz w:val="24"/>
          <w:szCs w:val="24"/>
        </w:rPr>
        <w:t xml:space="preserve"> ecografia de colecist trebuie repetată la 6 - 12 luni în timpul tratamentului.</w:t>
      </w:r>
    </w:p>
    <w:p w14:paraId="79445050" w14:textId="77777777" w:rsidR="0001482A" w:rsidRPr="00F941DA" w:rsidRDefault="0001482A" w:rsidP="0001482A">
      <w:pPr>
        <w:autoSpaceDE w:val="0"/>
        <w:autoSpaceDN w:val="0"/>
        <w:adjustRightInd w:val="0"/>
        <w:jc w:val="both"/>
        <w:rPr>
          <w:rFonts w:ascii="Times New Roman" w:eastAsia="Calibri" w:hAnsi="Times New Roman" w:cs="Times New Roman"/>
          <w:sz w:val="24"/>
          <w:szCs w:val="24"/>
        </w:rPr>
      </w:pPr>
      <w:r w:rsidRPr="00F941DA">
        <w:rPr>
          <w:rFonts w:ascii="Times New Roman" w:eastAsia="Calibri" w:hAnsi="Times New Roman" w:cs="Times New Roman"/>
          <w:b/>
          <w:bCs/>
          <w:sz w:val="24"/>
          <w:szCs w:val="24"/>
        </w:rPr>
        <w:t>5. Monitorizarea funcţiei adenohipofizare:</w:t>
      </w:r>
      <w:r w:rsidRPr="00F941DA">
        <w:rPr>
          <w:rFonts w:ascii="Times New Roman" w:eastAsia="Calibri" w:hAnsi="Times New Roman" w:cs="Times New Roman"/>
          <w:sz w:val="24"/>
          <w:szCs w:val="24"/>
        </w:rPr>
        <w:t xml:space="preserve"> se efectuează periodic în timpul tratamentului atunci când evoluţia clinică o impune, în special în cazul pacienţilor cu boala Cushing care au fost supuşi chirurgiei transsfenoidale şi/sau iradierii hipofizare.</w:t>
      </w:r>
    </w:p>
    <w:p w14:paraId="4CCA07CB" w14:textId="77777777" w:rsidR="0001482A" w:rsidRPr="00F941DA" w:rsidRDefault="0001482A" w:rsidP="00CB7B02">
      <w:pPr>
        <w:autoSpaceDE w:val="0"/>
        <w:autoSpaceDN w:val="0"/>
        <w:adjustRightInd w:val="0"/>
        <w:spacing w:after="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VII. Criterii de întrerupere a tratamentului:</w:t>
      </w:r>
    </w:p>
    <w:p w14:paraId="7D99E4F6" w14:textId="77777777" w:rsidR="0001482A" w:rsidRPr="00F941DA" w:rsidRDefault="0001482A" w:rsidP="00CB7B02">
      <w:pPr>
        <w:numPr>
          <w:ilvl w:val="0"/>
          <w:numId w:val="128"/>
        </w:numPr>
        <w:autoSpaceDE w:val="0"/>
        <w:autoSpaceDN w:val="0"/>
        <w:adjustRightInd w:val="0"/>
        <w:spacing w:after="0" w:line="240" w:lineRule="auto"/>
        <w:ind w:hanging="294"/>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Progresia bolii sau pierderea răspunsului terapeutic conform criteriilor de monitorizare a eficacităţii;</w:t>
      </w:r>
    </w:p>
    <w:p w14:paraId="13F1B8FE" w14:textId="77777777" w:rsidR="0001482A" w:rsidRPr="00F941DA" w:rsidRDefault="0001482A" w:rsidP="00CB7B02">
      <w:pPr>
        <w:numPr>
          <w:ilvl w:val="0"/>
          <w:numId w:val="128"/>
        </w:numPr>
        <w:autoSpaceDE w:val="0"/>
        <w:autoSpaceDN w:val="0"/>
        <w:adjustRightInd w:val="0"/>
        <w:spacing w:after="0" w:line="240" w:lineRule="auto"/>
        <w:ind w:hanging="294"/>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Reacţii adverse severe (ex. Hiperglicemie necontrolată în ciuda tuturor măsurilor terapeutice recomandate);</w:t>
      </w:r>
    </w:p>
    <w:p w14:paraId="3B52930F" w14:textId="77777777" w:rsidR="0001482A" w:rsidRPr="00F941DA" w:rsidRDefault="0001482A" w:rsidP="00CB7B02">
      <w:pPr>
        <w:numPr>
          <w:ilvl w:val="0"/>
          <w:numId w:val="128"/>
        </w:numPr>
        <w:autoSpaceDE w:val="0"/>
        <w:autoSpaceDN w:val="0"/>
        <w:adjustRightInd w:val="0"/>
        <w:spacing w:after="0" w:line="240" w:lineRule="auto"/>
        <w:ind w:hanging="294"/>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Lipsa de complianţă a pacientului la terapie/monitorizare a evoluţiei sub tratament;</w:t>
      </w:r>
    </w:p>
    <w:p w14:paraId="69E0756C" w14:textId="77777777" w:rsidR="0001482A" w:rsidRPr="00F941DA" w:rsidRDefault="0001482A" w:rsidP="00CB7B02">
      <w:pPr>
        <w:numPr>
          <w:ilvl w:val="0"/>
          <w:numId w:val="128"/>
        </w:numPr>
        <w:autoSpaceDE w:val="0"/>
        <w:autoSpaceDN w:val="0"/>
        <w:adjustRightInd w:val="0"/>
        <w:spacing w:after="0" w:line="240" w:lineRule="auto"/>
        <w:ind w:hanging="294"/>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Lipsa de răspuns după două luni de tratament.</w:t>
      </w:r>
    </w:p>
    <w:p w14:paraId="63059B4E" w14:textId="77777777" w:rsidR="0001482A" w:rsidRPr="00F941DA" w:rsidRDefault="0001482A" w:rsidP="0001482A">
      <w:pPr>
        <w:autoSpaceDE w:val="0"/>
        <w:autoSpaceDN w:val="0"/>
        <w:adjustRightInd w:val="0"/>
        <w:jc w:val="both"/>
        <w:rPr>
          <w:rFonts w:ascii="Times New Roman" w:eastAsia="Calibri" w:hAnsi="Times New Roman" w:cs="Times New Roman"/>
          <w:sz w:val="24"/>
          <w:szCs w:val="24"/>
        </w:rPr>
      </w:pPr>
    </w:p>
    <w:p w14:paraId="6923EED4" w14:textId="7E4C4C4C" w:rsidR="0001482A" w:rsidRPr="00F941DA" w:rsidRDefault="0001482A" w:rsidP="0001482A">
      <w:pPr>
        <w:autoSpaceDE w:val="0"/>
        <w:autoSpaceDN w:val="0"/>
        <w:adjustRightInd w:val="0"/>
        <w:jc w:val="both"/>
        <w:rPr>
          <w:rFonts w:ascii="Times New Roman" w:eastAsia="Calibri" w:hAnsi="Times New Roman" w:cs="Times New Roman"/>
          <w:b/>
          <w:bCs/>
          <w:iCs/>
          <w:sz w:val="24"/>
          <w:szCs w:val="24"/>
        </w:rPr>
      </w:pPr>
      <w:r w:rsidRPr="00F941DA">
        <w:rPr>
          <w:rFonts w:ascii="Times New Roman" w:eastAsia="Calibri" w:hAnsi="Times New Roman" w:cs="Times New Roman"/>
          <w:b/>
          <w:bCs/>
          <w:sz w:val="24"/>
          <w:szCs w:val="24"/>
        </w:rPr>
        <w:t xml:space="preserve">VIII. Prescriptori: </w:t>
      </w:r>
      <w:r w:rsidRPr="00F941DA">
        <w:rPr>
          <w:rFonts w:ascii="Times New Roman" w:eastAsia="Calibri" w:hAnsi="Times New Roman" w:cs="Times New Roman"/>
          <w:sz w:val="24"/>
          <w:szCs w:val="24"/>
        </w:rPr>
        <w:t>Medicii din specialitatea endocrinologie.</w:t>
      </w:r>
      <w:r w:rsidR="00CB7B02" w:rsidRPr="00F941DA">
        <w:rPr>
          <w:rFonts w:ascii="Times New Roman" w:eastAsia="Calibri" w:hAnsi="Times New Roman" w:cs="Times New Roman"/>
          <w:bCs/>
          <w:iCs/>
          <w:sz w:val="24"/>
          <w:szCs w:val="24"/>
        </w:rPr>
        <w:t>”</w:t>
      </w:r>
    </w:p>
    <w:p w14:paraId="228E1FA5" w14:textId="77777777" w:rsidR="0001482A" w:rsidRPr="00F941DA" w:rsidRDefault="0001482A" w:rsidP="0001482A">
      <w:pPr>
        <w:autoSpaceDE w:val="0"/>
        <w:autoSpaceDN w:val="0"/>
        <w:adjustRightInd w:val="0"/>
        <w:jc w:val="both"/>
        <w:rPr>
          <w:rFonts w:ascii="Times New Roman" w:eastAsia="Calibri" w:hAnsi="Times New Roman" w:cs="Times New Roman"/>
          <w:b/>
          <w:bCs/>
          <w:iCs/>
          <w:sz w:val="24"/>
          <w:szCs w:val="24"/>
        </w:rPr>
      </w:pPr>
    </w:p>
    <w:p w14:paraId="72D03790" w14:textId="77777777" w:rsidR="0001482A" w:rsidRPr="00F941DA" w:rsidRDefault="0001482A" w:rsidP="0001482A">
      <w:pPr>
        <w:autoSpaceDE w:val="0"/>
        <w:autoSpaceDN w:val="0"/>
        <w:adjustRightInd w:val="0"/>
        <w:jc w:val="both"/>
        <w:rPr>
          <w:rFonts w:ascii="Times New Roman" w:eastAsia="Calibri" w:hAnsi="Times New Roman" w:cs="Times New Roman"/>
          <w:b/>
          <w:bCs/>
          <w:iCs/>
          <w:sz w:val="24"/>
          <w:szCs w:val="24"/>
        </w:rPr>
      </w:pPr>
    </w:p>
    <w:p w14:paraId="38F09583" w14:textId="77777777" w:rsidR="0001482A" w:rsidRPr="00F941DA" w:rsidRDefault="0001482A" w:rsidP="0001482A">
      <w:pPr>
        <w:autoSpaceDE w:val="0"/>
        <w:autoSpaceDN w:val="0"/>
        <w:adjustRightInd w:val="0"/>
        <w:jc w:val="both"/>
        <w:rPr>
          <w:rFonts w:ascii="Times New Roman" w:hAnsi="Times New Roman" w:cs="Times New Roman"/>
          <w:b/>
          <w:bCs/>
          <w:iCs/>
          <w:sz w:val="24"/>
          <w:szCs w:val="24"/>
        </w:rPr>
      </w:pPr>
    </w:p>
    <w:p w14:paraId="00A4825C" w14:textId="77777777" w:rsidR="0001482A" w:rsidRPr="00F941DA" w:rsidRDefault="0001482A" w:rsidP="0001482A">
      <w:pPr>
        <w:autoSpaceDE w:val="0"/>
        <w:autoSpaceDN w:val="0"/>
        <w:adjustRightInd w:val="0"/>
        <w:jc w:val="both"/>
        <w:rPr>
          <w:rFonts w:ascii="Times New Roman" w:hAnsi="Times New Roman" w:cs="Times New Roman"/>
          <w:b/>
          <w:bCs/>
          <w:iCs/>
          <w:sz w:val="24"/>
          <w:szCs w:val="24"/>
        </w:rPr>
      </w:pPr>
    </w:p>
    <w:p w14:paraId="4229A6A3" w14:textId="77777777" w:rsidR="0001482A" w:rsidRPr="00F941DA" w:rsidRDefault="0001482A" w:rsidP="0001482A">
      <w:pPr>
        <w:autoSpaceDE w:val="0"/>
        <w:autoSpaceDN w:val="0"/>
        <w:adjustRightInd w:val="0"/>
        <w:spacing w:after="0" w:line="240" w:lineRule="auto"/>
        <w:jc w:val="both"/>
        <w:rPr>
          <w:rFonts w:ascii="Times New Roman" w:hAnsi="Times New Roman" w:cs="Times New Roman"/>
          <w:b/>
          <w:bCs/>
          <w:iCs/>
          <w:sz w:val="24"/>
          <w:szCs w:val="24"/>
        </w:rPr>
      </w:pPr>
    </w:p>
    <w:p w14:paraId="27B3EA63" w14:textId="77777777" w:rsidR="0001482A" w:rsidRPr="00F941DA" w:rsidRDefault="0001482A" w:rsidP="007B60B7">
      <w:pPr>
        <w:tabs>
          <w:tab w:val="left" w:pos="426"/>
        </w:tabs>
        <w:jc w:val="both"/>
        <w:rPr>
          <w:rFonts w:ascii="Times New Roman" w:eastAsia="Arial" w:hAnsi="Times New Roman" w:cs="Times New Roman"/>
          <w:b/>
          <w:bCs/>
          <w:sz w:val="24"/>
          <w:szCs w:val="24"/>
          <w:lang w:val="en-US"/>
        </w:rPr>
      </w:pPr>
    </w:p>
    <w:p w14:paraId="59B12006" w14:textId="77777777" w:rsidR="0001482A" w:rsidRPr="00F941DA" w:rsidRDefault="0001482A" w:rsidP="007B60B7">
      <w:pPr>
        <w:tabs>
          <w:tab w:val="left" w:pos="426"/>
        </w:tabs>
        <w:jc w:val="both"/>
        <w:rPr>
          <w:rFonts w:ascii="Times New Roman" w:eastAsia="Arial" w:hAnsi="Times New Roman" w:cs="Times New Roman"/>
          <w:b/>
          <w:bCs/>
          <w:sz w:val="24"/>
          <w:szCs w:val="24"/>
          <w:lang w:val="en-US"/>
        </w:rPr>
      </w:pPr>
    </w:p>
    <w:p w14:paraId="7B26651D" w14:textId="77777777" w:rsidR="0001482A" w:rsidRPr="00F941DA" w:rsidRDefault="0001482A" w:rsidP="007B60B7">
      <w:pPr>
        <w:tabs>
          <w:tab w:val="left" w:pos="426"/>
        </w:tabs>
        <w:jc w:val="both"/>
        <w:rPr>
          <w:rFonts w:ascii="Times New Roman" w:eastAsia="Arial" w:hAnsi="Times New Roman" w:cs="Times New Roman"/>
          <w:b/>
          <w:bCs/>
          <w:sz w:val="24"/>
          <w:szCs w:val="24"/>
          <w:lang w:val="en-US"/>
        </w:rPr>
      </w:pPr>
    </w:p>
    <w:p w14:paraId="51307286" w14:textId="77777777" w:rsidR="0001482A" w:rsidRPr="00F941DA" w:rsidRDefault="0001482A" w:rsidP="007B60B7">
      <w:pPr>
        <w:tabs>
          <w:tab w:val="left" w:pos="426"/>
        </w:tabs>
        <w:jc w:val="both"/>
        <w:rPr>
          <w:rFonts w:ascii="Times New Roman" w:eastAsia="Arial" w:hAnsi="Times New Roman" w:cs="Times New Roman"/>
          <w:b/>
          <w:bCs/>
          <w:sz w:val="24"/>
          <w:szCs w:val="24"/>
          <w:lang w:val="en-US"/>
        </w:rPr>
      </w:pPr>
    </w:p>
    <w:p w14:paraId="73127FA8" w14:textId="6693AD56" w:rsidR="007B60B7" w:rsidRPr="00F941DA" w:rsidRDefault="007B60B7" w:rsidP="00CA4F71">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 xml:space="preserve">La anexa nr. 1, protocolul terapeutic corespunzător poziţiei nr. </w:t>
      </w:r>
      <w:r w:rsidR="00CA4F71" w:rsidRPr="00F941DA">
        <w:rPr>
          <w:rFonts w:eastAsia="Arial"/>
          <w:b/>
          <w:bCs/>
          <w:color w:val="auto"/>
          <w:lang w:val="en-US"/>
        </w:rPr>
        <w:t>100</w:t>
      </w:r>
      <w:r w:rsidRPr="00F941DA">
        <w:rPr>
          <w:rFonts w:eastAsia="Arial"/>
          <w:b/>
          <w:bCs/>
          <w:color w:val="auto"/>
          <w:lang w:val="en-US"/>
        </w:rPr>
        <w:t xml:space="preserve"> cod (</w:t>
      </w:r>
      <w:r w:rsidR="00CA4F71" w:rsidRPr="00F941DA">
        <w:rPr>
          <w:rFonts w:eastAsia="Arial"/>
          <w:b/>
          <w:bCs/>
          <w:color w:val="auto"/>
          <w:lang w:val="en-US"/>
        </w:rPr>
        <w:t>J001G</w:t>
      </w:r>
      <w:r w:rsidRPr="00F941DA">
        <w:rPr>
          <w:rFonts w:eastAsia="Arial"/>
          <w:b/>
          <w:bCs/>
          <w:color w:val="auto"/>
          <w:lang w:val="en-US"/>
        </w:rPr>
        <w:t xml:space="preserve">): DCI </w:t>
      </w:r>
      <w:r w:rsidR="00CA4F71" w:rsidRPr="00F941DA">
        <w:rPr>
          <w:rFonts w:eastAsia="Arial"/>
          <w:b/>
          <w:bCs/>
          <w:color w:val="auto"/>
          <w:lang w:val="en-US"/>
        </w:rPr>
        <w:t>IMUNOGLOBULINA NORMALĂ PENTRU ADMINISTRARE INTRAVASCULARĂ</w:t>
      </w:r>
      <w:r w:rsidRPr="00F941DA">
        <w:rPr>
          <w:rFonts w:eastAsia="Arial"/>
          <w:b/>
          <w:bCs/>
          <w:color w:val="auto"/>
          <w:lang w:val="en-US"/>
        </w:rPr>
        <w:t xml:space="preserve"> se modifică și se înlocuiește cu următorul protocol:</w:t>
      </w:r>
    </w:p>
    <w:p w14:paraId="27B83E41" w14:textId="77777777" w:rsidR="007B60B7" w:rsidRPr="00F941DA" w:rsidRDefault="007B60B7" w:rsidP="007B60B7">
      <w:pPr>
        <w:tabs>
          <w:tab w:val="left" w:pos="426"/>
        </w:tabs>
        <w:jc w:val="both"/>
        <w:rPr>
          <w:rFonts w:ascii="Times New Roman" w:eastAsia="Arial" w:hAnsi="Times New Roman" w:cs="Times New Roman"/>
          <w:b/>
          <w:bCs/>
          <w:sz w:val="24"/>
          <w:szCs w:val="24"/>
          <w:lang w:val="en-US"/>
        </w:rPr>
      </w:pPr>
    </w:p>
    <w:p w14:paraId="6CB3EC84" w14:textId="254A4C97" w:rsidR="007B60B7" w:rsidRPr="00F941DA" w:rsidRDefault="007B60B7" w:rsidP="00CA4F71">
      <w:pPr>
        <w:tabs>
          <w:tab w:val="left" w:pos="426"/>
        </w:tabs>
        <w:jc w:val="both"/>
        <w:rPr>
          <w:rFonts w:eastAsia="Arial"/>
          <w:b/>
          <w:bCs/>
          <w:lang w:val="en-US"/>
        </w:rPr>
      </w:pPr>
      <w:r w:rsidRPr="00F941DA">
        <w:rPr>
          <w:rFonts w:ascii="Times New Roman" w:eastAsia="Arial" w:hAnsi="Times New Roman" w:cs="Times New Roman"/>
          <w:b/>
          <w:bCs/>
          <w:sz w:val="24"/>
          <w:szCs w:val="24"/>
          <w:lang w:val="en-US"/>
        </w:rPr>
        <w:t xml:space="preserve">”Protocol terapeutic corespunzător poziţiei nr. </w:t>
      </w:r>
      <w:r w:rsidR="00CA4F71" w:rsidRPr="00F941DA">
        <w:rPr>
          <w:rFonts w:ascii="Times New Roman" w:eastAsia="Arial" w:hAnsi="Times New Roman" w:cs="Times New Roman"/>
          <w:b/>
          <w:bCs/>
          <w:sz w:val="24"/>
          <w:szCs w:val="24"/>
          <w:lang w:val="en-US"/>
        </w:rPr>
        <w:t>100 cod (J001G): DCI IMUNOGLOBULINA NORMALĂ PENTRU ADMINISTRARE INTRAVASCULARĂ</w:t>
      </w:r>
    </w:p>
    <w:p w14:paraId="13287147" w14:textId="77777777" w:rsidR="00CA4F71" w:rsidRPr="00F941DA" w:rsidRDefault="00CA4F71" w:rsidP="00984957">
      <w:pPr>
        <w:pStyle w:val="ListParagraph"/>
        <w:rPr>
          <w:rFonts w:eastAsia="Arial"/>
          <w:b/>
          <w:bCs/>
          <w:color w:val="auto"/>
          <w:lang w:val="en-US"/>
        </w:rPr>
      </w:pPr>
    </w:p>
    <w:p w14:paraId="2811EA03" w14:textId="77777777" w:rsidR="008F49DC" w:rsidRPr="00F941DA" w:rsidRDefault="008F49DC" w:rsidP="008F49DC">
      <w:pPr>
        <w:autoSpaceDE w:val="0"/>
        <w:autoSpaceDN w:val="0"/>
        <w:adjustRightInd w:val="0"/>
        <w:spacing w:after="0" w:line="240" w:lineRule="auto"/>
        <w:rPr>
          <w:rFonts w:ascii="Times New Roman" w:hAnsi="Times New Roman"/>
          <w:b/>
          <w:bCs/>
          <w:iCs/>
          <w:sz w:val="24"/>
          <w:szCs w:val="24"/>
        </w:rPr>
      </w:pPr>
    </w:p>
    <w:p w14:paraId="524B4689" w14:textId="77777777" w:rsidR="008F49DC" w:rsidRPr="00F941DA" w:rsidRDefault="008F49DC" w:rsidP="008F49DC">
      <w:pPr>
        <w:numPr>
          <w:ilvl w:val="0"/>
          <w:numId w:val="132"/>
        </w:numPr>
        <w:autoSpaceDE w:val="0"/>
        <w:autoSpaceDN w:val="0"/>
        <w:adjustRightInd w:val="0"/>
        <w:spacing w:after="0" w:line="240" w:lineRule="auto"/>
        <w:ind w:left="284" w:hanging="284"/>
        <w:contextualSpacing/>
        <w:jc w:val="both"/>
        <w:rPr>
          <w:rFonts w:ascii="Times New Roman" w:hAnsi="Times New Roman"/>
          <w:b/>
          <w:bCs/>
          <w:iCs/>
          <w:sz w:val="24"/>
          <w:szCs w:val="24"/>
        </w:rPr>
      </w:pPr>
      <w:r w:rsidRPr="00F941DA">
        <w:rPr>
          <w:rFonts w:ascii="Times New Roman" w:hAnsi="Times New Roman"/>
          <w:b/>
          <w:bCs/>
          <w:iCs/>
          <w:sz w:val="24"/>
          <w:szCs w:val="24"/>
        </w:rPr>
        <w:t xml:space="preserve">Indicatii: boli neurologice degenerative/inflamator-imune   </w:t>
      </w:r>
    </w:p>
    <w:p w14:paraId="2CDDE09E" w14:textId="77777777" w:rsidR="008F49DC" w:rsidRPr="00F941DA" w:rsidRDefault="008F49DC" w:rsidP="008F49DC">
      <w:pPr>
        <w:autoSpaceDE w:val="0"/>
        <w:autoSpaceDN w:val="0"/>
        <w:adjustRightInd w:val="0"/>
        <w:spacing w:after="0" w:line="240" w:lineRule="auto"/>
        <w:contextualSpacing/>
        <w:jc w:val="both"/>
        <w:rPr>
          <w:rFonts w:ascii="Times New Roman" w:hAnsi="Times New Roman"/>
          <w:b/>
          <w:bCs/>
          <w:iCs/>
          <w:sz w:val="24"/>
          <w:szCs w:val="24"/>
        </w:rPr>
      </w:pPr>
    </w:p>
    <w:p w14:paraId="56FEE7FC" w14:textId="77777777" w:rsidR="008F49DC" w:rsidRPr="00F941DA" w:rsidRDefault="008F49DC" w:rsidP="008F49DC">
      <w:pPr>
        <w:pStyle w:val="ListParagraph"/>
        <w:numPr>
          <w:ilvl w:val="0"/>
          <w:numId w:val="136"/>
        </w:numPr>
        <w:autoSpaceDE w:val="0"/>
        <w:autoSpaceDN w:val="0"/>
        <w:adjustRightInd w:val="0"/>
        <w:ind w:left="284" w:hanging="284"/>
        <w:contextualSpacing/>
        <w:jc w:val="both"/>
        <w:rPr>
          <w:rFonts w:eastAsia="Calibri"/>
          <w:b/>
          <w:bCs/>
          <w:iCs/>
          <w:color w:val="auto"/>
        </w:rPr>
      </w:pPr>
      <w:r w:rsidRPr="00F941DA">
        <w:rPr>
          <w:rFonts w:eastAsia="Calibri"/>
          <w:b/>
          <w:bCs/>
          <w:iCs/>
          <w:color w:val="auto"/>
        </w:rPr>
        <w:t>Utilizare în condiţii de spitalizare de scurtă durată într-o secţie de neurologie</w:t>
      </w:r>
    </w:p>
    <w:p w14:paraId="0C169F8B" w14:textId="77777777" w:rsidR="008F49DC" w:rsidRPr="00F941DA" w:rsidRDefault="008F49DC" w:rsidP="008F49DC">
      <w:pPr>
        <w:autoSpaceDE w:val="0"/>
        <w:autoSpaceDN w:val="0"/>
        <w:adjustRightInd w:val="0"/>
        <w:spacing w:after="0" w:line="240" w:lineRule="auto"/>
        <w:jc w:val="both"/>
        <w:rPr>
          <w:rFonts w:ascii="Times New Roman" w:hAnsi="Times New Roman"/>
          <w:b/>
          <w:bCs/>
          <w:iCs/>
          <w:sz w:val="24"/>
          <w:szCs w:val="24"/>
        </w:rPr>
      </w:pPr>
    </w:p>
    <w:p w14:paraId="5AF347AC" w14:textId="5D92E6FA" w:rsidR="008F49DC" w:rsidRPr="00F941DA" w:rsidRDefault="008F49DC" w:rsidP="008F49DC">
      <w:pPr>
        <w:pStyle w:val="ListParagraph"/>
        <w:numPr>
          <w:ilvl w:val="0"/>
          <w:numId w:val="139"/>
        </w:numPr>
        <w:autoSpaceDE w:val="0"/>
        <w:autoSpaceDN w:val="0"/>
        <w:adjustRightInd w:val="0"/>
        <w:jc w:val="both"/>
        <w:rPr>
          <w:iCs/>
          <w:color w:val="auto"/>
        </w:rPr>
      </w:pPr>
      <w:r w:rsidRPr="00F941DA">
        <w:rPr>
          <w:b/>
          <w:bCs/>
          <w:iCs/>
          <w:color w:val="auto"/>
        </w:rPr>
        <w:t>Criterii de includere in tratament:</w:t>
      </w:r>
    </w:p>
    <w:p w14:paraId="421189D2" w14:textId="77777777" w:rsidR="008F49DC" w:rsidRPr="00F941DA" w:rsidRDefault="008F49DC" w:rsidP="008F49DC">
      <w:pPr>
        <w:pStyle w:val="ListParagraph"/>
        <w:numPr>
          <w:ilvl w:val="0"/>
          <w:numId w:val="134"/>
        </w:numPr>
        <w:autoSpaceDE w:val="0"/>
        <w:autoSpaceDN w:val="0"/>
        <w:adjustRightInd w:val="0"/>
        <w:jc w:val="both"/>
        <w:rPr>
          <w:rFonts w:eastAsia="Calibri"/>
          <w:iCs/>
          <w:color w:val="auto"/>
        </w:rPr>
      </w:pPr>
      <w:r w:rsidRPr="00F941DA">
        <w:rPr>
          <w:rFonts w:eastAsia="Calibri"/>
          <w:iCs/>
          <w:color w:val="auto"/>
        </w:rPr>
        <w:t>pacienti cu neuropatii imunologice cronice (polineuropatii inflamatorii cronice demielinizante, neuropatia motorie multifocală, neuropatiile paraproteinemice, paraneoplazice, vasculitice) – ratament de consolidare a remisiunii</w:t>
      </w:r>
    </w:p>
    <w:p w14:paraId="35E10C31" w14:textId="5C14B8D7" w:rsidR="008F49DC" w:rsidRPr="00F941DA" w:rsidRDefault="008F49DC" w:rsidP="008F49DC">
      <w:pPr>
        <w:pStyle w:val="ListParagraph"/>
        <w:numPr>
          <w:ilvl w:val="0"/>
          <w:numId w:val="134"/>
        </w:numPr>
        <w:autoSpaceDE w:val="0"/>
        <w:autoSpaceDN w:val="0"/>
        <w:adjustRightInd w:val="0"/>
        <w:jc w:val="both"/>
        <w:rPr>
          <w:rFonts w:eastAsia="Calibri"/>
          <w:iCs/>
          <w:color w:val="auto"/>
        </w:rPr>
      </w:pPr>
      <w:r w:rsidRPr="00F941DA">
        <w:rPr>
          <w:rFonts w:eastAsia="Calibri"/>
          <w:iCs/>
          <w:color w:val="auto"/>
        </w:rPr>
        <w:t>pacienti cu miopatii inflamatorii cronice (polimiozita, dermatomiozita) la pacienţii cu efecte adverse sau fără beneficiu din partea terapiei cu corticosteroizi – tratament de consolidare a remisiunii</w:t>
      </w:r>
    </w:p>
    <w:p w14:paraId="159D718B" w14:textId="77777777" w:rsidR="008F49DC" w:rsidRPr="00F941DA" w:rsidRDefault="008F49DC" w:rsidP="008F49DC">
      <w:pPr>
        <w:pStyle w:val="ListParagraph"/>
        <w:numPr>
          <w:ilvl w:val="0"/>
          <w:numId w:val="134"/>
        </w:numPr>
        <w:autoSpaceDE w:val="0"/>
        <w:autoSpaceDN w:val="0"/>
        <w:adjustRightInd w:val="0"/>
        <w:jc w:val="both"/>
        <w:rPr>
          <w:rFonts w:eastAsia="Calibri"/>
          <w:iCs/>
          <w:color w:val="auto"/>
        </w:rPr>
      </w:pPr>
      <w:r w:rsidRPr="00F941DA">
        <w:rPr>
          <w:rFonts w:eastAsia="Calibri"/>
          <w:iCs/>
          <w:color w:val="auto"/>
        </w:rPr>
        <w:t>pacienţi cu miastenia gravis rapid progresivă, pentru echilibrare înainte de timectomie</w:t>
      </w:r>
    </w:p>
    <w:p w14:paraId="5419AEBF" w14:textId="77777777" w:rsidR="008F49DC" w:rsidRPr="00F941DA" w:rsidRDefault="008F49DC" w:rsidP="008F49DC">
      <w:pPr>
        <w:pStyle w:val="ListParagraph"/>
        <w:numPr>
          <w:ilvl w:val="0"/>
          <w:numId w:val="134"/>
        </w:numPr>
        <w:autoSpaceDE w:val="0"/>
        <w:autoSpaceDN w:val="0"/>
        <w:adjustRightInd w:val="0"/>
        <w:jc w:val="both"/>
        <w:rPr>
          <w:rFonts w:eastAsia="Calibri"/>
          <w:iCs/>
          <w:color w:val="auto"/>
        </w:rPr>
      </w:pPr>
      <w:r w:rsidRPr="00F941DA">
        <w:rPr>
          <w:rFonts w:eastAsia="Calibri"/>
          <w:iCs/>
          <w:color w:val="auto"/>
        </w:rPr>
        <w:t>pacienti cu afecţiuni paraneoplazice ale sistemului nervos central şi al encefalitei Rasmussen</w:t>
      </w:r>
    </w:p>
    <w:p w14:paraId="7851B9A3" w14:textId="77777777" w:rsidR="008F49DC" w:rsidRPr="00F941DA" w:rsidRDefault="008F49DC" w:rsidP="008F49DC">
      <w:pPr>
        <w:autoSpaceDE w:val="0"/>
        <w:autoSpaceDN w:val="0"/>
        <w:adjustRightInd w:val="0"/>
        <w:spacing w:after="0" w:line="240" w:lineRule="auto"/>
        <w:jc w:val="both"/>
        <w:rPr>
          <w:rFonts w:ascii="Times New Roman" w:hAnsi="Times New Roman"/>
          <w:b/>
          <w:iCs/>
          <w:sz w:val="24"/>
          <w:szCs w:val="24"/>
        </w:rPr>
      </w:pPr>
    </w:p>
    <w:p w14:paraId="724BA3C3" w14:textId="4A2B4DEC" w:rsidR="008F49DC" w:rsidRPr="00F941DA" w:rsidRDefault="008F49DC" w:rsidP="008F49DC">
      <w:pPr>
        <w:pStyle w:val="ListParagraph"/>
        <w:numPr>
          <w:ilvl w:val="0"/>
          <w:numId w:val="139"/>
        </w:numPr>
        <w:autoSpaceDE w:val="0"/>
        <w:autoSpaceDN w:val="0"/>
        <w:adjustRightInd w:val="0"/>
        <w:jc w:val="both"/>
        <w:rPr>
          <w:b/>
          <w:iCs/>
          <w:color w:val="auto"/>
        </w:rPr>
      </w:pPr>
      <w:r w:rsidRPr="00F941DA">
        <w:rPr>
          <w:b/>
          <w:iCs/>
          <w:color w:val="auto"/>
        </w:rPr>
        <w:t>Tratament:</w:t>
      </w:r>
    </w:p>
    <w:p w14:paraId="5AD6724A" w14:textId="77777777" w:rsidR="008F49DC" w:rsidRPr="00F941DA" w:rsidRDefault="008F49DC" w:rsidP="008F49DC">
      <w:pPr>
        <w:pStyle w:val="ListParagraph"/>
        <w:numPr>
          <w:ilvl w:val="0"/>
          <w:numId w:val="140"/>
        </w:numPr>
        <w:autoSpaceDE w:val="0"/>
        <w:autoSpaceDN w:val="0"/>
        <w:adjustRightInd w:val="0"/>
        <w:ind w:left="709" w:hanging="283"/>
        <w:jc w:val="both"/>
        <w:rPr>
          <w:iCs/>
          <w:color w:val="auto"/>
        </w:rPr>
      </w:pPr>
      <w:r w:rsidRPr="00F941DA">
        <w:rPr>
          <w:iCs/>
          <w:color w:val="auto"/>
        </w:rPr>
        <w:t>Doza: 1 – 2 g/kg corp/cură</w:t>
      </w:r>
    </w:p>
    <w:p w14:paraId="6FEB63DC" w14:textId="77777777" w:rsidR="008F49DC" w:rsidRPr="00F941DA" w:rsidRDefault="008F49DC" w:rsidP="008F49DC">
      <w:pPr>
        <w:pStyle w:val="ListParagraph"/>
        <w:numPr>
          <w:ilvl w:val="0"/>
          <w:numId w:val="140"/>
        </w:numPr>
        <w:autoSpaceDE w:val="0"/>
        <w:autoSpaceDN w:val="0"/>
        <w:adjustRightInd w:val="0"/>
        <w:ind w:left="709" w:hanging="283"/>
        <w:jc w:val="both"/>
        <w:rPr>
          <w:iCs/>
          <w:color w:val="auto"/>
        </w:rPr>
      </w:pPr>
      <w:r w:rsidRPr="00F941DA">
        <w:rPr>
          <w:iCs/>
          <w:color w:val="auto"/>
        </w:rPr>
        <w:t>Durata curei: 2 – 5 zile</w:t>
      </w:r>
    </w:p>
    <w:p w14:paraId="3462ED1A" w14:textId="77777777" w:rsidR="008F49DC" w:rsidRPr="00F941DA" w:rsidRDefault="008F49DC" w:rsidP="008F49DC">
      <w:pPr>
        <w:pStyle w:val="ListParagraph"/>
        <w:numPr>
          <w:ilvl w:val="0"/>
          <w:numId w:val="140"/>
        </w:numPr>
        <w:autoSpaceDE w:val="0"/>
        <w:autoSpaceDN w:val="0"/>
        <w:adjustRightInd w:val="0"/>
        <w:ind w:left="709" w:hanging="283"/>
        <w:jc w:val="both"/>
        <w:rPr>
          <w:iCs/>
          <w:color w:val="auto"/>
        </w:rPr>
      </w:pPr>
      <w:r w:rsidRPr="00F941DA">
        <w:rPr>
          <w:iCs/>
          <w:color w:val="auto"/>
        </w:rPr>
        <w:t>Repetiţia curelor la 4 – 6 săptămâni</w:t>
      </w:r>
    </w:p>
    <w:p w14:paraId="522ED3CA" w14:textId="77777777" w:rsidR="008F49DC" w:rsidRPr="00F941DA" w:rsidRDefault="008F49DC" w:rsidP="008F49DC">
      <w:pPr>
        <w:autoSpaceDE w:val="0"/>
        <w:autoSpaceDN w:val="0"/>
        <w:adjustRightInd w:val="0"/>
        <w:spacing w:after="0" w:line="240" w:lineRule="auto"/>
        <w:jc w:val="both"/>
        <w:rPr>
          <w:rFonts w:ascii="Times New Roman" w:hAnsi="Times New Roman"/>
          <w:iCs/>
          <w:sz w:val="24"/>
          <w:szCs w:val="24"/>
        </w:rPr>
      </w:pPr>
    </w:p>
    <w:p w14:paraId="697FC1F3" w14:textId="77777777" w:rsidR="008F49DC" w:rsidRPr="00F941DA" w:rsidRDefault="008F49DC" w:rsidP="008F49DC">
      <w:pPr>
        <w:autoSpaceDE w:val="0"/>
        <w:autoSpaceDN w:val="0"/>
        <w:adjustRightInd w:val="0"/>
        <w:spacing w:after="0" w:line="240" w:lineRule="auto"/>
        <w:jc w:val="both"/>
        <w:rPr>
          <w:rFonts w:ascii="Times New Roman" w:hAnsi="Times New Roman"/>
          <w:b/>
          <w:bCs/>
          <w:iCs/>
          <w:sz w:val="24"/>
          <w:szCs w:val="24"/>
        </w:rPr>
      </w:pPr>
      <w:r w:rsidRPr="00F941DA">
        <w:rPr>
          <w:rFonts w:ascii="Times New Roman" w:hAnsi="Times New Roman"/>
          <w:b/>
          <w:bCs/>
          <w:iCs/>
          <w:sz w:val="24"/>
          <w:szCs w:val="24"/>
        </w:rPr>
        <w:t>II. Utilizare în condiţii de spitalizare în secţia de neurologie sau terapie intensivă neurologică</w:t>
      </w:r>
    </w:p>
    <w:p w14:paraId="654071C0" w14:textId="77777777" w:rsidR="008F49DC" w:rsidRPr="00F941DA" w:rsidRDefault="008F49DC" w:rsidP="008F49DC">
      <w:pPr>
        <w:autoSpaceDE w:val="0"/>
        <w:autoSpaceDN w:val="0"/>
        <w:adjustRightInd w:val="0"/>
        <w:spacing w:after="0" w:line="240" w:lineRule="auto"/>
        <w:jc w:val="both"/>
        <w:rPr>
          <w:rFonts w:ascii="Times New Roman" w:hAnsi="Times New Roman"/>
          <w:b/>
          <w:bCs/>
          <w:iCs/>
          <w:sz w:val="24"/>
          <w:szCs w:val="24"/>
        </w:rPr>
      </w:pPr>
    </w:p>
    <w:p w14:paraId="7458B0DB" w14:textId="74C6C379" w:rsidR="008F49DC" w:rsidRPr="00F941DA" w:rsidRDefault="008F49DC" w:rsidP="008F49DC">
      <w:pPr>
        <w:pStyle w:val="ListParagraph"/>
        <w:numPr>
          <w:ilvl w:val="0"/>
          <w:numId w:val="141"/>
        </w:numPr>
        <w:autoSpaceDE w:val="0"/>
        <w:autoSpaceDN w:val="0"/>
        <w:adjustRightInd w:val="0"/>
        <w:jc w:val="both"/>
        <w:rPr>
          <w:iCs/>
          <w:color w:val="auto"/>
        </w:rPr>
      </w:pPr>
      <w:r w:rsidRPr="00F941DA">
        <w:rPr>
          <w:b/>
          <w:bCs/>
          <w:iCs/>
          <w:color w:val="auto"/>
        </w:rPr>
        <w:t>Criterii de includere in tratament:</w:t>
      </w:r>
    </w:p>
    <w:p w14:paraId="0985C729" w14:textId="77777777" w:rsidR="008F49DC" w:rsidRPr="00F941DA" w:rsidRDefault="008F49DC" w:rsidP="008F49DC">
      <w:pPr>
        <w:pStyle w:val="ListParagraph"/>
        <w:numPr>
          <w:ilvl w:val="0"/>
          <w:numId w:val="135"/>
        </w:numPr>
        <w:autoSpaceDE w:val="0"/>
        <w:autoSpaceDN w:val="0"/>
        <w:adjustRightInd w:val="0"/>
        <w:jc w:val="both"/>
        <w:rPr>
          <w:rFonts w:eastAsia="Calibri"/>
          <w:iCs/>
          <w:color w:val="auto"/>
        </w:rPr>
      </w:pPr>
      <w:r w:rsidRPr="00F941DA">
        <w:rPr>
          <w:rFonts w:eastAsia="Calibri"/>
          <w:iCs/>
          <w:color w:val="auto"/>
        </w:rPr>
        <w:t>pacienti cu poliradiculonevrita acuta Guillain Barre</w:t>
      </w:r>
    </w:p>
    <w:p w14:paraId="6C361E46" w14:textId="77777777" w:rsidR="008F49DC" w:rsidRPr="00F941DA" w:rsidRDefault="008F49DC" w:rsidP="008F49DC">
      <w:pPr>
        <w:pStyle w:val="ListParagraph"/>
        <w:numPr>
          <w:ilvl w:val="0"/>
          <w:numId w:val="135"/>
        </w:numPr>
        <w:autoSpaceDE w:val="0"/>
        <w:autoSpaceDN w:val="0"/>
        <w:adjustRightInd w:val="0"/>
        <w:jc w:val="both"/>
        <w:rPr>
          <w:rFonts w:eastAsia="Calibri"/>
          <w:iCs/>
          <w:color w:val="auto"/>
        </w:rPr>
      </w:pPr>
      <w:r w:rsidRPr="00F941DA">
        <w:rPr>
          <w:rFonts w:eastAsia="Calibri"/>
          <w:iCs/>
          <w:color w:val="auto"/>
        </w:rPr>
        <w:t>pacienti cu decompensări acute ale neuropatiilor cronice demielinizante autoimune</w:t>
      </w:r>
    </w:p>
    <w:p w14:paraId="73344DFA" w14:textId="77777777" w:rsidR="008F49DC" w:rsidRPr="00F941DA" w:rsidRDefault="008F49DC" w:rsidP="008F49DC">
      <w:pPr>
        <w:pStyle w:val="ListParagraph"/>
        <w:numPr>
          <w:ilvl w:val="0"/>
          <w:numId w:val="135"/>
        </w:numPr>
        <w:autoSpaceDE w:val="0"/>
        <w:autoSpaceDN w:val="0"/>
        <w:adjustRightInd w:val="0"/>
        <w:jc w:val="both"/>
        <w:rPr>
          <w:rFonts w:eastAsia="Calibri"/>
          <w:iCs/>
          <w:color w:val="auto"/>
        </w:rPr>
      </w:pPr>
      <w:r w:rsidRPr="00F941DA">
        <w:rPr>
          <w:rFonts w:eastAsia="Calibri"/>
          <w:iCs/>
          <w:color w:val="auto"/>
        </w:rPr>
        <w:t>tratamentul acut al crizei miastenice</w:t>
      </w:r>
    </w:p>
    <w:p w14:paraId="38A0550D" w14:textId="77777777" w:rsidR="008F49DC" w:rsidRPr="00F941DA" w:rsidRDefault="008F49DC" w:rsidP="008F49DC">
      <w:pPr>
        <w:autoSpaceDE w:val="0"/>
        <w:autoSpaceDN w:val="0"/>
        <w:adjustRightInd w:val="0"/>
        <w:spacing w:after="0" w:line="240" w:lineRule="auto"/>
        <w:jc w:val="both"/>
        <w:rPr>
          <w:rFonts w:ascii="Times New Roman" w:hAnsi="Times New Roman"/>
          <w:iCs/>
          <w:sz w:val="24"/>
          <w:szCs w:val="24"/>
        </w:rPr>
      </w:pPr>
    </w:p>
    <w:p w14:paraId="79EB967B" w14:textId="09A26A82" w:rsidR="008F49DC" w:rsidRPr="00F941DA" w:rsidRDefault="008F49DC" w:rsidP="008F49DC">
      <w:pPr>
        <w:pStyle w:val="ListParagraph"/>
        <w:numPr>
          <w:ilvl w:val="0"/>
          <w:numId w:val="141"/>
        </w:numPr>
        <w:autoSpaceDE w:val="0"/>
        <w:autoSpaceDN w:val="0"/>
        <w:adjustRightInd w:val="0"/>
        <w:jc w:val="both"/>
        <w:rPr>
          <w:b/>
          <w:iCs/>
          <w:color w:val="auto"/>
        </w:rPr>
      </w:pPr>
      <w:r w:rsidRPr="00F941DA">
        <w:rPr>
          <w:b/>
          <w:iCs/>
          <w:color w:val="auto"/>
        </w:rPr>
        <w:t>Tratament:</w:t>
      </w:r>
    </w:p>
    <w:p w14:paraId="5DF8E6D1" w14:textId="77777777" w:rsidR="008F49DC" w:rsidRPr="00F941DA" w:rsidRDefault="008F49DC" w:rsidP="008F49DC">
      <w:pPr>
        <w:pStyle w:val="ListParagraph"/>
        <w:numPr>
          <w:ilvl w:val="0"/>
          <w:numId w:val="142"/>
        </w:numPr>
        <w:autoSpaceDE w:val="0"/>
        <w:autoSpaceDN w:val="0"/>
        <w:adjustRightInd w:val="0"/>
        <w:jc w:val="both"/>
        <w:rPr>
          <w:iCs/>
          <w:color w:val="auto"/>
        </w:rPr>
      </w:pPr>
      <w:r w:rsidRPr="00F941DA">
        <w:rPr>
          <w:iCs/>
          <w:color w:val="auto"/>
        </w:rPr>
        <w:t>Doza: 2 g/kg corp/cură</w:t>
      </w:r>
    </w:p>
    <w:p w14:paraId="30BBBCC3" w14:textId="77777777" w:rsidR="008F49DC" w:rsidRPr="00F941DA" w:rsidRDefault="008F49DC" w:rsidP="008F49DC">
      <w:pPr>
        <w:pStyle w:val="ListParagraph"/>
        <w:numPr>
          <w:ilvl w:val="0"/>
          <w:numId w:val="142"/>
        </w:numPr>
        <w:autoSpaceDE w:val="0"/>
        <w:autoSpaceDN w:val="0"/>
        <w:adjustRightInd w:val="0"/>
        <w:jc w:val="both"/>
        <w:rPr>
          <w:iCs/>
          <w:color w:val="auto"/>
        </w:rPr>
      </w:pPr>
      <w:r w:rsidRPr="00F941DA">
        <w:rPr>
          <w:iCs/>
          <w:color w:val="auto"/>
        </w:rPr>
        <w:t>Durata curei: 5 zile</w:t>
      </w:r>
    </w:p>
    <w:p w14:paraId="2D4560B4" w14:textId="77777777" w:rsidR="008F49DC" w:rsidRPr="00F941DA" w:rsidRDefault="008F49DC" w:rsidP="008F49DC">
      <w:pPr>
        <w:autoSpaceDE w:val="0"/>
        <w:autoSpaceDN w:val="0"/>
        <w:adjustRightInd w:val="0"/>
        <w:spacing w:after="0" w:line="240" w:lineRule="auto"/>
        <w:jc w:val="both"/>
        <w:rPr>
          <w:rFonts w:ascii="Times New Roman" w:hAnsi="Times New Roman"/>
          <w:sz w:val="24"/>
          <w:szCs w:val="24"/>
        </w:rPr>
      </w:pPr>
    </w:p>
    <w:p w14:paraId="599BA764" w14:textId="4D37B8C6" w:rsidR="008F49DC" w:rsidRPr="00F941DA" w:rsidRDefault="008F49DC" w:rsidP="008F49DC">
      <w:pPr>
        <w:autoSpaceDE w:val="0"/>
        <w:autoSpaceDN w:val="0"/>
        <w:adjustRightInd w:val="0"/>
        <w:spacing w:after="0" w:line="240" w:lineRule="auto"/>
        <w:jc w:val="both"/>
        <w:rPr>
          <w:rFonts w:ascii="Times New Roman" w:hAnsi="Times New Roman"/>
          <w:iCs/>
          <w:sz w:val="24"/>
          <w:szCs w:val="24"/>
        </w:rPr>
      </w:pPr>
      <w:r w:rsidRPr="00F941DA">
        <w:rPr>
          <w:rFonts w:ascii="Times New Roman" w:hAnsi="Times New Roman"/>
          <w:b/>
          <w:sz w:val="24"/>
          <w:szCs w:val="24"/>
        </w:rPr>
        <w:t>III.</w:t>
      </w:r>
      <w:r w:rsidRPr="00F941DA">
        <w:rPr>
          <w:rFonts w:ascii="Times New Roman" w:hAnsi="Times New Roman"/>
          <w:sz w:val="24"/>
          <w:szCs w:val="24"/>
        </w:rPr>
        <w:t xml:space="preserve"> </w:t>
      </w:r>
      <w:r w:rsidRPr="00F941DA">
        <w:rPr>
          <w:rFonts w:ascii="Times New Roman" w:hAnsi="Times New Roman"/>
          <w:b/>
          <w:sz w:val="24"/>
          <w:szCs w:val="24"/>
        </w:rPr>
        <w:t>Prescriptori</w:t>
      </w:r>
      <w:r w:rsidRPr="00F941DA">
        <w:rPr>
          <w:rFonts w:ascii="Times New Roman" w:hAnsi="Times New Roman"/>
          <w:sz w:val="24"/>
          <w:szCs w:val="24"/>
        </w:rPr>
        <w:t>: medicii din unitatile sanitare prin care se deruleaza PNS boli rare- boli neurologice degenerative/inflamator</w:t>
      </w:r>
      <w:r w:rsidR="00E74F9B" w:rsidRPr="00F941DA">
        <w:rPr>
          <w:rFonts w:ascii="Times New Roman" w:hAnsi="Times New Roman"/>
          <w:sz w:val="24"/>
          <w:szCs w:val="24"/>
        </w:rPr>
        <w:t>-imune</w:t>
      </w:r>
      <w:r w:rsidRPr="00F941DA">
        <w:rPr>
          <w:rFonts w:ascii="Times New Roman" w:hAnsi="Times New Roman"/>
          <w:sz w:val="24"/>
          <w:szCs w:val="24"/>
        </w:rPr>
        <w:t>.</w:t>
      </w:r>
    </w:p>
    <w:p w14:paraId="4371848A" w14:textId="77777777" w:rsidR="008F49DC" w:rsidRPr="00F941DA" w:rsidRDefault="008F49DC" w:rsidP="008F49DC">
      <w:pPr>
        <w:rPr>
          <w:rFonts w:ascii="Times New Roman" w:hAnsi="Times New Roman"/>
          <w:b/>
          <w:iCs/>
          <w:sz w:val="24"/>
          <w:szCs w:val="24"/>
        </w:rPr>
      </w:pPr>
    </w:p>
    <w:p w14:paraId="74F67A78" w14:textId="77777777" w:rsidR="008F49DC" w:rsidRPr="00F941DA" w:rsidRDefault="008F49DC" w:rsidP="008F49DC">
      <w:pPr>
        <w:rPr>
          <w:rFonts w:ascii="Times New Roman" w:hAnsi="Times New Roman"/>
          <w:b/>
          <w:sz w:val="24"/>
          <w:szCs w:val="24"/>
        </w:rPr>
      </w:pPr>
      <w:r w:rsidRPr="00F941DA">
        <w:rPr>
          <w:rFonts w:ascii="Times New Roman" w:hAnsi="Times New Roman"/>
          <w:b/>
          <w:iCs/>
          <w:sz w:val="24"/>
          <w:szCs w:val="24"/>
        </w:rPr>
        <w:t xml:space="preserve">B: Indicatii: </w:t>
      </w:r>
      <w:r w:rsidRPr="00F941DA">
        <w:rPr>
          <w:rFonts w:ascii="Times New Roman" w:hAnsi="Times New Roman"/>
          <w:iCs/>
          <w:sz w:val="24"/>
          <w:szCs w:val="24"/>
        </w:rPr>
        <w:t xml:space="preserve"> </w:t>
      </w:r>
      <w:r w:rsidRPr="00F941DA">
        <w:rPr>
          <w:rFonts w:ascii="Times New Roman" w:hAnsi="Times New Roman"/>
          <w:b/>
          <w:sz w:val="24"/>
          <w:szCs w:val="24"/>
        </w:rPr>
        <w:t>Imunodeficiențele primare</w:t>
      </w:r>
    </w:p>
    <w:p w14:paraId="2EC553B7" w14:textId="77777777" w:rsidR="008F49DC" w:rsidRPr="00F941DA" w:rsidRDefault="008F49DC" w:rsidP="008F49DC">
      <w:pPr>
        <w:pStyle w:val="ListParagraph"/>
        <w:numPr>
          <w:ilvl w:val="0"/>
          <w:numId w:val="138"/>
        </w:numPr>
        <w:rPr>
          <w:rFonts w:eastAsia="Calibri"/>
          <w:b/>
          <w:color w:val="auto"/>
        </w:rPr>
      </w:pPr>
      <w:r w:rsidRPr="00F941DA">
        <w:rPr>
          <w:rFonts w:eastAsia="Calibri"/>
          <w:b/>
          <w:bCs/>
          <w:color w:val="auto"/>
        </w:rPr>
        <w:t>Criterii de includere</w:t>
      </w:r>
    </w:p>
    <w:p w14:paraId="632972B6" w14:textId="77777777" w:rsidR="008F49DC" w:rsidRPr="00F941DA" w:rsidRDefault="008F49DC" w:rsidP="008F49DC">
      <w:pPr>
        <w:contextualSpacing/>
        <w:jc w:val="both"/>
        <w:rPr>
          <w:rFonts w:ascii="Times New Roman" w:hAnsi="Times New Roman"/>
          <w:sz w:val="24"/>
          <w:szCs w:val="24"/>
        </w:rPr>
      </w:pPr>
      <w:r w:rsidRPr="00F941DA">
        <w:rPr>
          <w:rFonts w:ascii="Times New Roman" w:hAnsi="Times New Roman"/>
          <w:sz w:val="24"/>
          <w:szCs w:val="24"/>
        </w:rPr>
        <w:t>Pacient 0-18 ani si adulti, cu unul dintre următoarele diagnostice:</w:t>
      </w:r>
    </w:p>
    <w:p w14:paraId="4822AB26" w14:textId="77777777" w:rsidR="008F49DC" w:rsidRPr="00F941DA" w:rsidRDefault="008F49DC" w:rsidP="008F49DC">
      <w:pPr>
        <w:pStyle w:val="ListParagraph"/>
        <w:numPr>
          <w:ilvl w:val="0"/>
          <w:numId w:val="137"/>
        </w:numPr>
        <w:contextualSpacing/>
        <w:jc w:val="both"/>
        <w:rPr>
          <w:rFonts w:eastAsia="Calibri"/>
          <w:color w:val="auto"/>
        </w:rPr>
      </w:pPr>
      <w:r w:rsidRPr="00F941DA">
        <w:rPr>
          <w:rFonts w:eastAsia="Calibri"/>
          <w:color w:val="auto"/>
        </w:rPr>
        <w:t>Imunodeficiențe cu afectarea producerii de anticorpi; exemple:</w:t>
      </w:r>
    </w:p>
    <w:p w14:paraId="750CB462" w14:textId="77777777" w:rsidR="008F49DC" w:rsidRPr="00F941DA" w:rsidRDefault="008F49DC" w:rsidP="008F49DC">
      <w:pPr>
        <w:numPr>
          <w:ilvl w:val="0"/>
          <w:numId w:val="133"/>
        </w:numPr>
        <w:spacing w:after="0" w:line="276" w:lineRule="auto"/>
        <w:ind w:left="993" w:hanging="284"/>
        <w:contextualSpacing/>
        <w:jc w:val="both"/>
        <w:rPr>
          <w:rFonts w:ascii="Times New Roman" w:hAnsi="Times New Roman"/>
          <w:sz w:val="24"/>
          <w:szCs w:val="24"/>
        </w:rPr>
      </w:pPr>
      <w:r w:rsidRPr="00F941DA">
        <w:rPr>
          <w:rFonts w:ascii="Times New Roman" w:hAnsi="Times New Roman"/>
          <w:sz w:val="24"/>
          <w:szCs w:val="24"/>
        </w:rPr>
        <w:t>Agamaglobulinemie</w:t>
      </w:r>
    </w:p>
    <w:p w14:paraId="0370FCCE" w14:textId="77777777" w:rsidR="008F49DC" w:rsidRPr="00F941DA" w:rsidRDefault="008F49DC" w:rsidP="008F49DC">
      <w:pPr>
        <w:numPr>
          <w:ilvl w:val="0"/>
          <w:numId w:val="133"/>
        </w:numPr>
        <w:spacing w:after="0" w:line="276" w:lineRule="auto"/>
        <w:ind w:left="993" w:hanging="284"/>
        <w:contextualSpacing/>
        <w:jc w:val="both"/>
        <w:rPr>
          <w:rFonts w:ascii="Times New Roman" w:hAnsi="Times New Roman"/>
          <w:sz w:val="24"/>
          <w:szCs w:val="24"/>
        </w:rPr>
      </w:pPr>
      <w:r w:rsidRPr="00F941DA">
        <w:rPr>
          <w:rFonts w:ascii="Times New Roman" w:hAnsi="Times New Roman"/>
          <w:sz w:val="24"/>
          <w:szCs w:val="24"/>
        </w:rPr>
        <w:t>Imunodeficiență comună variabilă</w:t>
      </w:r>
    </w:p>
    <w:p w14:paraId="209F1F37" w14:textId="77777777" w:rsidR="008F49DC" w:rsidRPr="00F941DA" w:rsidRDefault="008F49DC" w:rsidP="008F49DC">
      <w:pPr>
        <w:numPr>
          <w:ilvl w:val="0"/>
          <w:numId w:val="133"/>
        </w:numPr>
        <w:spacing w:after="0" w:line="276" w:lineRule="auto"/>
        <w:ind w:left="993" w:hanging="284"/>
        <w:contextualSpacing/>
        <w:jc w:val="both"/>
        <w:rPr>
          <w:rFonts w:ascii="Times New Roman" w:hAnsi="Times New Roman"/>
          <w:sz w:val="24"/>
          <w:szCs w:val="24"/>
        </w:rPr>
      </w:pPr>
      <w:r w:rsidRPr="00F941DA">
        <w:rPr>
          <w:rFonts w:ascii="Times New Roman" w:hAnsi="Times New Roman"/>
          <w:sz w:val="24"/>
          <w:szCs w:val="24"/>
        </w:rPr>
        <w:t>Sindroame hiper IgM</w:t>
      </w:r>
    </w:p>
    <w:p w14:paraId="137D332F" w14:textId="77777777" w:rsidR="008F49DC" w:rsidRPr="00F941DA" w:rsidRDefault="008F49DC" w:rsidP="008F49DC">
      <w:pPr>
        <w:numPr>
          <w:ilvl w:val="0"/>
          <w:numId w:val="133"/>
        </w:numPr>
        <w:spacing w:after="0" w:line="276" w:lineRule="auto"/>
        <w:ind w:left="993" w:hanging="284"/>
        <w:contextualSpacing/>
        <w:jc w:val="both"/>
        <w:rPr>
          <w:rFonts w:ascii="Times New Roman" w:hAnsi="Times New Roman"/>
          <w:sz w:val="24"/>
          <w:szCs w:val="24"/>
        </w:rPr>
      </w:pPr>
      <w:r w:rsidRPr="00F941DA">
        <w:rPr>
          <w:rFonts w:ascii="Times New Roman" w:hAnsi="Times New Roman"/>
          <w:sz w:val="24"/>
          <w:szCs w:val="24"/>
        </w:rPr>
        <w:t>Deficit de subclase de IgG* care nu răspunde la antibioterapia profilactică</w:t>
      </w:r>
    </w:p>
    <w:p w14:paraId="45216060" w14:textId="77777777" w:rsidR="008F49DC" w:rsidRPr="00F941DA" w:rsidRDefault="008F49DC" w:rsidP="008F49DC">
      <w:pPr>
        <w:numPr>
          <w:ilvl w:val="0"/>
          <w:numId w:val="133"/>
        </w:numPr>
        <w:spacing w:after="0" w:line="276" w:lineRule="auto"/>
        <w:ind w:left="993" w:hanging="284"/>
        <w:contextualSpacing/>
        <w:jc w:val="both"/>
        <w:rPr>
          <w:rFonts w:ascii="Times New Roman" w:hAnsi="Times New Roman"/>
          <w:sz w:val="24"/>
          <w:szCs w:val="24"/>
        </w:rPr>
      </w:pPr>
      <w:r w:rsidRPr="00F941DA">
        <w:rPr>
          <w:rFonts w:ascii="Times New Roman" w:hAnsi="Times New Roman"/>
          <w:sz w:val="24"/>
          <w:szCs w:val="24"/>
        </w:rPr>
        <w:t xml:space="preserve">Deficiențe simptomatice de anticorpi specifici** care nu răspund la vaccinarea cu vaccin anti-pneumococic </w:t>
      </w:r>
      <w:r w:rsidRPr="00F941DA">
        <w:rPr>
          <w:rFonts w:ascii="Times New Roman" w:hAnsi="Times New Roman"/>
          <w:b/>
          <w:sz w:val="24"/>
          <w:szCs w:val="24"/>
          <w:u w:val="single"/>
        </w:rPr>
        <w:t>polizaharidic</w:t>
      </w:r>
      <w:r w:rsidRPr="00F941DA">
        <w:rPr>
          <w:rFonts w:ascii="Times New Roman" w:hAnsi="Times New Roman"/>
          <w:sz w:val="24"/>
          <w:szCs w:val="24"/>
          <w:u w:val="single"/>
        </w:rPr>
        <w:t xml:space="preserve"> </w:t>
      </w:r>
      <w:r w:rsidRPr="00F941DA">
        <w:rPr>
          <w:rFonts w:ascii="Times New Roman" w:hAnsi="Times New Roman"/>
          <w:sz w:val="24"/>
          <w:szCs w:val="24"/>
        </w:rPr>
        <w:t>și nici la antibioterapia profilactică</w:t>
      </w:r>
    </w:p>
    <w:p w14:paraId="2C7B1599" w14:textId="77777777" w:rsidR="008F49DC" w:rsidRPr="00F941DA" w:rsidRDefault="008F49DC" w:rsidP="008F49DC">
      <w:pPr>
        <w:numPr>
          <w:ilvl w:val="0"/>
          <w:numId w:val="133"/>
        </w:numPr>
        <w:spacing w:after="0" w:line="276" w:lineRule="auto"/>
        <w:ind w:left="993" w:hanging="284"/>
        <w:contextualSpacing/>
        <w:jc w:val="both"/>
        <w:rPr>
          <w:rFonts w:ascii="Times New Roman" w:hAnsi="Times New Roman"/>
          <w:sz w:val="24"/>
          <w:szCs w:val="24"/>
        </w:rPr>
      </w:pPr>
      <w:r w:rsidRPr="00F941DA">
        <w:rPr>
          <w:rFonts w:ascii="Times New Roman" w:hAnsi="Times New Roman"/>
          <w:sz w:val="24"/>
          <w:szCs w:val="24"/>
        </w:rPr>
        <w:lastRenderedPageBreak/>
        <w:t>Hipogamaglobulinemie tranzitorie simptomatică a micii copilării***</w:t>
      </w:r>
    </w:p>
    <w:p w14:paraId="08F85671" w14:textId="77777777" w:rsidR="008F49DC" w:rsidRPr="00F941DA" w:rsidRDefault="008F49DC" w:rsidP="008F49DC">
      <w:pPr>
        <w:numPr>
          <w:ilvl w:val="0"/>
          <w:numId w:val="137"/>
        </w:numPr>
        <w:spacing w:after="0" w:line="240" w:lineRule="auto"/>
        <w:ind w:left="567" w:hanging="283"/>
        <w:contextualSpacing/>
        <w:jc w:val="both"/>
        <w:rPr>
          <w:rFonts w:ascii="Times New Roman" w:hAnsi="Times New Roman"/>
          <w:sz w:val="24"/>
          <w:szCs w:val="24"/>
        </w:rPr>
      </w:pPr>
      <w:r w:rsidRPr="00F941DA">
        <w:rPr>
          <w:rFonts w:ascii="Times New Roman" w:hAnsi="Times New Roman"/>
          <w:sz w:val="24"/>
          <w:szCs w:val="24"/>
        </w:rPr>
        <w:t xml:space="preserve">Imunodeficiențe combinate severe    </w:t>
      </w:r>
    </w:p>
    <w:p w14:paraId="3A18E7F2" w14:textId="77777777" w:rsidR="008F49DC" w:rsidRPr="00F941DA" w:rsidRDefault="008F49DC" w:rsidP="008F49DC">
      <w:pPr>
        <w:numPr>
          <w:ilvl w:val="0"/>
          <w:numId w:val="137"/>
        </w:numPr>
        <w:spacing w:after="0" w:line="240" w:lineRule="auto"/>
        <w:ind w:left="567" w:hanging="283"/>
        <w:contextualSpacing/>
        <w:jc w:val="both"/>
        <w:rPr>
          <w:rFonts w:ascii="Times New Roman" w:hAnsi="Times New Roman"/>
          <w:sz w:val="24"/>
          <w:szCs w:val="24"/>
        </w:rPr>
      </w:pPr>
      <w:r w:rsidRPr="00F941DA">
        <w:rPr>
          <w:rFonts w:ascii="Times New Roman" w:hAnsi="Times New Roman"/>
          <w:sz w:val="24"/>
          <w:szCs w:val="24"/>
        </w:rPr>
        <w:t>Imunodeficiențe combinate</w:t>
      </w:r>
    </w:p>
    <w:p w14:paraId="6886FFE9" w14:textId="77777777" w:rsidR="008F49DC" w:rsidRPr="00F941DA" w:rsidRDefault="008F49DC" w:rsidP="008F49DC">
      <w:pPr>
        <w:numPr>
          <w:ilvl w:val="0"/>
          <w:numId w:val="137"/>
        </w:numPr>
        <w:spacing w:after="0" w:line="240" w:lineRule="auto"/>
        <w:ind w:left="567" w:hanging="283"/>
        <w:contextualSpacing/>
        <w:jc w:val="both"/>
        <w:rPr>
          <w:rFonts w:ascii="Times New Roman" w:hAnsi="Times New Roman"/>
          <w:sz w:val="24"/>
          <w:szCs w:val="24"/>
        </w:rPr>
      </w:pPr>
      <w:r w:rsidRPr="00F941DA">
        <w:rPr>
          <w:rFonts w:ascii="Times New Roman" w:hAnsi="Times New Roman"/>
          <w:sz w:val="24"/>
          <w:szCs w:val="24"/>
        </w:rPr>
        <w:t>Imunodeficiențe sindromatice (de exemplu ataxie-telangiectazie, sindromul Wiskott-Aldrich, sindromul DiGeorge,</w:t>
      </w:r>
      <w:r w:rsidRPr="00F941DA">
        <w:rPr>
          <w:rFonts w:ascii="Times New Roman" w:hAnsi="Times New Roman"/>
          <w:b/>
          <w:sz w:val="24"/>
          <w:szCs w:val="24"/>
          <w:u w:val="single"/>
        </w:rPr>
        <w:t xml:space="preserve"> sindrom Kabuki cu imunodeficienta</w:t>
      </w:r>
      <w:r w:rsidRPr="00F941DA">
        <w:rPr>
          <w:rFonts w:ascii="Times New Roman" w:hAnsi="Times New Roman"/>
          <w:sz w:val="24"/>
          <w:szCs w:val="24"/>
        </w:rPr>
        <w:t>)</w:t>
      </w:r>
    </w:p>
    <w:p w14:paraId="1E14750C" w14:textId="77777777" w:rsidR="008F49DC" w:rsidRPr="00F941DA" w:rsidRDefault="008F49DC" w:rsidP="008F49DC">
      <w:pPr>
        <w:numPr>
          <w:ilvl w:val="0"/>
          <w:numId w:val="137"/>
        </w:numPr>
        <w:spacing w:after="0" w:line="240" w:lineRule="auto"/>
        <w:ind w:left="567" w:hanging="283"/>
        <w:contextualSpacing/>
        <w:jc w:val="both"/>
        <w:rPr>
          <w:rFonts w:ascii="Times New Roman" w:hAnsi="Times New Roman"/>
          <w:sz w:val="24"/>
          <w:szCs w:val="24"/>
        </w:rPr>
      </w:pPr>
      <w:r w:rsidRPr="00F941DA">
        <w:rPr>
          <w:rFonts w:ascii="Times New Roman" w:hAnsi="Times New Roman"/>
          <w:sz w:val="24"/>
          <w:szCs w:val="24"/>
        </w:rPr>
        <w:t xml:space="preserve">Alte imunodeficiențe primare </w:t>
      </w:r>
      <w:r w:rsidRPr="00F941DA">
        <w:rPr>
          <w:rFonts w:ascii="Times New Roman" w:hAnsi="Times New Roman"/>
          <w:b/>
          <w:sz w:val="24"/>
          <w:szCs w:val="24"/>
          <w:u w:val="single"/>
        </w:rPr>
        <w:t>(de exemplu sindrom Griscelli)</w:t>
      </w:r>
      <w:r w:rsidRPr="00F941DA">
        <w:rPr>
          <w:rFonts w:ascii="Times New Roman" w:hAnsi="Times New Roman"/>
          <w:sz w:val="24"/>
          <w:szCs w:val="24"/>
        </w:rPr>
        <w:t xml:space="preserve"> </w:t>
      </w:r>
    </w:p>
    <w:p w14:paraId="11DB1A50" w14:textId="77777777" w:rsidR="008F49DC" w:rsidRPr="00F941DA" w:rsidRDefault="008F49DC" w:rsidP="008F49DC">
      <w:pPr>
        <w:spacing w:after="0" w:line="240" w:lineRule="auto"/>
        <w:ind w:left="720"/>
        <w:contextualSpacing/>
        <w:jc w:val="both"/>
        <w:rPr>
          <w:rFonts w:ascii="Times New Roman" w:hAnsi="Times New Roman"/>
          <w:sz w:val="24"/>
          <w:szCs w:val="24"/>
        </w:rPr>
      </w:pPr>
    </w:p>
    <w:p w14:paraId="1D8D3772" w14:textId="77777777" w:rsidR="008F49DC" w:rsidRPr="00F941DA" w:rsidRDefault="008F49DC" w:rsidP="008F49DC">
      <w:pPr>
        <w:jc w:val="both"/>
        <w:rPr>
          <w:rFonts w:ascii="Times New Roman" w:hAnsi="Times New Roman"/>
          <w:sz w:val="20"/>
          <w:szCs w:val="20"/>
        </w:rPr>
      </w:pPr>
      <w:r w:rsidRPr="00F941DA">
        <w:rPr>
          <w:rFonts w:ascii="Times New Roman" w:hAnsi="Times New Roman"/>
          <w:sz w:val="20"/>
          <w:szCs w:val="20"/>
        </w:rPr>
        <w:t xml:space="preserve">* Necesită documentarea lipsei de răspuns la vaccin polizaharidic (anti-pneumococic neconjugat, </w:t>
      </w:r>
      <w:r w:rsidRPr="00F941DA">
        <w:rPr>
          <w:rFonts w:ascii="Times New Roman" w:hAnsi="Times New Roman"/>
          <w:b/>
          <w:sz w:val="20"/>
          <w:szCs w:val="20"/>
          <w:u w:val="single"/>
        </w:rPr>
        <w:t>polizaharidic</w:t>
      </w:r>
      <w:r w:rsidRPr="00F941DA">
        <w:rPr>
          <w:rFonts w:ascii="Times New Roman" w:hAnsi="Times New Roman"/>
          <w:sz w:val="20"/>
          <w:szCs w:val="20"/>
          <w:u w:val="single"/>
        </w:rPr>
        <w:t>,</w:t>
      </w:r>
      <w:r w:rsidRPr="00F941DA">
        <w:rPr>
          <w:rFonts w:ascii="Times New Roman" w:hAnsi="Times New Roman"/>
          <w:sz w:val="20"/>
          <w:szCs w:val="20"/>
        </w:rPr>
        <w:t xml:space="preserve"> a se vedea mai jos) și/sau proteic (tetanic, difteric)</w:t>
      </w:r>
    </w:p>
    <w:p w14:paraId="4D94D5B9" w14:textId="77777777" w:rsidR="008F49DC" w:rsidRPr="00F941DA" w:rsidRDefault="008F49DC" w:rsidP="008F49DC">
      <w:pPr>
        <w:jc w:val="both"/>
        <w:rPr>
          <w:rFonts w:ascii="Times New Roman" w:hAnsi="Times New Roman"/>
          <w:sz w:val="20"/>
          <w:szCs w:val="20"/>
        </w:rPr>
      </w:pPr>
      <w:r w:rsidRPr="00F941DA">
        <w:rPr>
          <w:rFonts w:ascii="Times New Roman" w:hAnsi="Times New Roman"/>
          <w:sz w:val="20"/>
          <w:szCs w:val="20"/>
        </w:rPr>
        <w:t xml:space="preserve">** Necesită vârsta de peste 2 ani și documentarea prin dubla dozare a </w:t>
      </w:r>
      <w:r w:rsidRPr="00F941DA">
        <w:rPr>
          <w:rFonts w:ascii="Times New Roman" w:hAnsi="Times New Roman"/>
          <w:b/>
          <w:sz w:val="20"/>
          <w:szCs w:val="20"/>
          <w:u w:val="single"/>
        </w:rPr>
        <w:t>anticorpilor IgG antipneumococici</w:t>
      </w:r>
      <w:r w:rsidRPr="00F941DA">
        <w:rPr>
          <w:rFonts w:ascii="Times New Roman" w:hAnsi="Times New Roman"/>
          <w:sz w:val="20"/>
          <w:szCs w:val="20"/>
          <w:u w:val="single"/>
        </w:rPr>
        <w:t xml:space="preserve"> -</w:t>
      </w:r>
      <w:r w:rsidRPr="00F941DA">
        <w:rPr>
          <w:rFonts w:ascii="Times New Roman" w:hAnsi="Times New Roman"/>
          <w:sz w:val="20"/>
          <w:szCs w:val="20"/>
        </w:rPr>
        <w:t xml:space="preserve"> inițial </w:t>
      </w:r>
      <w:r w:rsidRPr="00F941DA">
        <w:rPr>
          <w:rFonts w:ascii="Times New Roman" w:hAnsi="Times New Roman"/>
          <w:b/>
          <w:sz w:val="20"/>
          <w:szCs w:val="20"/>
          <w:u w:val="single"/>
        </w:rPr>
        <w:t>inainte de vaccinare</w:t>
      </w:r>
      <w:r w:rsidRPr="00F941DA">
        <w:rPr>
          <w:rFonts w:ascii="Times New Roman" w:hAnsi="Times New Roman"/>
          <w:sz w:val="20"/>
          <w:szCs w:val="20"/>
        </w:rPr>
        <w:t xml:space="preserve"> și la 2 luni dupa o doză de vaccin anti-pneumococic </w:t>
      </w:r>
      <w:r w:rsidRPr="00F941DA">
        <w:rPr>
          <w:rFonts w:ascii="Times New Roman" w:hAnsi="Times New Roman"/>
          <w:b/>
          <w:sz w:val="20"/>
          <w:szCs w:val="20"/>
          <w:u w:val="single"/>
        </w:rPr>
        <w:t>polizaharidic</w:t>
      </w:r>
      <w:r w:rsidRPr="00F941DA">
        <w:rPr>
          <w:rFonts w:ascii="Times New Roman" w:hAnsi="Times New Roman"/>
          <w:sz w:val="20"/>
          <w:szCs w:val="20"/>
          <w:u w:val="single"/>
        </w:rPr>
        <w:t>,</w:t>
      </w:r>
      <w:r w:rsidRPr="00F941DA">
        <w:rPr>
          <w:rFonts w:ascii="Times New Roman" w:hAnsi="Times New Roman"/>
          <w:sz w:val="20"/>
          <w:szCs w:val="20"/>
        </w:rPr>
        <w:t xml:space="preserve"> la ambele fiind necesară evidențierea de titruri neprotective </w:t>
      </w:r>
      <w:r w:rsidRPr="00F941DA">
        <w:rPr>
          <w:rFonts w:ascii="Times New Roman" w:hAnsi="Times New Roman"/>
          <w:b/>
          <w:sz w:val="20"/>
          <w:szCs w:val="20"/>
          <w:u w:val="single"/>
        </w:rPr>
        <w:t>(titrul protectiv este definit printr-o valoare de ≥1.3 mcg/ml sau prin cresterea titrului global de anticorpi IgG anti-pneumococici de cel putin doua ori postvaccinare; se interpreteaza in contextul istoricului vaccinal)</w:t>
      </w:r>
      <w:r w:rsidRPr="00F941DA">
        <w:rPr>
          <w:rFonts w:ascii="Times New Roman" w:hAnsi="Times New Roman"/>
          <w:sz w:val="20"/>
          <w:szCs w:val="20"/>
          <w:u w:val="single"/>
        </w:rPr>
        <w:t>.</w:t>
      </w:r>
      <w:r w:rsidRPr="00F941DA">
        <w:rPr>
          <w:rFonts w:ascii="Times New Roman" w:hAnsi="Times New Roman"/>
          <w:sz w:val="20"/>
          <w:szCs w:val="20"/>
        </w:rPr>
        <w:t xml:space="preserve"> </w:t>
      </w:r>
    </w:p>
    <w:p w14:paraId="61D7F4B8" w14:textId="77777777" w:rsidR="008F49DC" w:rsidRPr="00F941DA" w:rsidRDefault="008F49DC" w:rsidP="008F49DC">
      <w:pPr>
        <w:jc w:val="both"/>
        <w:rPr>
          <w:rFonts w:ascii="Times New Roman" w:hAnsi="Times New Roman"/>
          <w:sz w:val="20"/>
          <w:szCs w:val="20"/>
        </w:rPr>
      </w:pPr>
      <w:r w:rsidRPr="00F941DA">
        <w:rPr>
          <w:rFonts w:ascii="Times New Roman" w:hAnsi="Times New Roman"/>
          <w:sz w:val="20"/>
          <w:szCs w:val="20"/>
        </w:rPr>
        <w:t>*** Durata recomandată a tratamentului este de 1 an; ulterior, dozele se vor spația (2 doze la 6 săptămâni, 2 doze la 8 săptămâni). Dacă situația o permite, tratamentul se va opri după aceasta perioadă.</w:t>
      </w:r>
    </w:p>
    <w:p w14:paraId="34D420DE" w14:textId="77777777" w:rsidR="008F49DC" w:rsidRPr="00F941DA" w:rsidRDefault="008F49DC" w:rsidP="008F49DC">
      <w:pPr>
        <w:spacing w:after="0"/>
        <w:contextualSpacing/>
        <w:jc w:val="both"/>
        <w:rPr>
          <w:rFonts w:ascii="Times New Roman" w:hAnsi="Times New Roman"/>
          <w:bCs/>
          <w:sz w:val="24"/>
          <w:szCs w:val="24"/>
        </w:rPr>
      </w:pPr>
      <w:r w:rsidRPr="00F941DA">
        <w:rPr>
          <w:rFonts w:ascii="Times New Roman" w:hAnsi="Times New Roman"/>
          <w:b/>
          <w:bCs/>
          <w:sz w:val="24"/>
          <w:szCs w:val="24"/>
        </w:rPr>
        <w:t xml:space="preserve">II. Criterii de excludere a pacienților din tratament </w:t>
      </w:r>
      <w:r w:rsidRPr="00F941DA">
        <w:rPr>
          <w:rFonts w:ascii="Times New Roman" w:hAnsi="Times New Roman"/>
          <w:bCs/>
          <w:sz w:val="24"/>
          <w:szCs w:val="24"/>
        </w:rPr>
        <w:t>(dacă este cazul)</w:t>
      </w:r>
    </w:p>
    <w:p w14:paraId="48FDBF50" w14:textId="77777777" w:rsidR="008F49DC" w:rsidRPr="00F941DA" w:rsidRDefault="008F49DC" w:rsidP="008F49DC">
      <w:pPr>
        <w:contextualSpacing/>
        <w:jc w:val="both"/>
        <w:rPr>
          <w:rFonts w:ascii="Times New Roman" w:hAnsi="Times New Roman"/>
          <w:sz w:val="24"/>
          <w:szCs w:val="24"/>
        </w:rPr>
      </w:pPr>
      <w:r w:rsidRPr="00F941DA">
        <w:rPr>
          <w:rFonts w:ascii="Times New Roman" w:hAnsi="Times New Roman"/>
          <w:sz w:val="24"/>
          <w:szCs w:val="24"/>
        </w:rPr>
        <w:t>Reacția anafilactică la Ig i.v. reprezintă contraindicație de administrare a aceluiași produs.</w:t>
      </w:r>
    </w:p>
    <w:p w14:paraId="49A131A9" w14:textId="77777777" w:rsidR="008F49DC" w:rsidRPr="00F941DA" w:rsidRDefault="008F49DC" w:rsidP="008F49DC">
      <w:pPr>
        <w:contextualSpacing/>
        <w:jc w:val="both"/>
        <w:rPr>
          <w:rFonts w:ascii="Times New Roman" w:hAnsi="Times New Roman"/>
          <w:sz w:val="24"/>
          <w:szCs w:val="24"/>
        </w:rPr>
      </w:pPr>
      <w:r w:rsidRPr="00F941DA">
        <w:rPr>
          <w:rFonts w:ascii="Times New Roman" w:hAnsi="Times New Roman"/>
          <w:sz w:val="24"/>
          <w:szCs w:val="24"/>
        </w:rPr>
        <w:t>Dacă tratamentul cu Ig este totuși necesar, se va înlocui cu unul s.c. sau, dacă nu este posibil, cu un alt produs i.v.</w:t>
      </w:r>
    </w:p>
    <w:p w14:paraId="47FAF2D1" w14:textId="77777777" w:rsidR="008F49DC" w:rsidRPr="00F941DA" w:rsidRDefault="008F49DC" w:rsidP="008F49DC">
      <w:pPr>
        <w:spacing w:after="0"/>
        <w:contextualSpacing/>
        <w:rPr>
          <w:rFonts w:ascii="Times New Roman" w:hAnsi="Times New Roman"/>
          <w:b/>
          <w:sz w:val="24"/>
          <w:szCs w:val="24"/>
        </w:rPr>
      </w:pPr>
    </w:p>
    <w:p w14:paraId="01420E47" w14:textId="77777777" w:rsidR="008F49DC" w:rsidRPr="00F941DA" w:rsidRDefault="008F49DC" w:rsidP="008F49DC">
      <w:pPr>
        <w:spacing w:after="0"/>
        <w:contextualSpacing/>
        <w:rPr>
          <w:rFonts w:ascii="Times New Roman" w:hAnsi="Times New Roman"/>
          <w:b/>
          <w:sz w:val="24"/>
          <w:szCs w:val="24"/>
        </w:rPr>
      </w:pPr>
      <w:r w:rsidRPr="00F941DA">
        <w:rPr>
          <w:rFonts w:ascii="Times New Roman" w:hAnsi="Times New Roman"/>
          <w:b/>
          <w:sz w:val="24"/>
          <w:szCs w:val="24"/>
        </w:rPr>
        <w:t>III. Tratament:</w:t>
      </w:r>
    </w:p>
    <w:p w14:paraId="5E2A5ECE" w14:textId="77777777" w:rsidR="008F49DC" w:rsidRPr="00F941DA" w:rsidRDefault="008F49DC" w:rsidP="008F49DC">
      <w:pPr>
        <w:numPr>
          <w:ilvl w:val="0"/>
          <w:numId w:val="133"/>
        </w:numPr>
        <w:spacing w:after="0" w:line="240" w:lineRule="auto"/>
        <w:ind w:left="851" w:hanging="284"/>
        <w:contextualSpacing/>
        <w:jc w:val="both"/>
        <w:rPr>
          <w:rFonts w:ascii="Times New Roman" w:hAnsi="Times New Roman"/>
          <w:sz w:val="24"/>
          <w:szCs w:val="24"/>
        </w:rPr>
      </w:pPr>
      <w:r w:rsidRPr="00F941DA">
        <w:rPr>
          <w:rFonts w:ascii="Times New Roman" w:hAnsi="Times New Roman"/>
          <w:sz w:val="24"/>
          <w:szCs w:val="24"/>
        </w:rPr>
        <w:t>la începutul tratamentului, doza este 0.4-0.8 g/kgc la interval de 3-4 săptămâni;</w:t>
      </w:r>
    </w:p>
    <w:p w14:paraId="1A83FAB4" w14:textId="77777777" w:rsidR="008F49DC" w:rsidRPr="00F941DA" w:rsidRDefault="008F49DC" w:rsidP="008F49DC">
      <w:pPr>
        <w:numPr>
          <w:ilvl w:val="0"/>
          <w:numId w:val="133"/>
        </w:numPr>
        <w:spacing w:after="0" w:line="240" w:lineRule="auto"/>
        <w:ind w:left="851" w:hanging="284"/>
        <w:contextualSpacing/>
        <w:jc w:val="both"/>
        <w:rPr>
          <w:rFonts w:ascii="Times New Roman" w:hAnsi="Times New Roman"/>
          <w:sz w:val="24"/>
          <w:szCs w:val="24"/>
        </w:rPr>
      </w:pPr>
      <w:r w:rsidRPr="00F941DA">
        <w:rPr>
          <w:rFonts w:ascii="Times New Roman" w:hAnsi="Times New Roman"/>
          <w:sz w:val="24"/>
          <w:szCs w:val="24"/>
        </w:rPr>
        <w:t>dozele ulterioare vor fi individualizate (mai mici/mai mari, mai rare/mai dese)</w:t>
      </w:r>
      <w:r w:rsidRPr="00F941DA">
        <w:rPr>
          <w:sz w:val="24"/>
          <w:szCs w:val="24"/>
        </w:rPr>
        <w:t xml:space="preserve"> </w:t>
      </w:r>
      <w:r w:rsidRPr="00F941DA">
        <w:rPr>
          <w:rFonts w:ascii="Times New Roman" w:hAnsi="Times New Roman"/>
          <w:sz w:val="24"/>
          <w:szCs w:val="24"/>
        </w:rPr>
        <w:t>pentru fiecare bolnav astfel încât nivelele de IgG înainte de administrare să se mențină în valori normale pentru vârstă și să fie liber de infecții.;</w:t>
      </w:r>
    </w:p>
    <w:p w14:paraId="54357F9D" w14:textId="77777777" w:rsidR="008F49DC" w:rsidRPr="00F941DA" w:rsidRDefault="008F49DC" w:rsidP="008F49DC">
      <w:pPr>
        <w:numPr>
          <w:ilvl w:val="0"/>
          <w:numId w:val="133"/>
        </w:numPr>
        <w:spacing w:after="0" w:line="240" w:lineRule="auto"/>
        <w:ind w:left="851" w:hanging="284"/>
        <w:contextualSpacing/>
        <w:jc w:val="both"/>
        <w:rPr>
          <w:rFonts w:ascii="Times New Roman" w:hAnsi="Times New Roman"/>
          <w:b/>
          <w:bCs/>
          <w:sz w:val="24"/>
          <w:szCs w:val="24"/>
        </w:rPr>
      </w:pPr>
      <w:r w:rsidRPr="00F941DA">
        <w:rPr>
          <w:rFonts w:ascii="Times New Roman" w:hAnsi="Times New Roman"/>
          <w:sz w:val="24"/>
          <w:szCs w:val="24"/>
        </w:rPr>
        <w:t>doza va fi rotunjită la cel mai apropiat număr întreg de flacoane (</w:t>
      </w:r>
      <w:r w:rsidRPr="00F941DA">
        <w:rPr>
          <w:rFonts w:ascii="Times New Roman" w:hAnsi="Times New Roman"/>
          <w:b/>
          <w:bCs/>
          <w:sz w:val="24"/>
          <w:szCs w:val="24"/>
        </w:rPr>
        <w:t>se va folosi întotdeauna un număr întreg de flacoane !).</w:t>
      </w:r>
    </w:p>
    <w:p w14:paraId="236D9B07" w14:textId="77777777" w:rsidR="008F49DC" w:rsidRPr="00F941DA" w:rsidRDefault="008F49DC" w:rsidP="008F49DC">
      <w:pPr>
        <w:numPr>
          <w:ilvl w:val="0"/>
          <w:numId w:val="133"/>
        </w:numPr>
        <w:spacing w:after="0" w:line="240" w:lineRule="auto"/>
        <w:ind w:left="851" w:hanging="284"/>
        <w:contextualSpacing/>
        <w:jc w:val="both"/>
        <w:rPr>
          <w:rFonts w:ascii="Times New Roman" w:hAnsi="Times New Roman"/>
          <w:b/>
          <w:bCs/>
          <w:sz w:val="24"/>
          <w:szCs w:val="24"/>
        </w:rPr>
      </w:pPr>
    </w:p>
    <w:p w14:paraId="3EE13216" w14:textId="77777777" w:rsidR="008F49DC" w:rsidRPr="00F941DA" w:rsidRDefault="008F49DC" w:rsidP="008F49DC">
      <w:pPr>
        <w:spacing w:after="0"/>
        <w:contextualSpacing/>
        <w:jc w:val="both"/>
        <w:rPr>
          <w:rFonts w:ascii="Times New Roman" w:hAnsi="Times New Roman" w:cs="Times New Roman"/>
          <w:b/>
          <w:bCs/>
          <w:sz w:val="24"/>
          <w:szCs w:val="24"/>
        </w:rPr>
      </w:pPr>
      <w:r w:rsidRPr="00F941DA">
        <w:rPr>
          <w:rFonts w:ascii="Times New Roman" w:hAnsi="Times New Roman" w:cs="Times New Roman"/>
          <w:b/>
          <w:bCs/>
          <w:sz w:val="24"/>
          <w:szCs w:val="24"/>
        </w:rPr>
        <w:t>Contraindicații:</w:t>
      </w:r>
    </w:p>
    <w:p w14:paraId="604B47F6" w14:textId="0D3E58CE" w:rsidR="008F49DC" w:rsidRPr="00F941DA" w:rsidRDefault="008F49DC" w:rsidP="008F49DC">
      <w:pPr>
        <w:spacing w:after="0"/>
        <w:contextualSpacing/>
        <w:jc w:val="both"/>
        <w:rPr>
          <w:rFonts w:ascii="Times New Roman" w:hAnsi="Times New Roman" w:cs="Times New Roman"/>
          <w:sz w:val="24"/>
          <w:szCs w:val="24"/>
        </w:rPr>
      </w:pPr>
      <w:r w:rsidRPr="00F941DA">
        <w:rPr>
          <w:rFonts w:ascii="Times New Roman" w:hAnsi="Times New Roman" w:cs="Times New Roman"/>
          <w:sz w:val="24"/>
          <w:szCs w:val="24"/>
        </w:rPr>
        <w:t xml:space="preserve">Hipersensibilitate la substanța </w:t>
      </w:r>
      <w:r w:rsidR="00E74F9B" w:rsidRPr="00F941DA">
        <w:rPr>
          <w:rFonts w:ascii="Times New Roman" w:hAnsi="Times New Roman" w:cs="Times New Roman"/>
          <w:sz w:val="24"/>
          <w:szCs w:val="24"/>
        </w:rPr>
        <w:t>activă</w:t>
      </w:r>
      <w:r w:rsidRPr="00F941DA">
        <w:rPr>
          <w:rFonts w:ascii="Times New Roman" w:hAnsi="Times New Roman" w:cs="Times New Roman"/>
          <w:sz w:val="24"/>
          <w:szCs w:val="24"/>
        </w:rPr>
        <w:t xml:space="preserve"> (IgG) sau la oricare dintre excipienții enumerați.</w:t>
      </w:r>
    </w:p>
    <w:p w14:paraId="43149DA1" w14:textId="77777777" w:rsidR="008F49DC" w:rsidRPr="00F941DA" w:rsidRDefault="008F49DC" w:rsidP="008F49DC">
      <w:pPr>
        <w:spacing w:after="0"/>
        <w:contextualSpacing/>
        <w:jc w:val="both"/>
        <w:rPr>
          <w:rFonts w:ascii="Times New Roman" w:hAnsi="Times New Roman" w:cs="Times New Roman"/>
          <w:sz w:val="24"/>
          <w:szCs w:val="24"/>
        </w:rPr>
      </w:pPr>
      <w:r w:rsidRPr="00F941DA">
        <w:rPr>
          <w:rFonts w:ascii="Times New Roman" w:hAnsi="Times New Roman" w:cs="Times New Roman"/>
          <w:sz w:val="24"/>
          <w:szCs w:val="24"/>
        </w:rPr>
        <w:t>Hipersensibilitate la imunoglobulinele umane, în special în cazurile foarte rare de deficiență de IgA, când pacientul are anticorpi anti IgA.</w:t>
      </w:r>
    </w:p>
    <w:p w14:paraId="08F00D99" w14:textId="77777777" w:rsidR="008F49DC" w:rsidRPr="00F941DA" w:rsidRDefault="008F49DC" w:rsidP="008F49DC">
      <w:pPr>
        <w:spacing w:after="0"/>
        <w:contextualSpacing/>
        <w:jc w:val="both"/>
        <w:rPr>
          <w:rFonts w:ascii="Times New Roman" w:hAnsi="Times New Roman" w:cs="Times New Roman"/>
          <w:sz w:val="24"/>
          <w:szCs w:val="24"/>
        </w:rPr>
      </w:pPr>
      <w:r w:rsidRPr="00F941DA">
        <w:rPr>
          <w:rFonts w:ascii="Times New Roman" w:hAnsi="Times New Roman" w:cs="Times New Roman"/>
          <w:sz w:val="24"/>
          <w:szCs w:val="24"/>
        </w:rPr>
        <w:t>Hipersensibilitate sistemică cunoscută la hialuronidază sau la hialuronidază umană recombinantă.</w:t>
      </w:r>
    </w:p>
    <w:p w14:paraId="7C464D77" w14:textId="77777777" w:rsidR="008F49DC" w:rsidRPr="00F941DA" w:rsidRDefault="008F49DC" w:rsidP="008F49DC">
      <w:pPr>
        <w:spacing w:after="0"/>
        <w:contextualSpacing/>
        <w:jc w:val="both"/>
        <w:rPr>
          <w:rFonts w:ascii="Times New Roman" w:hAnsi="Times New Roman"/>
          <w:b/>
          <w:bCs/>
          <w:sz w:val="24"/>
          <w:szCs w:val="24"/>
        </w:rPr>
      </w:pPr>
    </w:p>
    <w:p w14:paraId="3016D8D9" w14:textId="77777777" w:rsidR="008F49DC" w:rsidRPr="00F941DA" w:rsidRDefault="008F49DC" w:rsidP="008F49DC">
      <w:pPr>
        <w:spacing w:after="0"/>
        <w:contextualSpacing/>
        <w:jc w:val="both"/>
        <w:rPr>
          <w:rFonts w:ascii="Times New Roman" w:hAnsi="Times New Roman"/>
          <w:b/>
          <w:bCs/>
          <w:sz w:val="24"/>
          <w:szCs w:val="24"/>
        </w:rPr>
      </w:pPr>
      <w:r w:rsidRPr="00F941DA">
        <w:rPr>
          <w:rFonts w:ascii="Times New Roman" w:hAnsi="Times New Roman"/>
          <w:b/>
          <w:bCs/>
          <w:sz w:val="24"/>
          <w:szCs w:val="24"/>
        </w:rPr>
        <w:t>IV. Precautii. Atentionari</w:t>
      </w:r>
    </w:p>
    <w:p w14:paraId="7789D82B" w14:textId="77777777" w:rsidR="008F49DC" w:rsidRPr="00F941DA" w:rsidRDefault="008F49DC" w:rsidP="008F49DC">
      <w:pPr>
        <w:spacing w:after="0"/>
        <w:contextualSpacing/>
        <w:jc w:val="both"/>
        <w:rPr>
          <w:rFonts w:ascii="Times New Roman" w:hAnsi="Times New Roman"/>
          <w:bCs/>
          <w:sz w:val="24"/>
          <w:szCs w:val="24"/>
        </w:rPr>
      </w:pPr>
      <w:r w:rsidRPr="00F941DA">
        <w:rPr>
          <w:rFonts w:ascii="Times New Roman" w:hAnsi="Times New Roman"/>
          <w:bCs/>
          <w:sz w:val="24"/>
          <w:szCs w:val="24"/>
        </w:rPr>
        <w:t>Imunoglobulina de uz intravenos se va administra doar în spital.</w:t>
      </w:r>
    </w:p>
    <w:p w14:paraId="7E36D391" w14:textId="77777777" w:rsidR="008F49DC" w:rsidRPr="00F941DA" w:rsidRDefault="008F49DC" w:rsidP="008F49DC">
      <w:pPr>
        <w:spacing w:after="0"/>
        <w:contextualSpacing/>
        <w:jc w:val="both"/>
        <w:rPr>
          <w:rFonts w:ascii="Times New Roman" w:hAnsi="Times New Roman"/>
          <w:bCs/>
          <w:sz w:val="24"/>
          <w:szCs w:val="24"/>
        </w:rPr>
      </w:pPr>
      <w:r w:rsidRPr="00F941DA">
        <w:rPr>
          <w:rFonts w:ascii="Times New Roman" w:hAnsi="Times New Roman"/>
          <w:bCs/>
          <w:sz w:val="24"/>
          <w:szCs w:val="24"/>
        </w:rPr>
        <w:t>Pacientul trebuie să fie bine hidratat.</w:t>
      </w:r>
    </w:p>
    <w:p w14:paraId="185F5BE3" w14:textId="77777777" w:rsidR="008F49DC" w:rsidRPr="00F941DA" w:rsidRDefault="008F49DC" w:rsidP="008F49DC">
      <w:pPr>
        <w:spacing w:after="0"/>
        <w:contextualSpacing/>
        <w:jc w:val="both"/>
        <w:rPr>
          <w:rFonts w:ascii="Times New Roman" w:hAnsi="Times New Roman"/>
          <w:bCs/>
          <w:sz w:val="24"/>
          <w:szCs w:val="24"/>
        </w:rPr>
      </w:pPr>
      <w:r w:rsidRPr="00F941DA">
        <w:rPr>
          <w:rFonts w:ascii="Times New Roman" w:hAnsi="Times New Roman"/>
          <w:bCs/>
          <w:sz w:val="24"/>
          <w:szCs w:val="24"/>
        </w:rPr>
        <w:t>Se va folosi premedicație (ibuprofen, paracetamol, anithistaminice sau corticosteroizi) doar în cazuri selecționate, pe baza istoricului personal (de exemplu, istoric de cefalee, prurit sau urticarie la administrări anterioare).</w:t>
      </w:r>
    </w:p>
    <w:p w14:paraId="1D54D0D5" w14:textId="77777777" w:rsidR="008F49DC" w:rsidRPr="00F941DA" w:rsidRDefault="008F49DC" w:rsidP="008F49DC">
      <w:pPr>
        <w:spacing w:after="0"/>
        <w:contextualSpacing/>
        <w:jc w:val="both"/>
        <w:rPr>
          <w:rFonts w:ascii="Times New Roman" w:hAnsi="Times New Roman"/>
          <w:bCs/>
          <w:sz w:val="24"/>
          <w:szCs w:val="24"/>
        </w:rPr>
      </w:pPr>
      <w:r w:rsidRPr="00F941DA">
        <w:rPr>
          <w:rFonts w:ascii="Times New Roman" w:hAnsi="Times New Roman"/>
          <w:bCs/>
          <w:sz w:val="24"/>
          <w:szCs w:val="24"/>
        </w:rPr>
        <w:t>Se vor respecta cu strictețe vitezele de infuzie precizate în prospect, în funcție și de toleranța pacientului.</w:t>
      </w:r>
    </w:p>
    <w:p w14:paraId="59DC4C26" w14:textId="77777777" w:rsidR="008F49DC" w:rsidRPr="00F941DA" w:rsidRDefault="008F49DC" w:rsidP="008F49DC">
      <w:pPr>
        <w:spacing w:after="0"/>
        <w:contextualSpacing/>
        <w:jc w:val="both"/>
        <w:rPr>
          <w:rFonts w:ascii="Times New Roman" w:hAnsi="Times New Roman"/>
          <w:bCs/>
          <w:sz w:val="24"/>
          <w:szCs w:val="24"/>
        </w:rPr>
      </w:pPr>
      <w:r w:rsidRPr="00F941DA">
        <w:rPr>
          <w:rFonts w:ascii="Times New Roman" w:hAnsi="Times New Roman"/>
          <w:bCs/>
          <w:sz w:val="24"/>
          <w:szCs w:val="24"/>
        </w:rPr>
        <w:t>Pacienții care au în istoric o reacție anafilactică (nu reacție transfuzională simplă cu hemoliză!) la produse din sânge, pot fi testați pentru prezența anticorpilor anti IgA înaintea începerii tratamentului cu imunoglobulina i.v. Dacă testarea nu este posibilă, se va prefera un produs cu administrare subcutanată, iar –dacă nu există aceasta opțiune- se va alege un produs cât mai sărac în IgA, se va folosi premedicație și se va pregăti de fiecare dată trusa de urgență (adrenalină, corticosteroid, antihistaminic, soluție cristaloidă).</w:t>
      </w:r>
    </w:p>
    <w:p w14:paraId="736246A9" w14:textId="77777777" w:rsidR="008F49DC" w:rsidRPr="00F941DA" w:rsidRDefault="008F49DC" w:rsidP="008F49DC">
      <w:pPr>
        <w:spacing w:after="0"/>
        <w:contextualSpacing/>
        <w:jc w:val="both"/>
        <w:rPr>
          <w:rFonts w:ascii="Times New Roman" w:hAnsi="Times New Roman"/>
          <w:bCs/>
          <w:sz w:val="24"/>
          <w:szCs w:val="24"/>
        </w:rPr>
      </w:pPr>
      <w:r w:rsidRPr="00F941DA">
        <w:rPr>
          <w:rFonts w:ascii="Times New Roman" w:hAnsi="Times New Roman"/>
          <w:bCs/>
          <w:sz w:val="24"/>
          <w:szCs w:val="24"/>
        </w:rPr>
        <w:t>Administrarea de vaccinuri vii atenuate (ROR, varicelo-zosterian) trebuie amânată până la 8-10 luni de la încheierea tratamentului cu Ig i.v.</w:t>
      </w:r>
    </w:p>
    <w:p w14:paraId="1C3DC113" w14:textId="77777777" w:rsidR="008F49DC" w:rsidRPr="00F941DA" w:rsidRDefault="008F49DC" w:rsidP="008F49DC">
      <w:pPr>
        <w:spacing w:after="0"/>
        <w:contextualSpacing/>
        <w:jc w:val="both"/>
        <w:rPr>
          <w:rFonts w:ascii="Times New Roman" w:hAnsi="Times New Roman"/>
          <w:b/>
          <w:bCs/>
          <w:sz w:val="24"/>
          <w:szCs w:val="24"/>
        </w:rPr>
      </w:pPr>
    </w:p>
    <w:p w14:paraId="0824BD2A" w14:textId="77777777" w:rsidR="008F49DC" w:rsidRPr="00F941DA" w:rsidRDefault="008F49DC" w:rsidP="008F49DC">
      <w:pPr>
        <w:spacing w:after="0"/>
        <w:contextualSpacing/>
        <w:jc w:val="both"/>
        <w:rPr>
          <w:rFonts w:ascii="Times New Roman" w:hAnsi="Times New Roman"/>
          <w:b/>
          <w:bCs/>
          <w:sz w:val="24"/>
          <w:szCs w:val="24"/>
        </w:rPr>
      </w:pPr>
      <w:r w:rsidRPr="00F941DA">
        <w:rPr>
          <w:rFonts w:ascii="Times New Roman" w:hAnsi="Times New Roman"/>
          <w:b/>
          <w:bCs/>
          <w:sz w:val="24"/>
          <w:szCs w:val="24"/>
        </w:rPr>
        <w:lastRenderedPageBreak/>
        <w:t>V. Schimbarea terapiei</w:t>
      </w:r>
    </w:p>
    <w:p w14:paraId="04799DC6" w14:textId="77777777" w:rsidR="008F49DC" w:rsidRPr="00F941DA" w:rsidRDefault="008F49DC" w:rsidP="008F49DC">
      <w:pPr>
        <w:spacing w:after="0"/>
        <w:contextualSpacing/>
        <w:jc w:val="both"/>
        <w:rPr>
          <w:rFonts w:ascii="Times New Roman" w:hAnsi="Times New Roman"/>
          <w:bCs/>
          <w:sz w:val="24"/>
          <w:szCs w:val="24"/>
        </w:rPr>
      </w:pPr>
      <w:r w:rsidRPr="00F941DA">
        <w:rPr>
          <w:rFonts w:ascii="Times New Roman" w:hAnsi="Times New Roman"/>
          <w:bCs/>
          <w:sz w:val="24"/>
          <w:szCs w:val="24"/>
        </w:rPr>
        <w:t>Se va evita, pe cât posibil, schimbarea produsului, dacă acesta este eficient și nu produce efecte adverse la acel pacient.</w:t>
      </w:r>
    </w:p>
    <w:p w14:paraId="48A65A2B" w14:textId="77777777" w:rsidR="008F49DC" w:rsidRPr="00F941DA" w:rsidRDefault="008F49DC" w:rsidP="008F49DC">
      <w:pPr>
        <w:spacing w:after="0"/>
        <w:contextualSpacing/>
        <w:jc w:val="both"/>
        <w:rPr>
          <w:rFonts w:ascii="Times New Roman" w:hAnsi="Times New Roman"/>
          <w:bCs/>
          <w:sz w:val="24"/>
          <w:szCs w:val="24"/>
        </w:rPr>
      </w:pPr>
      <w:r w:rsidRPr="00F941DA">
        <w:rPr>
          <w:rFonts w:ascii="Times New Roman" w:hAnsi="Times New Roman"/>
          <w:bCs/>
          <w:sz w:val="24"/>
          <w:szCs w:val="24"/>
        </w:rPr>
        <w:t>La indicația medicului curant și dacă familia și pacientul sunt de acord, se poate trece la tratament de substituție cu imunoglobulină pe cale subcutanată.</w:t>
      </w:r>
    </w:p>
    <w:p w14:paraId="30DE0807" w14:textId="77777777" w:rsidR="008F49DC" w:rsidRPr="00F941DA" w:rsidRDefault="008F49DC" w:rsidP="008F49DC">
      <w:pPr>
        <w:spacing w:after="0"/>
        <w:ind w:left="720"/>
        <w:contextualSpacing/>
        <w:jc w:val="both"/>
        <w:rPr>
          <w:rFonts w:ascii="Times New Roman" w:hAnsi="Times New Roman"/>
          <w:bCs/>
          <w:sz w:val="24"/>
          <w:szCs w:val="24"/>
        </w:rPr>
      </w:pPr>
    </w:p>
    <w:p w14:paraId="50E6B74E" w14:textId="77777777" w:rsidR="008F49DC" w:rsidRPr="00F941DA" w:rsidRDefault="008F49DC" w:rsidP="008F49DC">
      <w:pPr>
        <w:spacing w:after="0"/>
        <w:contextualSpacing/>
        <w:jc w:val="both"/>
        <w:rPr>
          <w:rFonts w:ascii="Times New Roman" w:hAnsi="Times New Roman"/>
          <w:bCs/>
          <w:sz w:val="24"/>
          <w:szCs w:val="24"/>
        </w:rPr>
      </w:pPr>
      <w:r w:rsidRPr="00F941DA">
        <w:rPr>
          <w:rFonts w:ascii="Times New Roman" w:hAnsi="Times New Roman"/>
          <w:b/>
          <w:bCs/>
          <w:sz w:val="24"/>
          <w:szCs w:val="24"/>
        </w:rPr>
        <w:t>VI. Criterii de evaluare a eficacității terapeutice și a evoluției sub tratament</w:t>
      </w:r>
    </w:p>
    <w:p w14:paraId="3E12FF1B" w14:textId="77777777" w:rsidR="008F49DC" w:rsidRPr="00F941DA" w:rsidRDefault="008F49DC" w:rsidP="008F49DC">
      <w:pPr>
        <w:numPr>
          <w:ilvl w:val="0"/>
          <w:numId w:val="133"/>
        </w:numPr>
        <w:spacing w:after="0" w:line="240" w:lineRule="auto"/>
        <w:contextualSpacing/>
        <w:jc w:val="both"/>
        <w:rPr>
          <w:rFonts w:ascii="Times New Roman" w:hAnsi="Times New Roman"/>
          <w:sz w:val="24"/>
          <w:szCs w:val="24"/>
        </w:rPr>
      </w:pPr>
      <w:r w:rsidRPr="00F941DA">
        <w:rPr>
          <w:rFonts w:ascii="Times New Roman" w:hAnsi="Times New Roman"/>
          <w:sz w:val="24"/>
          <w:szCs w:val="24"/>
        </w:rPr>
        <w:t>nivelul IgG înainte de următoarea administrare (trough level) trebuie să fie de minim 500 mg/dl pentru deficitele pure de anticorpi și minim 800 mg/dl pentru deficitele combinate sau la pacienții cu bronșiectazie; uneori, poate fi necesar chiar și un nivel mai mare, de exemplu la copiii cu IDP și complicații ale acestora;</w:t>
      </w:r>
    </w:p>
    <w:p w14:paraId="79D18B7E" w14:textId="77777777" w:rsidR="008F49DC" w:rsidRPr="00F941DA" w:rsidRDefault="008F49DC" w:rsidP="008F49DC">
      <w:pPr>
        <w:numPr>
          <w:ilvl w:val="0"/>
          <w:numId w:val="133"/>
        </w:numPr>
        <w:spacing w:after="0" w:line="240" w:lineRule="auto"/>
        <w:contextualSpacing/>
        <w:jc w:val="both"/>
        <w:rPr>
          <w:rFonts w:ascii="Times New Roman" w:hAnsi="Times New Roman"/>
          <w:sz w:val="24"/>
          <w:szCs w:val="24"/>
        </w:rPr>
      </w:pPr>
      <w:r w:rsidRPr="00F941DA">
        <w:rPr>
          <w:rFonts w:ascii="Times New Roman" w:hAnsi="Times New Roman"/>
          <w:sz w:val="24"/>
          <w:szCs w:val="24"/>
        </w:rPr>
        <w:t>doza folosită trebuie să asigure protecție față de infecțiile severe (otite medii, pneumonii cu condensare, enterocolite invazive, meningite, septicemii, abcese) și nu față de orice infecție;</w:t>
      </w:r>
    </w:p>
    <w:p w14:paraId="76E1550F" w14:textId="77777777" w:rsidR="008F49DC" w:rsidRPr="00F941DA" w:rsidRDefault="008F49DC" w:rsidP="008F49DC">
      <w:pPr>
        <w:spacing w:after="0"/>
        <w:contextualSpacing/>
        <w:rPr>
          <w:rFonts w:ascii="Times New Roman" w:hAnsi="Times New Roman"/>
          <w:b/>
          <w:sz w:val="24"/>
          <w:szCs w:val="24"/>
        </w:rPr>
      </w:pPr>
      <w:r w:rsidRPr="00F941DA">
        <w:rPr>
          <w:rFonts w:ascii="Times New Roman" w:hAnsi="Times New Roman"/>
          <w:sz w:val="24"/>
          <w:szCs w:val="24"/>
        </w:rPr>
        <w:t>Bronșiectaziile progresează lent, de multe ori în ciuda tratamentului cu Ig, din cauza faptului că IgG nu trece în secreții; în aceste cazuri se va asocia profilaxie antimicrobiană (de ex amoxicilină, cotrimoxazol) sau antineutrofilică (azitromicină)</w:t>
      </w:r>
    </w:p>
    <w:p w14:paraId="3D891D0E" w14:textId="77777777" w:rsidR="008F49DC" w:rsidRPr="00F941DA" w:rsidRDefault="008F49DC" w:rsidP="008F49DC">
      <w:pPr>
        <w:spacing w:after="0"/>
        <w:jc w:val="both"/>
        <w:rPr>
          <w:rFonts w:ascii="Times New Roman" w:hAnsi="Times New Roman"/>
          <w:b/>
          <w:bCs/>
          <w:sz w:val="24"/>
          <w:szCs w:val="24"/>
        </w:rPr>
      </w:pPr>
    </w:p>
    <w:p w14:paraId="502C7E9F" w14:textId="77777777" w:rsidR="008F49DC" w:rsidRPr="00F941DA" w:rsidRDefault="008F49DC" w:rsidP="008F49DC">
      <w:pPr>
        <w:spacing w:after="0"/>
        <w:jc w:val="both"/>
        <w:rPr>
          <w:rFonts w:ascii="Times New Roman" w:hAnsi="Times New Roman"/>
          <w:bCs/>
          <w:sz w:val="24"/>
          <w:szCs w:val="24"/>
        </w:rPr>
      </w:pPr>
      <w:r w:rsidRPr="00F941DA">
        <w:rPr>
          <w:rFonts w:ascii="Times New Roman" w:hAnsi="Times New Roman"/>
          <w:b/>
          <w:bCs/>
          <w:sz w:val="24"/>
          <w:szCs w:val="24"/>
        </w:rPr>
        <w:t>VII. Întreruperea tratamentului</w:t>
      </w:r>
    </w:p>
    <w:p w14:paraId="5602801D" w14:textId="77777777" w:rsidR="008F49DC" w:rsidRPr="00F941DA" w:rsidRDefault="008F49DC" w:rsidP="008F49DC">
      <w:pPr>
        <w:jc w:val="both"/>
        <w:rPr>
          <w:rFonts w:ascii="Times New Roman" w:hAnsi="Times New Roman"/>
          <w:bCs/>
          <w:sz w:val="24"/>
          <w:szCs w:val="24"/>
        </w:rPr>
      </w:pPr>
      <w:r w:rsidRPr="00F941DA">
        <w:rPr>
          <w:rFonts w:ascii="Times New Roman" w:hAnsi="Times New Roman"/>
          <w:bCs/>
          <w:sz w:val="24"/>
          <w:szCs w:val="24"/>
        </w:rPr>
        <w:t>Tratamentul se întrerupe doar dacă el devine inutil (reluarea producției normale de imunoglobuline, ca urmare a transplantului de maduvă sau celule stem sau ca urmare a tratamentului genetic).</w:t>
      </w:r>
    </w:p>
    <w:p w14:paraId="38F9B705" w14:textId="2F6BB40E" w:rsidR="008F49DC" w:rsidRPr="00F941DA" w:rsidRDefault="008F49DC" w:rsidP="008F49DC">
      <w:pPr>
        <w:contextualSpacing/>
        <w:jc w:val="both"/>
        <w:rPr>
          <w:rFonts w:ascii="Times New Roman" w:hAnsi="Times New Roman"/>
          <w:bCs/>
          <w:sz w:val="24"/>
          <w:szCs w:val="24"/>
        </w:rPr>
      </w:pPr>
      <w:r w:rsidRPr="00F941DA">
        <w:rPr>
          <w:rFonts w:ascii="Times New Roman" w:hAnsi="Times New Roman"/>
          <w:b/>
          <w:sz w:val="24"/>
          <w:szCs w:val="24"/>
        </w:rPr>
        <w:t>VIII. Prescriptori</w:t>
      </w:r>
      <w:r w:rsidRPr="00F941DA">
        <w:rPr>
          <w:rFonts w:ascii="Times New Roman" w:hAnsi="Times New Roman"/>
          <w:sz w:val="24"/>
          <w:szCs w:val="24"/>
        </w:rPr>
        <w:t>: medicii din unitatile sanitare prin care se deruleaza PNS boli rare - tratamentul sindromului de imunodeficienta primara.”</w:t>
      </w:r>
    </w:p>
    <w:p w14:paraId="5EEF1687" w14:textId="77777777" w:rsidR="008F49DC" w:rsidRPr="00F941DA" w:rsidRDefault="008F49DC" w:rsidP="008F49DC">
      <w:pPr>
        <w:rPr>
          <w:sz w:val="24"/>
          <w:szCs w:val="24"/>
        </w:rPr>
      </w:pPr>
    </w:p>
    <w:p w14:paraId="15401F79" w14:textId="77777777" w:rsidR="008F49DC" w:rsidRPr="00F941DA" w:rsidRDefault="008F49DC" w:rsidP="008F49DC">
      <w:pPr>
        <w:tabs>
          <w:tab w:val="left" w:pos="426"/>
        </w:tabs>
        <w:jc w:val="both"/>
        <w:rPr>
          <w:rFonts w:ascii="Times New Roman" w:eastAsia="Arial" w:hAnsi="Times New Roman"/>
          <w:b/>
          <w:bCs/>
          <w:sz w:val="24"/>
          <w:szCs w:val="24"/>
        </w:rPr>
      </w:pPr>
    </w:p>
    <w:p w14:paraId="5804240C" w14:textId="77777777" w:rsidR="008F49DC" w:rsidRPr="00F941DA" w:rsidRDefault="008F49DC" w:rsidP="008F49DC">
      <w:pPr>
        <w:autoSpaceDE w:val="0"/>
        <w:autoSpaceDN w:val="0"/>
        <w:adjustRightInd w:val="0"/>
        <w:spacing w:after="0" w:line="240" w:lineRule="auto"/>
        <w:rPr>
          <w:rFonts w:ascii="Times New Roman" w:hAnsi="Times New Roman"/>
          <w:b/>
          <w:bCs/>
          <w:iCs/>
          <w:sz w:val="28"/>
          <w:szCs w:val="28"/>
        </w:rPr>
      </w:pPr>
    </w:p>
    <w:p w14:paraId="118E6326" w14:textId="77777777" w:rsidR="00CA4F71" w:rsidRPr="00F941DA" w:rsidRDefault="00CA4F71" w:rsidP="00984957">
      <w:pPr>
        <w:pStyle w:val="ListParagraph"/>
        <w:rPr>
          <w:rFonts w:eastAsia="Arial"/>
          <w:b/>
          <w:bCs/>
          <w:color w:val="auto"/>
          <w:lang w:val="en-US"/>
        </w:rPr>
      </w:pPr>
    </w:p>
    <w:p w14:paraId="1E7E5EAE" w14:textId="77777777" w:rsidR="00CA4F71" w:rsidRPr="00F941DA" w:rsidRDefault="00CA4F71" w:rsidP="00984957">
      <w:pPr>
        <w:pStyle w:val="ListParagraph"/>
        <w:rPr>
          <w:rFonts w:eastAsia="Arial"/>
          <w:b/>
          <w:bCs/>
          <w:color w:val="auto"/>
          <w:lang w:val="en-US"/>
        </w:rPr>
      </w:pPr>
    </w:p>
    <w:p w14:paraId="7BB05338" w14:textId="77777777" w:rsidR="00301CF8" w:rsidRPr="00F941DA" w:rsidRDefault="00301CF8" w:rsidP="00984957">
      <w:pPr>
        <w:pStyle w:val="ListParagraph"/>
        <w:rPr>
          <w:rFonts w:eastAsia="Arial"/>
          <w:b/>
          <w:bCs/>
          <w:color w:val="auto"/>
          <w:lang w:val="en-US"/>
        </w:rPr>
      </w:pPr>
    </w:p>
    <w:p w14:paraId="367585B4" w14:textId="77777777" w:rsidR="00301CF8" w:rsidRPr="00F941DA" w:rsidRDefault="00301CF8" w:rsidP="00984957">
      <w:pPr>
        <w:pStyle w:val="ListParagraph"/>
        <w:rPr>
          <w:rFonts w:eastAsia="Arial"/>
          <w:b/>
          <w:bCs/>
          <w:color w:val="auto"/>
          <w:lang w:val="en-US"/>
        </w:rPr>
      </w:pPr>
    </w:p>
    <w:p w14:paraId="559715B1" w14:textId="77777777" w:rsidR="00301CF8" w:rsidRPr="00F941DA" w:rsidRDefault="00301CF8" w:rsidP="00984957">
      <w:pPr>
        <w:pStyle w:val="ListParagraph"/>
        <w:rPr>
          <w:rFonts w:eastAsia="Arial"/>
          <w:b/>
          <w:bCs/>
          <w:color w:val="auto"/>
          <w:lang w:val="en-US"/>
        </w:rPr>
      </w:pPr>
    </w:p>
    <w:p w14:paraId="20281632" w14:textId="77777777" w:rsidR="00301CF8" w:rsidRPr="00F941DA" w:rsidRDefault="00301CF8" w:rsidP="00984957">
      <w:pPr>
        <w:pStyle w:val="ListParagraph"/>
        <w:rPr>
          <w:rFonts w:eastAsia="Arial"/>
          <w:b/>
          <w:bCs/>
          <w:color w:val="auto"/>
          <w:lang w:val="en-US"/>
        </w:rPr>
      </w:pPr>
    </w:p>
    <w:p w14:paraId="3CE84F69" w14:textId="77777777" w:rsidR="00301CF8" w:rsidRPr="00F941DA" w:rsidRDefault="00301CF8" w:rsidP="00984957">
      <w:pPr>
        <w:pStyle w:val="ListParagraph"/>
        <w:rPr>
          <w:rFonts w:eastAsia="Arial"/>
          <w:b/>
          <w:bCs/>
          <w:color w:val="auto"/>
          <w:lang w:val="en-US"/>
        </w:rPr>
      </w:pPr>
    </w:p>
    <w:p w14:paraId="373B416B" w14:textId="77777777" w:rsidR="00301CF8" w:rsidRPr="00F941DA" w:rsidRDefault="00301CF8" w:rsidP="00984957">
      <w:pPr>
        <w:pStyle w:val="ListParagraph"/>
        <w:rPr>
          <w:rFonts w:eastAsia="Arial"/>
          <w:b/>
          <w:bCs/>
          <w:color w:val="auto"/>
          <w:lang w:val="en-US"/>
        </w:rPr>
      </w:pPr>
    </w:p>
    <w:p w14:paraId="77496A47" w14:textId="77777777" w:rsidR="00301CF8" w:rsidRPr="00F941DA" w:rsidRDefault="00301CF8" w:rsidP="00984957">
      <w:pPr>
        <w:pStyle w:val="ListParagraph"/>
        <w:rPr>
          <w:rFonts w:eastAsia="Arial"/>
          <w:b/>
          <w:bCs/>
          <w:color w:val="auto"/>
          <w:lang w:val="en-US"/>
        </w:rPr>
      </w:pPr>
    </w:p>
    <w:p w14:paraId="567F1FC6" w14:textId="77777777" w:rsidR="00301CF8" w:rsidRPr="00F941DA" w:rsidRDefault="00301CF8" w:rsidP="00984957">
      <w:pPr>
        <w:pStyle w:val="ListParagraph"/>
        <w:rPr>
          <w:rFonts w:eastAsia="Arial"/>
          <w:b/>
          <w:bCs/>
          <w:color w:val="auto"/>
          <w:lang w:val="en-US"/>
        </w:rPr>
      </w:pPr>
    </w:p>
    <w:p w14:paraId="65F2E40A" w14:textId="77777777" w:rsidR="00301CF8" w:rsidRPr="00F941DA" w:rsidRDefault="00301CF8" w:rsidP="00984957">
      <w:pPr>
        <w:pStyle w:val="ListParagraph"/>
        <w:rPr>
          <w:rFonts w:eastAsia="Arial"/>
          <w:b/>
          <w:bCs/>
          <w:color w:val="auto"/>
          <w:lang w:val="en-US"/>
        </w:rPr>
      </w:pPr>
    </w:p>
    <w:p w14:paraId="3223502A" w14:textId="77777777" w:rsidR="00301CF8" w:rsidRPr="00F941DA" w:rsidRDefault="00301CF8" w:rsidP="00984957">
      <w:pPr>
        <w:pStyle w:val="ListParagraph"/>
        <w:rPr>
          <w:rFonts w:eastAsia="Arial"/>
          <w:b/>
          <w:bCs/>
          <w:color w:val="auto"/>
          <w:lang w:val="en-US"/>
        </w:rPr>
      </w:pPr>
    </w:p>
    <w:p w14:paraId="0FC730C1" w14:textId="77777777" w:rsidR="00301CF8" w:rsidRPr="00F941DA" w:rsidRDefault="00301CF8" w:rsidP="00984957">
      <w:pPr>
        <w:pStyle w:val="ListParagraph"/>
        <w:rPr>
          <w:rFonts w:eastAsia="Arial"/>
          <w:b/>
          <w:bCs/>
          <w:color w:val="auto"/>
          <w:lang w:val="en-US"/>
        </w:rPr>
      </w:pPr>
    </w:p>
    <w:p w14:paraId="67A61941" w14:textId="77777777" w:rsidR="00301CF8" w:rsidRPr="00F941DA" w:rsidRDefault="00301CF8" w:rsidP="00984957">
      <w:pPr>
        <w:pStyle w:val="ListParagraph"/>
        <w:rPr>
          <w:rFonts w:eastAsia="Arial"/>
          <w:b/>
          <w:bCs/>
          <w:color w:val="auto"/>
          <w:lang w:val="en-US"/>
        </w:rPr>
      </w:pPr>
    </w:p>
    <w:p w14:paraId="6A23B4D8" w14:textId="77777777" w:rsidR="00301CF8" w:rsidRPr="00F941DA" w:rsidRDefault="00301CF8" w:rsidP="00984957">
      <w:pPr>
        <w:pStyle w:val="ListParagraph"/>
        <w:rPr>
          <w:rFonts w:eastAsia="Arial"/>
          <w:b/>
          <w:bCs/>
          <w:color w:val="auto"/>
          <w:lang w:val="en-US"/>
        </w:rPr>
      </w:pPr>
    </w:p>
    <w:p w14:paraId="76DDA153" w14:textId="77777777" w:rsidR="00301CF8" w:rsidRPr="00F941DA" w:rsidRDefault="00301CF8" w:rsidP="00984957">
      <w:pPr>
        <w:pStyle w:val="ListParagraph"/>
        <w:rPr>
          <w:rFonts w:eastAsia="Arial"/>
          <w:b/>
          <w:bCs/>
          <w:color w:val="auto"/>
          <w:lang w:val="en-US"/>
        </w:rPr>
      </w:pPr>
    </w:p>
    <w:p w14:paraId="2F82EBB5" w14:textId="77777777" w:rsidR="00301CF8" w:rsidRPr="00F941DA" w:rsidRDefault="00301CF8" w:rsidP="00984957">
      <w:pPr>
        <w:pStyle w:val="ListParagraph"/>
        <w:rPr>
          <w:rFonts w:eastAsia="Arial"/>
          <w:b/>
          <w:bCs/>
          <w:color w:val="auto"/>
          <w:lang w:val="en-US"/>
        </w:rPr>
      </w:pPr>
    </w:p>
    <w:p w14:paraId="4C9950A6" w14:textId="77777777" w:rsidR="00301CF8" w:rsidRPr="00F941DA" w:rsidRDefault="00301CF8" w:rsidP="00984957">
      <w:pPr>
        <w:pStyle w:val="ListParagraph"/>
        <w:rPr>
          <w:rFonts w:eastAsia="Arial"/>
          <w:b/>
          <w:bCs/>
          <w:color w:val="auto"/>
          <w:lang w:val="en-US"/>
        </w:rPr>
      </w:pPr>
    </w:p>
    <w:p w14:paraId="30B7DE9A" w14:textId="77777777" w:rsidR="00301CF8" w:rsidRPr="00F941DA" w:rsidRDefault="00301CF8" w:rsidP="00984957">
      <w:pPr>
        <w:pStyle w:val="ListParagraph"/>
        <w:rPr>
          <w:rFonts w:eastAsia="Arial"/>
          <w:b/>
          <w:bCs/>
          <w:color w:val="auto"/>
          <w:lang w:val="en-US"/>
        </w:rPr>
      </w:pPr>
    </w:p>
    <w:p w14:paraId="18E37BCF" w14:textId="77777777" w:rsidR="00301CF8" w:rsidRPr="00F941DA" w:rsidRDefault="00301CF8" w:rsidP="00984957">
      <w:pPr>
        <w:pStyle w:val="ListParagraph"/>
        <w:rPr>
          <w:rFonts w:eastAsia="Arial"/>
          <w:b/>
          <w:bCs/>
          <w:color w:val="auto"/>
          <w:lang w:val="en-US"/>
        </w:rPr>
      </w:pPr>
    </w:p>
    <w:p w14:paraId="6A118113" w14:textId="77777777" w:rsidR="00301CF8" w:rsidRPr="00F941DA" w:rsidRDefault="00301CF8" w:rsidP="00984957">
      <w:pPr>
        <w:pStyle w:val="ListParagraph"/>
        <w:rPr>
          <w:rFonts w:eastAsia="Arial"/>
          <w:b/>
          <w:bCs/>
          <w:color w:val="auto"/>
          <w:lang w:val="en-US"/>
        </w:rPr>
      </w:pPr>
    </w:p>
    <w:p w14:paraId="3C919DAE" w14:textId="77777777" w:rsidR="00301CF8" w:rsidRPr="00F941DA" w:rsidRDefault="00301CF8" w:rsidP="00984957">
      <w:pPr>
        <w:pStyle w:val="ListParagraph"/>
        <w:rPr>
          <w:rFonts w:eastAsia="Arial"/>
          <w:b/>
          <w:bCs/>
          <w:color w:val="auto"/>
          <w:lang w:val="en-US"/>
        </w:rPr>
      </w:pPr>
    </w:p>
    <w:p w14:paraId="395AE5A4" w14:textId="77777777" w:rsidR="00301CF8" w:rsidRPr="00F941DA" w:rsidRDefault="00301CF8" w:rsidP="00984957">
      <w:pPr>
        <w:pStyle w:val="ListParagraph"/>
        <w:rPr>
          <w:rFonts w:eastAsia="Arial"/>
          <w:b/>
          <w:bCs/>
          <w:color w:val="auto"/>
          <w:lang w:val="en-US"/>
        </w:rPr>
      </w:pPr>
    </w:p>
    <w:p w14:paraId="6F289EB7" w14:textId="77777777" w:rsidR="00301CF8" w:rsidRPr="00F941DA" w:rsidRDefault="00301CF8" w:rsidP="00984957">
      <w:pPr>
        <w:pStyle w:val="ListParagraph"/>
        <w:rPr>
          <w:rFonts w:eastAsia="Arial"/>
          <w:b/>
          <w:bCs/>
          <w:color w:val="auto"/>
          <w:lang w:val="en-US"/>
        </w:rPr>
      </w:pPr>
    </w:p>
    <w:p w14:paraId="045DC008" w14:textId="77777777" w:rsidR="00301CF8" w:rsidRPr="00F941DA" w:rsidRDefault="00301CF8" w:rsidP="00984957">
      <w:pPr>
        <w:pStyle w:val="ListParagraph"/>
        <w:rPr>
          <w:rFonts w:eastAsia="Arial"/>
          <w:b/>
          <w:bCs/>
          <w:color w:val="auto"/>
          <w:lang w:val="en-US"/>
        </w:rPr>
      </w:pPr>
    </w:p>
    <w:p w14:paraId="4D3BB9CB" w14:textId="6533A982" w:rsidR="00301CF8" w:rsidRPr="00F941DA" w:rsidRDefault="00301CF8" w:rsidP="00301CF8">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La anexa nr. 1, protocolul terapeutic corespunzător poziţiei nr. 113 cod (J05AP56): DCI SOFOSBUVIRUM + VELPATASVIRUM + VOXILAPREVIRUM se modifică și se înlocuiește cu următorul protocol:</w:t>
      </w:r>
    </w:p>
    <w:p w14:paraId="0753751E" w14:textId="77777777" w:rsidR="00301CF8" w:rsidRPr="00F941DA" w:rsidRDefault="00301CF8" w:rsidP="00301CF8">
      <w:pPr>
        <w:tabs>
          <w:tab w:val="left" w:pos="426"/>
        </w:tabs>
        <w:jc w:val="both"/>
        <w:rPr>
          <w:rFonts w:ascii="Times New Roman" w:eastAsia="Arial" w:hAnsi="Times New Roman" w:cs="Times New Roman"/>
          <w:b/>
          <w:bCs/>
          <w:sz w:val="24"/>
          <w:szCs w:val="24"/>
          <w:lang w:val="en-US"/>
        </w:rPr>
      </w:pPr>
    </w:p>
    <w:p w14:paraId="27C0C79B" w14:textId="39649329" w:rsidR="00301CF8" w:rsidRPr="00F941DA" w:rsidRDefault="00301CF8" w:rsidP="00301CF8">
      <w:pPr>
        <w:tabs>
          <w:tab w:val="left" w:pos="426"/>
        </w:tabs>
        <w:jc w:val="both"/>
        <w:rPr>
          <w:rFonts w:ascii="Times New Roman" w:eastAsia="Arial" w:hAnsi="Times New Roman" w:cs="Times New Roman"/>
          <w:b/>
          <w:bCs/>
          <w:sz w:val="24"/>
          <w:szCs w:val="24"/>
          <w:lang w:val="en-US"/>
        </w:rPr>
      </w:pPr>
      <w:r w:rsidRPr="00F941DA">
        <w:rPr>
          <w:rFonts w:ascii="Times New Roman" w:eastAsia="Arial" w:hAnsi="Times New Roman" w:cs="Times New Roman"/>
          <w:b/>
          <w:bCs/>
          <w:sz w:val="24"/>
          <w:szCs w:val="24"/>
          <w:lang w:val="en-US"/>
        </w:rPr>
        <w:t>”Protocol terapeutic corespunzător poziţiei nr. 113 cod (J05AP56): DCI SOFOSBUVIRUM + VELPATASVIRUM + VOXILAPREVIRUM</w:t>
      </w:r>
    </w:p>
    <w:p w14:paraId="7EA3022E" w14:textId="77777777" w:rsidR="006A440B" w:rsidRPr="00F941DA" w:rsidRDefault="006A440B" w:rsidP="00984957">
      <w:pPr>
        <w:pStyle w:val="ListParagraph"/>
        <w:rPr>
          <w:rFonts w:eastAsia="Arial"/>
          <w:b/>
          <w:bCs/>
          <w:color w:val="auto"/>
          <w:lang w:val="en-US"/>
        </w:rPr>
      </w:pPr>
    </w:p>
    <w:p w14:paraId="2EE474BF" w14:textId="4FBEE0C1" w:rsidR="00301CF8" w:rsidRPr="00F941DA" w:rsidRDefault="00DD3CD1" w:rsidP="00DD3CD1">
      <w:pPr>
        <w:pStyle w:val="ListParagraph"/>
        <w:ind w:left="644" w:hanging="644"/>
        <w:jc w:val="both"/>
        <w:rPr>
          <w:rFonts w:eastAsia="Calibri"/>
          <w:b/>
          <w:color w:val="auto"/>
        </w:rPr>
      </w:pPr>
      <w:r w:rsidRPr="00F941DA">
        <w:rPr>
          <w:rFonts w:eastAsia="Calibri"/>
          <w:b/>
          <w:color w:val="auto"/>
        </w:rPr>
        <w:t xml:space="preserve">1. </w:t>
      </w:r>
      <w:r w:rsidR="00301CF8" w:rsidRPr="00F941DA">
        <w:rPr>
          <w:rFonts w:eastAsia="Calibri"/>
          <w:b/>
          <w:color w:val="auto"/>
        </w:rPr>
        <w:t xml:space="preserve">Indicaţie   </w:t>
      </w:r>
    </w:p>
    <w:p w14:paraId="3B4A998A" w14:textId="3DD6790B" w:rsidR="00301CF8" w:rsidRPr="00F941DA" w:rsidRDefault="00301CF8" w:rsidP="00DD3CD1">
      <w:pPr>
        <w:pStyle w:val="ListParagraph"/>
        <w:ind w:left="0"/>
        <w:jc w:val="both"/>
        <w:rPr>
          <w:rFonts w:eastAsia="Calibri"/>
          <w:b/>
          <w:color w:val="auto"/>
        </w:rPr>
      </w:pPr>
      <w:r w:rsidRPr="00F941DA">
        <w:rPr>
          <w:rFonts w:eastAsia="Calibri"/>
          <w:b/>
          <w:color w:val="auto"/>
        </w:rPr>
        <w:t>Pacienţi adulţi cu infecţie cronică cu virusul hepatitic C (VHC) cu fibroză F0-F3 + pacienţi adulţi cu ciroză compensată - Child – Pugh A, trataţi anterior cu agenţi antivirali cu acţiune directă DAA (ori</w:t>
      </w:r>
      <w:r w:rsidR="00DD3CD1" w:rsidRPr="00F941DA">
        <w:rPr>
          <w:rFonts w:eastAsia="Calibri"/>
          <w:b/>
          <w:color w:val="auto"/>
        </w:rPr>
        <w:t xml:space="preserve">care din moleculele (OMBITASVIR + PARITAPREVIR + </w:t>
      </w:r>
      <w:r w:rsidRPr="00F941DA">
        <w:rPr>
          <w:rFonts w:eastAsia="Calibri"/>
          <w:b/>
          <w:color w:val="auto"/>
        </w:rPr>
        <w:t>RITONAVIR)</w:t>
      </w:r>
      <w:r w:rsidR="00DD3CD1" w:rsidRPr="00F941DA">
        <w:rPr>
          <w:rFonts w:eastAsia="Calibri"/>
          <w:b/>
          <w:color w:val="auto"/>
        </w:rPr>
        <w:t xml:space="preserve"> + DASABUVIR, LEDIPASVIR + SOFOSBUVIR, ELBASVIR + </w:t>
      </w:r>
      <w:r w:rsidRPr="00F941DA">
        <w:rPr>
          <w:rFonts w:eastAsia="Calibri"/>
          <w:b/>
          <w:color w:val="auto"/>
        </w:rPr>
        <w:t>GRAZOPREVIR) şi fără răspuns terapeutic.</w:t>
      </w:r>
    </w:p>
    <w:p w14:paraId="37F11BD9" w14:textId="77777777" w:rsidR="00301CF8" w:rsidRPr="00F941DA" w:rsidRDefault="00301CF8" w:rsidP="00301CF8">
      <w:pPr>
        <w:jc w:val="both"/>
        <w:rPr>
          <w:rFonts w:ascii="Times New Roman" w:eastAsia="Calibri" w:hAnsi="Times New Roman" w:cs="Times New Roman"/>
          <w:sz w:val="24"/>
          <w:szCs w:val="24"/>
        </w:rPr>
      </w:pPr>
    </w:p>
    <w:p w14:paraId="37C63012" w14:textId="3FE85BFD" w:rsidR="00301CF8" w:rsidRPr="00F941DA" w:rsidRDefault="00DD3CD1" w:rsidP="00DD3CD1">
      <w:pPr>
        <w:pStyle w:val="ListParagraph"/>
        <w:tabs>
          <w:tab w:val="left" w:pos="284"/>
        </w:tabs>
        <w:ind w:hanging="720"/>
        <w:jc w:val="both"/>
        <w:rPr>
          <w:rFonts w:eastAsia="Calibri"/>
          <w:b/>
          <w:color w:val="auto"/>
        </w:rPr>
      </w:pPr>
      <w:r w:rsidRPr="00F941DA">
        <w:rPr>
          <w:rFonts w:eastAsia="Calibri"/>
          <w:b/>
          <w:color w:val="auto"/>
        </w:rPr>
        <w:t xml:space="preserve">2. </w:t>
      </w:r>
      <w:r w:rsidR="00301CF8" w:rsidRPr="00F941DA">
        <w:rPr>
          <w:rFonts w:eastAsia="Calibri"/>
          <w:b/>
          <w:color w:val="auto"/>
        </w:rPr>
        <w:t>Criterii de includere</w:t>
      </w:r>
    </w:p>
    <w:p w14:paraId="492EED04" w14:textId="77777777" w:rsidR="00301CF8" w:rsidRPr="00F941DA" w:rsidRDefault="00301CF8" w:rsidP="00301CF8">
      <w:pPr>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Pacienţi adulţi cu infecţie cronică cu virusul hepatitic C (VHC), fără răspuns la oricare din tratamentele antivirale DAA efectuate anterior (tratament corect şi complet confirmat de către medicul gastroenterolog/infecţionist care a monitorizat terapia anterioară) cu o viremie VHC pozitivă (peste limita de detecţie) (a se vedea criteriile de evaluare preterapeutică).</w:t>
      </w:r>
    </w:p>
    <w:p w14:paraId="2847A16C" w14:textId="77777777" w:rsidR="00301CF8" w:rsidRPr="00F941DA" w:rsidRDefault="00301CF8" w:rsidP="00DD3CD1">
      <w:pPr>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Comentarii:</w:t>
      </w:r>
    </w:p>
    <w:p w14:paraId="5F088672" w14:textId="77777777" w:rsidR="00301CF8" w:rsidRPr="00F941DA" w:rsidRDefault="00301CF8" w:rsidP="00D11DF1">
      <w:pPr>
        <w:numPr>
          <w:ilvl w:val="3"/>
          <w:numId w:val="183"/>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Pacienţii cu hepatocarcinom pot primi tratament cu condiţia ca hepatocarcinomul să fi fost tratat, iar investigaţiile imagistice efectuate la cel puţin 24 săptămâni să arate lipsa recurenţei bolii. Medicul curant va analiza beneficiile comparativ cu riscurile în decizia sa privind iniţierea tratamentului antiviral având în vedere rata mare de recidivă a bolii neoplazice şi evoluţia nefavorabilă.</w:t>
      </w:r>
    </w:p>
    <w:p w14:paraId="651AB7ED" w14:textId="77777777" w:rsidR="00301CF8" w:rsidRPr="00F941DA" w:rsidRDefault="00301CF8" w:rsidP="00D11DF1">
      <w:pPr>
        <w:numPr>
          <w:ilvl w:val="3"/>
          <w:numId w:val="183"/>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 xml:space="preserve">Pacienții cu afecțiuni maligne extrahepatice tratați curativ, cu rata de recidivă redusă necesită şi consultul şi acordul medicului curant (hematolog, oncolog). </w:t>
      </w:r>
    </w:p>
    <w:p w14:paraId="4D0EEA3F" w14:textId="77777777" w:rsidR="00301CF8" w:rsidRPr="00F941DA" w:rsidRDefault="00301CF8" w:rsidP="00D11DF1">
      <w:pPr>
        <w:numPr>
          <w:ilvl w:val="3"/>
          <w:numId w:val="183"/>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Pacienţii cu co-infecţie B  - dacă pacientul îndeplineşte criteriile de terapie VHB (conform protocolului LB01B CNAS/MS), se începe concomitent şi tratamentul cu analogi nucleotidici/nucleozidici pentru VHB utilizându-se aceleaşi criterii de monitorizare, iar dacă are AgHBs pozitiv dar nu întruneşte criteriile standard de tratament VHB, trebuie tratat cu analogi nucleozidici/nucleotidici în dozele standard pentru VHB pe parcursul terapiei anti VHC plus încă 12 săptămâni după finalizarea terapiei VHC</w:t>
      </w:r>
    </w:p>
    <w:p w14:paraId="503D42FC" w14:textId="77777777" w:rsidR="00301CF8" w:rsidRPr="00F941DA" w:rsidRDefault="00301CF8" w:rsidP="00D11DF1">
      <w:pPr>
        <w:numPr>
          <w:ilvl w:val="3"/>
          <w:numId w:val="183"/>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Pentru coinfecţia VHC+HIV, tratamentul va fi recomandat şi monitorizat în centrele regionale HIV.</w:t>
      </w:r>
    </w:p>
    <w:p w14:paraId="593F9E0E" w14:textId="77777777" w:rsidR="00301CF8" w:rsidRPr="00F941DA" w:rsidRDefault="00301CF8" w:rsidP="00D11DF1">
      <w:pPr>
        <w:numPr>
          <w:ilvl w:val="3"/>
          <w:numId w:val="183"/>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 xml:space="preserve">Tratamentul şi monitorizarea infecţiei VHC la pacienţii post-transplant hepatic sau post-transplant de organe solide se va efectua în Centrul de transplant unde s-a efectuat transplantul/ Centrul de transplant care a luat în evidenţă pacientul (pentru pacienţii care au efectuat transplantul în afara României) în colaborare cu medicul specialist gastroenterolog/infecţionist din centru, deoarece este necesară asigurarea în permanenţă a imunosupresiei şi ajustarea dozelor de imunosupresoare. </w:t>
      </w:r>
    </w:p>
    <w:p w14:paraId="13DE50E0" w14:textId="336A886F" w:rsidR="00301CF8" w:rsidRPr="00F941DA" w:rsidRDefault="00301CF8" w:rsidP="00DD3CD1">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Eficacitatea și siguranța nu au fost evaluate la pacientii post transplant hepatic. În consecință utilizarea medicamentului la această categorie se face numai după corecta evaluare a riscurilor și beneficiilor , iar medicul prescriptor şi pacientul îşi asumă personal responsabi</w:t>
      </w:r>
      <w:r w:rsidR="00DD3CD1" w:rsidRPr="00F941DA">
        <w:rPr>
          <w:rFonts w:ascii="Times New Roman" w:eastAsia="Calibri" w:hAnsi="Times New Roman" w:cs="Times New Roman"/>
          <w:sz w:val="24"/>
          <w:szCs w:val="24"/>
        </w:rPr>
        <w:t>litatea administrării terapiei.</w:t>
      </w:r>
    </w:p>
    <w:p w14:paraId="1900E853" w14:textId="77777777" w:rsidR="00DD3CD1" w:rsidRPr="00F941DA" w:rsidRDefault="00DD3CD1" w:rsidP="00DD3CD1">
      <w:pPr>
        <w:spacing w:after="0"/>
        <w:jc w:val="both"/>
        <w:rPr>
          <w:rFonts w:ascii="Times New Roman" w:eastAsia="Calibri" w:hAnsi="Times New Roman" w:cs="Times New Roman"/>
          <w:sz w:val="24"/>
          <w:szCs w:val="24"/>
        </w:rPr>
      </w:pPr>
    </w:p>
    <w:p w14:paraId="52D16ABB" w14:textId="72B13630" w:rsidR="00301CF8" w:rsidRPr="00F941DA" w:rsidRDefault="00DD3CD1" w:rsidP="00301CF8">
      <w:pPr>
        <w:tabs>
          <w:tab w:val="left" w:pos="142"/>
          <w:tab w:val="left" w:pos="284"/>
        </w:tabs>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3</w:t>
      </w:r>
      <w:r w:rsidR="00301CF8" w:rsidRPr="00F941DA">
        <w:rPr>
          <w:rFonts w:ascii="Times New Roman" w:eastAsia="Calibri" w:hAnsi="Times New Roman" w:cs="Times New Roman"/>
          <w:b/>
          <w:sz w:val="24"/>
          <w:szCs w:val="24"/>
        </w:rPr>
        <w:t>.</w:t>
      </w:r>
      <w:r w:rsidR="00301CF8" w:rsidRPr="00F941DA">
        <w:rPr>
          <w:rFonts w:ascii="Times New Roman" w:eastAsia="Calibri" w:hAnsi="Times New Roman" w:cs="Times New Roman"/>
          <w:b/>
          <w:sz w:val="24"/>
          <w:szCs w:val="24"/>
        </w:rPr>
        <w:tab/>
        <w:t>Evaluarea pre-terapeutică</w:t>
      </w:r>
    </w:p>
    <w:p w14:paraId="46F85B1B" w14:textId="77777777" w:rsidR="00301CF8" w:rsidRPr="00F941DA" w:rsidRDefault="00301CF8" w:rsidP="00D11DF1">
      <w:pPr>
        <w:numPr>
          <w:ilvl w:val="0"/>
          <w:numId w:val="186"/>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Determinarea cantitativă a ARN-VHC  (ARN VHC peste limita de detecție  ≥15UI/ml). Tratamentul este indicat indiferent de valoarea ARN VHC . Dacă viremia este mai veche de 6 luni faţă de momentul evaluării în vederea includerii în tratament, se recomandă repetarea viremiei VHC.</w:t>
      </w:r>
    </w:p>
    <w:p w14:paraId="40CBE61D" w14:textId="77777777" w:rsidR="00301CF8" w:rsidRPr="00F941DA" w:rsidRDefault="00301CF8" w:rsidP="00D11DF1">
      <w:pPr>
        <w:numPr>
          <w:ilvl w:val="0"/>
          <w:numId w:val="186"/>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 xml:space="preserve">Transaminazele serice (ALT, AST) </w:t>
      </w:r>
    </w:p>
    <w:p w14:paraId="6947AF10" w14:textId="77777777" w:rsidR="00301CF8" w:rsidRPr="00F941DA" w:rsidRDefault="00301CF8" w:rsidP="00D11DF1">
      <w:pPr>
        <w:numPr>
          <w:ilvl w:val="0"/>
          <w:numId w:val="186"/>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Hemograma</w:t>
      </w:r>
    </w:p>
    <w:p w14:paraId="7E13F26B" w14:textId="77777777" w:rsidR="00301CF8" w:rsidRPr="00F941DA" w:rsidRDefault="00301CF8" w:rsidP="00D11DF1">
      <w:pPr>
        <w:numPr>
          <w:ilvl w:val="0"/>
          <w:numId w:val="186"/>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lastRenderedPageBreak/>
        <w:t>Albumina serică</w:t>
      </w:r>
    </w:p>
    <w:p w14:paraId="5E47EB81" w14:textId="77777777" w:rsidR="00301CF8" w:rsidRPr="00F941DA" w:rsidRDefault="00301CF8" w:rsidP="00D11DF1">
      <w:pPr>
        <w:numPr>
          <w:ilvl w:val="0"/>
          <w:numId w:val="186"/>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Bilirubina totală</w:t>
      </w:r>
    </w:p>
    <w:p w14:paraId="08229ECA" w14:textId="77777777" w:rsidR="00301CF8" w:rsidRPr="00F941DA" w:rsidRDefault="00301CF8" w:rsidP="00D11DF1">
      <w:pPr>
        <w:numPr>
          <w:ilvl w:val="0"/>
          <w:numId w:val="186"/>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TP (INR) pentru fibroza F4 se calculează scorul Child-Pugh care trebuie să fie ≤6</w:t>
      </w:r>
    </w:p>
    <w:p w14:paraId="33326694" w14:textId="77777777" w:rsidR="00301CF8" w:rsidRPr="00F941DA" w:rsidRDefault="00301CF8" w:rsidP="00D11DF1">
      <w:pPr>
        <w:numPr>
          <w:ilvl w:val="0"/>
          <w:numId w:val="186"/>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 xml:space="preserve">Alfa-fetoproteina; în cazul în care nivelul seric al AFP depăşeşte 50 ng/ml, se recomandă examen CT sau IRM abdomen cu substanţă de contrast i.v. pentru excluderea hepatocarcinomului  </w:t>
      </w:r>
    </w:p>
    <w:p w14:paraId="2F960246" w14:textId="77777777" w:rsidR="00301CF8" w:rsidRPr="00F941DA" w:rsidRDefault="00301CF8" w:rsidP="00D11DF1">
      <w:pPr>
        <w:numPr>
          <w:ilvl w:val="0"/>
          <w:numId w:val="186"/>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Creatinina serică și clearance la creatinină</w:t>
      </w:r>
    </w:p>
    <w:p w14:paraId="28E20E59" w14:textId="77777777" w:rsidR="00301CF8" w:rsidRPr="00F941DA" w:rsidRDefault="00301CF8" w:rsidP="00D11DF1">
      <w:pPr>
        <w:numPr>
          <w:ilvl w:val="0"/>
          <w:numId w:val="186"/>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Ecografia abdominală (suspiciunea de HCC impune CT și/sau RMN cu substanţă de contrast)</w:t>
      </w:r>
    </w:p>
    <w:p w14:paraId="034D3AC9" w14:textId="77777777" w:rsidR="00301CF8" w:rsidRPr="00F941DA" w:rsidRDefault="00301CF8" w:rsidP="00D11DF1">
      <w:pPr>
        <w:numPr>
          <w:ilvl w:val="0"/>
          <w:numId w:val="186"/>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Test de sarcină (pentru femeile de vârstă fertilă)</w:t>
      </w:r>
    </w:p>
    <w:p w14:paraId="44D4EB50" w14:textId="77777777" w:rsidR="00301CF8" w:rsidRPr="00F941DA" w:rsidRDefault="00301CF8" w:rsidP="00D11DF1">
      <w:pPr>
        <w:numPr>
          <w:ilvl w:val="0"/>
          <w:numId w:val="186"/>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Ag HBs, Ac anti-HBc, iar în cazul în care cel puţin unul din aceşti parametri este pozitiv se efectuează viremia VHB</w:t>
      </w:r>
    </w:p>
    <w:p w14:paraId="3754420B" w14:textId="77777777" w:rsidR="00301CF8" w:rsidRPr="00F941DA" w:rsidRDefault="00301CF8" w:rsidP="00D11DF1">
      <w:pPr>
        <w:numPr>
          <w:ilvl w:val="0"/>
          <w:numId w:val="186"/>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 xml:space="preserve">Ac anti citomegalovirus IGM  - la pacienţii cu transplant </w:t>
      </w:r>
    </w:p>
    <w:p w14:paraId="367672A5" w14:textId="77777777" w:rsidR="00301CF8" w:rsidRPr="00F941DA" w:rsidRDefault="00301CF8" w:rsidP="00D11DF1">
      <w:pPr>
        <w:numPr>
          <w:ilvl w:val="0"/>
          <w:numId w:val="186"/>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Bolile asociate (pulmonare, cardiace, renale etc) impun consultarea și evaluarea contraindicațiilor din punct de vedere al specialității respective pentru introducerea tratamentului antiviral.</w:t>
      </w:r>
    </w:p>
    <w:p w14:paraId="7918E4D3" w14:textId="77777777" w:rsidR="00301CF8" w:rsidRPr="00F941DA" w:rsidRDefault="00301CF8" w:rsidP="00D11DF1">
      <w:pPr>
        <w:numPr>
          <w:ilvl w:val="0"/>
          <w:numId w:val="186"/>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Evaluarea și înregistrarea corectă şi completă a medicamentelor utilizate de pacient în vederea evitării contraindicațiilor sau interacțiunilor medicamentoase (vezi Rezumatul Caracteristicilor Produselor sau http//www.hepdruginteractions.org).</w:t>
      </w:r>
    </w:p>
    <w:p w14:paraId="4B0F7E65" w14:textId="77777777" w:rsidR="00301CF8" w:rsidRPr="00F941DA" w:rsidRDefault="00301CF8" w:rsidP="00DD3CD1">
      <w:pPr>
        <w:pBdr>
          <w:top w:val="nil"/>
          <w:left w:val="nil"/>
          <w:bottom w:val="nil"/>
          <w:right w:val="nil"/>
          <w:between w:val="nil"/>
          <w:bar w:val="nil"/>
        </w:pBdr>
        <w:spacing w:after="0"/>
        <w:ind w:left="720"/>
        <w:jc w:val="both"/>
        <w:rPr>
          <w:rFonts w:ascii="Times New Roman" w:hAnsi="Times New Roman" w:cs="Times New Roman"/>
          <w:sz w:val="24"/>
          <w:szCs w:val="24"/>
          <w:u w:color="000000"/>
          <w:bdr w:val="nil"/>
          <w:lang w:eastAsia="ro-RO"/>
        </w:rPr>
      </w:pPr>
    </w:p>
    <w:p w14:paraId="2C70B964" w14:textId="46C55AC6" w:rsidR="00301CF8" w:rsidRPr="00F941DA" w:rsidRDefault="00DD3CD1" w:rsidP="00301CF8">
      <w:pPr>
        <w:tabs>
          <w:tab w:val="left" w:pos="284"/>
        </w:tabs>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4</w:t>
      </w:r>
      <w:r w:rsidR="00301CF8" w:rsidRPr="00F941DA">
        <w:rPr>
          <w:rFonts w:ascii="Times New Roman" w:eastAsia="Calibri" w:hAnsi="Times New Roman" w:cs="Times New Roman"/>
          <w:b/>
          <w:sz w:val="24"/>
          <w:szCs w:val="24"/>
        </w:rPr>
        <w:t>.</w:t>
      </w:r>
      <w:r w:rsidR="00301CF8" w:rsidRPr="00F941DA">
        <w:rPr>
          <w:rFonts w:ascii="Times New Roman" w:eastAsia="Calibri" w:hAnsi="Times New Roman" w:cs="Times New Roman"/>
          <w:b/>
          <w:sz w:val="24"/>
          <w:szCs w:val="24"/>
        </w:rPr>
        <w:tab/>
        <w:t>Criterii de excludere/contraindicaţii</w:t>
      </w:r>
    </w:p>
    <w:p w14:paraId="7B84FCDA" w14:textId="77777777" w:rsidR="00301CF8" w:rsidRPr="00F941DA" w:rsidRDefault="00301CF8" w:rsidP="00D11DF1">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Pacienţii adulţi cu infecţie cronică cu virusul hepatitic C (VHC), care au avut răspuns viral sustinut (RVS) la oricare din tratamentele antivirale DAA efectuate anterior şi cu o viremie VHC recentă (în ultimele 6 luni),  pozitivă (peste limita de detecţie)</w:t>
      </w:r>
    </w:p>
    <w:p w14:paraId="37E53AFF" w14:textId="77777777" w:rsidR="00301CF8" w:rsidRPr="00F941DA" w:rsidRDefault="00301CF8" w:rsidP="00D11DF1">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 xml:space="preserve">Cirozele   decompensate (ascită, icter, hemoragie digestivă, encefalopatie hepatică, peritonită bacteriană spontană, sindrom hepato-renal) actual sau în antecedente, având scorul Child-Pugh&gt; 6 puncte </w:t>
      </w:r>
    </w:p>
    <w:p w14:paraId="70150F97" w14:textId="77777777" w:rsidR="00301CF8" w:rsidRPr="00F941DA" w:rsidRDefault="00301CF8" w:rsidP="00D11DF1">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Cancerele hepatice tratate prin rezecție, ablație, TACE la mai puţin de 6 luni de la procedură sau dacă sunt semne (CT/IRM) de activitate/recidivă post procedură.</w:t>
      </w:r>
    </w:p>
    <w:p w14:paraId="73041494" w14:textId="77777777" w:rsidR="00301CF8" w:rsidRPr="00F941DA" w:rsidRDefault="00301CF8" w:rsidP="00D11DF1">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 xml:space="preserve">Afecţiuni maligne extrahepatice care nu beneficiază de tratament cu potenţial curativ </w:t>
      </w:r>
    </w:p>
    <w:p w14:paraId="2DFEA655" w14:textId="77777777" w:rsidR="00DD3CD1" w:rsidRPr="00F941DA" w:rsidRDefault="00301CF8" w:rsidP="00D11DF1">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 xml:space="preserve">Pacienţi cu insuficienţă renală cronică severă (e GFR &lt; 30ml/min/1,73 m2 ) sau pacienţi cu insuficienţă renală cronică în stadiul terminal care necesită hemodializă. </w:t>
      </w:r>
    </w:p>
    <w:p w14:paraId="6CFB04B3" w14:textId="1D3FD5F6" w:rsidR="00301CF8" w:rsidRPr="00F941DA" w:rsidRDefault="00301CF8" w:rsidP="00DD3CD1">
      <w:pPr>
        <w:pBdr>
          <w:top w:val="nil"/>
          <w:left w:val="nil"/>
          <w:bottom w:val="nil"/>
          <w:right w:val="nil"/>
          <w:between w:val="nil"/>
          <w:bar w:val="nil"/>
        </w:pBdr>
        <w:spacing w:after="0"/>
        <w:ind w:left="284"/>
        <w:jc w:val="both"/>
        <w:rPr>
          <w:rFonts w:ascii="Times New Roman" w:hAnsi="Times New Roman" w:cs="Times New Roman"/>
          <w:sz w:val="24"/>
          <w:szCs w:val="24"/>
          <w:u w:color="000000"/>
          <w:bdr w:val="nil"/>
          <w:lang w:eastAsia="ro-RO"/>
        </w:rPr>
      </w:pPr>
      <w:r w:rsidRPr="00F941DA">
        <w:rPr>
          <w:rFonts w:ascii="Times New Roman" w:eastAsia="Calibri" w:hAnsi="Times New Roman" w:cs="Times New Roman"/>
          <w:sz w:val="24"/>
          <w:szCs w:val="24"/>
        </w:rPr>
        <w:t>În RCP-ul produsului este specificat faptul că „nu există suficiente date legate de tratamentul pacienţilor cu insuficienţă renală în stadiul terminal şi nu a fost studiat la pacienţii cu dializă cronică. Medicamentul poate fi utilizat la aceşti pacienţi  în absenţa altor opţiuni terapeutice”. Deci această contraindicaţie poate fi considerată o contraindicaţie relativă. Medicul prescriptor şi pacientul îşi asumă personal responsabilitatea administrării terapiei.</w:t>
      </w:r>
    </w:p>
    <w:p w14:paraId="74F03D09" w14:textId="77777777" w:rsidR="00301CF8" w:rsidRPr="00F941DA" w:rsidRDefault="00301CF8" w:rsidP="00D11DF1">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Contraindicaţiile medicamentoase specifice pentru opțiunea terapeutică aleasă: Toate interacţiunile medicamentoase trebuie corect documentate prin accesarea site-ului hep-drug-interactions.com, RCP-ul produsului şi listarea graficului de interacţiuni posibile.</w:t>
      </w:r>
    </w:p>
    <w:p w14:paraId="3F6285C5" w14:textId="77777777" w:rsidR="00301CF8" w:rsidRPr="00F941DA" w:rsidRDefault="00301CF8" w:rsidP="00301CF8">
      <w:pPr>
        <w:pBdr>
          <w:top w:val="nil"/>
          <w:left w:val="nil"/>
          <w:bottom w:val="nil"/>
          <w:right w:val="nil"/>
          <w:between w:val="nil"/>
          <w:bar w:val="nil"/>
        </w:pBdr>
        <w:ind w:left="720"/>
        <w:jc w:val="both"/>
        <w:rPr>
          <w:rFonts w:ascii="Times New Roman" w:hAnsi="Times New Roman" w:cs="Times New Roman"/>
          <w:sz w:val="24"/>
          <w:szCs w:val="24"/>
          <w:u w:color="000000"/>
          <w:bdr w:val="nil"/>
          <w:lang w:eastAsia="ro-RO"/>
        </w:rPr>
      </w:pPr>
    </w:p>
    <w:p w14:paraId="41B2A804" w14:textId="3469F613" w:rsidR="00301CF8" w:rsidRPr="00F941DA" w:rsidRDefault="00DD3CD1" w:rsidP="00DD3CD1">
      <w:pPr>
        <w:tabs>
          <w:tab w:val="left" w:pos="284"/>
        </w:tabs>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5</w:t>
      </w:r>
      <w:r w:rsidR="00301CF8" w:rsidRPr="00F941DA">
        <w:rPr>
          <w:rFonts w:ascii="Times New Roman" w:eastAsia="Calibri" w:hAnsi="Times New Roman" w:cs="Times New Roman"/>
          <w:b/>
          <w:sz w:val="24"/>
          <w:szCs w:val="24"/>
        </w:rPr>
        <w:t>.</w:t>
      </w:r>
      <w:r w:rsidR="00301CF8" w:rsidRPr="00F941DA">
        <w:rPr>
          <w:rFonts w:ascii="Times New Roman" w:eastAsia="Calibri" w:hAnsi="Times New Roman" w:cs="Times New Roman"/>
          <w:b/>
          <w:sz w:val="24"/>
          <w:szCs w:val="24"/>
        </w:rPr>
        <w:tab/>
        <w:t>Tratament - posologie:</w:t>
      </w:r>
    </w:p>
    <w:p w14:paraId="7DE465EF" w14:textId="77777777" w:rsidR="00301CF8" w:rsidRPr="00F941DA" w:rsidRDefault="00301CF8" w:rsidP="00DD3CD1">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Combinatii (SOFOSBUVIR 400 mg +VELPATASVIR 100 mg +VOXILAPREVIR 100 mg) - 1cp/zi </w:t>
      </w:r>
    </w:p>
    <w:p w14:paraId="2CE2FFAF" w14:textId="77777777" w:rsidR="00DD3CD1" w:rsidRPr="00F941DA" w:rsidRDefault="00DD3CD1" w:rsidP="00DD3CD1">
      <w:pPr>
        <w:tabs>
          <w:tab w:val="left" w:pos="284"/>
        </w:tabs>
        <w:spacing w:after="0"/>
        <w:jc w:val="both"/>
        <w:rPr>
          <w:rFonts w:ascii="Times New Roman" w:eastAsia="Calibri" w:hAnsi="Times New Roman" w:cs="Times New Roman"/>
          <w:b/>
          <w:sz w:val="24"/>
          <w:szCs w:val="24"/>
        </w:rPr>
      </w:pPr>
    </w:p>
    <w:p w14:paraId="0CD0D700" w14:textId="6011FB4F" w:rsidR="00301CF8" w:rsidRPr="00F941DA" w:rsidRDefault="00301CF8" w:rsidP="00DD3CD1">
      <w:pPr>
        <w:tabs>
          <w:tab w:val="left" w:pos="284"/>
        </w:tabs>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 xml:space="preserve">Durata tratamentului:  </w:t>
      </w:r>
    </w:p>
    <w:p w14:paraId="42D4D226" w14:textId="77777777" w:rsidR="00301CF8" w:rsidRPr="00F941DA" w:rsidRDefault="00301CF8" w:rsidP="00D11DF1">
      <w:pPr>
        <w:numPr>
          <w:ilvl w:val="0"/>
          <w:numId w:val="188"/>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12 săptămâni</w:t>
      </w:r>
    </w:p>
    <w:p w14:paraId="798EC9A7" w14:textId="77777777" w:rsidR="00301CF8" w:rsidRPr="00F941DA" w:rsidRDefault="00301CF8" w:rsidP="00DD3CD1">
      <w:pPr>
        <w:pBdr>
          <w:top w:val="nil"/>
          <w:left w:val="nil"/>
          <w:bottom w:val="nil"/>
          <w:right w:val="nil"/>
          <w:between w:val="nil"/>
          <w:bar w:val="nil"/>
        </w:pBdr>
        <w:spacing w:after="0"/>
        <w:ind w:left="720"/>
        <w:jc w:val="both"/>
        <w:rPr>
          <w:rFonts w:ascii="Times New Roman" w:hAnsi="Times New Roman" w:cs="Times New Roman"/>
          <w:sz w:val="24"/>
          <w:szCs w:val="24"/>
          <w:u w:color="000000"/>
          <w:bdr w:val="nil"/>
          <w:lang w:eastAsia="ro-RO"/>
        </w:rPr>
      </w:pPr>
    </w:p>
    <w:p w14:paraId="75DB014D" w14:textId="18906564" w:rsidR="00301CF8" w:rsidRPr="00F941DA" w:rsidRDefault="00301CF8" w:rsidP="00DD3CD1">
      <w:pPr>
        <w:tabs>
          <w:tab w:val="left" w:pos="284"/>
        </w:tabs>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Monitorizarea tratamentului</w:t>
      </w:r>
    </w:p>
    <w:p w14:paraId="6DCDEE11" w14:textId="77777777" w:rsidR="00301CF8" w:rsidRPr="00F941DA" w:rsidRDefault="00301CF8" w:rsidP="00DD3CD1">
      <w:pPr>
        <w:pStyle w:val="ListParagraph"/>
        <w:numPr>
          <w:ilvl w:val="0"/>
          <w:numId w:val="136"/>
        </w:numPr>
        <w:ind w:left="284" w:hanging="284"/>
        <w:jc w:val="both"/>
        <w:rPr>
          <w:rFonts w:eastAsia="Calibri"/>
          <w:color w:val="auto"/>
        </w:rPr>
      </w:pPr>
      <w:r w:rsidRPr="00F941DA">
        <w:rPr>
          <w:rFonts w:eastAsia="Calibri"/>
          <w:color w:val="auto"/>
        </w:rPr>
        <w:t xml:space="preserve">La terminarea tratamentului: </w:t>
      </w:r>
    </w:p>
    <w:p w14:paraId="0914BC12" w14:textId="288B5C44" w:rsidR="00DD3CD1" w:rsidRPr="00F941DA" w:rsidRDefault="00301CF8" w:rsidP="00D11DF1">
      <w:pPr>
        <w:numPr>
          <w:ilvl w:val="0"/>
          <w:numId w:val="185"/>
        </w:numPr>
        <w:tabs>
          <w:tab w:val="left" w:pos="567"/>
        </w:tabs>
        <w:spacing w:after="0" w:line="276" w:lineRule="auto"/>
        <w:ind w:left="284" w:firstLine="0"/>
        <w:contextualSpacing/>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Transaminazele serice, Hemograma, albumina, INR.</w:t>
      </w:r>
    </w:p>
    <w:p w14:paraId="0D0F3619" w14:textId="77777777" w:rsidR="00301CF8" w:rsidRPr="00F941DA" w:rsidRDefault="00301CF8" w:rsidP="00DD3CD1">
      <w:pPr>
        <w:pStyle w:val="ListParagraph"/>
        <w:numPr>
          <w:ilvl w:val="0"/>
          <w:numId w:val="136"/>
        </w:numPr>
        <w:ind w:left="284" w:hanging="284"/>
        <w:jc w:val="both"/>
        <w:rPr>
          <w:rFonts w:eastAsia="Calibri"/>
          <w:color w:val="auto"/>
        </w:rPr>
      </w:pPr>
      <w:r w:rsidRPr="00F941DA">
        <w:rPr>
          <w:rFonts w:eastAsia="Calibri"/>
          <w:color w:val="auto"/>
        </w:rPr>
        <w:t xml:space="preserve">La 12 săptămâni de la terminarea tratamentului: </w:t>
      </w:r>
    </w:p>
    <w:p w14:paraId="24F1457B" w14:textId="55A8F644" w:rsidR="00301CF8" w:rsidRPr="00F941DA" w:rsidRDefault="00301CF8" w:rsidP="00D11DF1">
      <w:pPr>
        <w:numPr>
          <w:ilvl w:val="0"/>
          <w:numId w:val="185"/>
        </w:numPr>
        <w:spacing w:after="0" w:line="276" w:lineRule="auto"/>
        <w:ind w:left="567" w:hanging="207"/>
        <w:contextualSpacing/>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 xml:space="preserve">Viremia cantitativă (RVS-12) : ARN VHC  </w:t>
      </w:r>
    </w:p>
    <w:p w14:paraId="570338A1" w14:textId="77777777" w:rsidR="00301CF8" w:rsidRPr="00F941DA" w:rsidRDefault="00301CF8" w:rsidP="00301CF8">
      <w:pPr>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lastRenderedPageBreak/>
        <w:t>Pacienţii cu infecţie ocultă VHB (Ac anti HBc pozitiv, AgHBs negativ) vor fi monitorizaţi lunar pe parcursul tratamentului cu medicamente cu acţiune antivirală directă: ALT, AST lunar. Dacă pe parcursul monitorizării se constată creșterea transaminazelor , se va repeta Ag HBs şi ADN VHB. Dacă una dintre ele este pozitivă (indiferent de nivel) se începe tratamentul pentru VHB conform recomandărilor anterioare.</w:t>
      </w:r>
    </w:p>
    <w:p w14:paraId="31A05420" w14:textId="77777777" w:rsidR="00301CF8" w:rsidRPr="00F941DA" w:rsidRDefault="00301CF8" w:rsidP="00DD3CD1">
      <w:pPr>
        <w:spacing w:after="0"/>
        <w:jc w:val="both"/>
        <w:rPr>
          <w:rFonts w:ascii="Times New Roman" w:eastAsia="Calibri" w:hAnsi="Times New Roman" w:cs="Times New Roman"/>
          <w:sz w:val="24"/>
          <w:szCs w:val="24"/>
        </w:rPr>
      </w:pPr>
    </w:p>
    <w:p w14:paraId="6EC82F15" w14:textId="681DE456" w:rsidR="00301CF8" w:rsidRPr="00F941DA" w:rsidRDefault="00DD3CD1" w:rsidP="00301CF8">
      <w:pPr>
        <w:tabs>
          <w:tab w:val="left" w:pos="284"/>
        </w:tabs>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6</w:t>
      </w:r>
      <w:r w:rsidR="00301CF8" w:rsidRPr="00F941DA">
        <w:rPr>
          <w:rFonts w:ascii="Times New Roman" w:eastAsia="Calibri" w:hAnsi="Times New Roman" w:cs="Times New Roman"/>
          <w:b/>
          <w:sz w:val="24"/>
          <w:szCs w:val="24"/>
        </w:rPr>
        <w:t>.</w:t>
      </w:r>
      <w:r w:rsidR="00301CF8" w:rsidRPr="00F941DA">
        <w:rPr>
          <w:rFonts w:ascii="Times New Roman" w:eastAsia="Calibri" w:hAnsi="Times New Roman" w:cs="Times New Roman"/>
          <w:b/>
          <w:sz w:val="24"/>
          <w:szCs w:val="24"/>
        </w:rPr>
        <w:tab/>
        <w:t>Criterii de evaluare a rezultatului terapiei</w:t>
      </w:r>
    </w:p>
    <w:p w14:paraId="10C32235" w14:textId="77777777" w:rsidR="00301CF8" w:rsidRPr="00F941DA" w:rsidRDefault="00301CF8" w:rsidP="00D11DF1">
      <w:pPr>
        <w:numPr>
          <w:ilvl w:val="3"/>
          <w:numId w:val="184"/>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Răspuns virusologic susţinut (RVS-12):</w:t>
      </w:r>
    </w:p>
    <w:p w14:paraId="2903FC2F" w14:textId="77777777" w:rsidR="00301CF8" w:rsidRPr="00F941DA" w:rsidRDefault="00301CF8" w:rsidP="00D11DF1">
      <w:pPr>
        <w:numPr>
          <w:ilvl w:val="0"/>
          <w:numId w:val="188"/>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ARN-VHC nedetectabil la 12 săptămâni de la terminarea tratamentului.</w:t>
      </w:r>
    </w:p>
    <w:p w14:paraId="18EE6201" w14:textId="77777777" w:rsidR="00301CF8" w:rsidRPr="00F941DA" w:rsidRDefault="00301CF8" w:rsidP="00D11DF1">
      <w:pPr>
        <w:numPr>
          <w:ilvl w:val="3"/>
          <w:numId w:val="184"/>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Eșec terapeutic:</w:t>
      </w:r>
    </w:p>
    <w:p w14:paraId="0C328C6B" w14:textId="77777777" w:rsidR="00301CF8" w:rsidRPr="00F941DA" w:rsidRDefault="00301CF8" w:rsidP="00D11DF1">
      <w:pPr>
        <w:numPr>
          <w:ilvl w:val="0"/>
          <w:numId w:val="188"/>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F941DA">
        <w:rPr>
          <w:rFonts w:ascii="Times New Roman" w:hAnsi="Times New Roman" w:cs="Times New Roman"/>
          <w:sz w:val="24"/>
          <w:szCs w:val="24"/>
          <w:u w:color="000000"/>
          <w:bdr w:val="nil"/>
          <w:lang w:eastAsia="ro-RO"/>
        </w:rPr>
        <w:t>ARN-VHC detectabil indiferent de nivelul de detecţie la 12 săptămâni de la terminarea tratamentului.</w:t>
      </w:r>
    </w:p>
    <w:p w14:paraId="4CD7CDCC" w14:textId="77777777" w:rsidR="00D05E4C" w:rsidRPr="00F941DA" w:rsidRDefault="00D05E4C" w:rsidP="00301CF8">
      <w:pPr>
        <w:tabs>
          <w:tab w:val="left" w:pos="284"/>
        </w:tabs>
        <w:jc w:val="both"/>
        <w:rPr>
          <w:rFonts w:ascii="Times New Roman" w:eastAsia="Calibri" w:hAnsi="Times New Roman" w:cs="Times New Roman"/>
          <w:b/>
          <w:sz w:val="24"/>
          <w:szCs w:val="24"/>
        </w:rPr>
      </w:pPr>
    </w:p>
    <w:p w14:paraId="0A41A65D" w14:textId="3700ADBA" w:rsidR="00301CF8" w:rsidRPr="00F941DA" w:rsidRDefault="00DD3CD1" w:rsidP="00D05E4C">
      <w:pPr>
        <w:tabs>
          <w:tab w:val="left" w:pos="284"/>
        </w:tabs>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7</w:t>
      </w:r>
      <w:r w:rsidR="00301CF8" w:rsidRPr="00F941DA">
        <w:rPr>
          <w:rFonts w:ascii="Times New Roman" w:eastAsia="Calibri" w:hAnsi="Times New Roman" w:cs="Times New Roman"/>
          <w:b/>
          <w:sz w:val="24"/>
          <w:szCs w:val="24"/>
        </w:rPr>
        <w:t>.</w:t>
      </w:r>
      <w:r w:rsidR="00301CF8" w:rsidRPr="00F941DA">
        <w:rPr>
          <w:rFonts w:ascii="Times New Roman" w:eastAsia="Calibri" w:hAnsi="Times New Roman" w:cs="Times New Roman"/>
          <w:b/>
          <w:sz w:val="24"/>
          <w:szCs w:val="24"/>
        </w:rPr>
        <w:tab/>
        <w:t>Prescriptori</w:t>
      </w:r>
    </w:p>
    <w:p w14:paraId="1397E7D3" w14:textId="05A3BAD3" w:rsidR="00301CF8" w:rsidRPr="00F941DA" w:rsidRDefault="00301CF8" w:rsidP="00301CF8">
      <w:pPr>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Medicii din  specialitatea gastroenterologie şi medici din specialitatea boli infecţioase aflaţi în relaţii contractuale cu casele de asigurări de sănătate: </w:t>
      </w:r>
      <w:r w:rsidR="00E74F9B" w:rsidRPr="00F941DA">
        <w:rPr>
          <w:rFonts w:ascii="Times New Roman" w:eastAsia="Calibri" w:hAnsi="Times New Roman" w:cs="Times New Roman"/>
          <w:sz w:val="24"/>
          <w:szCs w:val="24"/>
        </w:rPr>
        <w:t xml:space="preserve">Bacău, </w:t>
      </w:r>
      <w:r w:rsidRPr="00F941DA">
        <w:rPr>
          <w:rFonts w:ascii="Times New Roman" w:eastAsia="Calibri" w:hAnsi="Times New Roman" w:cs="Times New Roman"/>
          <w:sz w:val="24"/>
          <w:szCs w:val="24"/>
        </w:rPr>
        <w:t>Bucureşti, Bihor,  Braşov, Cluj, Constanţa, Dolj, Galaţi, Iaşi,  Mureş, Sibiu, Timiş şi CASAOPSNAJ.</w:t>
      </w:r>
      <w:r w:rsidR="00D05E4C" w:rsidRPr="00F941DA">
        <w:rPr>
          <w:rFonts w:ascii="Times New Roman" w:eastAsia="Calibri" w:hAnsi="Times New Roman" w:cs="Times New Roman"/>
          <w:sz w:val="24"/>
          <w:szCs w:val="24"/>
        </w:rPr>
        <w:t>”</w:t>
      </w:r>
    </w:p>
    <w:p w14:paraId="45A5394F" w14:textId="77777777" w:rsidR="00301CF8" w:rsidRPr="00F941DA" w:rsidRDefault="00301CF8" w:rsidP="00301CF8">
      <w:pPr>
        <w:autoSpaceDE w:val="0"/>
        <w:autoSpaceDN w:val="0"/>
        <w:adjustRightInd w:val="0"/>
        <w:jc w:val="both"/>
        <w:rPr>
          <w:rFonts w:ascii="Times New Roman" w:hAnsi="Times New Roman" w:cs="Times New Roman"/>
          <w:sz w:val="24"/>
          <w:szCs w:val="24"/>
          <w:lang w:val="x-none"/>
        </w:rPr>
      </w:pPr>
    </w:p>
    <w:p w14:paraId="6E945341" w14:textId="77777777" w:rsidR="00301CF8" w:rsidRPr="00F941DA" w:rsidRDefault="00301CF8" w:rsidP="00301CF8">
      <w:pPr>
        <w:autoSpaceDE w:val="0"/>
        <w:autoSpaceDN w:val="0"/>
        <w:adjustRightInd w:val="0"/>
        <w:jc w:val="both"/>
        <w:rPr>
          <w:rFonts w:ascii="Times New Roman" w:hAnsi="Times New Roman" w:cs="Times New Roman"/>
          <w:sz w:val="24"/>
          <w:szCs w:val="24"/>
          <w:lang w:val="en-US"/>
        </w:rPr>
      </w:pPr>
    </w:p>
    <w:p w14:paraId="4B4AD05C" w14:textId="77777777" w:rsidR="00301CF8" w:rsidRPr="00F941DA" w:rsidRDefault="00301CF8" w:rsidP="00301CF8">
      <w:pPr>
        <w:autoSpaceDE w:val="0"/>
        <w:autoSpaceDN w:val="0"/>
        <w:adjustRightInd w:val="0"/>
        <w:jc w:val="both"/>
        <w:rPr>
          <w:rFonts w:ascii="Times New Roman" w:hAnsi="Times New Roman" w:cs="Times New Roman"/>
          <w:sz w:val="24"/>
          <w:szCs w:val="24"/>
          <w:lang w:val="x-none"/>
        </w:rPr>
      </w:pPr>
    </w:p>
    <w:p w14:paraId="10283B0F" w14:textId="77777777" w:rsidR="00301CF8" w:rsidRPr="00F941DA" w:rsidRDefault="00301CF8" w:rsidP="00301CF8">
      <w:pPr>
        <w:jc w:val="both"/>
        <w:rPr>
          <w:rFonts w:ascii="Times New Roman" w:hAnsi="Times New Roman" w:cs="Times New Roman"/>
          <w:b/>
          <w:sz w:val="24"/>
          <w:szCs w:val="24"/>
        </w:rPr>
      </w:pPr>
    </w:p>
    <w:p w14:paraId="4E97A14F" w14:textId="77777777" w:rsidR="006A440B" w:rsidRPr="00F941DA" w:rsidRDefault="006A440B" w:rsidP="00984957">
      <w:pPr>
        <w:pStyle w:val="ListParagraph"/>
        <w:rPr>
          <w:rFonts w:eastAsia="Arial"/>
          <w:b/>
          <w:bCs/>
          <w:color w:val="auto"/>
          <w:lang w:val="en-US"/>
        </w:rPr>
      </w:pPr>
    </w:p>
    <w:p w14:paraId="2A14449E" w14:textId="77777777" w:rsidR="006A440B" w:rsidRPr="00F941DA" w:rsidRDefault="006A440B" w:rsidP="00984957">
      <w:pPr>
        <w:pStyle w:val="ListParagraph"/>
        <w:rPr>
          <w:rFonts w:eastAsia="Arial"/>
          <w:b/>
          <w:bCs/>
          <w:color w:val="auto"/>
          <w:lang w:val="en-US"/>
        </w:rPr>
      </w:pPr>
    </w:p>
    <w:p w14:paraId="669930F8" w14:textId="77777777" w:rsidR="006A440B" w:rsidRPr="00F941DA" w:rsidRDefault="006A440B" w:rsidP="00984957">
      <w:pPr>
        <w:pStyle w:val="ListParagraph"/>
        <w:rPr>
          <w:rFonts w:eastAsia="Arial"/>
          <w:b/>
          <w:bCs/>
          <w:color w:val="auto"/>
          <w:lang w:val="en-US"/>
        </w:rPr>
      </w:pPr>
    </w:p>
    <w:p w14:paraId="1DF8968D" w14:textId="77777777" w:rsidR="006A440B" w:rsidRPr="00F941DA" w:rsidRDefault="006A440B" w:rsidP="00984957">
      <w:pPr>
        <w:pStyle w:val="ListParagraph"/>
        <w:rPr>
          <w:rFonts w:eastAsia="Arial"/>
          <w:b/>
          <w:bCs/>
          <w:color w:val="auto"/>
          <w:lang w:val="en-US"/>
        </w:rPr>
      </w:pPr>
    </w:p>
    <w:p w14:paraId="64B46DBF" w14:textId="77777777" w:rsidR="006A440B" w:rsidRPr="00F941DA" w:rsidRDefault="006A440B" w:rsidP="00984957">
      <w:pPr>
        <w:pStyle w:val="ListParagraph"/>
        <w:rPr>
          <w:rFonts w:eastAsia="Arial"/>
          <w:b/>
          <w:bCs/>
          <w:color w:val="auto"/>
          <w:lang w:val="en-US"/>
        </w:rPr>
      </w:pPr>
    </w:p>
    <w:p w14:paraId="78E32002" w14:textId="77777777" w:rsidR="006A440B" w:rsidRPr="00F941DA" w:rsidRDefault="006A440B" w:rsidP="00984957">
      <w:pPr>
        <w:pStyle w:val="ListParagraph"/>
        <w:rPr>
          <w:rFonts w:eastAsia="Arial"/>
          <w:b/>
          <w:bCs/>
          <w:color w:val="auto"/>
          <w:lang w:val="en-US"/>
        </w:rPr>
      </w:pPr>
    </w:p>
    <w:p w14:paraId="3C4FF4F2" w14:textId="77777777" w:rsidR="006A440B" w:rsidRPr="00F941DA" w:rsidRDefault="006A440B" w:rsidP="00984957">
      <w:pPr>
        <w:pStyle w:val="ListParagraph"/>
        <w:rPr>
          <w:rFonts w:eastAsia="Arial"/>
          <w:b/>
          <w:bCs/>
          <w:color w:val="auto"/>
          <w:lang w:val="en-US"/>
        </w:rPr>
      </w:pPr>
    </w:p>
    <w:p w14:paraId="6274CA71" w14:textId="77777777" w:rsidR="006A440B" w:rsidRPr="00F941DA" w:rsidRDefault="006A440B" w:rsidP="00984957">
      <w:pPr>
        <w:pStyle w:val="ListParagraph"/>
        <w:rPr>
          <w:rFonts w:eastAsia="Arial"/>
          <w:b/>
          <w:bCs/>
          <w:color w:val="auto"/>
          <w:lang w:val="en-US"/>
        </w:rPr>
      </w:pPr>
    </w:p>
    <w:p w14:paraId="35874BC9" w14:textId="77777777" w:rsidR="006A440B" w:rsidRPr="00F941DA" w:rsidRDefault="006A440B" w:rsidP="00984957">
      <w:pPr>
        <w:pStyle w:val="ListParagraph"/>
        <w:rPr>
          <w:rFonts w:eastAsia="Arial"/>
          <w:b/>
          <w:bCs/>
          <w:color w:val="auto"/>
          <w:lang w:val="en-US"/>
        </w:rPr>
      </w:pPr>
    </w:p>
    <w:p w14:paraId="227325BA" w14:textId="77777777" w:rsidR="006A440B" w:rsidRPr="00F941DA" w:rsidRDefault="006A440B" w:rsidP="00984957">
      <w:pPr>
        <w:pStyle w:val="ListParagraph"/>
        <w:rPr>
          <w:rFonts w:eastAsia="Arial"/>
          <w:b/>
          <w:bCs/>
          <w:color w:val="auto"/>
          <w:lang w:val="en-US"/>
        </w:rPr>
      </w:pPr>
    </w:p>
    <w:p w14:paraId="367B23E4" w14:textId="77777777" w:rsidR="006A440B" w:rsidRPr="00F941DA" w:rsidRDefault="006A440B" w:rsidP="00984957">
      <w:pPr>
        <w:pStyle w:val="ListParagraph"/>
        <w:rPr>
          <w:rFonts w:eastAsia="Arial"/>
          <w:b/>
          <w:bCs/>
          <w:color w:val="auto"/>
          <w:lang w:val="en-US"/>
        </w:rPr>
      </w:pPr>
    </w:p>
    <w:p w14:paraId="2D1CBB12" w14:textId="77777777" w:rsidR="006A440B" w:rsidRPr="00F941DA" w:rsidRDefault="006A440B" w:rsidP="00984957">
      <w:pPr>
        <w:pStyle w:val="ListParagraph"/>
        <w:rPr>
          <w:rFonts w:eastAsia="Arial"/>
          <w:b/>
          <w:bCs/>
          <w:color w:val="auto"/>
          <w:lang w:val="en-US"/>
        </w:rPr>
      </w:pPr>
    </w:p>
    <w:p w14:paraId="424161D4" w14:textId="77777777" w:rsidR="006A440B" w:rsidRPr="00F941DA" w:rsidRDefault="006A440B" w:rsidP="00984957">
      <w:pPr>
        <w:pStyle w:val="ListParagraph"/>
        <w:rPr>
          <w:rFonts w:eastAsia="Arial"/>
          <w:b/>
          <w:bCs/>
          <w:color w:val="auto"/>
          <w:lang w:val="en-US"/>
        </w:rPr>
      </w:pPr>
    </w:p>
    <w:p w14:paraId="6152D602" w14:textId="77777777" w:rsidR="006A440B" w:rsidRPr="00F941DA" w:rsidRDefault="006A440B" w:rsidP="00984957">
      <w:pPr>
        <w:pStyle w:val="ListParagraph"/>
        <w:rPr>
          <w:rFonts w:eastAsia="Arial"/>
          <w:b/>
          <w:bCs/>
          <w:color w:val="auto"/>
          <w:lang w:val="en-US"/>
        </w:rPr>
      </w:pPr>
    </w:p>
    <w:p w14:paraId="41E8FC51" w14:textId="77777777" w:rsidR="006A440B" w:rsidRPr="00F941DA" w:rsidRDefault="006A440B" w:rsidP="00984957">
      <w:pPr>
        <w:pStyle w:val="ListParagraph"/>
        <w:rPr>
          <w:rFonts w:eastAsia="Arial"/>
          <w:b/>
          <w:bCs/>
          <w:color w:val="auto"/>
          <w:lang w:val="en-US"/>
        </w:rPr>
      </w:pPr>
    </w:p>
    <w:p w14:paraId="2224975A" w14:textId="77777777" w:rsidR="006A440B" w:rsidRPr="00F941DA" w:rsidRDefault="006A440B" w:rsidP="00984957">
      <w:pPr>
        <w:pStyle w:val="ListParagraph"/>
        <w:rPr>
          <w:rFonts w:eastAsia="Arial"/>
          <w:b/>
          <w:bCs/>
          <w:color w:val="auto"/>
          <w:lang w:val="en-US"/>
        </w:rPr>
      </w:pPr>
    </w:p>
    <w:p w14:paraId="70CF2F0F" w14:textId="77777777" w:rsidR="006A440B" w:rsidRPr="00F941DA" w:rsidRDefault="006A440B" w:rsidP="00984957">
      <w:pPr>
        <w:pStyle w:val="ListParagraph"/>
        <w:rPr>
          <w:rFonts w:eastAsia="Arial"/>
          <w:b/>
          <w:bCs/>
          <w:color w:val="auto"/>
          <w:lang w:val="en-US"/>
        </w:rPr>
      </w:pPr>
    </w:p>
    <w:p w14:paraId="586CC2E4" w14:textId="77777777" w:rsidR="00D05E4C" w:rsidRPr="00F941DA" w:rsidRDefault="00D05E4C" w:rsidP="00984957">
      <w:pPr>
        <w:pStyle w:val="ListParagraph"/>
        <w:rPr>
          <w:rFonts w:eastAsia="Arial"/>
          <w:b/>
          <w:bCs/>
          <w:color w:val="auto"/>
          <w:lang w:val="en-US"/>
        </w:rPr>
      </w:pPr>
    </w:p>
    <w:p w14:paraId="5F7D8675" w14:textId="77777777" w:rsidR="00D05E4C" w:rsidRPr="00F941DA" w:rsidRDefault="00D05E4C" w:rsidP="00984957">
      <w:pPr>
        <w:pStyle w:val="ListParagraph"/>
        <w:rPr>
          <w:rFonts w:eastAsia="Arial"/>
          <w:b/>
          <w:bCs/>
          <w:color w:val="auto"/>
          <w:lang w:val="en-US"/>
        </w:rPr>
      </w:pPr>
    </w:p>
    <w:p w14:paraId="6D9C2A57" w14:textId="77777777" w:rsidR="00D05E4C" w:rsidRPr="00F941DA" w:rsidRDefault="00D05E4C" w:rsidP="00984957">
      <w:pPr>
        <w:pStyle w:val="ListParagraph"/>
        <w:rPr>
          <w:rFonts w:eastAsia="Arial"/>
          <w:b/>
          <w:bCs/>
          <w:color w:val="auto"/>
          <w:lang w:val="en-US"/>
        </w:rPr>
      </w:pPr>
    </w:p>
    <w:p w14:paraId="1B1144C4" w14:textId="77777777" w:rsidR="00D05E4C" w:rsidRPr="00F941DA" w:rsidRDefault="00D05E4C" w:rsidP="00984957">
      <w:pPr>
        <w:pStyle w:val="ListParagraph"/>
        <w:rPr>
          <w:rFonts w:eastAsia="Arial"/>
          <w:b/>
          <w:bCs/>
          <w:color w:val="auto"/>
          <w:lang w:val="en-US"/>
        </w:rPr>
      </w:pPr>
    </w:p>
    <w:p w14:paraId="0087E21B" w14:textId="77777777" w:rsidR="00D05E4C" w:rsidRPr="00F941DA" w:rsidRDefault="00D05E4C" w:rsidP="00984957">
      <w:pPr>
        <w:pStyle w:val="ListParagraph"/>
        <w:rPr>
          <w:rFonts w:eastAsia="Arial"/>
          <w:b/>
          <w:bCs/>
          <w:color w:val="auto"/>
          <w:lang w:val="en-US"/>
        </w:rPr>
      </w:pPr>
    </w:p>
    <w:p w14:paraId="574D4AB5" w14:textId="77777777" w:rsidR="006A440B" w:rsidRPr="00F941DA" w:rsidRDefault="006A440B" w:rsidP="00984957">
      <w:pPr>
        <w:pStyle w:val="ListParagraph"/>
        <w:rPr>
          <w:rFonts w:eastAsia="Arial"/>
          <w:b/>
          <w:bCs/>
          <w:color w:val="auto"/>
          <w:lang w:val="en-US"/>
        </w:rPr>
      </w:pPr>
    </w:p>
    <w:p w14:paraId="0B39118E" w14:textId="77777777" w:rsidR="008F49DC" w:rsidRPr="00F941DA" w:rsidRDefault="008F49DC" w:rsidP="008F49DC">
      <w:pPr>
        <w:rPr>
          <w:rFonts w:ascii="Times New Roman" w:eastAsia="Arial" w:hAnsi="Times New Roman" w:cs="Times New Roman"/>
          <w:b/>
          <w:bCs/>
          <w:sz w:val="24"/>
          <w:szCs w:val="24"/>
          <w:u w:color="000000"/>
          <w:bdr w:val="nil"/>
          <w:lang w:val="en-US" w:eastAsia="ro-RO"/>
        </w:rPr>
      </w:pPr>
    </w:p>
    <w:p w14:paraId="27631D93" w14:textId="77777777" w:rsidR="008F49DC" w:rsidRPr="00F941DA" w:rsidRDefault="008F49DC" w:rsidP="008F49DC">
      <w:pPr>
        <w:rPr>
          <w:rFonts w:eastAsia="Arial"/>
          <w:b/>
          <w:bCs/>
          <w:lang w:val="en-US"/>
        </w:rPr>
      </w:pPr>
    </w:p>
    <w:p w14:paraId="4922B0E4" w14:textId="77777777" w:rsidR="00CB7B02" w:rsidRPr="00F941DA" w:rsidRDefault="00CB7B02" w:rsidP="00984957">
      <w:pPr>
        <w:pStyle w:val="ListParagraph"/>
        <w:rPr>
          <w:rFonts w:eastAsia="Arial"/>
          <w:b/>
          <w:bCs/>
          <w:color w:val="auto"/>
          <w:lang w:val="en-US"/>
        </w:rPr>
      </w:pPr>
    </w:p>
    <w:p w14:paraId="48185B53" w14:textId="71EC66C5" w:rsidR="007B60B7" w:rsidRPr="00F941DA" w:rsidRDefault="007B60B7" w:rsidP="00301CF8">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 xml:space="preserve">La anexa nr. 1, protocolul terapeutic corespunzător poziţiei nr. </w:t>
      </w:r>
      <w:r w:rsidR="00CA4F71" w:rsidRPr="00F941DA">
        <w:rPr>
          <w:rFonts w:eastAsia="Arial"/>
          <w:b/>
          <w:bCs/>
          <w:color w:val="auto"/>
          <w:lang w:val="en-US"/>
        </w:rPr>
        <w:t>132</w:t>
      </w:r>
      <w:r w:rsidRPr="00F941DA">
        <w:rPr>
          <w:rFonts w:eastAsia="Arial"/>
          <w:b/>
          <w:bCs/>
          <w:color w:val="auto"/>
          <w:lang w:val="en-US"/>
        </w:rPr>
        <w:t xml:space="preserve"> cod (</w:t>
      </w:r>
      <w:r w:rsidR="00CA4F71" w:rsidRPr="00F941DA">
        <w:rPr>
          <w:rFonts w:eastAsia="Arial"/>
          <w:b/>
          <w:bCs/>
          <w:color w:val="auto"/>
          <w:lang w:val="en-US"/>
        </w:rPr>
        <w:t>L01BC07</w:t>
      </w:r>
      <w:r w:rsidRPr="00F941DA">
        <w:rPr>
          <w:rFonts w:eastAsia="Arial"/>
          <w:b/>
          <w:bCs/>
          <w:color w:val="auto"/>
          <w:lang w:val="en-US"/>
        </w:rPr>
        <w:t xml:space="preserve">): DCI </w:t>
      </w:r>
      <w:r w:rsidR="00CA4F71" w:rsidRPr="00F941DA">
        <w:rPr>
          <w:rFonts w:eastAsia="Arial"/>
          <w:b/>
          <w:bCs/>
          <w:color w:val="auto"/>
          <w:lang w:val="en-US"/>
        </w:rPr>
        <w:t>AZACITIDINUMUM</w:t>
      </w:r>
      <w:r w:rsidRPr="00F941DA">
        <w:rPr>
          <w:rFonts w:eastAsia="Arial"/>
          <w:b/>
          <w:bCs/>
          <w:color w:val="auto"/>
          <w:lang w:val="en-US"/>
        </w:rPr>
        <w:t xml:space="preserve"> se modifică și se înlocuiește cu următorul protocol:</w:t>
      </w:r>
    </w:p>
    <w:p w14:paraId="69746A5F" w14:textId="77777777" w:rsidR="007B60B7" w:rsidRPr="00F941DA" w:rsidRDefault="007B60B7" w:rsidP="007B60B7">
      <w:pPr>
        <w:tabs>
          <w:tab w:val="left" w:pos="426"/>
        </w:tabs>
        <w:jc w:val="both"/>
        <w:rPr>
          <w:rFonts w:ascii="Times New Roman" w:eastAsia="Arial" w:hAnsi="Times New Roman" w:cs="Times New Roman"/>
          <w:b/>
          <w:bCs/>
          <w:sz w:val="24"/>
          <w:szCs w:val="24"/>
          <w:lang w:val="en-US"/>
        </w:rPr>
      </w:pPr>
    </w:p>
    <w:p w14:paraId="3221BBF1" w14:textId="60CBCEBD" w:rsidR="007B60B7" w:rsidRPr="00F941DA" w:rsidRDefault="007B60B7" w:rsidP="007B60B7">
      <w:pPr>
        <w:tabs>
          <w:tab w:val="left" w:pos="426"/>
        </w:tabs>
        <w:jc w:val="both"/>
        <w:rPr>
          <w:rFonts w:ascii="Times New Roman" w:eastAsia="Arial" w:hAnsi="Times New Roman" w:cs="Times New Roman"/>
          <w:b/>
          <w:bCs/>
          <w:sz w:val="24"/>
          <w:szCs w:val="24"/>
          <w:lang w:val="en-US"/>
        </w:rPr>
      </w:pPr>
      <w:r w:rsidRPr="00F941DA">
        <w:rPr>
          <w:rFonts w:ascii="Times New Roman" w:eastAsia="Arial" w:hAnsi="Times New Roman" w:cs="Times New Roman"/>
          <w:b/>
          <w:bCs/>
          <w:sz w:val="24"/>
          <w:szCs w:val="24"/>
          <w:lang w:val="en-US"/>
        </w:rPr>
        <w:t xml:space="preserve">”Protocol terapeutic corespunzător poziţiei nr. </w:t>
      </w:r>
      <w:r w:rsidR="00CA4F71" w:rsidRPr="00F941DA">
        <w:rPr>
          <w:rFonts w:ascii="Times New Roman" w:eastAsia="Arial" w:hAnsi="Times New Roman" w:cs="Times New Roman"/>
          <w:b/>
          <w:bCs/>
          <w:sz w:val="24"/>
          <w:szCs w:val="24"/>
          <w:lang w:val="en-US"/>
        </w:rPr>
        <w:t>132 cod (L01BC07): DCI AZACITIDINUMUM</w:t>
      </w:r>
    </w:p>
    <w:p w14:paraId="491423FE" w14:textId="77777777" w:rsidR="006A440B" w:rsidRPr="00F941DA" w:rsidRDefault="006A440B" w:rsidP="006A440B">
      <w:pPr>
        <w:autoSpaceDE w:val="0"/>
        <w:autoSpaceDN w:val="0"/>
        <w:adjustRightInd w:val="0"/>
        <w:jc w:val="both"/>
        <w:rPr>
          <w:rFonts w:ascii="Times New Roman" w:hAnsi="Times New Roman" w:cs="Times New Roman"/>
          <w:sz w:val="24"/>
          <w:szCs w:val="24"/>
        </w:rPr>
      </w:pPr>
    </w:p>
    <w:p w14:paraId="24B5A96E" w14:textId="5B976C35" w:rsidR="006A440B" w:rsidRPr="00F941DA" w:rsidRDefault="006A440B" w:rsidP="006A440B">
      <w:pPr>
        <w:autoSpaceDE w:val="0"/>
        <w:autoSpaceDN w:val="0"/>
        <w:adjustRightInd w:val="0"/>
        <w:jc w:val="both"/>
        <w:rPr>
          <w:rFonts w:ascii="Times New Roman" w:hAnsi="Times New Roman" w:cs="Times New Roman"/>
          <w:b/>
          <w:sz w:val="24"/>
          <w:szCs w:val="24"/>
          <w:u w:val="single"/>
        </w:rPr>
      </w:pPr>
      <w:r w:rsidRPr="00F941DA">
        <w:rPr>
          <w:rFonts w:ascii="Times New Roman" w:hAnsi="Times New Roman" w:cs="Times New Roman"/>
          <w:b/>
          <w:sz w:val="24"/>
          <w:szCs w:val="24"/>
          <w:u w:val="single"/>
        </w:rPr>
        <w:t>A. Forma farmaceutica cu administare subcutana</w:t>
      </w:r>
    </w:p>
    <w:p w14:paraId="6831B8DA" w14:textId="77777777" w:rsidR="006A440B" w:rsidRPr="00F941DA" w:rsidRDefault="006A440B" w:rsidP="006A440B">
      <w:pPr>
        <w:autoSpaceDE w:val="0"/>
        <w:autoSpaceDN w:val="0"/>
        <w:adjustRightInd w:val="0"/>
        <w:spacing w:after="0"/>
        <w:jc w:val="both"/>
        <w:rPr>
          <w:rFonts w:ascii="Times New Roman" w:hAnsi="Times New Roman" w:cs="Times New Roman"/>
          <w:b/>
          <w:bCs/>
          <w:sz w:val="24"/>
          <w:szCs w:val="24"/>
        </w:rPr>
      </w:pPr>
      <w:r w:rsidRPr="00F941DA">
        <w:rPr>
          <w:rFonts w:ascii="Times New Roman" w:hAnsi="Times New Roman" w:cs="Times New Roman"/>
          <w:b/>
          <w:bCs/>
          <w:sz w:val="24"/>
          <w:szCs w:val="24"/>
        </w:rPr>
        <w:t>I. Indicaţie:</w:t>
      </w:r>
    </w:p>
    <w:p w14:paraId="568D5F82" w14:textId="77777777" w:rsidR="006A440B" w:rsidRPr="00F941DA" w:rsidRDefault="006A440B" w:rsidP="006A440B">
      <w:pPr>
        <w:numPr>
          <w:ilvl w:val="0"/>
          <w:numId w:val="117"/>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leucemie acută mieloidă (LAM)</w:t>
      </w:r>
    </w:p>
    <w:p w14:paraId="0895CFAD" w14:textId="77777777" w:rsidR="006A440B" w:rsidRPr="00F941DA" w:rsidRDefault="006A440B" w:rsidP="006A440B">
      <w:pPr>
        <w:numPr>
          <w:ilvl w:val="0"/>
          <w:numId w:val="117"/>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leucemie mielomonocitară cronică (LMMC)</w:t>
      </w:r>
    </w:p>
    <w:p w14:paraId="764CE454" w14:textId="77777777" w:rsidR="006A440B" w:rsidRPr="00F941DA" w:rsidRDefault="006A440B" w:rsidP="006A440B">
      <w:pPr>
        <w:numPr>
          <w:ilvl w:val="0"/>
          <w:numId w:val="117"/>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sindroame mielodisplazice cu risc intermediar-2 şi mare</w:t>
      </w:r>
    </w:p>
    <w:p w14:paraId="7EE06B77"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0287A54D" w14:textId="77777777" w:rsidR="006A440B" w:rsidRPr="00F941DA" w:rsidRDefault="006A440B" w:rsidP="006A440B">
      <w:pPr>
        <w:autoSpaceDE w:val="0"/>
        <w:autoSpaceDN w:val="0"/>
        <w:adjustRightInd w:val="0"/>
        <w:spacing w:after="0"/>
        <w:jc w:val="both"/>
        <w:rPr>
          <w:rFonts w:ascii="Times New Roman" w:hAnsi="Times New Roman" w:cs="Times New Roman"/>
          <w:b/>
          <w:bCs/>
          <w:sz w:val="24"/>
          <w:szCs w:val="24"/>
        </w:rPr>
      </w:pPr>
      <w:r w:rsidRPr="00F941DA">
        <w:rPr>
          <w:rFonts w:ascii="Times New Roman" w:hAnsi="Times New Roman" w:cs="Times New Roman"/>
          <w:b/>
          <w:bCs/>
          <w:sz w:val="24"/>
          <w:szCs w:val="24"/>
        </w:rPr>
        <w:t>II. Criterii de includere:</w:t>
      </w:r>
    </w:p>
    <w:p w14:paraId="28DD3232" w14:textId="77777777" w:rsidR="006A440B" w:rsidRPr="00F941DA" w:rsidRDefault="006A440B" w:rsidP="006A440B">
      <w:pPr>
        <w:numPr>
          <w:ilvl w:val="0"/>
          <w:numId w:val="118"/>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Tratamentul pacienţilor adulţi, neeligibili pentru transplantul de celule stem hematopoietice, cu leucemie acută mieloidă (LAM) cu 20 - 30% blaşti şi linii multiple de displazie, conform clasificării OMS.</w:t>
      </w:r>
    </w:p>
    <w:p w14:paraId="48DB7CFC" w14:textId="77777777" w:rsidR="006A440B" w:rsidRPr="00F941DA" w:rsidRDefault="006A440B" w:rsidP="006A440B">
      <w:pPr>
        <w:numPr>
          <w:ilvl w:val="0"/>
          <w:numId w:val="118"/>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Tratamentul pacienţilor adulţi, neeligibili pentru transplantul de celule stem hematopoietice, cu leucemie acută mieloidă (LAM) cu &gt; 30% blaşti medulari conform clasificării OMS.</w:t>
      </w:r>
    </w:p>
    <w:p w14:paraId="2756B1B4" w14:textId="77777777" w:rsidR="006A440B" w:rsidRPr="00F941DA" w:rsidRDefault="006A440B" w:rsidP="006A440B">
      <w:pPr>
        <w:numPr>
          <w:ilvl w:val="0"/>
          <w:numId w:val="118"/>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Tratamentul pacienţilor adulţi cu leucemie mielomonocitară cronică (LMMC) cu 10 - 29% blaşti medulari, fără boală mieloproliferativă şi neeligibili pentru transplantul de celule stem hematopoietice.</w:t>
      </w:r>
    </w:p>
    <w:p w14:paraId="43EC1E48" w14:textId="77777777" w:rsidR="006A440B" w:rsidRPr="00F941DA" w:rsidRDefault="006A440B" w:rsidP="006A440B">
      <w:pPr>
        <w:numPr>
          <w:ilvl w:val="0"/>
          <w:numId w:val="118"/>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Tratamentul pacienţilor adulţi, neeligibili pentru transplantul de celule stem hematopoietice, cu sindroame mielodisplazice cu risc intermediar-2 şi mare, conform sistemului internaţional de punctaj referitor la prognostic (IPSS clasic, Greenberg 1997/98)</w:t>
      </w:r>
    </w:p>
    <w:p w14:paraId="54528C78"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7DE3A90A" w14:textId="77777777" w:rsidR="006A440B" w:rsidRPr="00F941DA" w:rsidRDefault="006A440B" w:rsidP="006A440B">
      <w:pPr>
        <w:autoSpaceDE w:val="0"/>
        <w:autoSpaceDN w:val="0"/>
        <w:adjustRightInd w:val="0"/>
        <w:spacing w:after="0"/>
        <w:jc w:val="both"/>
        <w:rPr>
          <w:rFonts w:ascii="Times New Roman" w:hAnsi="Times New Roman" w:cs="Times New Roman"/>
          <w:b/>
          <w:bCs/>
          <w:sz w:val="24"/>
          <w:szCs w:val="24"/>
        </w:rPr>
      </w:pPr>
      <w:r w:rsidRPr="00F941DA">
        <w:rPr>
          <w:rFonts w:ascii="Times New Roman" w:hAnsi="Times New Roman" w:cs="Times New Roman"/>
          <w:b/>
          <w:bCs/>
          <w:sz w:val="24"/>
          <w:szCs w:val="24"/>
        </w:rPr>
        <w:t>III. Criterii de excludere de la tratament:</w:t>
      </w:r>
    </w:p>
    <w:p w14:paraId="21D8CF7C" w14:textId="77777777" w:rsidR="006A440B" w:rsidRPr="00F941DA" w:rsidRDefault="006A440B" w:rsidP="006A440B">
      <w:pPr>
        <w:numPr>
          <w:ilvl w:val="0"/>
          <w:numId w:val="119"/>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sarcină, alăptare,</w:t>
      </w:r>
    </w:p>
    <w:p w14:paraId="159C7C6D" w14:textId="77777777" w:rsidR="006A440B" w:rsidRPr="00F941DA" w:rsidRDefault="006A440B" w:rsidP="006A440B">
      <w:pPr>
        <w:numPr>
          <w:ilvl w:val="0"/>
          <w:numId w:val="119"/>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tumori maligne hepatice,</w:t>
      </w:r>
    </w:p>
    <w:p w14:paraId="2F5E13CD" w14:textId="77777777" w:rsidR="006A440B" w:rsidRPr="00F941DA" w:rsidRDefault="006A440B" w:rsidP="006A440B">
      <w:pPr>
        <w:numPr>
          <w:ilvl w:val="0"/>
          <w:numId w:val="119"/>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hipersensibilitate la produs.</w:t>
      </w:r>
    </w:p>
    <w:p w14:paraId="472A6DC6"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4E122986" w14:textId="4B60E280" w:rsidR="006A440B" w:rsidRPr="00F941DA" w:rsidRDefault="006A440B" w:rsidP="006A440B">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IV. Tratament:</w:t>
      </w:r>
    </w:p>
    <w:p w14:paraId="29CFDAF0" w14:textId="7FAEDFA7" w:rsidR="006A440B" w:rsidRPr="00F941DA" w:rsidRDefault="006A440B" w:rsidP="006A440B">
      <w:pPr>
        <w:autoSpaceDE w:val="0"/>
        <w:autoSpaceDN w:val="0"/>
        <w:adjustRightInd w:val="0"/>
        <w:jc w:val="both"/>
        <w:rPr>
          <w:rFonts w:ascii="Times New Roman" w:hAnsi="Times New Roman" w:cs="Times New Roman"/>
          <w:b/>
          <w:bCs/>
          <w:sz w:val="24"/>
          <w:szCs w:val="24"/>
          <w:u w:val="single"/>
        </w:rPr>
      </w:pPr>
      <w:r w:rsidRPr="00F941DA">
        <w:rPr>
          <w:rFonts w:ascii="Times New Roman" w:hAnsi="Times New Roman" w:cs="Times New Roman"/>
          <w:b/>
          <w:bCs/>
          <w:sz w:val="24"/>
          <w:szCs w:val="24"/>
        </w:rPr>
        <w:t xml:space="preserve">1. </w:t>
      </w:r>
      <w:r w:rsidRPr="00F941DA">
        <w:rPr>
          <w:rFonts w:ascii="Times New Roman" w:hAnsi="Times New Roman" w:cs="Times New Roman"/>
          <w:b/>
          <w:bCs/>
          <w:sz w:val="24"/>
          <w:szCs w:val="24"/>
          <w:u w:val="single"/>
        </w:rPr>
        <w:t>Dozare şi mod de administrare:</w:t>
      </w:r>
    </w:p>
    <w:p w14:paraId="27A0C47A" w14:textId="09206911" w:rsidR="006A440B" w:rsidRPr="00F941DA" w:rsidRDefault="006A440B" w:rsidP="006A440B">
      <w:pPr>
        <w:autoSpaceDE w:val="0"/>
        <w:autoSpaceDN w:val="0"/>
        <w:adjustRightInd w:val="0"/>
        <w:jc w:val="both"/>
        <w:rPr>
          <w:rFonts w:ascii="Times New Roman" w:hAnsi="Times New Roman" w:cs="Times New Roman"/>
          <w:b/>
          <w:bCs/>
          <w:sz w:val="24"/>
          <w:szCs w:val="24"/>
          <w:u w:val="single"/>
        </w:rPr>
      </w:pPr>
      <w:r w:rsidRPr="00F941DA">
        <w:rPr>
          <w:rFonts w:ascii="Times New Roman" w:hAnsi="Times New Roman" w:cs="Times New Roman"/>
          <w:sz w:val="24"/>
          <w:szCs w:val="24"/>
        </w:rPr>
        <w:t xml:space="preserve">Azacitidina a fost demonstrat că obţine răspunsuri terapeutice hematologice, prelungeşte timpul până la transformarea în LAM (unde este cazul) şi creşte calitatea vieţii. </w:t>
      </w:r>
    </w:p>
    <w:p w14:paraId="5D9E4945"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bCs/>
          <w:sz w:val="24"/>
          <w:szCs w:val="24"/>
        </w:rPr>
        <w:t>Doza iniţială</w:t>
      </w:r>
      <w:r w:rsidRPr="00F941DA">
        <w:rPr>
          <w:rFonts w:ascii="Times New Roman" w:hAnsi="Times New Roman" w:cs="Times New Roman"/>
          <w:sz w:val="24"/>
          <w:szCs w:val="24"/>
        </w:rPr>
        <w:t xml:space="preserve"> recomandată pentru primul ciclu de tratament, pentru toţi pacienţii, indiferent de valorile iniţiale ale parametrilor hematologici de laborator, este de </w:t>
      </w:r>
      <w:r w:rsidRPr="00F941DA">
        <w:rPr>
          <w:rFonts w:ascii="Times New Roman" w:hAnsi="Times New Roman" w:cs="Times New Roman"/>
          <w:b/>
          <w:bCs/>
          <w:sz w:val="24"/>
          <w:szCs w:val="24"/>
        </w:rPr>
        <w:t>75 mg/m</w:t>
      </w:r>
      <w:r w:rsidRPr="00F941DA">
        <w:rPr>
          <w:rFonts w:ascii="Times New Roman" w:hAnsi="Times New Roman" w:cs="Times New Roman"/>
          <w:b/>
          <w:bCs/>
          <w:sz w:val="24"/>
          <w:szCs w:val="24"/>
          <w:vertAlign w:val="superscript"/>
        </w:rPr>
        <w:t>2</w:t>
      </w:r>
      <w:r w:rsidRPr="00F941DA">
        <w:rPr>
          <w:rFonts w:ascii="Times New Roman" w:hAnsi="Times New Roman" w:cs="Times New Roman"/>
          <w:sz w:val="24"/>
          <w:szCs w:val="24"/>
        </w:rPr>
        <w:t xml:space="preserve"> de suprafaţă corporală, injectată </w:t>
      </w:r>
      <w:r w:rsidRPr="00F941DA">
        <w:rPr>
          <w:rFonts w:ascii="Times New Roman" w:hAnsi="Times New Roman" w:cs="Times New Roman"/>
          <w:b/>
          <w:bCs/>
          <w:sz w:val="24"/>
          <w:szCs w:val="24"/>
        </w:rPr>
        <w:t>subcutanat, zilnic</w:t>
      </w:r>
      <w:r w:rsidRPr="00F941DA">
        <w:rPr>
          <w:rFonts w:ascii="Times New Roman" w:hAnsi="Times New Roman" w:cs="Times New Roman"/>
          <w:sz w:val="24"/>
          <w:szCs w:val="24"/>
        </w:rPr>
        <w:t xml:space="preserve">, timp de </w:t>
      </w:r>
      <w:r w:rsidRPr="00F941DA">
        <w:rPr>
          <w:rFonts w:ascii="Times New Roman" w:hAnsi="Times New Roman" w:cs="Times New Roman"/>
          <w:b/>
          <w:bCs/>
          <w:sz w:val="24"/>
          <w:szCs w:val="24"/>
        </w:rPr>
        <w:t>7 zile</w:t>
      </w:r>
      <w:r w:rsidRPr="00F941DA">
        <w:rPr>
          <w:rFonts w:ascii="Times New Roman" w:hAnsi="Times New Roman" w:cs="Times New Roman"/>
          <w:sz w:val="24"/>
          <w:szCs w:val="24"/>
        </w:rPr>
        <w:t xml:space="preserve">, urmată de o perioadă de </w:t>
      </w:r>
      <w:r w:rsidRPr="00F941DA">
        <w:rPr>
          <w:rFonts w:ascii="Times New Roman" w:hAnsi="Times New Roman" w:cs="Times New Roman"/>
          <w:b/>
          <w:bCs/>
          <w:sz w:val="24"/>
          <w:szCs w:val="24"/>
        </w:rPr>
        <w:t>pauză</w:t>
      </w:r>
      <w:r w:rsidRPr="00F941DA">
        <w:rPr>
          <w:rFonts w:ascii="Times New Roman" w:hAnsi="Times New Roman" w:cs="Times New Roman"/>
          <w:sz w:val="24"/>
          <w:szCs w:val="24"/>
        </w:rPr>
        <w:t xml:space="preserve"> de </w:t>
      </w:r>
      <w:r w:rsidRPr="00F941DA">
        <w:rPr>
          <w:rFonts w:ascii="Times New Roman" w:hAnsi="Times New Roman" w:cs="Times New Roman"/>
          <w:b/>
          <w:bCs/>
          <w:sz w:val="24"/>
          <w:szCs w:val="24"/>
        </w:rPr>
        <w:t>21 zile (ciclu de tratament de 28 zile)</w:t>
      </w:r>
      <w:r w:rsidRPr="00F941DA">
        <w:rPr>
          <w:rFonts w:ascii="Times New Roman" w:hAnsi="Times New Roman" w:cs="Times New Roman"/>
          <w:sz w:val="24"/>
          <w:szCs w:val="24"/>
        </w:rPr>
        <w:t>.</w:t>
      </w:r>
    </w:p>
    <w:p w14:paraId="3B0A52DF" w14:textId="2470F04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Pacienţilor trebuie să li se administreze antiemetice ca premedicaţie împotriva greţurilor şi a vărsăturilor.  </w:t>
      </w:r>
    </w:p>
    <w:p w14:paraId="161A0F87" w14:textId="5998E44C" w:rsidR="006A440B" w:rsidRPr="00F941DA" w:rsidRDefault="006A440B" w:rsidP="006A440B">
      <w:pPr>
        <w:autoSpaceDE w:val="0"/>
        <w:autoSpaceDN w:val="0"/>
        <w:adjustRightInd w:val="0"/>
        <w:jc w:val="both"/>
        <w:rPr>
          <w:rFonts w:ascii="Times New Roman" w:hAnsi="Times New Roman" w:cs="Times New Roman"/>
          <w:b/>
          <w:bCs/>
          <w:sz w:val="24"/>
          <w:szCs w:val="24"/>
          <w:u w:val="single"/>
        </w:rPr>
      </w:pPr>
      <w:r w:rsidRPr="00F941DA">
        <w:rPr>
          <w:rFonts w:ascii="Times New Roman" w:hAnsi="Times New Roman" w:cs="Times New Roman"/>
          <w:b/>
          <w:bCs/>
          <w:sz w:val="24"/>
          <w:szCs w:val="24"/>
        </w:rPr>
        <w:t xml:space="preserve">2. </w:t>
      </w:r>
      <w:r w:rsidRPr="00F941DA">
        <w:rPr>
          <w:rFonts w:ascii="Times New Roman" w:hAnsi="Times New Roman" w:cs="Times New Roman"/>
          <w:b/>
          <w:bCs/>
          <w:sz w:val="24"/>
          <w:szCs w:val="24"/>
          <w:u w:val="single"/>
        </w:rPr>
        <w:t>Durata tratamentului:</w:t>
      </w:r>
    </w:p>
    <w:p w14:paraId="00D271B5"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Se recomandă ca pacienţilor să li se administreze cel puţin 6 cicluri. Întrucât răspunsul se poate instala lent, o evaluare a răspunsului sau eşecului mai devreme de trei luni nu e recomandată.</w:t>
      </w:r>
    </w:p>
    <w:p w14:paraId="2460E10E"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Tratamentul trebuie continuat atât timp cât pacientul beneficiază de pe urma tratamentului sau până la progresia bolii.</w:t>
      </w:r>
    </w:p>
    <w:p w14:paraId="1BBEA145" w14:textId="77777777" w:rsidR="006A440B" w:rsidRPr="00F941DA" w:rsidRDefault="006A440B" w:rsidP="006A440B">
      <w:pPr>
        <w:autoSpaceDE w:val="0"/>
        <w:autoSpaceDN w:val="0"/>
        <w:adjustRightInd w:val="0"/>
        <w:jc w:val="both"/>
        <w:rPr>
          <w:rFonts w:ascii="Times New Roman" w:hAnsi="Times New Roman" w:cs="Times New Roman"/>
          <w:sz w:val="24"/>
          <w:szCs w:val="24"/>
        </w:rPr>
      </w:pPr>
    </w:p>
    <w:p w14:paraId="1B7BC280" w14:textId="6483D5FA" w:rsidR="006A440B" w:rsidRPr="00F941DA" w:rsidRDefault="006A440B" w:rsidP="006A440B">
      <w:pPr>
        <w:autoSpaceDE w:val="0"/>
        <w:autoSpaceDN w:val="0"/>
        <w:adjustRightInd w:val="0"/>
        <w:jc w:val="both"/>
        <w:rPr>
          <w:rFonts w:ascii="Times New Roman" w:hAnsi="Times New Roman" w:cs="Times New Roman"/>
          <w:b/>
          <w:bCs/>
          <w:sz w:val="24"/>
          <w:szCs w:val="24"/>
          <w:u w:val="single"/>
        </w:rPr>
      </w:pPr>
      <w:r w:rsidRPr="00F941DA">
        <w:rPr>
          <w:rFonts w:ascii="Times New Roman" w:hAnsi="Times New Roman" w:cs="Times New Roman"/>
          <w:b/>
          <w:bCs/>
          <w:sz w:val="24"/>
          <w:szCs w:val="24"/>
        </w:rPr>
        <w:lastRenderedPageBreak/>
        <w:t xml:space="preserve">3. </w:t>
      </w:r>
      <w:r w:rsidRPr="00F941DA">
        <w:rPr>
          <w:rFonts w:ascii="Times New Roman" w:hAnsi="Times New Roman" w:cs="Times New Roman"/>
          <w:b/>
          <w:bCs/>
          <w:sz w:val="24"/>
          <w:szCs w:val="24"/>
          <w:u w:val="single"/>
        </w:rPr>
        <w:t>Monitorizarea tratamentului:</w:t>
      </w:r>
    </w:p>
    <w:p w14:paraId="75E16321"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a.   </w:t>
      </w:r>
      <w:r w:rsidRPr="00F941DA">
        <w:rPr>
          <w:rFonts w:ascii="Times New Roman" w:hAnsi="Times New Roman" w:cs="Times New Roman"/>
          <w:sz w:val="24"/>
          <w:szCs w:val="24"/>
          <w:u w:val="single"/>
        </w:rPr>
        <w:t>Înaintea iniţierii tratamentului şi înaintea fiecărui ciclu terapeutic</w:t>
      </w:r>
      <w:r w:rsidRPr="00F941DA">
        <w:rPr>
          <w:rFonts w:ascii="Times New Roman" w:hAnsi="Times New Roman" w:cs="Times New Roman"/>
          <w:sz w:val="24"/>
          <w:szCs w:val="24"/>
        </w:rPr>
        <w:t xml:space="preserve"> trebuie investigate:</w:t>
      </w:r>
    </w:p>
    <w:p w14:paraId="62A4DB24" w14:textId="77777777" w:rsidR="006A440B" w:rsidRPr="00F941DA" w:rsidRDefault="006A440B" w:rsidP="006A440B">
      <w:pPr>
        <w:numPr>
          <w:ilvl w:val="0"/>
          <w:numId w:val="120"/>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b/>
          <w:bCs/>
          <w:sz w:val="24"/>
          <w:szCs w:val="24"/>
        </w:rPr>
        <w:t>hemoleucograma completă</w:t>
      </w:r>
      <w:r w:rsidRPr="00F941DA">
        <w:rPr>
          <w:rFonts w:ascii="Times New Roman" w:hAnsi="Times New Roman" w:cs="Times New Roman"/>
          <w:sz w:val="24"/>
          <w:szCs w:val="24"/>
        </w:rPr>
        <w:t xml:space="preserve"> trebuie efectuată înaintea iniţierii tratamentului şi ori de câte ori este necesar pentru monitorizarea răspunsului şi toxicităţii, dar cel puţin înaintea fiecărui ciclu terapeutic deoarece tratamentul cu azacitidină este asociat cu citopenii, mai ales pe perioada primelor două cicluri.</w:t>
      </w:r>
    </w:p>
    <w:p w14:paraId="6977D6C2" w14:textId="77777777" w:rsidR="006A440B" w:rsidRPr="00F941DA" w:rsidRDefault="006A440B" w:rsidP="006A440B">
      <w:pPr>
        <w:numPr>
          <w:ilvl w:val="0"/>
          <w:numId w:val="120"/>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b/>
          <w:bCs/>
          <w:sz w:val="24"/>
          <w:szCs w:val="24"/>
        </w:rPr>
        <w:t>evaluarea cardiopulmonară</w:t>
      </w:r>
      <w:r w:rsidRPr="00F941DA">
        <w:rPr>
          <w:rFonts w:ascii="Times New Roman" w:hAnsi="Times New Roman" w:cs="Times New Roman"/>
          <w:sz w:val="24"/>
          <w:szCs w:val="24"/>
        </w:rPr>
        <w:t xml:space="preserve"> înainte de tratament şi pe durata tratamentului este necesară la pacienţii cu antecedente cunoscute de boală cardiovasculară sau pulmonară.</w:t>
      </w:r>
    </w:p>
    <w:p w14:paraId="3576B2C9" w14:textId="77777777" w:rsidR="006A440B" w:rsidRPr="00F941DA" w:rsidRDefault="006A440B" w:rsidP="006A440B">
      <w:pPr>
        <w:numPr>
          <w:ilvl w:val="0"/>
          <w:numId w:val="120"/>
        </w:numPr>
        <w:autoSpaceDE w:val="0"/>
        <w:autoSpaceDN w:val="0"/>
        <w:adjustRightInd w:val="0"/>
        <w:spacing w:after="0" w:line="240" w:lineRule="auto"/>
        <w:jc w:val="both"/>
        <w:rPr>
          <w:rFonts w:ascii="Times New Roman" w:hAnsi="Times New Roman" w:cs="Times New Roman"/>
          <w:b/>
          <w:bCs/>
          <w:sz w:val="24"/>
          <w:szCs w:val="24"/>
        </w:rPr>
      </w:pPr>
      <w:r w:rsidRPr="00F941DA">
        <w:rPr>
          <w:rFonts w:ascii="Times New Roman" w:hAnsi="Times New Roman" w:cs="Times New Roman"/>
          <w:b/>
          <w:bCs/>
          <w:sz w:val="24"/>
          <w:szCs w:val="24"/>
        </w:rPr>
        <w:t>funcţia hepatică</w:t>
      </w:r>
    </w:p>
    <w:p w14:paraId="25B5887C" w14:textId="77777777" w:rsidR="006A440B" w:rsidRPr="00F941DA" w:rsidRDefault="006A440B" w:rsidP="006A440B">
      <w:pPr>
        <w:numPr>
          <w:ilvl w:val="0"/>
          <w:numId w:val="120"/>
        </w:numPr>
        <w:autoSpaceDE w:val="0"/>
        <w:autoSpaceDN w:val="0"/>
        <w:adjustRightInd w:val="0"/>
        <w:spacing w:after="0" w:line="240" w:lineRule="auto"/>
        <w:jc w:val="both"/>
        <w:rPr>
          <w:rFonts w:ascii="Times New Roman" w:hAnsi="Times New Roman" w:cs="Times New Roman"/>
          <w:b/>
          <w:bCs/>
          <w:sz w:val="24"/>
          <w:szCs w:val="24"/>
        </w:rPr>
      </w:pPr>
      <w:r w:rsidRPr="00F941DA">
        <w:rPr>
          <w:rFonts w:ascii="Times New Roman" w:hAnsi="Times New Roman" w:cs="Times New Roman"/>
          <w:b/>
          <w:bCs/>
          <w:sz w:val="24"/>
          <w:szCs w:val="24"/>
        </w:rPr>
        <w:t>funcţia renală</w:t>
      </w:r>
    </w:p>
    <w:p w14:paraId="38003E18" w14:textId="02B939E0" w:rsidR="006A440B" w:rsidRPr="00F941DA" w:rsidRDefault="006A440B" w:rsidP="006A440B">
      <w:pPr>
        <w:numPr>
          <w:ilvl w:val="0"/>
          <w:numId w:val="120"/>
        </w:numPr>
        <w:autoSpaceDE w:val="0"/>
        <w:autoSpaceDN w:val="0"/>
        <w:adjustRightInd w:val="0"/>
        <w:spacing w:line="240" w:lineRule="auto"/>
        <w:jc w:val="both"/>
        <w:rPr>
          <w:rFonts w:ascii="Times New Roman" w:hAnsi="Times New Roman" w:cs="Times New Roman"/>
          <w:sz w:val="24"/>
          <w:szCs w:val="24"/>
        </w:rPr>
      </w:pPr>
      <w:r w:rsidRPr="00F941DA">
        <w:rPr>
          <w:rFonts w:ascii="Times New Roman" w:hAnsi="Times New Roman" w:cs="Times New Roman"/>
          <w:b/>
          <w:bCs/>
          <w:sz w:val="24"/>
          <w:szCs w:val="24"/>
        </w:rPr>
        <w:t>semnele şi simptomele de hemoragie</w:t>
      </w:r>
      <w:r w:rsidRPr="00F941DA">
        <w:rPr>
          <w:rFonts w:ascii="Times New Roman" w:hAnsi="Times New Roman" w:cs="Times New Roman"/>
          <w:sz w:val="24"/>
          <w:szCs w:val="24"/>
        </w:rPr>
        <w:t xml:space="preserve"> (gastrointestinală şi intracraniană) trebuie monitorizate la pacienţi, în special la cei cu trombocitopenie preexistentă sau asociată tratamentului.</w:t>
      </w:r>
    </w:p>
    <w:p w14:paraId="7C5B0285" w14:textId="77777777" w:rsidR="006A440B" w:rsidRPr="00F941DA" w:rsidRDefault="006A440B" w:rsidP="006A440B">
      <w:pPr>
        <w:autoSpaceDE w:val="0"/>
        <w:autoSpaceDN w:val="0"/>
        <w:adjustRightInd w:val="0"/>
        <w:spacing w:after="0"/>
        <w:jc w:val="both"/>
        <w:rPr>
          <w:rFonts w:ascii="Times New Roman" w:hAnsi="Times New Roman" w:cs="Times New Roman"/>
          <w:sz w:val="24"/>
          <w:szCs w:val="24"/>
          <w:u w:val="single"/>
        </w:rPr>
      </w:pPr>
      <w:r w:rsidRPr="00F941DA">
        <w:rPr>
          <w:rFonts w:ascii="Times New Roman" w:hAnsi="Times New Roman" w:cs="Times New Roman"/>
          <w:sz w:val="24"/>
          <w:szCs w:val="24"/>
        </w:rPr>
        <w:t xml:space="preserve">      b.   </w:t>
      </w:r>
      <w:r w:rsidRPr="00F941DA">
        <w:rPr>
          <w:rFonts w:ascii="Times New Roman" w:hAnsi="Times New Roman" w:cs="Times New Roman"/>
          <w:sz w:val="24"/>
          <w:szCs w:val="24"/>
          <w:u w:val="single"/>
        </w:rPr>
        <w:t>Investigaţii pe parcursul tratamentului</w:t>
      </w:r>
    </w:p>
    <w:p w14:paraId="4A7CA66C" w14:textId="77777777" w:rsidR="006A440B" w:rsidRPr="00F941DA" w:rsidRDefault="006A440B" w:rsidP="006A440B">
      <w:pPr>
        <w:numPr>
          <w:ilvl w:val="0"/>
          <w:numId w:val="121"/>
        </w:numPr>
        <w:autoSpaceDE w:val="0"/>
        <w:autoSpaceDN w:val="0"/>
        <w:adjustRightInd w:val="0"/>
        <w:spacing w:after="0" w:line="240" w:lineRule="auto"/>
        <w:jc w:val="both"/>
        <w:rPr>
          <w:rFonts w:ascii="Times New Roman" w:hAnsi="Times New Roman" w:cs="Times New Roman"/>
          <w:b/>
          <w:bCs/>
          <w:sz w:val="24"/>
          <w:szCs w:val="24"/>
        </w:rPr>
      </w:pPr>
      <w:r w:rsidRPr="00F941DA">
        <w:rPr>
          <w:rFonts w:ascii="Times New Roman" w:hAnsi="Times New Roman" w:cs="Times New Roman"/>
          <w:b/>
          <w:bCs/>
          <w:sz w:val="24"/>
          <w:szCs w:val="24"/>
        </w:rPr>
        <w:t>hematologie - sânge periferic</w:t>
      </w:r>
    </w:p>
    <w:p w14:paraId="2B094BB0" w14:textId="77777777" w:rsidR="006A440B" w:rsidRPr="00F941DA"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hemograma la 2 - 3 zile (sau la indicaţie)</w:t>
      </w:r>
    </w:p>
    <w:p w14:paraId="1EA9593C" w14:textId="77777777" w:rsidR="006A440B" w:rsidRPr="00F941DA"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tablou sanguin - la sfârşitul perioadei de aplazie (L &gt; 1000), sau la indicaţie</w:t>
      </w:r>
    </w:p>
    <w:p w14:paraId="61D11269" w14:textId="77777777" w:rsidR="006A440B" w:rsidRPr="00F941DA" w:rsidRDefault="006A440B" w:rsidP="006A440B">
      <w:pPr>
        <w:numPr>
          <w:ilvl w:val="0"/>
          <w:numId w:val="121"/>
        </w:numPr>
        <w:autoSpaceDE w:val="0"/>
        <w:autoSpaceDN w:val="0"/>
        <w:adjustRightInd w:val="0"/>
        <w:spacing w:after="0" w:line="240" w:lineRule="auto"/>
        <w:jc w:val="both"/>
        <w:rPr>
          <w:rFonts w:ascii="Times New Roman" w:hAnsi="Times New Roman" w:cs="Times New Roman"/>
          <w:b/>
          <w:bCs/>
          <w:sz w:val="24"/>
          <w:szCs w:val="24"/>
        </w:rPr>
      </w:pPr>
      <w:r w:rsidRPr="00F941DA">
        <w:rPr>
          <w:rFonts w:ascii="Times New Roman" w:hAnsi="Times New Roman" w:cs="Times New Roman"/>
          <w:b/>
          <w:bCs/>
          <w:sz w:val="24"/>
          <w:szCs w:val="24"/>
        </w:rPr>
        <w:t>hematologie - măduvă osoasă</w:t>
      </w:r>
    </w:p>
    <w:p w14:paraId="2CBC2827" w14:textId="77777777" w:rsidR="006A440B" w:rsidRPr="00F941DA"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aspirat medular - la sfârşitul perioadei de aplazie, în caz de hemogramă normală, tablou sanguin normal (fără blaşti) pentru evaluarea răspunsului</w:t>
      </w:r>
    </w:p>
    <w:p w14:paraId="495D2A1F" w14:textId="77777777" w:rsidR="006A440B" w:rsidRPr="00F941DA" w:rsidRDefault="006A440B" w:rsidP="006A440B">
      <w:pPr>
        <w:numPr>
          <w:ilvl w:val="0"/>
          <w:numId w:val="121"/>
        </w:numPr>
        <w:autoSpaceDE w:val="0"/>
        <w:autoSpaceDN w:val="0"/>
        <w:adjustRightInd w:val="0"/>
        <w:spacing w:after="0" w:line="240" w:lineRule="auto"/>
        <w:jc w:val="both"/>
        <w:rPr>
          <w:rFonts w:ascii="Times New Roman" w:hAnsi="Times New Roman" w:cs="Times New Roman"/>
          <w:b/>
          <w:bCs/>
          <w:sz w:val="24"/>
          <w:szCs w:val="24"/>
        </w:rPr>
      </w:pPr>
      <w:r w:rsidRPr="00F941DA">
        <w:rPr>
          <w:rFonts w:ascii="Times New Roman" w:hAnsi="Times New Roman" w:cs="Times New Roman"/>
          <w:b/>
          <w:bCs/>
          <w:sz w:val="24"/>
          <w:szCs w:val="24"/>
        </w:rPr>
        <w:t>biochimie</w:t>
      </w:r>
    </w:p>
    <w:p w14:paraId="1625CBD2" w14:textId="77777777" w:rsidR="006A440B" w:rsidRPr="00F941DA"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uzuale, LDH, acid uric - o dată pe săptămână sau mai des, la indicaţie</w:t>
      </w:r>
    </w:p>
    <w:p w14:paraId="4308E1A0" w14:textId="77777777" w:rsidR="006A440B" w:rsidRPr="00F941DA"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ionogramă - o dată pe săptămână sau mai des, la indicaţie</w:t>
      </w:r>
    </w:p>
    <w:p w14:paraId="46C482A7" w14:textId="77777777" w:rsidR="006A440B" w:rsidRPr="00F941DA"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procalcitonină în caz de febră cu culturi negative</w:t>
      </w:r>
    </w:p>
    <w:p w14:paraId="7BD51E1A" w14:textId="77777777" w:rsidR="006A440B" w:rsidRPr="00F941DA"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b/>
          <w:bCs/>
          <w:sz w:val="24"/>
          <w:szCs w:val="24"/>
        </w:rPr>
        <w:t>hemostază</w:t>
      </w:r>
      <w:r w:rsidRPr="00F941DA">
        <w:rPr>
          <w:rFonts w:ascii="Times New Roman" w:hAnsi="Times New Roman" w:cs="Times New Roman"/>
          <w:sz w:val="24"/>
          <w:szCs w:val="24"/>
        </w:rPr>
        <w:t xml:space="preserve"> - la indicaţie</w:t>
      </w:r>
    </w:p>
    <w:p w14:paraId="39F0B8B1" w14:textId="77777777" w:rsidR="006A440B" w:rsidRPr="00F941DA"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b/>
          <w:bCs/>
          <w:sz w:val="24"/>
          <w:szCs w:val="24"/>
        </w:rPr>
        <w:t>imagistică</w:t>
      </w:r>
      <w:r w:rsidRPr="00F941DA">
        <w:rPr>
          <w:rFonts w:ascii="Times New Roman" w:hAnsi="Times New Roman" w:cs="Times New Roman"/>
          <w:sz w:val="24"/>
          <w:szCs w:val="24"/>
        </w:rPr>
        <w:t xml:space="preserve"> - Rx, Eco, CT, RMN - la indicaţie</w:t>
      </w:r>
    </w:p>
    <w:p w14:paraId="62EA31D8" w14:textId="77777777" w:rsidR="006A440B" w:rsidRPr="00F941DA" w:rsidRDefault="006A440B" w:rsidP="006A440B">
      <w:pPr>
        <w:numPr>
          <w:ilvl w:val="0"/>
          <w:numId w:val="121"/>
        </w:numPr>
        <w:autoSpaceDE w:val="0"/>
        <w:autoSpaceDN w:val="0"/>
        <w:adjustRightInd w:val="0"/>
        <w:spacing w:after="0" w:line="240" w:lineRule="auto"/>
        <w:jc w:val="both"/>
        <w:rPr>
          <w:rFonts w:ascii="Times New Roman" w:hAnsi="Times New Roman" w:cs="Times New Roman"/>
          <w:b/>
          <w:bCs/>
          <w:sz w:val="24"/>
          <w:szCs w:val="24"/>
        </w:rPr>
      </w:pPr>
      <w:r w:rsidRPr="00F941DA">
        <w:rPr>
          <w:rFonts w:ascii="Times New Roman" w:hAnsi="Times New Roman" w:cs="Times New Roman"/>
          <w:b/>
          <w:bCs/>
          <w:sz w:val="24"/>
          <w:szCs w:val="24"/>
        </w:rPr>
        <w:t>bacteriologie</w:t>
      </w:r>
    </w:p>
    <w:p w14:paraId="4D87199D" w14:textId="77777777" w:rsidR="006A440B" w:rsidRPr="00F941DA"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hemoculturi - ascensiune febrilă &gt; 37,8º C (temperatură periferică corespunzând unei temperaturi centrale de 38,3º C), repetat dacă persistă febra &gt; 72 ore sub tratament antibiotic</w:t>
      </w:r>
    </w:p>
    <w:p w14:paraId="52EE7653" w14:textId="77777777" w:rsidR="006A440B" w:rsidRPr="00F941DA"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exudat faringian, examen spută, coproculturi, etc. la indicaţie</w:t>
      </w:r>
    </w:p>
    <w:p w14:paraId="213E2346" w14:textId="77777777" w:rsidR="006A440B" w:rsidRPr="00F941DA"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cultură cateter - recomandată ca sistematică la suprimarea cateterului</w:t>
      </w:r>
    </w:p>
    <w:p w14:paraId="7C566A30" w14:textId="4122E4B3" w:rsidR="006A440B" w:rsidRPr="00F941DA" w:rsidRDefault="006A440B" w:rsidP="006A440B">
      <w:pPr>
        <w:numPr>
          <w:ilvl w:val="0"/>
          <w:numId w:val="121"/>
        </w:numPr>
        <w:autoSpaceDE w:val="0"/>
        <w:autoSpaceDN w:val="0"/>
        <w:adjustRightInd w:val="0"/>
        <w:spacing w:line="240" w:lineRule="auto"/>
        <w:jc w:val="both"/>
        <w:rPr>
          <w:rFonts w:ascii="Times New Roman" w:hAnsi="Times New Roman" w:cs="Times New Roman"/>
          <w:sz w:val="24"/>
          <w:szCs w:val="24"/>
        </w:rPr>
      </w:pPr>
      <w:r w:rsidRPr="00F941DA">
        <w:rPr>
          <w:rFonts w:ascii="Times New Roman" w:hAnsi="Times New Roman" w:cs="Times New Roman"/>
          <w:sz w:val="24"/>
          <w:szCs w:val="24"/>
        </w:rPr>
        <w:t>test Galactomannan în caz de suspiciune de aspergiloză</w:t>
      </w:r>
    </w:p>
    <w:p w14:paraId="1A34B6CA" w14:textId="77777777" w:rsidR="006A440B" w:rsidRPr="00F941DA" w:rsidRDefault="006A440B" w:rsidP="006A440B">
      <w:pPr>
        <w:autoSpaceDE w:val="0"/>
        <w:autoSpaceDN w:val="0"/>
        <w:adjustRightInd w:val="0"/>
        <w:spacing w:after="0"/>
        <w:jc w:val="both"/>
        <w:rPr>
          <w:rFonts w:ascii="Times New Roman" w:hAnsi="Times New Roman" w:cs="Times New Roman"/>
          <w:sz w:val="24"/>
          <w:szCs w:val="24"/>
          <w:u w:val="single"/>
        </w:rPr>
      </w:pPr>
      <w:r w:rsidRPr="00F941DA">
        <w:rPr>
          <w:rFonts w:ascii="Times New Roman" w:hAnsi="Times New Roman" w:cs="Times New Roman"/>
          <w:sz w:val="24"/>
          <w:szCs w:val="24"/>
        </w:rPr>
        <w:t xml:space="preserve">      c.   </w:t>
      </w:r>
      <w:r w:rsidRPr="00F941DA">
        <w:rPr>
          <w:rFonts w:ascii="Times New Roman" w:hAnsi="Times New Roman" w:cs="Times New Roman"/>
          <w:sz w:val="24"/>
          <w:szCs w:val="24"/>
          <w:u w:val="single"/>
        </w:rPr>
        <w:t>La sfârşitul tratamentului de inducţie</w:t>
      </w:r>
    </w:p>
    <w:p w14:paraId="735526E4" w14:textId="77777777" w:rsidR="006A440B" w:rsidRPr="00F941DA" w:rsidRDefault="006A440B" w:rsidP="006A440B">
      <w:pPr>
        <w:numPr>
          <w:ilvl w:val="0"/>
          <w:numId w:val="122"/>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b/>
          <w:bCs/>
          <w:sz w:val="24"/>
          <w:szCs w:val="24"/>
        </w:rPr>
        <w:t>hematologie:</w:t>
      </w:r>
      <w:r w:rsidRPr="00F941DA">
        <w:rPr>
          <w:rFonts w:ascii="Times New Roman" w:hAnsi="Times New Roman" w:cs="Times New Roman"/>
          <w:sz w:val="24"/>
          <w:szCs w:val="24"/>
        </w:rPr>
        <w:t xml:space="preserve"> hemogramă, citologie periferică, medulograma, uneori imunofenotipare</w:t>
      </w:r>
    </w:p>
    <w:p w14:paraId="24C1EBEC" w14:textId="77777777" w:rsidR="006A440B" w:rsidRPr="00F941DA" w:rsidRDefault="006A440B" w:rsidP="006A440B">
      <w:pPr>
        <w:numPr>
          <w:ilvl w:val="0"/>
          <w:numId w:val="122"/>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b/>
          <w:bCs/>
          <w:sz w:val="24"/>
          <w:szCs w:val="24"/>
        </w:rPr>
        <w:t>citogenetică</w:t>
      </w:r>
      <w:r w:rsidRPr="00F941DA">
        <w:rPr>
          <w:rFonts w:ascii="Times New Roman" w:hAnsi="Times New Roman" w:cs="Times New Roman"/>
          <w:sz w:val="24"/>
          <w:szCs w:val="24"/>
        </w:rPr>
        <w:t xml:space="preserve"> - cariotipul poate fi util în cazul în care criteriile periferice şi medulare de remisiune completă sunt îndeplinite, în cazul în care au fost documentate modificări citogenetice anterior începerii tratamentului</w:t>
      </w:r>
    </w:p>
    <w:p w14:paraId="79D19949" w14:textId="1B6DE7E7" w:rsidR="006A440B" w:rsidRPr="00F941DA" w:rsidRDefault="006A440B" w:rsidP="006A440B">
      <w:pPr>
        <w:numPr>
          <w:ilvl w:val="0"/>
          <w:numId w:val="122"/>
        </w:numPr>
        <w:autoSpaceDE w:val="0"/>
        <w:autoSpaceDN w:val="0"/>
        <w:adjustRightInd w:val="0"/>
        <w:spacing w:line="240" w:lineRule="auto"/>
        <w:jc w:val="both"/>
        <w:rPr>
          <w:rFonts w:ascii="Times New Roman" w:hAnsi="Times New Roman" w:cs="Times New Roman"/>
          <w:sz w:val="24"/>
          <w:szCs w:val="24"/>
        </w:rPr>
      </w:pPr>
      <w:r w:rsidRPr="00F941DA">
        <w:rPr>
          <w:rFonts w:ascii="Times New Roman" w:hAnsi="Times New Roman" w:cs="Times New Roman"/>
          <w:b/>
          <w:bCs/>
          <w:sz w:val="24"/>
          <w:szCs w:val="24"/>
        </w:rPr>
        <w:t>biologie moleculară</w:t>
      </w:r>
      <w:r w:rsidRPr="00F941DA">
        <w:rPr>
          <w:rFonts w:ascii="Times New Roman" w:hAnsi="Times New Roman" w:cs="Times New Roman"/>
          <w:sz w:val="24"/>
          <w:szCs w:val="24"/>
        </w:rPr>
        <w:t xml:space="preserve"> - în caz că există un marker iniţial cuantificabil - de exemplu BCR- ABL, care să permită evaluarea bolii reziduale.</w:t>
      </w:r>
    </w:p>
    <w:p w14:paraId="78F28545" w14:textId="77777777" w:rsidR="006A440B" w:rsidRPr="00F941DA" w:rsidRDefault="006A440B" w:rsidP="006A440B">
      <w:pPr>
        <w:autoSpaceDE w:val="0"/>
        <w:autoSpaceDN w:val="0"/>
        <w:adjustRightInd w:val="0"/>
        <w:spacing w:after="0"/>
        <w:jc w:val="both"/>
        <w:rPr>
          <w:rFonts w:ascii="Times New Roman" w:hAnsi="Times New Roman" w:cs="Times New Roman"/>
          <w:sz w:val="24"/>
          <w:szCs w:val="24"/>
          <w:u w:val="single"/>
        </w:rPr>
      </w:pPr>
      <w:r w:rsidRPr="00F941DA">
        <w:rPr>
          <w:rFonts w:ascii="Times New Roman" w:hAnsi="Times New Roman" w:cs="Times New Roman"/>
          <w:sz w:val="24"/>
          <w:szCs w:val="24"/>
        </w:rPr>
        <w:t xml:space="preserve">      d.   </w:t>
      </w:r>
      <w:r w:rsidRPr="00F941DA">
        <w:rPr>
          <w:rFonts w:ascii="Times New Roman" w:hAnsi="Times New Roman" w:cs="Times New Roman"/>
          <w:sz w:val="24"/>
          <w:szCs w:val="24"/>
          <w:u w:val="single"/>
        </w:rPr>
        <w:t>La sfârşitul tratamentului</w:t>
      </w:r>
    </w:p>
    <w:p w14:paraId="0AEF9CBC" w14:textId="77777777" w:rsidR="006A440B" w:rsidRPr="00F941DA" w:rsidRDefault="006A440B" w:rsidP="006A440B">
      <w:pPr>
        <w:numPr>
          <w:ilvl w:val="0"/>
          <w:numId w:val="123"/>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b/>
          <w:bCs/>
          <w:sz w:val="24"/>
          <w:szCs w:val="24"/>
        </w:rPr>
        <w:t>hematologie:</w:t>
      </w:r>
      <w:r w:rsidRPr="00F941DA">
        <w:rPr>
          <w:rFonts w:ascii="Times New Roman" w:hAnsi="Times New Roman" w:cs="Times New Roman"/>
          <w:sz w:val="24"/>
          <w:szCs w:val="24"/>
        </w:rPr>
        <w:t xml:space="preserve"> hemogramă, citologie, imunologie, medulogramă</w:t>
      </w:r>
    </w:p>
    <w:p w14:paraId="255C84BB" w14:textId="77777777" w:rsidR="006A440B" w:rsidRPr="00F941DA" w:rsidRDefault="006A440B" w:rsidP="006A440B">
      <w:pPr>
        <w:numPr>
          <w:ilvl w:val="0"/>
          <w:numId w:val="123"/>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b/>
          <w:bCs/>
          <w:sz w:val="24"/>
          <w:szCs w:val="24"/>
        </w:rPr>
        <w:t>citogenetică</w:t>
      </w:r>
      <w:r w:rsidRPr="00F941DA">
        <w:rPr>
          <w:rFonts w:ascii="Times New Roman" w:hAnsi="Times New Roman" w:cs="Times New Roman"/>
          <w:sz w:val="24"/>
          <w:szCs w:val="24"/>
        </w:rPr>
        <w:t xml:space="preserve"> - cariotip - în cazul în care au fost documentate modificări citogenetice anterior începerii tratamentului</w:t>
      </w:r>
    </w:p>
    <w:p w14:paraId="695CC8C2" w14:textId="77777777" w:rsidR="006A440B" w:rsidRPr="00F941DA" w:rsidRDefault="006A440B" w:rsidP="006A440B">
      <w:pPr>
        <w:numPr>
          <w:ilvl w:val="0"/>
          <w:numId w:val="123"/>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b/>
          <w:bCs/>
          <w:sz w:val="24"/>
          <w:szCs w:val="24"/>
        </w:rPr>
        <w:t>biologie moleculară</w:t>
      </w:r>
      <w:r w:rsidRPr="00F941DA">
        <w:rPr>
          <w:rFonts w:ascii="Times New Roman" w:hAnsi="Times New Roman" w:cs="Times New Roman"/>
          <w:sz w:val="24"/>
          <w:szCs w:val="24"/>
        </w:rPr>
        <w:t xml:space="preserve"> - dacă există un marker iniţial (cuantificabil sau necuantificabil). În cazul anomaliilor cuantificabile (de exemplu BCR-ABL, se poate face determinare şi pe parcursul tratamentului (la 3 luni)</w:t>
      </w:r>
    </w:p>
    <w:p w14:paraId="278E979D"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245B3369" w14:textId="230FC407" w:rsidR="006A440B" w:rsidRPr="00F941DA" w:rsidRDefault="006A440B" w:rsidP="006A440B">
      <w:pPr>
        <w:autoSpaceDE w:val="0"/>
        <w:autoSpaceDN w:val="0"/>
        <w:adjustRightInd w:val="0"/>
        <w:jc w:val="both"/>
        <w:rPr>
          <w:rFonts w:ascii="Times New Roman" w:hAnsi="Times New Roman" w:cs="Times New Roman"/>
          <w:b/>
          <w:bCs/>
          <w:sz w:val="24"/>
          <w:szCs w:val="24"/>
          <w:u w:val="single"/>
        </w:rPr>
      </w:pPr>
      <w:r w:rsidRPr="00F941DA">
        <w:rPr>
          <w:rFonts w:ascii="Times New Roman" w:hAnsi="Times New Roman" w:cs="Times New Roman"/>
          <w:b/>
          <w:bCs/>
          <w:sz w:val="24"/>
          <w:szCs w:val="24"/>
        </w:rPr>
        <w:t xml:space="preserve">4. </w:t>
      </w:r>
      <w:r w:rsidRPr="00F941DA">
        <w:rPr>
          <w:rFonts w:ascii="Times New Roman" w:hAnsi="Times New Roman" w:cs="Times New Roman"/>
          <w:b/>
          <w:bCs/>
          <w:sz w:val="24"/>
          <w:szCs w:val="24"/>
          <w:u w:val="single"/>
        </w:rPr>
        <w:t>Criterii de evaluare a eficacităţii terapeutice</w:t>
      </w:r>
    </w:p>
    <w:p w14:paraId="59D000A9"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Răspunsul la terapie este monitorizat prin examinarea clinică, hemograme şi medulograme repetate.</w:t>
      </w:r>
    </w:p>
    <w:p w14:paraId="1BB6321B"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În timpul aplaziei post chimioterapie de inducţie, efectuarea unui aspirat medular este utilă pentru a monitoriza răspunsul medular timpuriu sau persistenţa celulelor blastice.</w:t>
      </w:r>
    </w:p>
    <w:p w14:paraId="6E716E12" w14:textId="43ED47FD"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lastRenderedPageBreak/>
        <w:t>Parametrii de evaluare a remisiunii complete ce trebuie monitorizaţi sunt cei standard pentru leucemii acute (hematopoieza normală, blaşti sub 5% în măduvă, fără corpi Auer, absenţa imunofenotipului de celulă stem leucemică, eventual a modificărilor citogenetice sau/şi moleculare, unde este cazul).</w:t>
      </w:r>
    </w:p>
    <w:p w14:paraId="22E75AF4" w14:textId="01B620A4" w:rsidR="006A440B" w:rsidRPr="00F941DA" w:rsidRDefault="00CB7B02" w:rsidP="006A440B">
      <w:pPr>
        <w:autoSpaceDE w:val="0"/>
        <w:autoSpaceDN w:val="0"/>
        <w:adjustRightInd w:val="0"/>
        <w:jc w:val="both"/>
        <w:rPr>
          <w:rFonts w:ascii="Times New Roman" w:hAnsi="Times New Roman" w:cs="Times New Roman"/>
          <w:b/>
          <w:bCs/>
          <w:sz w:val="24"/>
          <w:szCs w:val="24"/>
          <w:u w:val="single"/>
        </w:rPr>
      </w:pPr>
      <w:r w:rsidRPr="00F941DA">
        <w:rPr>
          <w:rFonts w:ascii="Times New Roman" w:hAnsi="Times New Roman" w:cs="Times New Roman"/>
          <w:b/>
          <w:bCs/>
          <w:sz w:val="24"/>
          <w:szCs w:val="24"/>
        </w:rPr>
        <w:t xml:space="preserve">V. </w:t>
      </w:r>
      <w:r w:rsidR="006A440B" w:rsidRPr="00F941DA">
        <w:rPr>
          <w:rFonts w:ascii="Times New Roman" w:hAnsi="Times New Roman" w:cs="Times New Roman"/>
          <w:b/>
          <w:bCs/>
          <w:sz w:val="24"/>
          <w:szCs w:val="24"/>
          <w:u w:val="single"/>
        </w:rPr>
        <w:t>Criterii de întrerupere a tratamentului</w:t>
      </w:r>
    </w:p>
    <w:p w14:paraId="20990FAC"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S-au raportat cazuri de </w:t>
      </w:r>
      <w:r w:rsidRPr="00F941DA">
        <w:rPr>
          <w:rFonts w:ascii="Times New Roman" w:hAnsi="Times New Roman" w:cs="Times New Roman"/>
          <w:b/>
          <w:bCs/>
          <w:sz w:val="24"/>
          <w:szCs w:val="24"/>
        </w:rPr>
        <w:t>fasciită necrozantă</w:t>
      </w:r>
      <w:r w:rsidRPr="00F941DA">
        <w:rPr>
          <w:rFonts w:ascii="Times New Roman" w:hAnsi="Times New Roman" w:cs="Times New Roman"/>
          <w:sz w:val="24"/>
          <w:szCs w:val="24"/>
        </w:rPr>
        <w:t>, inclusiv letale, la pacienţii trataţi cu azacitidina. La pacienţii care dezvoltă fasciită necrozantă, tratamentul cu azacitidina trebuie întrerupt şi trebuie iniţiat în cel mai scurt timp tratamentul adecvat.</w:t>
      </w:r>
    </w:p>
    <w:p w14:paraId="79417570" w14:textId="5398F046"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La pacienţii cărora li s-a administrat azacitidină s-au raportat reacţii grave de hipersensibilitate. În cazul </w:t>
      </w:r>
      <w:r w:rsidRPr="00F941DA">
        <w:rPr>
          <w:rFonts w:ascii="Times New Roman" w:hAnsi="Times New Roman" w:cs="Times New Roman"/>
          <w:b/>
          <w:bCs/>
          <w:sz w:val="24"/>
          <w:szCs w:val="24"/>
        </w:rPr>
        <w:t>reacţiilor de tip anafilactic</w:t>
      </w:r>
      <w:r w:rsidRPr="00F941DA">
        <w:rPr>
          <w:rFonts w:ascii="Times New Roman" w:hAnsi="Times New Roman" w:cs="Times New Roman"/>
          <w:sz w:val="24"/>
          <w:szCs w:val="24"/>
        </w:rPr>
        <w:t>, tratamentul cu azacitidină trebuie întrerupt imediat şi se va iniţia un tratament simptomatic adecvat.</w:t>
      </w:r>
    </w:p>
    <w:p w14:paraId="5F434BC3" w14:textId="430EDFC9" w:rsidR="006A440B" w:rsidRPr="00F941DA" w:rsidRDefault="006A440B" w:rsidP="006A440B">
      <w:pPr>
        <w:autoSpaceDE w:val="0"/>
        <w:autoSpaceDN w:val="0"/>
        <w:adjustRightInd w:val="0"/>
        <w:jc w:val="both"/>
        <w:rPr>
          <w:rFonts w:ascii="Times New Roman" w:hAnsi="Times New Roman" w:cs="Times New Roman"/>
          <w:b/>
          <w:bCs/>
          <w:sz w:val="24"/>
          <w:szCs w:val="24"/>
          <w:u w:val="single"/>
        </w:rPr>
      </w:pPr>
      <w:r w:rsidRPr="00F941DA">
        <w:rPr>
          <w:rFonts w:ascii="Times New Roman" w:hAnsi="Times New Roman" w:cs="Times New Roman"/>
          <w:b/>
          <w:bCs/>
          <w:sz w:val="24"/>
          <w:szCs w:val="24"/>
        </w:rPr>
        <w:t>V</w:t>
      </w:r>
      <w:r w:rsidR="00CB7B02" w:rsidRPr="00F941DA">
        <w:rPr>
          <w:rFonts w:ascii="Times New Roman" w:hAnsi="Times New Roman" w:cs="Times New Roman"/>
          <w:b/>
          <w:bCs/>
          <w:sz w:val="24"/>
          <w:szCs w:val="24"/>
        </w:rPr>
        <w:t>I</w:t>
      </w:r>
      <w:r w:rsidRPr="00F941DA">
        <w:rPr>
          <w:rFonts w:ascii="Times New Roman" w:hAnsi="Times New Roman" w:cs="Times New Roman"/>
          <w:b/>
          <w:bCs/>
          <w:sz w:val="24"/>
          <w:szCs w:val="24"/>
        </w:rPr>
        <w:t>. Prescriptori</w:t>
      </w:r>
    </w:p>
    <w:p w14:paraId="2D97A220" w14:textId="3C5A951A"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Medici specialişti hematologi (sau, după caz, specialişti de oncologie medicală, dacă în judeţ nu există hematologi).</w:t>
      </w:r>
    </w:p>
    <w:p w14:paraId="7A16DD49" w14:textId="77777777" w:rsidR="006A440B" w:rsidRPr="00F941DA" w:rsidRDefault="006A440B" w:rsidP="006A440B">
      <w:pPr>
        <w:autoSpaceDE w:val="0"/>
        <w:autoSpaceDN w:val="0"/>
        <w:adjustRightInd w:val="0"/>
        <w:jc w:val="both"/>
        <w:rPr>
          <w:rFonts w:ascii="Times New Roman" w:hAnsi="Times New Roman" w:cs="Times New Roman"/>
          <w:sz w:val="24"/>
          <w:szCs w:val="24"/>
        </w:rPr>
      </w:pPr>
    </w:p>
    <w:p w14:paraId="27DF55BF" w14:textId="569E9858" w:rsidR="006A440B" w:rsidRPr="00F941DA" w:rsidRDefault="006A440B" w:rsidP="006A440B">
      <w:pPr>
        <w:autoSpaceDE w:val="0"/>
        <w:autoSpaceDN w:val="0"/>
        <w:adjustRightInd w:val="0"/>
        <w:jc w:val="both"/>
        <w:rPr>
          <w:rFonts w:ascii="Times New Roman" w:hAnsi="Times New Roman" w:cs="Times New Roman"/>
          <w:b/>
          <w:sz w:val="24"/>
          <w:szCs w:val="24"/>
          <w:u w:val="single"/>
        </w:rPr>
      </w:pPr>
      <w:r w:rsidRPr="00F941DA">
        <w:rPr>
          <w:rFonts w:ascii="Times New Roman" w:hAnsi="Times New Roman" w:cs="Times New Roman"/>
          <w:b/>
          <w:sz w:val="24"/>
          <w:szCs w:val="24"/>
          <w:u w:val="single"/>
        </w:rPr>
        <w:t>B. Forma farmaceutica cu administrare orala</w:t>
      </w:r>
    </w:p>
    <w:p w14:paraId="38CA7C30" w14:textId="023F87D4" w:rsidR="006A440B" w:rsidRPr="00F941DA" w:rsidRDefault="006A440B" w:rsidP="006A440B">
      <w:pPr>
        <w:pStyle w:val="ListParagraph"/>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rPr>
          <w:b/>
          <w:bCs/>
          <w:color w:val="auto"/>
        </w:rPr>
      </w:pPr>
      <w:r w:rsidRPr="00F941DA">
        <w:rPr>
          <w:b/>
          <w:bCs/>
          <w:color w:val="auto"/>
        </w:rPr>
        <w:t xml:space="preserve">Indicația terapeutică </w:t>
      </w:r>
    </w:p>
    <w:p w14:paraId="021BC0E5" w14:textId="78301689" w:rsidR="006A440B" w:rsidRPr="00F941DA" w:rsidRDefault="006A440B" w:rsidP="006A440B">
      <w:pPr>
        <w:autoSpaceDE w:val="0"/>
        <w:autoSpaceDN w:val="0"/>
        <w:adjustRightInd w:val="0"/>
        <w:spacing w:before="240"/>
        <w:jc w:val="both"/>
        <w:rPr>
          <w:rFonts w:ascii="Times New Roman" w:hAnsi="Times New Roman" w:cs="Times New Roman"/>
          <w:sz w:val="24"/>
          <w:szCs w:val="24"/>
        </w:rPr>
      </w:pPr>
      <w:r w:rsidRPr="00F941DA">
        <w:rPr>
          <w:rFonts w:ascii="Times New Roman" w:hAnsi="Times New Roman" w:cs="Times New Roman"/>
          <w:sz w:val="24"/>
          <w:szCs w:val="24"/>
        </w:rPr>
        <w:t>Indicat ca tratament de întreținere la pacienții adulți cu leucemie mieloidă acută (LMA), care au obținut remisiune completă sau remisiune completă cu recuperare incompletă a celulelor sanguine (RCi) în urma terapiei de inducție cu sau fără tratament de consolidare, și care sunt neeligibili pentru transplantul de celule stem hematopoietice (TCSH) sau care nu intenționează să îl efectueze.</w:t>
      </w:r>
    </w:p>
    <w:p w14:paraId="2EB7E147" w14:textId="77777777" w:rsidR="006A440B" w:rsidRPr="00F941DA" w:rsidRDefault="006A440B" w:rsidP="006A440B">
      <w:pPr>
        <w:autoSpaceDE w:val="0"/>
        <w:autoSpaceDN w:val="0"/>
        <w:adjustRightInd w:val="0"/>
        <w:spacing w:after="0"/>
        <w:jc w:val="both"/>
        <w:rPr>
          <w:rFonts w:ascii="Times New Roman" w:hAnsi="Times New Roman" w:cs="Times New Roman"/>
          <w:sz w:val="24"/>
          <w:szCs w:val="24"/>
        </w:rPr>
      </w:pPr>
    </w:p>
    <w:p w14:paraId="7DC3B681" w14:textId="77777777" w:rsidR="006A440B" w:rsidRPr="00F941DA" w:rsidRDefault="006A440B" w:rsidP="006A440B">
      <w:pPr>
        <w:pStyle w:val="ListParagraph"/>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rPr>
          <w:b/>
          <w:bCs/>
          <w:color w:val="auto"/>
        </w:rPr>
      </w:pPr>
      <w:r w:rsidRPr="00F941DA">
        <w:rPr>
          <w:b/>
          <w:bCs/>
          <w:color w:val="auto"/>
        </w:rPr>
        <w:t>Criterii de includere în tratament</w:t>
      </w:r>
    </w:p>
    <w:p w14:paraId="583D5E3D" w14:textId="77777777" w:rsidR="006A440B" w:rsidRPr="00F941DA" w:rsidRDefault="006A440B" w:rsidP="006A440B">
      <w:pPr>
        <w:pStyle w:val="ListParagraph"/>
        <w:autoSpaceDE w:val="0"/>
        <w:autoSpaceDN w:val="0"/>
        <w:adjustRightInd w:val="0"/>
        <w:ind w:left="0"/>
        <w:jc w:val="both"/>
        <w:rPr>
          <w:color w:val="auto"/>
        </w:rPr>
      </w:pPr>
      <w:r w:rsidRPr="00F941DA">
        <w:rPr>
          <w:color w:val="auto"/>
        </w:rPr>
        <w:t>Pacienții adulți cu leucemie mieloidă acută (LMA), care au obținut remisiune completă sau remisiune completă cu recuperare incompletă a celulelor sanguine (RCi)  în urma terapiei de inducție cu sau fără tratament de consolidare, și care sunt neeligibili pentru transplantul de celule stem hematopoietice (TCSH) sau care nu intenționează să îl efectueze.</w:t>
      </w:r>
    </w:p>
    <w:p w14:paraId="6DB1ECE9" w14:textId="77777777" w:rsidR="006A440B" w:rsidRPr="00F941DA" w:rsidRDefault="006A440B" w:rsidP="006A440B">
      <w:pPr>
        <w:autoSpaceDE w:val="0"/>
        <w:autoSpaceDN w:val="0"/>
        <w:adjustRightInd w:val="0"/>
        <w:jc w:val="both"/>
        <w:rPr>
          <w:rFonts w:ascii="Times New Roman" w:hAnsi="Times New Roman" w:cs="Times New Roman"/>
          <w:b/>
          <w:bCs/>
          <w:sz w:val="24"/>
          <w:szCs w:val="24"/>
        </w:rPr>
      </w:pPr>
    </w:p>
    <w:p w14:paraId="5DDAA6FF" w14:textId="77777777" w:rsidR="006A440B" w:rsidRPr="00F941DA" w:rsidRDefault="006A440B" w:rsidP="006A440B">
      <w:pPr>
        <w:autoSpaceDE w:val="0"/>
        <w:autoSpaceDN w:val="0"/>
        <w:adjustRightInd w:val="0"/>
        <w:spacing w:after="0"/>
        <w:jc w:val="both"/>
        <w:rPr>
          <w:rFonts w:ascii="Times New Roman" w:hAnsi="Times New Roman" w:cs="Times New Roman"/>
          <w:b/>
          <w:bCs/>
          <w:sz w:val="24"/>
          <w:szCs w:val="24"/>
        </w:rPr>
      </w:pPr>
      <w:r w:rsidRPr="00F941DA">
        <w:rPr>
          <w:rFonts w:ascii="Times New Roman" w:hAnsi="Times New Roman" w:cs="Times New Roman"/>
          <w:b/>
          <w:bCs/>
          <w:sz w:val="24"/>
          <w:szCs w:val="24"/>
        </w:rPr>
        <w:t>III. Criterii de exludere. Contraindicații</w:t>
      </w:r>
    </w:p>
    <w:p w14:paraId="28456452" w14:textId="77777777" w:rsidR="006A440B" w:rsidRPr="00F941DA" w:rsidRDefault="006A440B" w:rsidP="006A440B">
      <w:pPr>
        <w:autoSpaceDE w:val="0"/>
        <w:autoSpaceDN w:val="0"/>
        <w:adjustRightInd w:val="0"/>
        <w:spacing w:after="0"/>
        <w:jc w:val="both"/>
        <w:rPr>
          <w:rFonts w:ascii="Times New Roman" w:hAnsi="Times New Roman" w:cs="Times New Roman"/>
          <w:sz w:val="24"/>
          <w:szCs w:val="24"/>
        </w:rPr>
      </w:pPr>
      <w:r w:rsidRPr="00F941DA">
        <w:rPr>
          <w:rFonts w:ascii="Times New Roman" w:hAnsi="Times New Roman" w:cs="Times New Roman"/>
          <w:sz w:val="24"/>
          <w:szCs w:val="24"/>
        </w:rPr>
        <w:t>Hipersensibilitate la substanța activă sau la oricare dintre excipienți</w:t>
      </w:r>
    </w:p>
    <w:p w14:paraId="092675E9" w14:textId="77777777" w:rsidR="006A440B" w:rsidRPr="00F941DA" w:rsidRDefault="006A440B" w:rsidP="006A440B">
      <w:pPr>
        <w:autoSpaceDE w:val="0"/>
        <w:autoSpaceDN w:val="0"/>
        <w:adjustRightInd w:val="0"/>
        <w:spacing w:after="0"/>
        <w:jc w:val="both"/>
        <w:rPr>
          <w:rFonts w:ascii="Times New Roman" w:hAnsi="Times New Roman" w:cs="Times New Roman"/>
          <w:sz w:val="24"/>
          <w:szCs w:val="24"/>
        </w:rPr>
      </w:pPr>
      <w:r w:rsidRPr="00F941DA">
        <w:rPr>
          <w:rFonts w:ascii="Times New Roman" w:hAnsi="Times New Roman" w:cs="Times New Roman"/>
          <w:sz w:val="24"/>
          <w:szCs w:val="24"/>
        </w:rPr>
        <w:t xml:space="preserve">Sarcina </w:t>
      </w:r>
    </w:p>
    <w:p w14:paraId="23861023" w14:textId="77777777" w:rsidR="006A440B" w:rsidRPr="00F941DA" w:rsidRDefault="006A440B" w:rsidP="006A440B">
      <w:pPr>
        <w:autoSpaceDE w:val="0"/>
        <w:autoSpaceDN w:val="0"/>
        <w:adjustRightInd w:val="0"/>
        <w:spacing w:after="0"/>
        <w:jc w:val="both"/>
        <w:rPr>
          <w:rFonts w:ascii="Times New Roman" w:hAnsi="Times New Roman" w:cs="Times New Roman"/>
          <w:sz w:val="24"/>
          <w:szCs w:val="24"/>
        </w:rPr>
      </w:pPr>
      <w:r w:rsidRPr="00F941DA">
        <w:rPr>
          <w:rFonts w:ascii="Times New Roman" w:hAnsi="Times New Roman" w:cs="Times New Roman"/>
          <w:sz w:val="24"/>
          <w:szCs w:val="24"/>
        </w:rPr>
        <w:t>Alăptarea</w:t>
      </w:r>
    </w:p>
    <w:p w14:paraId="6925D3CC" w14:textId="77777777" w:rsidR="006A440B" w:rsidRPr="00F941DA" w:rsidRDefault="006A440B" w:rsidP="006A440B">
      <w:pPr>
        <w:autoSpaceDE w:val="0"/>
        <w:autoSpaceDN w:val="0"/>
        <w:adjustRightInd w:val="0"/>
        <w:jc w:val="both"/>
        <w:rPr>
          <w:rFonts w:ascii="Times New Roman" w:hAnsi="Times New Roman" w:cs="Times New Roman"/>
          <w:sz w:val="24"/>
          <w:szCs w:val="24"/>
        </w:rPr>
      </w:pPr>
    </w:p>
    <w:p w14:paraId="6B3B2514" w14:textId="77777777" w:rsidR="006A440B" w:rsidRPr="00F941DA" w:rsidRDefault="006A440B" w:rsidP="006A440B">
      <w:pPr>
        <w:autoSpaceDE w:val="0"/>
        <w:autoSpaceDN w:val="0"/>
        <w:adjustRightInd w:val="0"/>
        <w:spacing w:after="0"/>
        <w:jc w:val="both"/>
        <w:rPr>
          <w:rFonts w:ascii="Times New Roman" w:hAnsi="Times New Roman" w:cs="Times New Roman"/>
          <w:b/>
          <w:bCs/>
          <w:sz w:val="24"/>
          <w:szCs w:val="24"/>
        </w:rPr>
      </w:pPr>
      <w:r w:rsidRPr="00F941DA">
        <w:rPr>
          <w:rFonts w:ascii="Times New Roman" w:hAnsi="Times New Roman" w:cs="Times New Roman"/>
          <w:b/>
          <w:bCs/>
          <w:sz w:val="24"/>
          <w:szCs w:val="24"/>
        </w:rPr>
        <w:t>IV. Tratament</w:t>
      </w:r>
    </w:p>
    <w:p w14:paraId="4510EE35" w14:textId="65AFC9E6"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Tratamentul cu Azacitidina trebuie inițiat și monitorizat sub supravegherea unui medic cu experiență în utilizarea medicamentelor chimioterapice.</w:t>
      </w:r>
    </w:p>
    <w:p w14:paraId="358F436B" w14:textId="6640B008" w:rsidR="006A440B" w:rsidRPr="00F941DA" w:rsidRDefault="006A440B" w:rsidP="006A440B">
      <w:pPr>
        <w:autoSpaceDE w:val="0"/>
        <w:autoSpaceDN w:val="0"/>
        <w:adjustRightInd w:val="0"/>
        <w:jc w:val="both"/>
        <w:rPr>
          <w:rFonts w:ascii="Times New Roman" w:hAnsi="Times New Roman" w:cs="Times New Roman"/>
          <w:b/>
          <w:bCs/>
          <w:sz w:val="24"/>
          <w:szCs w:val="24"/>
          <w:u w:val="single"/>
        </w:rPr>
      </w:pPr>
      <w:r w:rsidRPr="00F941DA">
        <w:rPr>
          <w:rFonts w:ascii="Times New Roman" w:hAnsi="Times New Roman" w:cs="Times New Roman"/>
          <w:b/>
          <w:bCs/>
          <w:sz w:val="24"/>
          <w:szCs w:val="24"/>
          <w:u w:val="single"/>
        </w:rPr>
        <w:t>1. Doze</w:t>
      </w:r>
    </w:p>
    <w:p w14:paraId="09CC3355" w14:textId="108843D2"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bCs/>
          <w:sz w:val="24"/>
          <w:szCs w:val="24"/>
        </w:rPr>
        <w:t xml:space="preserve">Doza recomandată </w:t>
      </w:r>
      <w:r w:rsidRPr="00F941DA">
        <w:rPr>
          <w:rFonts w:ascii="Times New Roman" w:hAnsi="Times New Roman" w:cs="Times New Roman"/>
          <w:sz w:val="24"/>
          <w:szCs w:val="24"/>
        </w:rPr>
        <w:t>este de 300 mg, administrată pe cale orală, o dată pe zi pe o perioada de 14 zile de tratament urmată de o perioadă fără tratament de 14 zile (ciclu de tratament de 28 zile).</w:t>
      </w:r>
    </w:p>
    <w:p w14:paraId="39F32FBB" w14:textId="5A34275D"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bCs/>
          <w:sz w:val="24"/>
          <w:szCs w:val="24"/>
        </w:rPr>
        <w:t xml:space="preserve">Prelungirea schemei de dozare </w:t>
      </w:r>
      <w:r w:rsidRPr="00F941DA">
        <w:rPr>
          <w:rFonts w:ascii="Times New Roman" w:hAnsi="Times New Roman" w:cs="Times New Roman"/>
          <w:sz w:val="24"/>
          <w:szCs w:val="24"/>
        </w:rPr>
        <w:t>de la 14 la 21 zile de cicluri repetate de 28 zile</w:t>
      </w:r>
      <w:r w:rsidRPr="00F941DA">
        <w:rPr>
          <w:rFonts w:ascii="Times New Roman" w:hAnsi="Times New Roman" w:cs="Times New Roman"/>
          <w:b/>
          <w:bCs/>
          <w:sz w:val="24"/>
          <w:szCs w:val="24"/>
        </w:rPr>
        <w:t xml:space="preserve"> </w:t>
      </w:r>
      <w:r w:rsidRPr="00F941DA">
        <w:rPr>
          <w:rFonts w:ascii="Times New Roman" w:hAnsi="Times New Roman" w:cs="Times New Roman"/>
          <w:sz w:val="24"/>
          <w:szCs w:val="24"/>
        </w:rPr>
        <w:t xml:space="preserve">trebuie luată în considerare </w:t>
      </w:r>
      <w:r w:rsidRPr="00F941DA">
        <w:rPr>
          <w:rFonts w:ascii="Times New Roman" w:hAnsi="Times New Roman" w:cs="Times New Roman"/>
          <w:b/>
          <w:bCs/>
          <w:sz w:val="24"/>
          <w:szCs w:val="24"/>
        </w:rPr>
        <w:t xml:space="preserve">în cazul recidivei LMA </w:t>
      </w:r>
      <w:r w:rsidRPr="00F941DA">
        <w:rPr>
          <w:rFonts w:ascii="Times New Roman" w:hAnsi="Times New Roman" w:cs="Times New Roman"/>
          <w:sz w:val="24"/>
          <w:szCs w:val="24"/>
        </w:rPr>
        <w:t xml:space="preserve">unde procentul de blaști atinge 5% până la 15% în sângele periferic sau în măduva osoasă. </w:t>
      </w:r>
    </w:p>
    <w:p w14:paraId="417AF279" w14:textId="63BF6308" w:rsidR="006A440B" w:rsidRPr="00F941DA" w:rsidRDefault="006A440B" w:rsidP="006A440B">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 xml:space="preserve">Modificarea dozelor </w:t>
      </w:r>
      <w:r w:rsidRPr="00F941DA">
        <w:rPr>
          <w:rFonts w:ascii="Times New Roman" w:hAnsi="Times New Roman" w:cs="Times New Roman"/>
          <w:sz w:val="24"/>
          <w:szCs w:val="24"/>
        </w:rPr>
        <w:t xml:space="preserve">se recomandă </w:t>
      </w:r>
      <w:r w:rsidRPr="00F941DA">
        <w:rPr>
          <w:rFonts w:ascii="Times New Roman" w:hAnsi="Times New Roman" w:cs="Times New Roman"/>
          <w:b/>
          <w:bCs/>
          <w:sz w:val="24"/>
          <w:szCs w:val="24"/>
        </w:rPr>
        <w:t>în caz de reacții adverse:</w:t>
      </w:r>
    </w:p>
    <w:p w14:paraId="24B4E81F" w14:textId="77777777" w:rsidR="006A440B" w:rsidRPr="00F941DA" w:rsidRDefault="006A440B" w:rsidP="006A440B">
      <w:pPr>
        <w:pStyle w:val="ListParagraph"/>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rPr>
          <w:color w:val="auto"/>
        </w:rPr>
      </w:pPr>
      <w:r w:rsidRPr="00F941DA">
        <w:rPr>
          <w:color w:val="auto"/>
        </w:rPr>
        <w:lastRenderedPageBreak/>
        <w:t>Pentru</w:t>
      </w:r>
      <w:r w:rsidRPr="00F941DA">
        <w:rPr>
          <w:b/>
          <w:bCs/>
          <w:color w:val="auto"/>
        </w:rPr>
        <w:t xml:space="preserve"> Neutropenie de gradul 4, Neutropenie febrila de gradul 3, Trombocitopenie de gradul 4 sau trombocitopenie de gradul 3 cu hemoragie, </w:t>
      </w:r>
    </w:p>
    <w:p w14:paraId="4B39B0C6" w14:textId="77777777" w:rsidR="006A440B" w:rsidRPr="00F941DA"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color w:val="auto"/>
        </w:rPr>
      </w:pPr>
      <w:r w:rsidRPr="00F941DA">
        <w:rPr>
          <w:color w:val="auto"/>
        </w:rPr>
        <w:t>La prima aparitie se recomanda întreruperea tratamentului pana ce neutrofilele, repectiv trombocitele, revin la cel mult Gradul 2, cand se reia ciclul de tratament la aceeasi doza.</w:t>
      </w:r>
    </w:p>
    <w:p w14:paraId="7F3F68A7" w14:textId="77777777" w:rsidR="006A440B" w:rsidRPr="00F941DA"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color w:val="auto"/>
        </w:rPr>
      </w:pPr>
      <w:r w:rsidRPr="00F941DA">
        <w:rPr>
          <w:color w:val="auto"/>
        </w:rPr>
        <w:t xml:space="preserve">La aparitia în cadrul a 2 cicluri consecutive se recomanda intreruperea tratamentului pana ce neutrofilele, repectiv trombocitele, revin la cel mult Gradul 2, cand se reia ciclul de tratament cu doza de 200 mg. </w:t>
      </w:r>
    </w:p>
    <w:p w14:paraId="3E9ECEDF" w14:textId="77777777" w:rsidR="006A440B" w:rsidRPr="00F941DA"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color w:val="auto"/>
        </w:rPr>
      </w:pPr>
      <w:r w:rsidRPr="00F941DA">
        <w:rPr>
          <w:color w:val="auto"/>
        </w:rPr>
        <w:t>Daca pacientul continua sa manifeste semne de toxicitate dupa reducerea dozei, se reduce durata tratamentului cu 7 zile,</w:t>
      </w:r>
    </w:p>
    <w:p w14:paraId="6D7312C2" w14:textId="77777777" w:rsidR="006A440B" w:rsidRPr="00F941DA"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color w:val="auto"/>
        </w:rPr>
      </w:pPr>
      <w:r w:rsidRPr="00F941DA">
        <w:rPr>
          <w:color w:val="auto"/>
        </w:rPr>
        <w:t>Daca toxicitatea persista sau reapare dupa reducerea dozei si a schemei de tratament, se întrerupe tratamentul.</w:t>
      </w:r>
    </w:p>
    <w:p w14:paraId="72A37CD5" w14:textId="77777777" w:rsidR="006A440B" w:rsidRPr="00F941DA" w:rsidRDefault="006A440B" w:rsidP="006A440B">
      <w:pPr>
        <w:autoSpaceDE w:val="0"/>
        <w:autoSpaceDN w:val="0"/>
        <w:adjustRightInd w:val="0"/>
        <w:jc w:val="both"/>
        <w:rPr>
          <w:rFonts w:ascii="Times New Roman" w:hAnsi="Times New Roman" w:cs="Times New Roman"/>
          <w:sz w:val="24"/>
          <w:szCs w:val="24"/>
        </w:rPr>
      </w:pPr>
    </w:p>
    <w:p w14:paraId="04F8E800" w14:textId="77777777" w:rsidR="006A440B" w:rsidRPr="00F941DA" w:rsidRDefault="006A440B" w:rsidP="006A440B">
      <w:pPr>
        <w:pStyle w:val="ListParagraph"/>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rPr>
          <w:b/>
          <w:bCs/>
          <w:color w:val="auto"/>
        </w:rPr>
      </w:pPr>
      <w:r w:rsidRPr="00F941DA">
        <w:rPr>
          <w:color w:val="auto"/>
        </w:rPr>
        <w:t xml:space="preserve">Pentru </w:t>
      </w:r>
      <w:r w:rsidRPr="00F941DA">
        <w:rPr>
          <w:b/>
          <w:bCs/>
          <w:color w:val="auto"/>
        </w:rPr>
        <w:t>reacțiile adverse Gradul 3 și peste cu greață, vărsături sau diaree, sau alte evenimente nonhematologice de Gradul 3 sau mai mare</w:t>
      </w:r>
      <w:r w:rsidRPr="00F941DA">
        <w:rPr>
          <w:color w:val="auto"/>
        </w:rPr>
        <w:t>:</w:t>
      </w:r>
    </w:p>
    <w:p w14:paraId="5BE8FBC6" w14:textId="77777777" w:rsidR="006A440B" w:rsidRPr="00F941DA"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b/>
          <w:bCs/>
          <w:color w:val="auto"/>
        </w:rPr>
      </w:pPr>
      <w:r w:rsidRPr="00F941DA">
        <w:rPr>
          <w:color w:val="auto"/>
        </w:rPr>
        <w:t xml:space="preserve">La prima aparitie se recomanda întreruperea tratamentului pana ce toxicitatea se remite la cel mult Gradul 1, cand se reia ciclul de tratament la aceeasi doza. </w:t>
      </w:r>
    </w:p>
    <w:p w14:paraId="140FC87A" w14:textId="77777777" w:rsidR="006A440B" w:rsidRPr="00F941DA"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b/>
          <w:bCs/>
          <w:color w:val="auto"/>
        </w:rPr>
      </w:pPr>
      <w:r w:rsidRPr="00F941DA">
        <w:rPr>
          <w:color w:val="auto"/>
        </w:rPr>
        <w:t xml:space="preserve">In cazul reaparitiei toxicitatii se recomanda intreruperea tratamentului pana ce toxicitatea se remite la cel mult Gradul 1, cand se reia ciclul de tratament cu doza de 200 mg. </w:t>
      </w:r>
    </w:p>
    <w:p w14:paraId="3C8AB93A" w14:textId="77777777" w:rsidR="006A440B" w:rsidRPr="00F941DA"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b/>
          <w:bCs/>
          <w:color w:val="auto"/>
        </w:rPr>
      </w:pPr>
      <w:r w:rsidRPr="00F941DA">
        <w:rPr>
          <w:color w:val="auto"/>
        </w:rPr>
        <w:t xml:space="preserve">Daca pacientul continua sa manifeste semne de toxicitate dupa reducerea dozei, se reduce durata tratamentului cu 7 zile, </w:t>
      </w:r>
    </w:p>
    <w:p w14:paraId="30F0B5CC" w14:textId="77777777" w:rsidR="006A440B" w:rsidRPr="00F941DA"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b/>
          <w:bCs/>
          <w:color w:val="auto"/>
        </w:rPr>
      </w:pPr>
      <w:r w:rsidRPr="00F941DA">
        <w:rPr>
          <w:color w:val="auto"/>
        </w:rPr>
        <w:t>Daca toxicitatea persista sau reapare dupa reducerea dozei si a schemei de tratament, se întrerupe tratamentul.</w:t>
      </w:r>
    </w:p>
    <w:p w14:paraId="153F6894" w14:textId="77777777" w:rsidR="006A440B" w:rsidRPr="00F941DA" w:rsidRDefault="006A440B" w:rsidP="006A440B">
      <w:pPr>
        <w:autoSpaceDE w:val="0"/>
        <w:autoSpaceDN w:val="0"/>
        <w:adjustRightInd w:val="0"/>
        <w:jc w:val="both"/>
        <w:rPr>
          <w:rFonts w:ascii="Times New Roman" w:hAnsi="Times New Roman" w:cs="Times New Roman"/>
          <w:b/>
          <w:bCs/>
          <w:sz w:val="24"/>
          <w:szCs w:val="24"/>
        </w:rPr>
      </w:pPr>
    </w:p>
    <w:p w14:paraId="3C9BB7C7" w14:textId="77777777" w:rsidR="006A440B" w:rsidRPr="00F941DA" w:rsidRDefault="006A440B" w:rsidP="006A440B">
      <w:pPr>
        <w:autoSpaceDE w:val="0"/>
        <w:autoSpaceDN w:val="0"/>
        <w:adjustRightInd w:val="0"/>
        <w:spacing w:after="0"/>
        <w:jc w:val="both"/>
        <w:rPr>
          <w:rFonts w:ascii="Times New Roman" w:hAnsi="Times New Roman" w:cs="Times New Roman"/>
          <w:b/>
          <w:bCs/>
          <w:sz w:val="24"/>
          <w:szCs w:val="24"/>
        </w:rPr>
      </w:pPr>
      <w:r w:rsidRPr="00F941DA">
        <w:rPr>
          <w:rFonts w:ascii="Times New Roman" w:hAnsi="Times New Roman" w:cs="Times New Roman"/>
          <w:b/>
          <w:bCs/>
          <w:sz w:val="24"/>
          <w:szCs w:val="24"/>
        </w:rPr>
        <w:t>Doze omise sau întârziate</w:t>
      </w:r>
    </w:p>
    <w:p w14:paraId="3CE6281B"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Dacă se omite o doză de Azacitidina sau aceasta nu este luată la ora obișnuită, doza trebuie luată cât mai curând posibil în aceeași zi. Următoarea doză programată trebuie luată apoi la ora obișnuită în ziua următoare. Nu trebuie luate două doze în aceeași zi.</w:t>
      </w:r>
    </w:p>
    <w:p w14:paraId="649D7357"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Dacă apar vărsăturile după administrarea unei doze, nu trebuie luată o doză suplimentară în aceeași zi.</w:t>
      </w:r>
    </w:p>
    <w:p w14:paraId="075EC127"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Se revine apoi la ora obișnuită de administrare a dozei în ziua următoare.</w:t>
      </w:r>
    </w:p>
    <w:p w14:paraId="5924A1E6" w14:textId="77777777" w:rsidR="006A440B" w:rsidRPr="00F941DA" w:rsidRDefault="006A440B" w:rsidP="006A440B">
      <w:pPr>
        <w:autoSpaceDE w:val="0"/>
        <w:autoSpaceDN w:val="0"/>
        <w:adjustRightInd w:val="0"/>
        <w:spacing w:after="0"/>
        <w:jc w:val="both"/>
        <w:rPr>
          <w:rFonts w:ascii="Times New Roman" w:hAnsi="Times New Roman" w:cs="Times New Roman"/>
          <w:sz w:val="24"/>
          <w:szCs w:val="24"/>
        </w:rPr>
      </w:pPr>
    </w:p>
    <w:p w14:paraId="6D63DF40" w14:textId="0B96A3AB" w:rsidR="006A440B" w:rsidRPr="00F941DA" w:rsidRDefault="006A440B" w:rsidP="006A440B">
      <w:pPr>
        <w:autoSpaceDE w:val="0"/>
        <w:autoSpaceDN w:val="0"/>
        <w:adjustRightInd w:val="0"/>
        <w:jc w:val="both"/>
        <w:rPr>
          <w:rFonts w:ascii="Times New Roman" w:hAnsi="Times New Roman" w:cs="Times New Roman"/>
          <w:b/>
          <w:bCs/>
          <w:sz w:val="24"/>
          <w:szCs w:val="24"/>
          <w:u w:val="single"/>
        </w:rPr>
      </w:pPr>
      <w:r w:rsidRPr="00F941DA">
        <w:rPr>
          <w:rFonts w:ascii="Times New Roman" w:hAnsi="Times New Roman" w:cs="Times New Roman"/>
          <w:b/>
          <w:bCs/>
          <w:sz w:val="24"/>
          <w:szCs w:val="24"/>
          <w:u w:val="single"/>
        </w:rPr>
        <w:t>2. Mod de administrare</w:t>
      </w:r>
    </w:p>
    <w:p w14:paraId="4AD03CA6" w14:textId="51D260A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Azacitidina comprimate se administrează pe cale orală, cu sau fără alimente, înghițite întregi, aproximativ aceeași oră în fiecare zi. </w:t>
      </w:r>
    </w:p>
    <w:p w14:paraId="4F9E2612" w14:textId="0ED2B964"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In timpul primelor 2 cicluri de tratament pacienților trebuie să li se administreze un tratament antiemetic cu 30 minute înaintea fiecărei doze. Tratamentul profilactic antiemetic poate fi omis după 2 cicluri, dacă nu au apărut greața sau vărsăturile.</w:t>
      </w:r>
    </w:p>
    <w:p w14:paraId="5C9AFA3B" w14:textId="504A6155"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Tratamentul trebuie continuat până când procentul de blaști atinge cel mult 15% în sângele periferic sau în măduva osoasă sau până la apariția toxicității inacceptabile.</w:t>
      </w:r>
    </w:p>
    <w:p w14:paraId="50CC8E13" w14:textId="77777777" w:rsidR="006A440B" w:rsidRPr="00F941DA" w:rsidRDefault="006A440B" w:rsidP="006A440B">
      <w:pPr>
        <w:autoSpaceDE w:val="0"/>
        <w:autoSpaceDN w:val="0"/>
        <w:adjustRightInd w:val="0"/>
        <w:jc w:val="both"/>
        <w:rPr>
          <w:rFonts w:ascii="Times New Roman" w:hAnsi="Times New Roman" w:cs="Times New Roman"/>
          <w:sz w:val="24"/>
          <w:szCs w:val="24"/>
        </w:rPr>
      </w:pPr>
    </w:p>
    <w:p w14:paraId="2B083AB7" w14:textId="13D6CE94" w:rsidR="006A440B" w:rsidRPr="00F941DA" w:rsidRDefault="006A440B" w:rsidP="006A440B">
      <w:pPr>
        <w:autoSpaceDE w:val="0"/>
        <w:autoSpaceDN w:val="0"/>
        <w:adjustRightInd w:val="0"/>
        <w:jc w:val="both"/>
        <w:rPr>
          <w:rFonts w:ascii="Times New Roman" w:hAnsi="Times New Roman" w:cs="Times New Roman"/>
          <w:b/>
          <w:bCs/>
          <w:sz w:val="24"/>
          <w:szCs w:val="24"/>
          <w:u w:val="single"/>
        </w:rPr>
      </w:pPr>
      <w:r w:rsidRPr="00F941DA">
        <w:rPr>
          <w:rFonts w:ascii="Times New Roman" w:hAnsi="Times New Roman" w:cs="Times New Roman"/>
          <w:b/>
          <w:bCs/>
          <w:sz w:val="24"/>
          <w:szCs w:val="24"/>
          <w:u w:val="single"/>
        </w:rPr>
        <w:t>3. Atenționări și precauții speciale pentru utilizare</w:t>
      </w:r>
    </w:p>
    <w:p w14:paraId="1360AABE" w14:textId="49A82644"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Azacitidina pentru administrare orala </w:t>
      </w:r>
      <w:r w:rsidRPr="00F941DA">
        <w:rPr>
          <w:rFonts w:ascii="Times New Roman" w:hAnsi="Times New Roman" w:cs="Times New Roman"/>
          <w:b/>
          <w:bCs/>
          <w:sz w:val="24"/>
          <w:szCs w:val="24"/>
        </w:rPr>
        <w:t>nu trebuie utilizata în mod interschimbabil cu azacitidina injectabilă</w:t>
      </w:r>
      <w:r w:rsidRPr="00F941DA">
        <w:rPr>
          <w:rFonts w:ascii="Times New Roman" w:hAnsi="Times New Roman" w:cs="Times New Roman"/>
          <w:sz w:val="24"/>
          <w:szCs w:val="24"/>
        </w:rPr>
        <w:t xml:space="preserve"> din cauza diferențelor de expunere, dozare și a schemei de tratament.</w:t>
      </w:r>
    </w:p>
    <w:p w14:paraId="01E76073" w14:textId="33BC3F64"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Azacitidina poate fi administrata </w:t>
      </w:r>
      <w:r w:rsidRPr="00F941DA">
        <w:rPr>
          <w:rFonts w:ascii="Times New Roman" w:hAnsi="Times New Roman" w:cs="Times New Roman"/>
          <w:b/>
          <w:bCs/>
          <w:sz w:val="24"/>
          <w:szCs w:val="24"/>
        </w:rPr>
        <w:t>pacienților cu insuficiență renală</w:t>
      </w:r>
      <w:r w:rsidRPr="00F941DA">
        <w:rPr>
          <w:rFonts w:ascii="Times New Roman" w:hAnsi="Times New Roman" w:cs="Times New Roman"/>
          <w:sz w:val="24"/>
          <w:szCs w:val="24"/>
        </w:rPr>
        <w:t xml:space="preserve"> ușoară, moderată sau severă fără ajustarea dozei inițiale.</w:t>
      </w:r>
    </w:p>
    <w:p w14:paraId="56AA45E8" w14:textId="3DB4D165"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lastRenderedPageBreak/>
        <w:t xml:space="preserve">Nu se recomandă ajustări ale dozei la pacienții cu </w:t>
      </w:r>
      <w:r w:rsidRPr="00F941DA">
        <w:rPr>
          <w:rFonts w:ascii="Times New Roman" w:hAnsi="Times New Roman" w:cs="Times New Roman"/>
          <w:b/>
          <w:bCs/>
          <w:sz w:val="24"/>
          <w:szCs w:val="24"/>
        </w:rPr>
        <w:t>vârsta peste 65 ani</w:t>
      </w:r>
      <w:r w:rsidRPr="00F941DA">
        <w:rPr>
          <w:rFonts w:ascii="Times New Roman" w:hAnsi="Times New Roman" w:cs="Times New Roman"/>
          <w:sz w:val="24"/>
          <w:szCs w:val="24"/>
        </w:rPr>
        <w:t xml:space="preserve"> sau la </w:t>
      </w:r>
      <w:r w:rsidRPr="00F941DA">
        <w:rPr>
          <w:rFonts w:ascii="Times New Roman" w:hAnsi="Times New Roman" w:cs="Times New Roman"/>
          <w:b/>
          <w:bCs/>
          <w:sz w:val="24"/>
          <w:szCs w:val="24"/>
        </w:rPr>
        <w:t>pacienții cu insuficiență hepatică</w:t>
      </w:r>
      <w:r w:rsidRPr="00F941DA">
        <w:rPr>
          <w:rFonts w:ascii="Times New Roman" w:hAnsi="Times New Roman" w:cs="Times New Roman"/>
          <w:sz w:val="24"/>
          <w:szCs w:val="24"/>
        </w:rPr>
        <w:t xml:space="preserve"> ușoară (bilirubină totală (BT) ≤ limita superioară a valorilor normale (LSVN) și aspartat aminotransferază (AST) &gt; LSVN sau BT 1 până la 1,5 x LSVN și orice valoare a AST). Pacienții cu insuficiență hepatică moderată (BT &gt; 1,5 până la 3 x LVSN) și severă (BT &gt; 3 × LSVN) trebuie monitorizați mai frecvent pentru observarea reacțiilor adverse, fiind necesare ajustări corespunzătoare ale dozei.</w:t>
      </w:r>
    </w:p>
    <w:p w14:paraId="5D48C5F9"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Se recomandă precauție și monitorizare în cazul administrării concomitente cu </w:t>
      </w:r>
      <w:r w:rsidRPr="00F941DA">
        <w:rPr>
          <w:rFonts w:ascii="Times New Roman" w:hAnsi="Times New Roman" w:cs="Times New Roman"/>
          <w:b/>
          <w:bCs/>
          <w:sz w:val="24"/>
          <w:szCs w:val="24"/>
        </w:rPr>
        <w:t>alte medicamente antineoplazice</w:t>
      </w:r>
      <w:r w:rsidRPr="00F941DA">
        <w:rPr>
          <w:rFonts w:ascii="Times New Roman" w:hAnsi="Times New Roman" w:cs="Times New Roman"/>
          <w:sz w:val="24"/>
          <w:szCs w:val="24"/>
        </w:rPr>
        <w:t>, deoarece nu se pot exclude efecte farmacodinamice antagoniste, aditive sau sinergice.</w:t>
      </w:r>
    </w:p>
    <w:p w14:paraId="4BDFC27D"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Comprimatele conțin lactoză. Pacienții cu afecțiuni ereditare rare de intoleranță la galactoză, deficit total de lactază sau sindrom de malabsorbție la glucoză-galactoză nu trebuie să utilizeze acest medicament.</w:t>
      </w:r>
    </w:p>
    <w:p w14:paraId="623517DD"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Femeile aflate la vârsta fertilă trebuie să utilizeze măsuri contraceptive eficace în timpul tratamentului și până la 6 luni după tratament. Bărbații trebuie sfătuiți să evite conceperea unui copil în timpul tratamentului și că trebuie să utilizeze metode contraceptive eficace în timpul tratamentului și până la 3 luni după tratament.</w:t>
      </w:r>
    </w:p>
    <w:p w14:paraId="42288F2B" w14:textId="777424CD"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În studiile clinice, cele mai frecvente </w:t>
      </w:r>
      <w:r w:rsidRPr="00F941DA">
        <w:rPr>
          <w:rFonts w:ascii="Times New Roman" w:hAnsi="Times New Roman" w:cs="Times New Roman"/>
          <w:b/>
          <w:bCs/>
          <w:sz w:val="24"/>
          <w:szCs w:val="24"/>
        </w:rPr>
        <w:t>reacții adverse</w:t>
      </w:r>
      <w:r w:rsidRPr="00F941DA">
        <w:rPr>
          <w:rFonts w:ascii="Times New Roman" w:hAnsi="Times New Roman" w:cs="Times New Roman"/>
          <w:sz w:val="24"/>
          <w:szCs w:val="24"/>
        </w:rPr>
        <w:t xml:space="preserve"> au fost in ordinea frecventei: greața, vărsăturile, diareea, neutropenia, fatigabilitatea/astenia, constipația, trombocitopenia, durerile abdominale, infecțiile tractului respirator, artralgiea, scăderea apetitului alimentar, neutropenia febrilă, durerile lombare, leucopenia, durerea la nivelul extremităților și pneumoniea.</w:t>
      </w:r>
    </w:p>
    <w:p w14:paraId="29094162"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Reacțiile adverse grave cele mai frecvente au fost neutropenia febrilă (6,8%) și pneumonia (5,1%).</w:t>
      </w:r>
    </w:p>
    <w:p w14:paraId="15F7D743" w14:textId="4C5D3F00"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Reacțiile adverse cele mai frecvente care au necesitat încetarea definitivă a tratamentului au fost greața (2,1%), diareea (1,7%) și vărsăturile (1,3%).</w:t>
      </w:r>
    </w:p>
    <w:p w14:paraId="7542966C" w14:textId="23AAC295"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Reacțiile adverse care au necesitat întreruperea administrării dozei au inclus neutropenie (19,9%), trombocitopenie (8,5%), greață (5,5%), diaree (4,2%), vărsături (3,8%), pneumonie (3,4%)1, leucopenie (2,5%), neutropenie febrilă (2,1%) și dureri abdominale (2,1%)4.</w:t>
      </w:r>
    </w:p>
    <w:p w14:paraId="225EEEF6" w14:textId="127F170D"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Reacțiile adverse care au necesitat reducerea dozei au inclus neutropenie (5,5%), diaree (3,4%), trombocitopenie (1,7%) și greață (1,7%).</w:t>
      </w:r>
    </w:p>
    <w:p w14:paraId="30A3FC7B" w14:textId="77777777" w:rsidR="006A440B" w:rsidRPr="00F941DA" w:rsidRDefault="006A440B" w:rsidP="006A440B">
      <w:pPr>
        <w:autoSpaceDE w:val="0"/>
        <w:autoSpaceDN w:val="0"/>
        <w:adjustRightInd w:val="0"/>
        <w:spacing w:after="0"/>
        <w:jc w:val="both"/>
        <w:rPr>
          <w:rFonts w:ascii="Times New Roman" w:hAnsi="Times New Roman" w:cs="Times New Roman"/>
          <w:sz w:val="24"/>
          <w:szCs w:val="24"/>
        </w:rPr>
      </w:pPr>
    </w:p>
    <w:p w14:paraId="2F0208A4" w14:textId="003333B5" w:rsidR="006A440B" w:rsidRPr="00F941DA" w:rsidRDefault="006A440B" w:rsidP="006A440B">
      <w:pPr>
        <w:autoSpaceDE w:val="0"/>
        <w:autoSpaceDN w:val="0"/>
        <w:adjustRightInd w:val="0"/>
        <w:jc w:val="both"/>
        <w:rPr>
          <w:rFonts w:ascii="Times New Roman" w:hAnsi="Times New Roman" w:cs="Times New Roman"/>
          <w:b/>
          <w:bCs/>
          <w:sz w:val="24"/>
          <w:szCs w:val="24"/>
          <w:u w:val="single"/>
        </w:rPr>
      </w:pPr>
      <w:r w:rsidRPr="00F941DA">
        <w:rPr>
          <w:rFonts w:ascii="Times New Roman" w:hAnsi="Times New Roman" w:cs="Times New Roman"/>
          <w:b/>
          <w:bCs/>
          <w:sz w:val="24"/>
          <w:szCs w:val="24"/>
          <w:u w:val="single"/>
        </w:rPr>
        <w:t>4. Monitorizarea tratamentului</w:t>
      </w:r>
    </w:p>
    <w:p w14:paraId="7C125B09"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Hemoleucograma completă trebuie efectuată înaintea inițierii tratamentului. </w:t>
      </w:r>
    </w:p>
    <w:p w14:paraId="69BFA2C2" w14:textId="3B499FAA"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Se recomandă monitorizarea hemoleucogramei complete o dată la două săptămâni în primele 2 cicluri (56 zile), o dată la două săptămâni în următoarele 2 cicluri după ajustarea dozei și ulterior în fiecare lună, înaintea începerii următoarelor cicluri de tratament.</w:t>
      </w:r>
    </w:p>
    <w:p w14:paraId="77D3DDC4" w14:textId="5DE14479" w:rsidR="006A440B" w:rsidRPr="00F941DA" w:rsidRDefault="00CB7B02" w:rsidP="006A440B">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V</w:t>
      </w:r>
      <w:r w:rsidR="006A440B" w:rsidRPr="00F941DA">
        <w:rPr>
          <w:rFonts w:ascii="Times New Roman" w:hAnsi="Times New Roman" w:cs="Times New Roman"/>
          <w:b/>
          <w:bCs/>
          <w:sz w:val="24"/>
          <w:szCs w:val="24"/>
        </w:rPr>
        <w:t>. Criterii de intrerupere a tratamentului</w:t>
      </w:r>
    </w:p>
    <w:p w14:paraId="240B8753" w14:textId="0A5A1A2B"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Tratamentul cu Azacitinina forma orala trebuie întrerupt dacă procentul de blaști depășește 15% în sângele periferic sau în măduva osoasă, sau dacă medicul consideră că este necesar.</w:t>
      </w:r>
      <w:r w:rsidRPr="00F941DA">
        <w:rPr>
          <w:rFonts w:ascii="Times New Roman" w:hAnsi="Times New Roman" w:cs="Times New Roman"/>
          <w:b/>
          <w:bCs/>
          <w:sz w:val="24"/>
          <w:szCs w:val="24"/>
        </w:rPr>
        <w:t xml:space="preserve"> </w:t>
      </w:r>
      <w:r w:rsidRPr="00F941DA">
        <w:rPr>
          <w:rFonts w:ascii="Times New Roman" w:hAnsi="Times New Roman" w:cs="Times New Roman"/>
          <w:sz w:val="24"/>
          <w:szCs w:val="24"/>
        </w:rPr>
        <w:t>Întreruperea, reducerea sau încetarea tratamentului poate fi necesară pentru abordarea terapeutică a toxicității hematologice, gastro-intestinale.</w:t>
      </w:r>
    </w:p>
    <w:p w14:paraId="69535284" w14:textId="260CC381" w:rsidR="006A440B" w:rsidRPr="00F941DA" w:rsidRDefault="006A440B" w:rsidP="006A440B">
      <w:pPr>
        <w:autoSpaceDE w:val="0"/>
        <w:autoSpaceDN w:val="0"/>
        <w:adjustRightInd w:val="0"/>
        <w:spacing w:after="0"/>
        <w:jc w:val="both"/>
        <w:rPr>
          <w:rFonts w:ascii="Times New Roman" w:hAnsi="Times New Roman" w:cs="Times New Roman"/>
          <w:b/>
          <w:bCs/>
          <w:sz w:val="24"/>
          <w:szCs w:val="24"/>
        </w:rPr>
      </w:pPr>
      <w:r w:rsidRPr="00F941DA">
        <w:rPr>
          <w:rFonts w:ascii="Times New Roman" w:hAnsi="Times New Roman" w:cs="Times New Roman"/>
          <w:b/>
          <w:bCs/>
          <w:sz w:val="24"/>
          <w:szCs w:val="24"/>
        </w:rPr>
        <w:t>V</w:t>
      </w:r>
      <w:r w:rsidR="00CB7B02" w:rsidRPr="00F941DA">
        <w:rPr>
          <w:rFonts w:ascii="Times New Roman" w:hAnsi="Times New Roman" w:cs="Times New Roman"/>
          <w:b/>
          <w:bCs/>
          <w:sz w:val="24"/>
          <w:szCs w:val="24"/>
        </w:rPr>
        <w:t>I</w:t>
      </w:r>
      <w:r w:rsidRPr="00F941DA">
        <w:rPr>
          <w:rFonts w:ascii="Times New Roman" w:hAnsi="Times New Roman" w:cs="Times New Roman"/>
          <w:b/>
          <w:bCs/>
          <w:sz w:val="24"/>
          <w:szCs w:val="24"/>
        </w:rPr>
        <w:t>. Prescriptori</w:t>
      </w:r>
    </w:p>
    <w:p w14:paraId="3C918A37" w14:textId="77777777" w:rsidR="006A440B" w:rsidRPr="00F941DA" w:rsidRDefault="006A440B" w:rsidP="006A440B">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Tratamentul se iniţiază de catre medici din specialitatea hematologie și se continuă de către medicii din specialitatea hematologie si oncologie (după caz).”</w:t>
      </w:r>
    </w:p>
    <w:p w14:paraId="367027EA" w14:textId="77777777" w:rsidR="006A440B" w:rsidRPr="00F941DA" w:rsidRDefault="006A440B" w:rsidP="006A440B">
      <w:pPr>
        <w:autoSpaceDE w:val="0"/>
        <w:autoSpaceDN w:val="0"/>
        <w:adjustRightInd w:val="0"/>
        <w:jc w:val="both"/>
        <w:rPr>
          <w:rFonts w:ascii="Times New Roman" w:hAnsi="Times New Roman" w:cs="Times New Roman"/>
          <w:sz w:val="24"/>
          <w:szCs w:val="24"/>
        </w:rPr>
      </w:pPr>
    </w:p>
    <w:p w14:paraId="0EDFAEE5" w14:textId="77777777" w:rsidR="007B60B7" w:rsidRPr="00F941DA" w:rsidRDefault="007B60B7" w:rsidP="00984957">
      <w:pPr>
        <w:pStyle w:val="ListParagraph"/>
        <w:rPr>
          <w:rFonts w:asciiTheme="minorHAnsi" w:eastAsia="Arial" w:hAnsiTheme="minorHAnsi" w:cstheme="minorBidi"/>
          <w:b/>
          <w:bCs/>
          <w:color w:val="auto"/>
          <w:sz w:val="22"/>
          <w:szCs w:val="22"/>
          <w:bdr w:val="none" w:sz="0" w:space="0" w:color="auto"/>
          <w:lang w:val="en-US" w:eastAsia="en-US"/>
        </w:rPr>
      </w:pPr>
    </w:p>
    <w:p w14:paraId="2964FCBF" w14:textId="77777777" w:rsidR="00D05E4C" w:rsidRPr="00F941DA" w:rsidRDefault="00D05E4C" w:rsidP="00984957">
      <w:pPr>
        <w:pStyle w:val="ListParagraph"/>
        <w:rPr>
          <w:rFonts w:eastAsia="Arial"/>
          <w:b/>
          <w:bCs/>
          <w:color w:val="auto"/>
          <w:lang w:val="en-US"/>
        </w:rPr>
      </w:pPr>
    </w:p>
    <w:p w14:paraId="78A255AB" w14:textId="2235E650" w:rsidR="007B60B7" w:rsidRPr="00F941DA" w:rsidRDefault="007B60B7" w:rsidP="00301CF8">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t xml:space="preserve">La anexa nr. 1, protocolul terapeutic corespunzător poziţiei nr. </w:t>
      </w:r>
      <w:r w:rsidR="00CA4F71" w:rsidRPr="00F941DA">
        <w:rPr>
          <w:rFonts w:eastAsia="Arial"/>
          <w:b/>
          <w:bCs/>
          <w:color w:val="auto"/>
          <w:lang w:val="en-US"/>
        </w:rPr>
        <w:t>147</w:t>
      </w:r>
      <w:r w:rsidRPr="00F941DA">
        <w:rPr>
          <w:rFonts w:eastAsia="Arial"/>
          <w:b/>
          <w:bCs/>
          <w:color w:val="auto"/>
          <w:lang w:val="en-US"/>
        </w:rPr>
        <w:t xml:space="preserve"> cod (</w:t>
      </w:r>
      <w:r w:rsidR="00CA4F71" w:rsidRPr="00F941DA">
        <w:rPr>
          <w:rFonts w:eastAsia="Arial"/>
          <w:b/>
          <w:bCs/>
          <w:color w:val="auto"/>
          <w:lang w:val="en-US"/>
        </w:rPr>
        <w:t>L01XC17</w:t>
      </w:r>
      <w:r w:rsidRPr="00F941DA">
        <w:rPr>
          <w:rFonts w:eastAsia="Arial"/>
          <w:b/>
          <w:bCs/>
          <w:color w:val="auto"/>
          <w:lang w:val="en-US"/>
        </w:rPr>
        <w:t xml:space="preserve">): DCI </w:t>
      </w:r>
      <w:r w:rsidR="00CA4F71" w:rsidRPr="00F941DA">
        <w:rPr>
          <w:rFonts w:eastAsia="Arial"/>
          <w:b/>
          <w:bCs/>
          <w:color w:val="auto"/>
          <w:lang w:val="en-US"/>
        </w:rPr>
        <w:t>NIVOLUMABUM</w:t>
      </w:r>
      <w:r w:rsidRPr="00F941DA">
        <w:rPr>
          <w:rFonts w:eastAsia="Arial"/>
          <w:b/>
          <w:bCs/>
          <w:color w:val="auto"/>
          <w:lang w:val="en-US"/>
        </w:rPr>
        <w:t xml:space="preserve"> se modifică și se înlocuiește cu următorul protocol:</w:t>
      </w:r>
    </w:p>
    <w:p w14:paraId="06BD8273" w14:textId="77777777" w:rsidR="007B60B7" w:rsidRPr="00F941DA" w:rsidRDefault="007B60B7" w:rsidP="007B60B7">
      <w:pPr>
        <w:tabs>
          <w:tab w:val="left" w:pos="426"/>
        </w:tabs>
        <w:jc w:val="both"/>
        <w:rPr>
          <w:rFonts w:ascii="Times New Roman" w:eastAsia="Arial" w:hAnsi="Times New Roman" w:cs="Times New Roman"/>
          <w:b/>
          <w:bCs/>
          <w:sz w:val="24"/>
          <w:szCs w:val="24"/>
          <w:lang w:val="en-US"/>
        </w:rPr>
      </w:pPr>
    </w:p>
    <w:p w14:paraId="2F423D09" w14:textId="449566B7" w:rsidR="007B60B7" w:rsidRPr="00F941DA" w:rsidRDefault="007B60B7" w:rsidP="007B60B7">
      <w:pPr>
        <w:tabs>
          <w:tab w:val="left" w:pos="426"/>
        </w:tabs>
        <w:jc w:val="both"/>
        <w:rPr>
          <w:rFonts w:ascii="Times New Roman" w:eastAsia="Arial" w:hAnsi="Times New Roman" w:cs="Times New Roman"/>
          <w:b/>
          <w:bCs/>
          <w:sz w:val="24"/>
          <w:szCs w:val="24"/>
          <w:lang w:val="en-US"/>
        </w:rPr>
      </w:pPr>
      <w:r w:rsidRPr="00F941DA">
        <w:rPr>
          <w:rFonts w:ascii="Times New Roman" w:eastAsia="Arial" w:hAnsi="Times New Roman" w:cs="Times New Roman"/>
          <w:b/>
          <w:bCs/>
          <w:sz w:val="24"/>
          <w:szCs w:val="24"/>
          <w:lang w:val="en-US"/>
        </w:rPr>
        <w:t xml:space="preserve">”Protocol terapeutic corespunzător poziţiei nr. </w:t>
      </w:r>
      <w:r w:rsidR="00CA4F71" w:rsidRPr="00F941DA">
        <w:rPr>
          <w:rFonts w:ascii="Times New Roman" w:eastAsia="Arial" w:hAnsi="Times New Roman" w:cs="Times New Roman"/>
          <w:b/>
          <w:bCs/>
          <w:sz w:val="24"/>
          <w:szCs w:val="24"/>
          <w:lang w:val="en-US"/>
        </w:rPr>
        <w:t>147 cod (L01XC17): DCI NIVOLUMABUM</w:t>
      </w:r>
    </w:p>
    <w:p w14:paraId="76D874FC" w14:textId="77777777" w:rsidR="00D05E4C" w:rsidRPr="00F941DA" w:rsidRDefault="00D05E4C" w:rsidP="00D05E4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p>
    <w:p w14:paraId="690CCDE6" w14:textId="77777777" w:rsidR="00D05E4C" w:rsidRPr="00F941DA" w:rsidRDefault="00D05E4C" w:rsidP="00D05E4C">
      <w:pPr>
        <w:spacing w:after="0" w:line="240" w:lineRule="auto"/>
        <w:jc w:val="both"/>
        <w:rPr>
          <w:rFonts w:ascii="Times New Roman" w:eastAsia="Times New Roman" w:hAnsi="Times New Roman" w:cs="Times New Roman"/>
          <w:b/>
          <w:sz w:val="24"/>
          <w:szCs w:val="24"/>
          <w:u w:val="single"/>
          <w:lang w:eastAsia="ro-RO"/>
        </w:rPr>
      </w:pPr>
      <w:r w:rsidRPr="00F941DA">
        <w:rPr>
          <w:rFonts w:ascii="Times New Roman" w:eastAsia="Times New Roman" w:hAnsi="Times New Roman" w:cs="Times New Roman"/>
          <w:b/>
          <w:sz w:val="24"/>
          <w:szCs w:val="24"/>
          <w:u w:val="single"/>
          <w:lang w:eastAsia="ro-RO"/>
        </w:rPr>
        <w:t>1. MELANOMUL MALIGN</w:t>
      </w:r>
    </w:p>
    <w:p w14:paraId="2B43CF3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63704E16"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 Indicaţii (face obiectul unui contract cost volum):</w:t>
      </w:r>
    </w:p>
    <w:p w14:paraId="6670802D" w14:textId="77777777" w:rsidR="00D05E4C" w:rsidRPr="00F941DA" w:rsidRDefault="00D05E4C" w:rsidP="00D05E4C">
      <w:pPr>
        <w:spacing w:after="0" w:line="240" w:lineRule="auto"/>
        <w:ind w:firstLine="142"/>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Nivolumab este indicat pentru tratamentul melanomului malign, la pacienţi adulţi, în două situaţii:</w:t>
      </w:r>
    </w:p>
    <w:p w14:paraId="04F2248E" w14:textId="77777777" w:rsidR="00D05E4C" w:rsidRPr="00F941DA" w:rsidRDefault="00D05E4C" w:rsidP="00D11DF1">
      <w:pPr>
        <w:numPr>
          <w:ilvl w:val="1"/>
          <w:numId w:val="189"/>
        </w:numPr>
        <w:pBdr>
          <w:top w:val="nil"/>
          <w:left w:val="nil"/>
          <w:bottom w:val="nil"/>
          <w:right w:val="nil"/>
          <w:between w:val="nil"/>
          <w:bar w:val="nil"/>
        </w:pBdr>
        <w:spacing w:after="0" w:line="240" w:lineRule="auto"/>
        <w:ind w:left="426" w:hanging="284"/>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Indicaţia 1 - pentru pacienţi diagnosticaţi în stadiu avansat al bolii (nerezecabil sau metastazat), în monoterapie sau asociat cu ipilimumab (asocierea este indicată mai ales la pacienţii cu expresie redusă a PD-L1 la nivelul celulelor tumorale) - indicaţie de tratament cu intenţie paleativă.</w:t>
      </w:r>
    </w:p>
    <w:p w14:paraId="587105C5" w14:textId="77777777" w:rsidR="00D05E4C" w:rsidRPr="00F941DA" w:rsidRDefault="00D05E4C" w:rsidP="00D11DF1">
      <w:pPr>
        <w:numPr>
          <w:ilvl w:val="1"/>
          <w:numId w:val="189"/>
        </w:numPr>
        <w:pBdr>
          <w:top w:val="nil"/>
          <w:left w:val="nil"/>
          <w:bottom w:val="nil"/>
          <w:right w:val="nil"/>
          <w:between w:val="nil"/>
          <w:bar w:val="nil"/>
        </w:pBdr>
        <w:spacing w:after="0" w:line="240" w:lineRule="auto"/>
        <w:ind w:left="426" w:hanging="284"/>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Indicaţia 2 - pentru pacienţi diagnosticaţi cu stadiile III sau IV de boală, la care s-au îndepărtat toate leziunile existente prin intervenţie chirurgicală - indicaţie de tratament cu intenţie adjuvantă.</w:t>
      </w:r>
    </w:p>
    <w:p w14:paraId="02F73A86" w14:textId="77777777" w:rsidR="00D05E4C" w:rsidRPr="00F941DA" w:rsidRDefault="00D05E4C" w:rsidP="00D05E4C">
      <w:pPr>
        <w:spacing w:after="0" w:line="240" w:lineRule="auto"/>
        <w:ind w:firstLine="142"/>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Aceste indicaţii se codifică la prescriere prin codul 117 (conform clasificării internaţionale a maladiilor revizia a 10-a, varianta 999 coduri de boală).</w:t>
      </w:r>
    </w:p>
    <w:p w14:paraId="618CE5F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75602DC5"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b/>
          <w:sz w:val="24"/>
          <w:szCs w:val="24"/>
          <w:lang w:eastAsia="ro-RO"/>
        </w:rPr>
        <w:t>II. Criterii de includere</w:t>
      </w:r>
    </w:p>
    <w:p w14:paraId="05C8D003" w14:textId="77777777" w:rsidR="00D05E4C" w:rsidRPr="00F941DA" w:rsidRDefault="00D05E4C" w:rsidP="00D05E4C">
      <w:pPr>
        <w:spacing w:after="0" w:line="240" w:lineRule="auto"/>
        <w:ind w:firstLine="720"/>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Pentru pacienţii cu indicaţie de tratament cu intenţie paleativă:</w:t>
      </w:r>
    </w:p>
    <w:p w14:paraId="03E0B6DF"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5ED429D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 Pentru pacienţii cu următoarele caracteristici</w:t>
      </w:r>
    </w:p>
    <w:p w14:paraId="0C55994A" w14:textId="77777777" w:rsidR="00D05E4C" w:rsidRPr="00F941DA" w:rsidRDefault="00D05E4C" w:rsidP="00D11DF1">
      <w:pPr>
        <w:numPr>
          <w:ilvl w:val="0"/>
          <w:numId w:val="19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vârsta mai mare de 18 ani</w:t>
      </w:r>
    </w:p>
    <w:p w14:paraId="4AE6553E" w14:textId="77777777" w:rsidR="00D05E4C" w:rsidRPr="00F941DA" w:rsidRDefault="00D05E4C" w:rsidP="00D11DF1">
      <w:pPr>
        <w:numPr>
          <w:ilvl w:val="0"/>
          <w:numId w:val="19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Melanom avansat local şi/sau regional, inoperabil, sau metastazat, confirmat histologic</w:t>
      </w:r>
    </w:p>
    <w:p w14:paraId="01610F8F" w14:textId="77777777" w:rsidR="00D05E4C" w:rsidRPr="00F941DA" w:rsidRDefault="00D05E4C" w:rsidP="00D11DF1">
      <w:pPr>
        <w:numPr>
          <w:ilvl w:val="0"/>
          <w:numId w:val="19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Evaluarea extensiei bolii locale, regionale şi la distanţă (imagistica standard) pentru a certifica încadrarea în stadiile IIIC sau IV de boală</w:t>
      </w:r>
    </w:p>
    <w:p w14:paraId="039E80DF" w14:textId="77777777" w:rsidR="00D05E4C" w:rsidRPr="00F941DA" w:rsidRDefault="00D05E4C" w:rsidP="00D11DF1">
      <w:pPr>
        <w:numPr>
          <w:ilvl w:val="0"/>
          <w:numId w:val="19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Status de performanţă ECOG 0-2*</w:t>
      </w:r>
    </w:p>
    <w:p w14:paraId="72C2AD06" w14:textId="77777777" w:rsidR="00D05E4C" w:rsidRPr="00F941DA" w:rsidRDefault="00D05E4C" w:rsidP="00D11DF1">
      <w:pPr>
        <w:numPr>
          <w:ilvl w:val="0"/>
          <w:numId w:val="19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Este permisă prezenţa metastazelor cerebrale, cu condiţia ca acestea sa fie tratate şi stabile, fără corticoterapie de întreţinere mai mult de echivalentul a 10 mg prednison (ca doză de întreţinere)*) (*) vezi observaţia de mai jos)</w:t>
      </w:r>
    </w:p>
    <w:p w14:paraId="3174A57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62FD92FC" w14:textId="77777777" w:rsidR="00D05E4C" w:rsidRPr="00F941DA" w:rsidRDefault="00D05E4C" w:rsidP="00D05E4C">
      <w:pPr>
        <w:spacing w:after="0" w:line="240" w:lineRule="auto"/>
        <w:ind w:firstLine="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Nivolumabum se administrează în monoterapie.</w:t>
      </w:r>
    </w:p>
    <w:p w14:paraId="34FCC0F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5F828689"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B. Pentru pacienţii cu următoarele caracteristici</w:t>
      </w:r>
    </w:p>
    <w:p w14:paraId="2D701D52" w14:textId="77777777" w:rsidR="00D05E4C" w:rsidRPr="00F941DA" w:rsidRDefault="00D05E4C" w:rsidP="00D11DF1">
      <w:pPr>
        <w:numPr>
          <w:ilvl w:val="0"/>
          <w:numId w:val="191"/>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vârsta mai mare de 18 ani</w:t>
      </w:r>
    </w:p>
    <w:p w14:paraId="4121ADAD" w14:textId="77777777" w:rsidR="00D05E4C" w:rsidRPr="00F941DA" w:rsidRDefault="00D05E4C" w:rsidP="00D11DF1">
      <w:pPr>
        <w:numPr>
          <w:ilvl w:val="0"/>
          <w:numId w:val="191"/>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Melanom avansat local şi/sau regional, inoperabil, sau metastazat, confirmat histologic</w:t>
      </w:r>
    </w:p>
    <w:p w14:paraId="4410AC5A" w14:textId="77777777" w:rsidR="00D05E4C" w:rsidRPr="00F941DA" w:rsidRDefault="00D05E4C" w:rsidP="00D11DF1">
      <w:pPr>
        <w:numPr>
          <w:ilvl w:val="0"/>
          <w:numId w:val="191"/>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Evaluarea extensiei bolii locale, regionale şi la distanţă (imagistica standard) pentru a certifica încadrarea în stadiile IIIC sau IV de boală</w:t>
      </w:r>
    </w:p>
    <w:p w14:paraId="4EB0BEC1" w14:textId="77777777" w:rsidR="00D05E4C" w:rsidRPr="00F941DA" w:rsidRDefault="00D05E4C" w:rsidP="00D11DF1">
      <w:pPr>
        <w:numPr>
          <w:ilvl w:val="0"/>
          <w:numId w:val="191"/>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Status de performanţă ECOG 0-1</w:t>
      </w:r>
    </w:p>
    <w:p w14:paraId="6D92C595" w14:textId="77777777" w:rsidR="00D05E4C" w:rsidRPr="00F941DA" w:rsidRDefault="00D05E4C" w:rsidP="00D11DF1">
      <w:pPr>
        <w:numPr>
          <w:ilvl w:val="0"/>
          <w:numId w:val="191"/>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Este permisă prezenţa metastazelor cerebrale, cu condiţia ca acestea să fie tratate şi stabile, fără corticoterapie de întreţinere mai mult de echivalentul a 10 mg prednison (ca doză de întreţinere) la iniţierea tratamentului cu nivolumab se poate asocia ipilimumab, în dozele şi pe durata prevăzută în protocolul terapeutic pentru Ipilimumab L01XC11.</w:t>
      </w:r>
    </w:p>
    <w:p w14:paraId="32B2CC4E" w14:textId="77777777" w:rsidR="00D05E4C" w:rsidRPr="00F941DA" w:rsidRDefault="00D05E4C" w:rsidP="00D05E4C">
      <w:pPr>
        <w:tabs>
          <w:tab w:val="left" w:pos="851"/>
        </w:tabs>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Pentru pacienţii cu indicaţie de tratament cu intenţie adjuvantă:</w:t>
      </w:r>
    </w:p>
    <w:p w14:paraId="1054AAD3" w14:textId="77777777" w:rsidR="00D05E4C" w:rsidRPr="00F941DA" w:rsidRDefault="00D05E4C" w:rsidP="00D11DF1">
      <w:pPr>
        <w:numPr>
          <w:ilvl w:val="0"/>
          <w:numId w:val="191"/>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vârsta mai mare de 18 ani</w:t>
      </w:r>
    </w:p>
    <w:p w14:paraId="1B2A1601" w14:textId="77777777" w:rsidR="00D05E4C" w:rsidRPr="00F941DA" w:rsidRDefault="00D05E4C" w:rsidP="00D11DF1">
      <w:pPr>
        <w:numPr>
          <w:ilvl w:val="0"/>
          <w:numId w:val="191"/>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Melanom malign stadiile III sau IV, confirmat histologic, operat cu intenţie de radicalitate (inclusiv adenopatii şi/sau leziuni secundare la distanţă)</w:t>
      </w:r>
    </w:p>
    <w:p w14:paraId="389AE46E" w14:textId="77777777" w:rsidR="00D05E4C" w:rsidRPr="00F941DA" w:rsidRDefault="00D05E4C" w:rsidP="00D11DF1">
      <w:pPr>
        <w:numPr>
          <w:ilvl w:val="0"/>
          <w:numId w:val="191"/>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Absenţa semnelor de boală (clinic şi imagistic), după intervenţia chirurgicală, înainte de începerea tratamentului cu nivolumab.</w:t>
      </w:r>
    </w:p>
    <w:p w14:paraId="293A0F0D" w14:textId="77777777" w:rsidR="00D05E4C" w:rsidRPr="00F941DA" w:rsidRDefault="00D05E4C" w:rsidP="00D11DF1">
      <w:pPr>
        <w:numPr>
          <w:ilvl w:val="0"/>
          <w:numId w:val="191"/>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Status de performanţă ECOG 0-2</w:t>
      </w:r>
    </w:p>
    <w:p w14:paraId="33603D51"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III. Criterii de excludere - valabile pentru ambele indicaţii</w:t>
      </w:r>
    </w:p>
    <w:p w14:paraId="0E1D0CDE" w14:textId="77777777" w:rsidR="00D05E4C" w:rsidRPr="00F941DA" w:rsidRDefault="00D05E4C" w:rsidP="00D11DF1">
      <w:pPr>
        <w:numPr>
          <w:ilvl w:val="0"/>
          <w:numId w:val="19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Hipersensibilitate la substanţă activă sau la oricare dintre excipienţi</w:t>
      </w:r>
    </w:p>
    <w:p w14:paraId="0B835C38" w14:textId="77777777" w:rsidR="00D05E4C" w:rsidRPr="00F941DA" w:rsidRDefault="00D05E4C" w:rsidP="00D11DF1">
      <w:pPr>
        <w:numPr>
          <w:ilvl w:val="0"/>
          <w:numId w:val="19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Pacienta însărcinată sau care alăptează</w:t>
      </w:r>
    </w:p>
    <w:p w14:paraId="49759354" w14:textId="77777777" w:rsidR="00D05E4C" w:rsidRPr="00F941DA" w:rsidRDefault="00D05E4C" w:rsidP="00D11DF1">
      <w:pPr>
        <w:numPr>
          <w:ilvl w:val="0"/>
          <w:numId w:val="19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lastRenderedPageBreak/>
        <w:t>Lipsa răspunsului la tratamentul anterior cu imunoterapie (antiPD1/antiPDL1 sau antiCTLA4 etc.) - boala evolutivă dovedită cert, clinic sau imagistic, anterior episodului actual.</w:t>
      </w:r>
    </w:p>
    <w:p w14:paraId="3EA1E631" w14:textId="77777777" w:rsidR="00D05E4C" w:rsidRPr="00F941DA" w:rsidRDefault="00D05E4C" w:rsidP="00D11DF1">
      <w:pPr>
        <w:numPr>
          <w:ilvl w:val="0"/>
          <w:numId w:val="19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Prezenţa unei afecţiuni auto-imune, inclusiv diabet zaharat prin mecanism auto-imun; afecţiunile cutanate autoimune (vitiligo, psoriazis) care nu necesită tratament sistemic imunosupresor nu reprezintă contraindicaţie pentru nivolumab sau asocierea nivolumab cu ipilimumab*)</w:t>
      </w:r>
    </w:p>
    <w:p w14:paraId="6408B61F" w14:textId="77777777" w:rsidR="00D05E4C" w:rsidRPr="00F941DA" w:rsidRDefault="00D05E4C" w:rsidP="00D11DF1">
      <w:pPr>
        <w:numPr>
          <w:ilvl w:val="0"/>
          <w:numId w:val="19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Boala interstiţială pulmonară simptomatică*)</w:t>
      </w:r>
    </w:p>
    <w:p w14:paraId="3D3FB8AD" w14:textId="77777777" w:rsidR="00D05E4C" w:rsidRPr="00F941DA" w:rsidRDefault="00D05E4C" w:rsidP="00D11DF1">
      <w:pPr>
        <w:numPr>
          <w:ilvl w:val="0"/>
          <w:numId w:val="19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Insuficienţa hepatică severă*)</w:t>
      </w:r>
    </w:p>
    <w:p w14:paraId="509C9086" w14:textId="77777777" w:rsidR="00D05E4C" w:rsidRPr="00F941DA" w:rsidRDefault="00D05E4C" w:rsidP="00D11DF1">
      <w:pPr>
        <w:numPr>
          <w:ilvl w:val="0"/>
          <w:numId w:val="19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p>
    <w:p w14:paraId="2161500E" w14:textId="77777777" w:rsidR="00D05E4C" w:rsidRPr="00F941DA" w:rsidRDefault="00D05E4C" w:rsidP="00D11DF1">
      <w:pPr>
        <w:numPr>
          <w:ilvl w:val="0"/>
          <w:numId w:val="19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Pacientul urmează tratament imunosupresiv pentru o afecţiune concomitentă (inclusiv corticoterapie în doza zilnică mai mare decât echivalentul a 10 mg de prednison)*)</w:t>
      </w:r>
    </w:p>
    <w:p w14:paraId="2D48E7B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_____________</w:t>
      </w:r>
    </w:p>
    <w:p w14:paraId="60EE9EB7"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Observaţie:</w:t>
      </w:r>
    </w:p>
    <w:p w14:paraId="3D4BABA5"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Pentru pacienţii cu status de performanţă ECOG &gt; 2, determinări secundare cerebrale netratate sau instabile neurologic, boala inflamatorie pulmonară pre-existentă, afecţiuni autoimune pre-existente, tratamente imunosupresoare anterioare, necesar de corticoterapie în doză mai mare de 10 mg de prednison pe zi sau echivalent, hepatita cronică cu virus B sau C tratată, controlată, cu viremie redusă semnificativ sau absentă după tratamentul specific, insuficienţă hepatică severă, nu există date din trialurile clinice de înregistrare, nefiind înrolaţi în aceste studii clinice pivot.</w:t>
      </w:r>
    </w:p>
    <w:p w14:paraId="1B04B8A1"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Deoarece nu există o alternativă terapeutică eficientă pentru indicaţia curentă (mai ales pentru pacienţii fără mutaţii la nivelul BRAF), nivolumab în monoterapie poate fi utilizat cu precauţie, chiar şi în absenţa datelor, pentru aceste grupe de pacienţi, după o analiză atentă a raportului risc potenţial-beneficiu, efectuată individual, pentru fiecare caz în parte.</w:t>
      </w:r>
    </w:p>
    <w:p w14:paraId="1F2BAA3E"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Asocierea nivolumab cu ipilimumab nu se utilizează la pacienţii cu Boala interstiţială pulmonară simptomatică, Insuficienţă hepatică severă, Hepatita virală C sau B în antecedente sau pacienţi care urmează tratament imunosupresiv pentru o afecţiune concomitentă (inclusiv corticoterapie în doza zilnică mai mare decât echivalentul a 10 mg de prednison), aceste condiţii fiind contraindicaţii absolute.</w:t>
      </w:r>
    </w:p>
    <w:p w14:paraId="692ED76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45096952"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IV. Tratament</w:t>
      </w:r>
    </w:p>
    <w:p w14:paraId="151A5AC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Evaluare pre-terapeutică (valabile pentru ambele indicaţii):</w:t>
      </w:r>
    </w:p>
    <w:p w14:paraId="2F18BADD" w14:textId="77777777" w:rsidR="00D05E4C" w:rsidRPr="00F941DA" w:rsidRDefault="00D05E4C" w:rsidP="00D11DF1">
      <w:pPr>
        <w:numPr>
          <w:ilvl w:val="0"/>
          <w:numId w:val="19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Evaluare clinică şi imagistică pentru certificarea stadiilor IIIC şi IV</w:t>
      </w:r>
    </w:p>
    <w:p w14:paraId="62C589D3" w14:textId="77777777" w:rsidR="00D05E4C" w:rsidRPr="00F941DA" w:rsidRDefault="00D05E4C" w:rsidP="00D11DF1">
      <w:pPr>
        <w:numPr>
          <w:ilvl w:val="0"/>
          <w:numId w:val="19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Confirmarea histologică a diagnosticului</w:t>
      </w:r>
    </w:p>
    <w:p w14:paraId="4F453FD0" w14:textId="77777777" w:rsidR="00D05E4C" w:rsidRPr="00F941DA" w:rsidRDefault="00D05E4C" w:rsidP="00D11DF1">
      <w:pPr>
        <w:numPr>
          <w:ilvl w:val="0"/>
          <w:numId w:val="19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Evaluare biologică: hemoleucograma, GOT, GPT, lipaza, amilaza, TSH, T3, T4, glicemie, creatinina, uree, ionograma serică, şi alţi parametri în funcţie de decizia medicului currant</w:t>
      </w:r>
    </w:p>
    <w:p w14:paraId="2EADF870" w14:textId="77777777" w:rsidR="00D05E4C" w:rsidRPr="00F941DA" w:rsidRDefault="00D05E4C" w:rsidP="00D05E4C">
      <w:pPr>
        <w:jc w:val="both"/>
        <w:rPr>
          <w:rFonts w:ascii="Times New Roman" w:eastAsia="Calibri" w:hAnsi="Times New Roman" w:cs="Times New Roman"/>
          <w:lang w:eastAsia="ro-RO"/>
        </w:rPr>
      </w:pPr>
    </w:p>
    <w:p w14:paraId="6320AD6A" w14:textId="77777777" w:rsidR="00D05E4C" w:rsidRPr="00F941DA" w:rsidRDefault="00D05E4C" w:rsidP="00D05E4C">
      <w:pPr>
        <w:jc w:val="both"/>
        <w:rPr>
          <w:rFonts w:ascii="Times New Roman" w:eastAsia="Calibri" w:hAnsi="Times New Roman" w:cs="Times New Roman"/>
          <w:sz w:val="24"/>
          <w:szCs w:val="24"/>
          <w:lang w:eastAsia="ro-RO"/>
        </w:rPr>
      </w:pPr>
      <w:r w:rsidRPr="00F941DA">
        <w:rPr>
          <w:rFonts w:ascii="Times New Roman" w:eastAsia="Calibri" w:hAnsi="Times New Roman" w:cs="Times New Roman"/>
          <w:sz w:val="24"/>
          <w:szCs w:val="24"/>
          <w:lang w:eastAsia="ro-RO"/>
        </w:rPr>
        <w:t>Doze, tehnica administrare, valabilitate - pentru indicaţia de tratament cu intenţie paleativă:</w:t>
      </w:r>
    </w:p>
    <w:p w14:paraId="77A9955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Nivolumab în monoterapie: doza recomandată este de 240 mg la fiecare 2 săptămâni pe durata a 30 minute sau 480 mg la fiecare 4 săptămâni pe durata a 60 minute, în perfuzie intravenoasă.</w:t>
      </w:r>
    </w:p>
    <w:p w14:paraId="3FD3490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27A484E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Pentru pacienţii pentru care Nivolumab la iniţiere se administrează în asociere cu Ipilimumab, pe durata administrării Ipilimumab doza de Nivolumab este de 1 mg/kg administrată sub formă de perfuzie intravenoasă, pe durata a 30 de minute, la fiecare 3 săptămâni pentru primele 4 administrări, urmată de faza a doua de administrare a Nivolumab în monoterapie. În faza de monoterapie, prima doză de nivolumab trebuie administrată:</w:t>
      </w:r>
    </w:p>
    <w:p w14:paraId="6D8B6E14" w14:textId="77777777" w:rsidR="00D05E4C" w:rsidRPr="00F941DA" w:rsidRDefault="00D05E4C" w:rsidP="00D11DF1">
      <w:pPr>
        <w:numPr>
          <w:ilvl w:val="0"/>
          <w:numId w:val="19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la interval de 3 săptămâni după ultima doză din terapia asociată nivolumab-ipilimumab, dacă se foloseşte doza de 240 mg la fiecare 2 săptămâni; sau</w:t>
      </w:r>
    </w:p>
    <w:p w14:paraId="190ADF24" w14:textId="77777777" w:rsidR="00D05E4C" w:rsidRPr="00F941DA" w:rsidRDefault="00D05E4C" w:rsidP="00D11DF1">
      <w:pPr>
        <w:numPr>
          <w:ilvl w:val="0"/>
          <w:numId w:val="19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la interval de 6 săptămâni după ultima doză din terapia asociată nivolumab-ipilimumab, dacă se foloseşte doza de 480 mg la fiecare 4 săptămâni.</w:t>
      </w:r>
    </w:p>
    <w:p w14:paraId="511F34E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353C7C8C"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Tratamentul cu nivolumab atât în monoterapie cât şi în asociere cu ipilimumab trebuie continuat atât timp cât se observă beneficii clinice sau până la apariţia unei toxicităţi inacceptabile.</w:t>
      </w:r>
    </w:p>
    <w:p w14:paraId="6C82D46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721B99E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Doze, tehnica administrare, valabilitate - pentru indicaţia de tratament cu intenţie adjuvantă:</w:t>
      </w:r>
    </w:p>
    <w:p w14:paraId="27EC4A80" w14:textId="77777777" w:rsidR="00D05E4C" w:rsidRPr="00F941DA" w:rsidRDefault="00D05E4C" w:rsidP="00D11DF1">
      <w:pPr>
        <w:numPr>
          <w:ilvl w:val="0"/>
          <w:numId w:val="214"/>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Doza pentru indicaţia adjuvantă este de 240 mg la 2 săptămâni, pe durata a 30 minute sau 480 mg la 4 săptămâni, pe durata a 60 minute.</w:t>
      </w:r>
    </w:p>
    <w:p w14:paraId="2EF2D5A9" w14:textId="77777777" w:rsidR="00D05E4C" w:rsidRPr="00F941DA" w:rsidRDefault="00D05E4C" w:rsidP="00D11DF1">
      <w:pPr>
        <w:numPr>
          <w:ilvl w:val="0"/>
          <w:numId w:val="214"/>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terapia adjuvantă, durata maximă a tratamentului cu nivolumab este de 12 luni.</w:t>
      </w:r>
    </w:p>
    <w:p w14:paraId="34FB80F9"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2F8F9C5C"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Grupe speciale de pacienţi:</w:t>
      </w:r>
    </w:p>
    <w:p w14:paraId="336E4F56" w14:textId="77777777" w:rsidR="00D05E4C" w:rsidRPr="00F941DA" w:rsidRDefault="00D05E4C" w:rsidP="00D11DF1">
      <w:pPr>
        <w:numPr>
          <w:ilvl w:val="0"/>
          <w:numId w:val="195"/>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Pacienţii care urmează o dietă cu restricţie de sodiu - fiecare ml din acest medicament conţine sodiu 0,1 mmol (sau 2,5 mg). Acest lucru trebuie avut în vedere la pacienţii ce urmează o dietă cu restricţie de sodiu.</w:t>
      </w:r>
    </w:p>
    <w:p w14:paraId="29E66EE2" w14:textId="77777777" w:rsidR="00D05E4C" w:rsidRPr="00F941DA" w:rsidRDefault="00D05E4C" w:rsidP="00D11DF1">
      <w:pPr>
        <w:numPr>
          <w:ilvl w:val="0"/>
          <w:numId w:val="195"/>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Copii şi adolescenţi - siguranţa şi eficacitatea Nivolumab la copii cu vârsta sub 18 ani nu au fost încă stabilite. Nu există date disponibile din trialurile clinice de înregistrare</w:t>
      </w:r>
    </w:p>
    <w:p w14:paraId="0838A960" w14:textId="77777777" w:rsidR="00D05E4C" w:rsidRPr="00F941DA" w:rsidRDefault="00D05E4C" w:rsidP="00D11DF1">
      <w:pPr>
        <w:numPr>
          <w:ilvl w:val="0"/>
          <w:numId w:val="195"/>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 vârstnici - nu este necesară ajustarea dozelor la pacienţii vârstnici (≥ 65 de ani).</w:t>
      </w:r>
    </w:p>
    <w:p w14:paraId="00C6701E" w14:textId="77777777" w:rsidR="00D05E4C" w:rsidRPr="00F941DA" w:rsidRDefault="00D05E4C" w:rsidP="00D11DF1">
      <w:pPr>
        <w:numPr>
          <w:ilvl w:val="0"/>
          <w:numId w:val="195"/>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57C7D0C4" w14:textId="77777777" w:rsidR="00D05E4C" w:rsidRPr="00F941DA" w:rsidRDefault="00D05E4C" w:rsidP="00D11DF1">
      <w:pPr>
        <w:numPr>
          <w:ilvl w:val="0"/>
          <w:numId w:val="195"/>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incipientă.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27A0CCF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5EE3016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Modificarea dozei:</w:t>
      </w:r>
    </w:p>
    <w:p w14:paraId="45B9D40A" w14:textId="77777777" w:rsidR="00D05E4C" w:rsidRPr="00F941DA" w:rsidRDefault="00D05E4C" w:rsidP="00D11DF1">
      <w:pPr>
        <w:numPr>
          <w:ilvl w:val="0"/>
          <w:numId w:val="19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050854A2" w14:textId="77777777" w:rsidR="00D05E4C" w:rsidRPr="00F941DA" w:rsidRDefault="00D05E4C" w:rsidP="00D11DF1">
      <w:pPr>
        <w:numPr>
          <w:ilvl w:val="0"/>
          <w:numId w:val="19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şi administraţi corticosteroizi.</w:t>
      </w:r>
    </w:p>
    <w:p w14:paraId="2BA38BE4" w14:textId="77777777" w:rsidR="00D05E4C" w:rsidRPr="00F941DA" w:rsidRDefault="00D05E4C" w:rsidP="00D11DF1">
      <w:pPr>
        <w:numPr>
          <w:ilvl w:val="0"/>
          <w:numId w:val="19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Doza necesară de metilprednisolon administrat intravenos este de 1 - 4 mg/kgc, în funcţie de tipul efectului secundar şi de intensitatea acestuia.</w:t>
      </w:r>
    </w:p>
    <w:p w14:paraId="3C3A76C8" w14:textId="77777777" w:rsidR="00D05E4C" w:rsidRPr="00F941DA" w:rsidRDefault="00D05E4C" w:rsidP="00D11DF1">
      <w:pPr>
        <w:numPr>
          <w:ilvl w:val="0"/>
          <w:numId w:val="19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Se va adăuga terapie specifică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29EB9F0A" w14:textId="77777777" w:rsidR="00D05E4C" w:rsidRPr="00F941DA" w:rsidRDefault="00D05E4C" w:rsidP="00D11DF1">
      <w:pPr>
        <w:numPr>
          <w:ilvl w:val="0"/>
          <w:numId w:val="19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Se va adăuga terapie cu rol imunosupresiv diferită de corticoterapie în cazul în care se constată o agravare sau nu se observă nicio ameliorare în pofida utilizării corticosteroizilor.</w:t>
      </w:r>
    </w:p>
    <w:p w14:paraId="4F4107F1" w14:textId="77777777" w:rsidR="00D05E4C" w:rsidRPr="00F941DA" w:rsidRDefault="00D05E4C" w:rsidP="00D11DF1">
      <w:pPr>
        <w:numPr>
          <w:ilvl w:val="0"/>
          <w:numId w:val="19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Conform recomandărilor de mai sus, corticoterapia sistemică şi alte terapii imunosupresoare pot fi utilizate după iniţierea administrării nivolumab în scopul tratării reacţiilor adverse mediate imun. Rezultatele preliminare arată că utilizarea terapiei imunosupresoare sistemice după iniţierea tratamentului cu nivolumab nu exclude răspunsul la nivolumab.</w:t>
      </w:r>
    </w:p>
    <w:p w14:paraId="0CDA831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35E2E6D6"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 Monitorizarea tratamentului (recomandări valabile pentru ambele indicaţii):</w:t>
      </w:r>
    </w:p>
    <w:p w14:paraId="5CBE7A67" w14:textId="77777777" w:rsidR="00D05E4C" w:rsidRPr="00F941DA" w:rsidRDefault="00D05E4C" w:rsidP="00D11DF1">
      <w:pPr>
        <w:numPr>
          <w:ilvl w:val="0"/>
          <w:numId w:val="19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Examen imagistic - examen CT efectuat regulat pentru monitorizarea răspunsului la tratament (la interval de 8 - 12 săptămâni) şi/sau alte investigaţii paraclinice în funcţie de decizia medicului (RMN, scintigrafie osoasă, PET-CT).</w:t>
      </w:r>
    </w:p>
    <w:p w14:paraId="126AB962" w14:textId="77777777" w:rsidR="00D05E4C" w:rsidRPr="00F941DA" w:rsidRDefault="00D05E4C" w:rsidP="00D11DF1">
      <w:pPr>
        <w:numPr>
          <w:ilvl w:val="0"/>
          <w:numId w:val="19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Pentru a confirma etiologia reacţiilor adverse mediate imun suspectate sau a exclude alte cauze, trebuie efectuată o evaluare adecvată şi se recomandă consult interdisciplinar.</w:t>
      </w:r>
    </w:p>
    <w:p w14:paraId="235690A9" w14:textId="77777777" w:rsidR="00D05E4C" w:rsidRPr="00F941DA" w:rsidRDefault="00D05E4C" w:rsidP="00D11DF1">
      <w:pPr>
        <w:numPr>
          <w:ilvl w:val="0"/>
          <w:numId w:val="19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4AF875B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38C9C567"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 Efecte secundare. Managementul efectelor secundare mediate imun</w:t>
      </w:r>
    </w:p>
    <w:p w14:paraId="2FA6CFE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Cele mai frecvente reacţii adverse (≥ 10%; foarte frecvente): fatigabilitatea (33%), erupţia cutanată (20%), pruritul (18%), diareea (16%) şi greaţa (14%), creşterea valorii AST, ALT, bilirubinei totale, creşterea valorii fosfatazei alcaline, creşterea valorii creatininei, limfopenie, trombocitopenie, anemie. Majoritatea reacţiilor adverse au fost de intensitate uşoară până la moderată (grad 1 sau 2).</w:t>
      </w:r>
    </w:p>
    <w:p w14:paraId="2D83397F"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1E418FC9"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Reacţii adverse frecvente (între 1% şi 10% incidenţă): infecţii ale tractului respirator superior, reacţie la administrarea în perfuzie, hipotiroidism, hipertiroidism, hiperglicemie, hiponatremie, scăderea apetitului alimentar, neuropatie periferică, cefalee, ameţeli, hipertensiune arterială, pneumonită, dispnee, tuse, colită, stomatită, vărsături, durere abdominală, constipaţie, vitiligo, xeroză cutanată, eritem, alopecie, durere musculoscheletic, artralgie, febră, edem (inclusiv edem periferic), creşterea valorii lipazei, creşterea valorii amilazei, neutropenie</w:t>
      </w:r>
    </w:p>
    <w:p w14:paraId="5435D2E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2FE8F3A9"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Reacţii adverse mai puţin frecvente (sub 1% incidenţă): reacţie anafilactică, hipersensibilitate, insuficienţă suprarenaliană, hipopituitarism, hipofizită, tiroidită, cetoacidoză, diabetică, diabet zaharat, sindrom Guillain-Barré, demielinizare, sindrom miastenic, neuropatie autoimună (inclusiv pareză a nervilor facial şi abducens), uveită, aritmie (inclusiv aritmie ventriculară), pancreatită, eritem polimorf, psoriazis, rozacee, nefrită tubulo-interstiţială, insuficienţă renală</w:t>
      </w:r>
    </w:p>
    <w:p w14:paraId="16D86B05"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078E636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Efecte secundare (toxicitate) specifice - mediate imun</w:t>
      </w:r>
    </w:p>
    <w:p w14:paraId="7C873B6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6AFFD7D4" w14:textId="77777777" w:rsidR="00D05E4C" w:rsidRPr="00F941DA" w:rsidRDefault="00D05E4C" w:rsidP="00D11DF1">
      <w:pPr>
        <w:numPr>
          <w:ilvl w:val="0"/>
          <w:numId w:val="198"/>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Pneumonită mediate imun</w:t>
      </w:r>
    </w:p>
    <w:p w14:paraId="7407DD5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tratamentului cu nivolumab, 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6CC45B0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43E418F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pneumonitei de grad 3 sau 4, tratamentul cu nivolumab trebuie întrerupt permanent şi trebuie iniţiată corticoterapia în doze echivalente cu 2 - 4 mg/kg/zi de metilprednisolon.</w:t>
      </w:r>
    </w:p>
    <w:p w14:paraId="209DBED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ab/>
      </w:r>
    </w:p>
    <w:p w14:paraId="5EAE865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pneumonitei de grad 2 (cu simptomatologie), trebuie amânată administrarea nivolumab şi iniţiată corticoterapia în doze echivalente cu 1 mg/kg/zi de metilprednisolon. După ameliorare, se poate relua administrarea nivolumab după întreruperea treptată a corticoterapiei. În cazul în care se observă o agravare sau nu se obţine nicio ameliorare în pofida iniţierii corticoterapiei, trebuie crescută doza de corticosteroid până la doze echivalente cu 2 - 4 mg/kg/zi de metilprednisolon şi tratamentul cu nivolumab trebuie întrerupt permanent.</w:t>
      </w:r>
    </w:p>
    <w:p w14:paraId="68654BD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111C5254" w14:textId="77777777" w:rsidR="00D05E4C" w:rsidRPr="00F941DA" w:rsidRDefault="00D05E4C" w:rsidP="00D11DF1">
      <w:pPr>
        <w:numPr>
          <w:ilvl w:val="0"/>
          <w:numId w:val="198"/>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Colită mediată imun</w:t>
      </w:r>
    </w:p>
    <w:p w14:paraId="068F095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tratamentului cu nivolumab, s-au observat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38669B4F"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ab/>
      </w:r>
    </w:p>
    <w:p w14:paraId="536108D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diareei sau al colitei de grad 4, trebuie întrerupt permanent tratamentul cu nivolumab şi trebuie iniţiată corticoterapia în doză echivalentă cu 1 - 2 mg/kg/zi de metilprednisolon.</w:t>
      </w:r>
    </w:p>
    <w:p w14:paraId="4C9C92C5"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ab/>
      </w:r>
    </w:p>
    <w:p w14:paraId="2DB75CA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diareei sau al colitei de grad 3, trebuie amânată administrarea nivolumab şi iniţiată corticoterapia în doză echivalentă cu 1 - 2 mg/kg/zi de metilprednisolon. După ameliorare, se poate relua administrarea nivolumab după întreruperea treptată a corticoterapiei. În cazul în care se observă o agravare sau nu se obţine nicio ameliorare în pofida iniţierii corticoterapiei, tratamentul cu nivolumab trebuie întrerupt permanent.</w:t>
      </w:r>
    </w:p>
    <w:p w14:paraId="6E6AE27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ab/>
      </w:r>
    </w:p>
    <w:p w14:paraId="157DC61F"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diareei sau al colitei de grad 2, trebuie amânată administrarea nivolumab. În cazul în care diareea sau colita sunt persistente, se utilizează corticoterapie în doză echivalentă cu 0,5 - 1 mg/kg/zi de metilprednisolon. După ameliorare, se poate relua administrarea nivolumab după întreruperea treptată a corticoterapiei, dacă a fost necesară. În cazul în care se observă o agravare sau nu se obţine nicio ameliorare în pofida iniţierii corticoterapiei, trebuie crescută doza de corticosteroid până la o doză echivalentă cu 1 - 2 mg/kg/zi de metilprednisolon şi tratamentul cu nivolumab trebuie întrerupt permanent.</w:t>
      </w:r>
    </w:p>
    <w:p w14:paraId="1526483D" w14:textId="77777777" w:rsidR="00D05E4C" w:rsidRPr="00F941DA" w:rsidRDefault="00D05E4C" w:rsidP="00D05E4C">
      <w:p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ro-RO"/>
        </w:rPr>
      </w:pPr>
    </w:p>
    <w:p w14:paraId="78AE0FBE" w14:textId="77777777" w:rsidR="00D05E4C" w:rsidRPr="00F941DA" w:rsidRDefault="00D05E4C" w:rsidP="00D11DF1">
      <w:pPr>
        <w:numPr>
          <w:ilvl w:val="0"/>
          <w:numId w:val="198"/>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lastRenderedPageBreak/>
        <w:t>Hepatită mediată imun</w:t>
      </w:r>
    </w:p>
    <w:p w14:paraId="489EE615"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tratamentului cu nivolumab, s-au observat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12ED896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ab/>
      </w:r>
    </w:p>
    <w:p w14:paraId="3DBDCD4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creşterilor de grad 3 sau 4 ale concentraţiilor plasmatice ale transaminazelor sau bilirubinei totale, tratamentul cu nivolumab trebuie întrerupt permanent şi trebuie iniţiată corticoterapia în doză echivalentă cu 1 - 2 mg/kg/zi de metilprednisolon.</w:t>
      </w:r>
    </w:p>
    <w:p w14:paraId="3577E1FF"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ab/>
      </w:r>
    </w:p>
    <w:p w14:paraId="5325D3F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creşterilor de grad 2 ale concentraţiilor plasmatice ale transaminazelor sau bilirubinei totale, trebuie amânată administrarea nivolumab. În cazul în care aceste valori crescute ale testelor de laborator persistă, trebuie utilizată corticoterapie în doză echivalentă cu 0,5 - 1 mg/kg/zi de metilprednisolon. După ameliorare, se poate relua administrarea nivolumab după întreruperea treptată a corticoterapiei, dacă a fost necesară. În cazul în care se observă o agravare sau nu se obţine nicio ameliorare în pofida iniţierii corticoterapiei, se cresc dozele de corticosteroid până la doze echivalente cu 1 - 2 mg/kg/zi de metilprednisolon şi tratamentul cu nivolumab trebuie întrerupt permanent.</w:t>
      </w:r>
    </w:p>
    <w:p w14:paraId="6D42A7BD" w14:textId="77777777" w:rsidR="00D05E4C" w:rsidRPr="00F941DA" w:rsidRDefault="00D05E4C" w:rsidP="00D05E4C">
      <w:pPr>
        <w:pBdr>
          <w:top w:val="nil"/>
          <w:left w:val="nil"/>
          <w:bottom w:val="nil"/>
          <w:right w:val="nil"/>
          <w:between w:val="nil"/>
          <w:bar w:val="nil"/>
        </w:pBdr>
        <w:jc w:val="both"/>
        <w:rPr>
          <w:rFonts w:ascii="Times New Roman" w:eastAsia="Times New Roman" w:hAnsi="Times New Roman" w:cs="Times New Roman"/>
          <w:sz w:val="24"/>
          <w:szCs w:val="24"/>
          <w:lang w:eastAsia="ro-RO"/>
        </w:rPr>
      </w:pPr>
    </w:p>
    <w:p w14:paraId="3129F027" w14:textId="77777777" w:rsidR="00D05E4C" w:rsidRPr="00F941DA" w:rsidRDefault="00D05E4C" w:rsidP="00D11DF1">
      <w:pPr>
        <w:numPr>
          <w:ilvl w:val="0"/>
          <w:numId w:val="198"/>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Nefrită sau disfuncţie renală mediată imun</w:t>
      </w:r>
    </w:p>
    <w:p w14:paraId="30EED0A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tratamentului cu nivolumab, s-au observat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54C65667"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creşterilor de grad 4 ale concentraţiilor serice ale creatininei, tratamentul cu nivolumab trebuie întrerupt permanent şi trebuie iniţiată corticoterapia în doză echivalentă cu 1 - 2 mg/kg/zi de metilprednisolon</w:t>
      </w:r>
    </w:p>
    <w:p w14:paraId="57ED83CF"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ab/>
      </w:r>
    </w:p>
    <w:p w14:paraId="4DE68699"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creşterilor de grad 2 sau 3 ale concentraţiilor serice ale creatininei, trebuie amânată administrarea nivolumab şi trebuie iniţiată corticoterapia în doză echivalentă cu 0,5 - 1 mg/kg/zi de metilprednisolon. După ameliorare, se poate relua administrarea nivolumab după întreruperea treptată a corticoterapiei. În cazul în care se observă o agravare sau nu se obţine nicio ameliorare în pofida iniţierii corticoterapiei, trebuie crescută doza de corticosteroid până la doze echivalente cu 1 - 2 mg/kg/zi de metilprednisolon şi tratamentul cu nivolumab trebuie întrerupt permanent.</w:t>
      </w:r>
    </w:p>
    <w:p w14:paraId="1FC672BA" w14:textId="77777777" w:rsidR="00D05E4C" w:rsidRPr="00F941DA" w:rsidRDefault="00D05E4C" w:rsidP="00D05E4C">
      <w:pPr>
        <w:pBdr>
          <w:top w:val="nil"/>
          <w:left w:val="nil"/>
          <w:bottom w:val="nil"/>
          <w:right w:val="nil"/>
          <w:between w:val="nil"/>
          <w:bar w:val="nil"/>
        </w:pBdr>
        <w:jc w:val="both"/>
        <w:rPr>
          <w:rFonts w:ascii="Times New Roman" w:eastAsia="Times New Roman" w:hAnsi="Times New Roman" w:cs="Times New Roman"/>
          <w:sz w:val="24"/>
          <w:szCs w:val="24"/>
          <w:lang w:eastAsia="ro-RO"/>
        </w:rPr>
      </w:pPr>
    </w:p>
    <w:p w14:paraId="1B2C0691" w14:textId="77777777" w:rsidR="00D05E4C" w:rsidRPr="00F941DA" w:rsidRDefault="00D05E4C" w:rsidP="00D11DF1">
      <w:pPr>
        <w:numPr>
          <w:ilvl w:val="0"/>
          <w:numId w:val="198"/>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Endocrinopatii mediate imun</w:t>
      </w:r>
    </w:p>
    <w:p w14:paraId="0304969C"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tratamentului cu nivolumab, s-au observat endocrinopatii severe: hipotiroidism, hipertiroidism, insuficienţă suprarenaliană, hipofizită, diabet zaharat sau cetoacidoză diabetică. Pacienţii trebuie monitorizaţi pentru apariţia semnelor şi simptomelor endocrinopatiilor şi pentru modificări ale funcţiei tiroidiene (la începutul tratamentului, periodic pe parcursul tratamentului şi aşa cum este indicat pe baza evaluării clinice). Pacienţii pot avea stări de oboseală, cefalee, modificări ale stării mentale, dureri abdominale, modificări ale tranzitului intestinal şi hipotensiune arterială sau simptome nespecifice care pot fi asemănătoare altor cauze, precum metastaze cerebrale sau o afecţiune de fond. Semnele şi simptomele endocrinopatiilor trebuie considerate mediate imun, cu excepţia cazului în care a fost identificată o altă etiologie.</w:t>
      </w:r>
    </w:p>
    <w:p w14:paraId="62129F6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ab/>
      </w:r>
    </w:p>
    <w:p w14:paraId="7F7A5696"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hipotiroidismului simptomatic, trebuie amânată administrarea nivolumab şi trebuie iniţiată terapia de substituţie cu hormon tiroidian, după cum este necesar.</w:t>
      </w:r>
    </w:p>
    <w:p w14:paraId="1358A85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ab/>
      </w:r>
    </w:p>
    <w:p w14:paraId="4B3FB29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hipertiroidismului simptomatic, trebuie amânată administrarea nivolumab şi trebuie iniţiat tratamentul cu metimazol, după cum este necesar. Corticoterapia în doză echivalentă cu 1 - 2 mg/kg/zi de metilprednisolon trebuie avută în vedere în cazul în care se suspectează inflamaţia acută a glandei tiroide. După ameliorare, se poate relua administrarea nivolumab după întreruperea treptată a corticoterapiei, dacă a fost necesară. Monitorizarea funcţiei tiroidiene trebuie continuată pentru a asigura utilizarea terapiei adecvate de substituţie hormonală.</w:t>
      </w:r>
    </w:p>
    <w:p w14:paraId="65B3AE56"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 xml:space="preserve">    </w:t>
      </w:r>
      <w:r w:rsidRPr="00F941DA">
        <w:rPr>
          <w:rFonts w:ascii="Times New Roman" w:eastAsia="Times New Roman" w:hAnsi="Times New Roman" w:cs="Times New Roman"/>
          <w:sz w:val="24"/>
          <w:szCs w:val="24"/>
          <w:lang w:eastAsia="ro-RO"/>
        </w:rPr>
        <w:tab/>
      </w:r>
    </w:p>
    <w:p w14:paraId="393404C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insuficienţei suprarenaliene simptomatice, trebuie amânată administrarea nivolumab şi trebuie iniţiată corticoterapia de substituţie fiziologică, după cum este necesar. Monitorizarea funcţiei glandelor suprarenale şi a concentraţiilor de hormon trebuie continuată pentru a asigura utilizarea terapiei adecvate de substituţie cu corticosteroid.</w:t>
      </w:r>
    </w:p>
    <w:p w14:paraId="1BA79FC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ab/>
      </w:r>
    </w:p>
    <w:p w14:paraId="08A9879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hipofizitei simptomatice, trebuie amânată administrarea nivolumab şi trebuie iniţiată, după cum este necesar, terapia de substituţie hormonală. Corticoterapia în doză echivalentă cu 1 - 2 mg/kg/zi de metilprednisolon trebuie avută în vedere în cazul în care se suspectează inflamaţia acută a hipofizei. După ameliorare, se poate relua administrarea nivolumab după întreruperea treptată a corticoterapiei, dacă a fost necesară. Monitorizarea funcţiei hipofizare şi a concentraţiilor de hormoni trebuie continuată pentru a asigura utilizarea terapiei adecvate de substituţie hormonală.</w:t>
      </w:r>
    </w:p>
    <w:p w14:paraId="6AC252DC"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ab/>
      </w:r>
    </w:p>
    <w:p w14:paraId="3BF1C0E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diabetului zaharat simptomatic, trebuie amânată administrarea nivolumab şi trebuie iniţiată, după cum este necesar, terapia de substituţie cu insulină. Monitorizarea glicemiei trebuie continuată pentru a asigura utilizarea adecvată a substituţiei cu insulină.</w:t>
      </w:r>
    </w:p>
    <w:p w14:paraId="4483195E" w14:textId="77777777" w:rsidR="00D05E4C" w:rsidRPr="00F941DA" w:rsidRDefault="00D05E4C" w:rsidP="00D05E4C">
      <w:pPr>
        <w:pBdr>
          <w:top w:val="nil"/>
          <w:left w:val="nil"/>
          <w:bottom w:val="nil"/>
          <w:right w:val="nil"/>
          <w:between w:val="nil"/>
          <w:bar w:val="nil"/>
        </w:pBdr>
        <w:jc w:val="both"/>
        <w:rPr>
          <w:rFonts w:ascii="Times New Roman" w:eastAsia="Times New Roman" w:hAnsi="Times New Roman" w:cs="Times New Roman"/>
          <w:sz w:val="24"/>
          <w:szCs w:val="24"/>
          <w:lang w:eastAsia="ro-RO"/>
        </w:rPr>
      </w:pPr>
    </w:p>
    <w:p w14:paraId="7470F9BF" w14:textId="77777777" w:rsidR="00D05E4C" w:rsidRPr="00F941DA" w:rsidRDefault="00D05E4C" w:rsidP="00D11DF1">
      <w:pPr>
        <w:numPr>
          <w:ilvl w:val="0"/>
          <w:numId w:val="198"/>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Erupţii cutanate mediate imun</w:t>
      </w:r>
    </w:p>
    <w:p w14:paraId="2D2A02F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tratamentului cu nivolumab, s-au observat erupţii cutanate severe care pot fi mediate imun.</w:t>
      </w:r>
      <w:r w:rsidRPr="00F941DA">
        <w:rPr>
          <w:rFonts w:ascii="Times New Roman" w:eastAsia="Times New Roman" w:hAnsi="Times New Roman" w:cs="Times New Roman"/>
          <w:sz w:val="24"/>
          <w:szCs w:val="24"/>
          <w:lang w:eastAsia="ro-RO"/>
        </w:rPr>
        <w:tab/>
      </w:r>
    </w:p>
    <w:p w14:paraId="3FC134E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erupţiilor cutanate de grad 3, tratamentul cu nivolumab trebuie amânat.</w:t>
      </w:r>
      <w:r w:rsidRPr="00F941DA">
        <w:rPr>
          <w:rFonts w:ascii="Times New Roman" w:eastAsia="Times New Roman" w:hAnsi="Times New Roman" w:cs="Times New Roman"/>
          <w:sz w:val="24"/>
          <w:szCs w:val="24"/>
          <w:lang w:eastAsia="ro-RO"/>
        </w:rPr>
        <w:tab/>
      </w:r>
    </w:p>
    <w:p w14:paraId="7217FE2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erupţiilor cutanate de grad 4 acesta trebuie întrerupt. Erupţiile cutanate severe trebuie tratate cu doze mari de corticosteroizi echivalente cu 1 - 2 mg/kg/zi de prednison. Trebuie precauţie atunci când se ia în considerare utilizarea nivolumab la pacienţii care au avut anterior o reacţie adversă cutanată severă sau care a pus viaţa în pericol în cazul tratamentului anterior cu alte medicamente imunostimulatoare antineoplazice.</w:t>
      </w:r>
    </w:p>
    <w:p w14:paraId="1D7CFAE7" w14:textId="77777777" w:rsidR="00D05E4C" w:rsidRPr="00F941DA" w:rsidRDefault="00D05E4C" w:rsidP="00D05E4C">
      <w:pPr>
        <w:pBdr>
          <w:top w:val="nil"/>
          <w:left w:val="nil"/>
          <w:bottom w:val="nil"/>
          <w:right w:val="nil"/>
          <w:between w:val="nil"/>
          <w:bar w:val="nil"/>
        </w:pBdr>
        <w:jc w:val="both"/>
        <w:rPr>
          <w:rFonts w:ascii="Times New Roman" w:eastAsia="Times New Roman" w:hAnsi="Times New Roman" w:cs="Times New Roman"/>
          <w:sz w:val="24"/>
          <w:szCs w:val="24"/>
          <w:lang w:eastAsia="ro-RO"/>
        </w:rPr>
      </w:pPr>
    </w:p>
    <w:p w14:paraId="5EB22B56" w14:textId="77777777" w:rsidR="00D05E4C" w:rsidRPr="00F941DA" w:rsidRDefault="00D05E4C" w:rsidP="00D11DF1">
      <w:pPr>
        <w:numPr>
          <w:ilvl w:val="0"/>
          <w:numId w:val="198"/>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Alte reacţii adverse mediate imun</w:t>
      </w:r>
    </w:p>
    <w:p w14:paraId="74355DA7"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hipopituitarism şi sindrom miastenic. În cazul reacţiilor adverse mediate imun suspectate, se impune evaluarea adecvată în vederea confirmării etiologiei sau a excluderii altor cauze. Pe baza severităţii reacţiei adverse, trebuie amânată administrarea nivolumab şi administrată corticoterapie. După ameliorare, se poate relua administrarea nivolumab după întreruperea treptată a corticoterapiei. Tratamentul cu nivolumab trebuie întrerupt permanent în cazul recidivei oricărei reacţii adverse mediate imun severe şi al oricărei reacţii adverse mediate imun care pune viaţa în pericol.</w:t>
      </w:r>
    </w:p>
    <w:p w14:paraId="3E56C096"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21270A25" w14:textId="77777777" w:rsidR="00D05E4C" w:rsidRPr="00F941DA" w:rsidRDefault="00D05E4C" w:rsidP="00D11DF1">
      <w:pPr>
        <w:numPr>
          <w:ilvl w:val="0"/>
          <w:numId w:val="19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Reacţii legate de administrarea perfuziei</w:t>
      </w:r>
    </w:p>
    <w:p w14:paraId="71BCE42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studiile clinice, au fost raportate reacţii severe legate de administrarea perfuziei. În cazul unei reacţii severe legate de administrarea perfuziei, trebuie întreruptă perfuzia cu nivolumab şi administrat tratamentul medical adecvat. Pacienţii cu reacţii adverse uşoare sau moderate pot fi trataţi cu nivolumab sub supraveghere atentă.</w:t>
      </w:r>
    </w:p>
    <w:p w14:paraId="7689037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01576DC3"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VII. Criterii de întrerupere a tratamentului</w:t>
      </w:r>
    </w:p>
    <w:p w14:paraId="121A90DC" w14:textId="77777777" w:rsidR="00D05E4C" w:rsidRPr="00F941DA" w:rsidRDefault="00D05E4C" w:rsidP="00D11DF1">
      <w:pPr>
        <w:numPr>
          <w:ilvl w:val="0"/>
          <w:numId w:val="19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Progresia obiectivă a bolii (examene imagistice şi clinice) în absenţa beneficiului clinic. Cazurile cu progresie imagistică, fără deteriorare simptomatică, trebuie evaluate cu atenţie, având în vedere posibilitatea de apariţie a falsei progresii de boală, prin instalarea unui răspuns imunitar anti-tumoral puternic. În astfel de cazuri, nu se recomandă întreruperea tratamentului. Se va repeta evaluarea imagistică, după 8 - 12 săptămâni şi numai dacă există o nouă creştere obiectivă a volumului tumoral sau deteriorare simptomatică se va avea în vedere întreruperea tratamentului cu nivolumab.</w:t>
      </w:r>
    </w:p>
    <w:p w14:paraId="2033F22F" w14:textId="77777777" w:rsidR="00D05E4C" w:rsidRPr="00F941DA" w:rsidRDefault="00D05E4C" w:rsidP="00D11DF1">
      <w:pPr>
        <w:numPr>
          <w:ilvl w:val="0"/>
          <w:numId w:val="19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Tratamentul cu intenţie de adjuvanţă se va opri după 12 luni, în absenţa progresiei bolii sau toxicităţii inacceptabile.</w:t>
      </w:r>
    </w:p>
    <w:p w14:paraId="03DEC524" w14:textId="77777777" w:rsidR="00D05E4C" w:rsidRPr="00F941DA" w:rsidRDefault="00D05E4C" w:rsidP="00D11DF1">
      <w:pPr>
        <w:numPr>
          <w:ilvl w:val="0"/>
          <w:numId w:val="19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lastRenderedPageBreak/>
        <w:t>Tratamentul cu nivolumab trebuie oprit definitiv în cazul reapariţiei oricărei reacţii adverse severe mediată imun cât şi în cazul unei reacţii adverse mediată imun ce pune viaţa în pericol - în funcţie de decizia medicului curant, după informarea pacientului.</w:t>
      </w:r>
    </w:p>
    <w:p w14:paraId="143D998F" w14:textId="77777777" w:rsidR="00D05E4C" w:rsidRPr="00F941DA" w:rsidRDefault="00D05E4C" w:rsidP="00D11DF1">
      <w:pPr>
        <w:numPr>
          <w:ilvl w:val="0"/>
          <w:numId w:val="19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Decizia medicului sau a pacientului</w:t>
      </w:r>
    </w:p>
    <w:p w14:paraId="1A38C9DF" w14:textId="77777777" w:rsidR="00D05E4C" w:rsidRPr="00F941DA" w:rsidRDefault="00D05E4C" w:rsidP="00D05E4C">
      <w:pPr>
        <w:pBdr>
          <w:top w:val="nil"/>
          <w:left w:val="nil"/>
          <w:bottom w:val="nil"/>
          <w:right w:val="nil"/>
          <w:between w:val="nil"/>
          <w:bar w:val="nil"/>
        </w:pBdr>
        <w:spacing w:after="0"/>
        <w:ind w:left="709"/>
        <w:jc w:val="both"/>
        <w:rPr>
          <w:rFonts w:ascii="Times New Roman" w:eastAsia="Times New Roman" w:hAnsi="Times New Roman" w:cs="Times New Roman"/>
          <w:sz w:val="24"/>
          <w:szCs w:val="24"/>
          <w:u w:color="000000"/>
          <w:bdr w:val="nil"/>
          <w:lang w:eastAsia="ro-RO"/>
        </w:rPr>
      </w:pPr>
    </w:p>
    <w:p w14:paraId="0FA533B6"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4FBD9815"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37804059"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VIII. Prescriptori</w:t>
      </w:r>
    </w:p>
    <w:p w14:paraId="4E3168E7"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5892463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7E9BFC06"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412068C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1360FBE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0AACA3B0" w14:textId="77777777" w:rsidR="00D05E4C" w:rsidRPr="00F941DA" w:rsidRDefault="00D05E4C" w:rsidP="00D05E4C">
      <w:pPr>
        <w:spacing w:after="0" w:line="240" w:lineRule="auto"/>
        <w:jc w:val="both"/>
        <w:rPr>
          <w:rFonts w:ascii="Times New Roman" w:eastAsia="Times New Roman" w:hAnsi="Times New Roman" w:cs="Times New Roman"/>
          <w:b/>
          <w:sz w:val="24"/>
          <w:szCs w:val="24"/>
          <w:u w:val="single"/>
          <w:lang w:eastAsia="ro-RO"/>
        </w:rPr>
      </w:pPr>
      <w:r w:rsidRPr="00F941DA">
        <w:rPr>
          <w:rFonts w:ascii="Times New Roman" w:eastAsia="Times New Roman" w:hAnsi="Times New Roman" w:cs="Times New Roman"/>
          <w:b/>
          <w:sz w:val="24"/>
          <w:szCs w:val="24"/>
          <w:u w:val="single"/>
          <w:lang w:eastAsia="ro-RO"/>
        </w:rPr>
        <w:t>2. CANCERUL BRONHO-PULMONAR ALTUL DECÂT CEL CU CELULE MICI (NSCLC, non-small cell lung cancer)</w:t>
      </w:r>
    </w:p>
    <w:p w14:paraId="1C10577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39F7BFAD"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 Indicaţii (face obiectul unui contract cost volum)</w:t>
      </w:r>
    </w:p>
    <w:p w14:paraId="7081351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Nivolumab în monoterapie este indicat pentru tratamentul cancerului bronho-pulmonar altul decât cel cu celule mici, local avansat sau metastazat, după tratamentul anterior cu chimioterapie, la adulţi.</w:t>
      </w:r>
    </w:p>
    <w:p w14:paraId="27DE02F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0B24179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Această indicaţie se codifică la prescriere prin codul 111 (conform clasificării internaţionale a maladiilor revizia a 10-a, varianta 999 coduri de boală).</w:t>
      </w:r>
    </w:p>
    <w:p w14:paraId="02A9EA9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4B99DB41"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II. Criterii de includere</w:t>
      </w:r>
    </w:p>
    <w:p w14:paraId="687D2720" w14:textId="77777777" w:rsidR="00D05E4C" w:rsidRPr="00F941DA" w:rsidRDefault="00D05E4C" w:rsidP="00D11DF1">
      <w:pPr>
        <w:numPr>
          <w:ilvl w:val="0"/>
          <w:numId w:val="20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Pacienţi cu vârsta mai mare de 18 ani</w:t>
      </w:r>
    </w:p>
    <w:p w14:paraId="2452F7A7" w14:textId="77777777" w:rsidR="00D05E4C" w:rsidRPr="00F941DA" w:rsidRDefault="00D05E4C" w:rsidP="00D11DF1">
      <w:pPr>
        <w:numPr>
          <w:ilvl w:val="0"/>
          <w:numId w:val="20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Diagnostic de cancer bronho-pulmonar, altul decât cel cu celule mici, local avansat/metastazat, confirmat histologic</w:t>
      </w:r>
    </w:p>
    <w:p w14:paraId="1DF39344" w14:textId="77777777" w:rsidR="00D05E4C" w:rsidRPr="00F941DA" w:rsidRDefault="00D05E4C" w:rsidP="00D11DF1">
      <w:pPr>
        <w:numPr>
          <w:ilvl w:val="0"/>
          <w:numId w:val="20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Progresia bolii, în timpul sau după tratament anterior cu regimurile standard de chimioterapie</w:t>
      </w:r>
    </w:p>
    <w:p w14:paraId="24656A2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61A51FF8"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III. Criterii de excludere</w:t>
      </w:r>
    </w:p>
    <w:p w14:paraId="16C85ED6" w14:textId="77777777" w:rsidR="00D05E4C" w:rsidRPr="00F941DA" w:rsidRDefault="00D05E4C" w:rsidP="00D11DF1">
      <w:pPr>
        <w:numPr>
          <w:ilvl w:val="0"/>
          <w:numId w:val="201"/>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Hipersensibilitate la substanţă activă sau la oricare dintre excipienţi</w:t>
      </w:r>
    </w:p>
    <w:p w14:paraId="1FEB073E" w14:textId="77777777" w:rsidR="00D05E4C" w:rsidRPr="00F941DA" w:rsidRDefault="00D05E4C" w:rsidP="00D11DF1">
      <w:pPr>
        <w:numPr>
          <w:ilvl w:val="0"/>
          <w:numId w:val="201"/>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Pacienta însărcinată sau care alăptează</w:t>
      </w:r>
    </w:p>
    <w:p w14:paraId="1681A4A7"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lang w:eastAsia="ro-RO"/>
        </w:rPr>
      </w:pPr>
    </w:p>
    <w:p w14:paraId="069646F4"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lang w:eastAsia="ro-RO"/>
        </w:rPr>
        <w:t>Contraindicaţii relative (nivolumab poate fi utilizat, de la caz la caz, după o analiză    atentă a raportului beneficii/riscuri, conform precizărilor de mai jos)*):</w:t>
      </w:r>
    </w:p>
    <w:p w14:paraId="4E2CBF87" w14:textId="77777777" w:rsidR="00D05E4C" w:rsidRPr="00F941DA" w:rsidRDefault="00D05E4C" w:rsidP="00D11DF1">
      <w:pPr>
        <w:numPr>
          <w:ilvl w:val="0"/>
          <w:numId w:val="202"/>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Determinări secundare cerebrale de boală nou diagnosticate, fără tratament specific anterior (radioterapie sau neurochirurgie), instabile neurologic</w:t>
      </w:r>
    </w:p>
    <w:p w14:paraId="25BC836C" w14:textId="77777777" w:rsidR="00D05E4C" w:rsidRPr="00F941DA" w:rsidRDefault="00D05E4C" w:rsidP="00D11DF1">
      <w:pPr>
        <w:numPr>
          <w:ilvl w:val="0"/>
          <w:numId w:val="202"/>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Prezenţa unei afecţiuni auto-imune care necesită tratament imunosupresiv sistemic; afecţiunile cutanate autoimune (vitiligo, psoriazis) care nu necesită tratament sistemic imunosupresiv nu reprezintă contraindicaţie pentru nivolumab*)</w:t>
      </w:r>
    </w:p>
    <w:p w14:paraId="4C0A96DB" w14:textId="77777777" w:rsidR="00D05E4C" w:rsidRPr="00F941DA" w:rsidRDefault="00D05E4C" w:rsidP="00D11DF1">
      <w:pPr>
        <w:numPr>
          <w:ilvl w:val="0"/>
          <w:numId w:val="202"/>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4D4A3A7B" w14:textId="77777777" w:rsidR="00D05E4C" w:rsidRPr="00F941DA" w:rsidRDefault="00D05E4C" w:rsidP="00D11DF1">
      <w:pPr>
        <w:numPr>
          <w:ilvl w:val="0"/>
          <w:numId w:val="202"/>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Boala interstiţială pulmonară simptomatică*)</w:t>
      </w:r>
    </w:p>
    <w:p w14:paraId="33B2623E" w14:textId="77777777" w:rsidR="00D05E4C" w:rsidRPr="00F941DA" w:rsidRDefault="00D05E4C" w:rsidP="00D11DF1">
      <w:pPr>
        <w:numPr>
          <w:ilvl w:val="0"/>
          <w:numId w:val="202"/>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Insuficienţă hepatică severă*)</w:t>
      </w:r>
    </w:p>
    <w:p w14:paraId="5D6FAB08" w14:textId="77777777" w:rsidR="00D05E4C" w:rsidRPr="00F941DA" w:rsidRDefault="00D05E4C" w:rsidP="00D11DF1">
      <w:pPr>
        <w:numPr>
          <w:ilvl w:val="0"/>
          <w:numId w:val="202"/>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p>
    <w:p w14:paraId="200128D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_____________</w:t>
      </w:r>
    </w:p>
    <w:p w14:paraId="6787F51A"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 Nota: pentru pacienţii cu determinări secundare cerebrale nou diagnosticate, netratate sau instabile neurologic, boala inflamatorie pulmonară pre-existentă, afecţiuni autoimune pre-existente în curs de tratament imunosupresiv sistemic, tratamente imunosupresive în curs pentru alte afecţiuni, necesar de corticoterapie în doză mai mare de 10 mg de prednison </w:t>
      </w:r>
      <w:r w:rsidRPr="00F941DA">
        <w:rPr>
          <w:rFonts w:ascii="Times New Roman" w:eastAsia="Times New Roman" w:hAnsi="Times New Roman" w:cs="Times New Roman"/>
          <w:sz w:val="20"/>
          <w:szCs w:val="20"/>
          <w:lang w:eastAsia="ro-RO"/>
        </w:rPr>
        <w:lastRenderedPageBreak/>
        <w:t>pe zi sau echivalent, hepatita cronică cu virus B sau C tratată, controlată, cu viremie redusă semnificativ sau absentă după tratamentul specific, insuficienţă hepatică severă, nu există date din trialurile clinice de înregistrare, nefiind înrolaţi în aceste studii clinice pivot. La aceşti pacienţi nivolumab poate fi utilizat cu precauţie, chiar şi în absenţa datelor, pentru aceste grupe de pacienţi, după o analiză atentă a raportului risc potenţial-beneficiu, efectuată individual, pentru fiecare caz în parte.</w:t>
      </w:r>
    </w:p>
    <w:p w14:paraId="65D2C71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622D166C"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IV. Tratament</w:t>
      </w:r>
      <w:r w:rsidRPr="00F941DA">
        <w:rPr>
          <w:rFonts w:ascii="Times New Roman" w:eastAsia="Times New Roman" w:hAnsi="Times New Roman" w:cs="Times New Roman"/>
          <w:sz w:val="24"/>
          <w:szCs w:val="24"/>
          <w:lang w:eastAsia="ro-RO"/>
        </w:rPr>
        <w:t> </w:t>
      </w:r>
    </w:p>
    <w:p w14:paraId="76C20F3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Evaluare pre-terapeutică</w:t>
      </w:r>
    </w:p>
    <w:p w14:paraId="0DCF877B" w14:textId="77777777" w:rsidR="00D05E4C" w:rsidRPr="00F941DA" w:rsidRDefault="00D05E4C" w:rsidP="00D11DF1">
      <w:pPr>
        <w:numPr>
          <w:ilvl w:val="0"/>
          <w:numId w:val="20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Evaluare clinică şi imagistică pentru certificarea stadiilor avansat/metastazat - este obligatorie evaluarea imagistică înainte de iniţierea imunoterapiei, evaluare care trebuie să dovedească/să susţină progresia bolii în urma liniei 1 de tratament cu chimioterapie standard. Se recomandă ca evaluarea imagistică să fie efectuată cu cel mult 6 săptămâni anterior iniţierii imunoterapiei. Sunt permise excepţii justificate.</w:t>
      </w:r>
    </w:p>
    <w:p w14:paraId="6D8D37F2" w14:textId="77777777" w:rsidR="00D05E4C" w:rsidRPr="00F941DA" w:rsidRDefault="00D05E4C" w:rsidP="00D11DF1">
      <w:pPr>
        <w:numPr>
          <w:ilvl w:val="0"/>
          <w:numId w:val="20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Confirmarea histologică a diagnosticului</w:t>
      </w:r>
    </w:p>
    <w:p w14:paraId="5DA83CF1" w14:textId="77777777" w:rsidR="00D05E4C" w:rsidRPr="00F941DA" w:rsidRDefault="00D05E4C" w:rsidP="00D11DF1">
      <w:pPr>
        <w:numPr>
          <w:ilvl w:val="0"/>
          <w:numId w:val="20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Evaluare biologică. Analizele minimale care trebuie efectuate înaintea iniţierii imunoterapiei sunt: hemoleucograma, glicemia, VSH, examen sumar de urină, creatinina, GOT, GPT, bilirubina totală, amilaza şi/sau lipaza, funcţia tiroidiană (TSH, T3,T4), fibrinogen, calcemie serică, ionograma serică (Na, K), precum şi alţi parametri în funcţie de decizia medicului curant</w:t>
      </w:r>
    </w:p>
    <w:p w14:paraId="1A36D779"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44F50257"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Doze, mod de administrare, diluţie, valabilitate</w:t>
      </w:r>
    </w:p>
    <w:p w14:paraId="0667A517" w14:textId="77777777" w:rsidR="00D05E4C" w:rsidRPr="00F941DA" w:rsidRDefault="00D05E4C" w:rsidP="00D11DF1">
      <w:pPr>
        <w:numPr>
          <w:ilvl w:val="0"/>
          <w:numId w:val="20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Doza recomandată de nivolumab este de 240 mg la fiecare 2 săptămâni pe durata a 30 minute administrat intravenos.</w:t>
      </w:r>
    </w:p>
    <w:p w14:paraId="513522E5" w14:textId="77777777" w:rsidR="00D05E4C" w:rsidRPr="00F941DA" w:rsidRDefault="00D05E4C" w:rsidP="00D11DF1">
      <w:pPr>
        <w:numPr>
          <w:ilvl w:val="0"/>
          <w:numId w:val="20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Tratamentul cu nivolumab trebuie continuat atât timp cât se observă beneficii clinice sau până când nu mai este tolerat de pacient.</w:t>
      </w:r>
    </w:p>
    <w:p w14:paraId="7E88863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5692538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Grupe speciale de pacienţi</w:t>
      </w:r>
    </w:p>
    <w:p w14:paraId="469A868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3128D7B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Copii şi adolescenţi - siguranţa şi eficacitatea nivolumab la copii cu vârsta sub 18 ani nu au fost încă stabilite. Nu sunt disponibile date astfel încât nu este recomandată utilizarea la copii.</w:t>
      </w:r>
    </w:p>
    <w:p w14:paraId="06E96BE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43DDCC5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 vârstnici - nu este necesară ajustarea dozelor la pacienţii vârstnici (≥ 65 de ani).</w:t>
      </w:r>
    </w:p>
    <w:p w14:paraId="2EF4373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ab/>
      </w:r>
    </w:p>
    <w:p w14:paraId="69F7E3A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65E50B87"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ab/>
      </w:r>
    </w:p>
    <w:p w14:paraId="1EF82B0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uşoară.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3197CED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27E5D389"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Modificarea dozei. Principii de tratament al efectelor secundare</w:t>
      </w:r>
    </w:p>
    <w:p w14:paraId="36F0FDAB" w14:textId="77777777" w:rsidR="00D05E4C" w:rsidRPr="00F941DA" w:rsidRDefault="00D05E4C" w:rsidP="00D11DF1">
      <w:pPr>
        <w:numPr>
          <w:ilvl w:val="0"/>
          <w:numId w:val="20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56406D39" w14:textId="77777777" w:rsidR="00D05E4C" w:rsidRPr="00F941DA" w:rsidRDefault="00D05E4C" w:rsidP="00D11DF1">
      <w:pPr>
        <w:numPr>
          <w:ilvl w:val="0"/>
          <w:numId w:val="20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00AB1753" w14:textId="77777777" w:rsidR="00D05E4C" w:rsidRPr="00F941DA" w:rsidRDefault="00D05E4C" w:rsidP="00D11DF1">
      <w:pPr>
        <w:numPr>
          <w:ilvl w:val="0"/>
          <w:numId w:val="20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3EAA890B" w14:textId="77777777" w:rsidR="00D05E4C" w:rsidRPr="00F941DA" w:rsidRDefault="00D05E4C" w:rsidP="00D11DF1">
      <w:pPr>
        <w:numPr>
          <w:ilvl w:val="0"/>
          <w:numId w:val="20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2F584630" w14:textId="77777777" w:rsidR="00D05E4C" w:rsidRPr="00F941DA" w:rsidRDefault="00D05E4C" w:rsidP="00D11DF1">
      <w:pPr>
        <w:numPr>
          <w:ilvl w:val="0"/>
          <w:numId w:val="20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6889608C" w14:textId="77777777" w:rsidR="00D05E4C" w:rsidRPr="00F941DA" w:rsidRDefault="00D05E4C" w:rsidP="00D11DF1">
      <w:pPr>
        <w:numPr>
          <w:ilvl w:val="0"/>
          <w:numId w:val="20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lastRenderedPageBreak/>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7949D52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2082B0B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50C1AF26"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 Monitorizarea tratamentului</w:t>
      </w:r>
    </w:p>
    <w:p w14:paraId="316922C4" w14:textId="77777777" w:rsidR="00D05E4C" w:rsidRPr="00F941DA" w:rsidRDefault="00D05E4C" w:rsidP="00D11DF1">
      <w:pPr>
        <w:numPr>
          <w:ilvl w:val="0"/>
          <w:numId w:val="20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8 - 12 săptămâni. Medicul curant apreciază necesitatea efectuării şi a altor investigaţii imagistice: scintigrafie, RMN, etc.</w:t>
      </w:r>
    </w:p>
    <w:p w14:paraId="29678A81" w14:textId="77777777" w:rsidR="00D05E4C" w:rsidRPr="00F941DA" w:rsidRDefault="00D05E4C" w:rsidP="00D11DF1">
      <w:pPr>
        <w:numPr>
          <w:ilvl w:val="0"/>
          <w:numId w:val="20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04392D6A" w14:textId="77777777" w:rsidR="00D05E4C" w:rsidRPr="00F941DA" w:rsidRDefault="00D05E4C" w:rsidP="00D11DF1">
      <w:pPr>
        <w:numPr>
          <w:ilvl w:val="0"/>
          <w:numId w:val="20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208FF7F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4E28FBB3"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 Efecte secundare. Reacţii adverse mediate imun</w:t>
      </w:r>
    </w:p>
    <w:p w14:paraId="154CDF9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412B5ED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37E2C2B6" w14:textId="77777777" w:rsidR="00D05E4C" w:rsidRPr="00F941DA" w:rsidRDefault="00D05E4C" w:rsidP="00D11DF1">
      <w:pPr>
        <w:numPr>
          <w:ilvl w:val="0"/>
          <w:numId w:val="20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Pneumonită mediată imun. </w:t>
      </w:r>
    </w:p>
    <w:p w14:paraId="1154A11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76B4316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79D79AD9" w14:textId="77777777" w:rsidR="00D05E4C" w:rsidRPr="00F941DA" w:rsidRDefault="00D05E4C" w:rsidP="00D11DF1">
      <w:pPr>
        <w:numPr>
          <w:ilvl w:val="0"/>
          <w:numId w:val="20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Colită mediată imun </w:t>
      </w:r>
    </w:p>
    <w:p w14:paraId="5F5C68A6"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77277ED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413A1CCE" w14:textId="77777777" w:rsidR="00D05E4C" w:rsidRPr="00F941DA" w:rsidRDefault="00D05E4C" w:rsidP="00D11DF1">
      <w:pPr>
        <w:numPr>
          <w:ilvl w:val="0"/>
          <w:numId w:val="20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Hepatită mediată imun </w:t>
      </w:r>
    </w:p>
    <w:p w14:paraId="6D6FD9E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7706A52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54FA4199" w14:textId="77777777" w:rsidR="00D05E4C" w:rsidRPr="00F941DA" w:rsidRDefault="00D05E4C" w:rsidP="00D11DF1">
      <w:pPr>
        <w:numPr>
          <w:ilvl w:val="0"/>
          <w:numId w:val="20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Nefrită sau disfuncţie renală mediată imun </w:t>
      </w:r>
    </w:p>
    <w:p w14:paraId="1FB37D99"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43E6297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6FD11CEE" w14:textId="77777777" w:rsidR="00D05E4C" w:rsidRPr="00F941DA" w:rsidRDefault="00D05E4C" w:rsidP="00D11DF1">
      <w:pPr>
        <w:numPr>
          <w:ilvl w:val="0"/>
          <w:numId w:val="20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Endocrinopatii mediate imun </w:t>
      </w:r>
    </w:p>
    <w:p w14:paraId="444FD5D7"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45CB6AD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27CF0D8E" w14:textId="77777777" w:rsidR="00D05E4C" w:rsidRPr="00F941DA" w:rsidRDefault="00D05E4C" w:rsidP="00D11DF1">
      <w:pPr>
        <w:numPr>
          <w:ilvl w:val="0"/>
          <w:numId w:val="20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Reacţii adverse cutanate mediate imun. </w:t>
      </w:r>
    </w:p>
    <w:p w14:paraId="4D47CAB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5637B46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3211A86B" w14:textId="77777777" w:rsidR="00D05E4C" w:rsidRPr="00F941DA" w:rsidRDefault="00D05E4C" w:rsidP="00D11DF1">
      <w:pPr>
        <w:numPr>
          <w:ilvl w:val="0"/>
          <w:numId w:val="20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Alte reacţii adverse mediate imun. </w:t>
      </w:r>
    </w:p>
    <w:p w14:paraId="6A76DD25"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6D0ED13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6C7C558F" w14:textId="77777777" w:rsidR="00D05E4C" w:rsidRPr="00F941DA" w:rsidRDefault="00D05E4C" w:rsidP="00D11DF1">
      <w:pPr>
        <w:numPr>
          <w:ilvl w:val="0"/>
          <w:numId w:val="20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Reacţii legate de administrarea perfuziei </w:t>
      </w:r>
    </w:p>
    <w:p w14:paraId="78EB4C7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75E0E19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4F3A7960"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VII. Criterii de întrerupere a tratamentului</w:t>
      </w:r>
    </w:p>
    <w:p w14:paraId="114F41E7" w14:textId="77777777" w:rsidR="00D05E4C" w:rsidRPr="00F941DA" w:rsidRDefault="00D05E4C" w:rsidP="00D11DF1">
      <w:pPr>
        <w:numPr>
          <w:ilvl w:val="0"/>
          <w:numId w:val="20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Progresia obiectivă a bolii în absenţa beneficiului clinic.</w:t>
      </w:r>
    </w:p>
    <w:p w14:paraId="289FEF38" w14:textId="77777777" w:rsidR="00D05E4C" w:rsidRPr="00F941DA" w:rsidRDefault="00D05E4C" w:rsidP="00D11DF1">
      <w:pPr>
        <w:numPr>
          <w:ilvl w:val="0"/>
          <w:numId w:val="20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1AA908F1" w14:textId="77777777" w:rsidR="00D05E4C" w:rsidRPr="00F941DA" w:rsidRDefault="00D05E4C" w:rsidP="00D11DF1">
      <w:pPr>
        <w:numPr>
          <w:ilvl w:val="0"/>
          <w:numId w:val="20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Decizia medicului sau a pacientului</w:t>
      </w:r>
    </w:p>
    <w:p w14:paraId="61C8D7F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71123DC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63D9D336"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3688B4A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3586618D"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VIII. Prescriptori</w:t>
      </w:r>
    </w:p>
    <w:p w14:paraId="7F59289F"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1A786A2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188C2BF6" w14:textId="77777777" w:rsidR="00D05E4C" w:rsidRPr="00F941DA" w:rsidRDefault="00D05E4C" w:rsidP="00D05E4C">
      <w:pPr>
        <w:spacing w:after="0" w:line="240" w:lineRule="auto"/>
        <w:ind w:firstLine="708"/>
        <w:jc w:val="both"/>
        <w:rPr>
          <w:rFonts w:ascii="Times New Roman" w:eastAsia="Times New Roman" w:hAnsi="Times New Roman" w:cs="Times New Roman"/>
          <w:b/>
          <w:sz w:val="24"/>
          <w:szCs w:val="24"/>
          <w:u w:val="single"/>
          <w:lang w:eastAsia="ro-RO"/>
        </w:rPr>
      </w:pPr>
    </w:p>
    <w:p w14:paraId="547F4A24" w14:textId="77777777" w:rsidR="00D05E4C" w:rsidRPr="00F941DA" w:rsidRDefault="00D05E4C" w:rsidP="00D05E4C">
      <w:pPr>
        <w:spacing w:after="0" w:line="240" w:lineRule="auto"/>
        <w:jc w:val="both"/>
        <w:rPr>
          <w:rFonts w:ascii="Times New Roman" w:eastAsia="Times New Roman" w:hAnsi="Times New Roman" w:cs="Times New Roman"/>
          <w:b/>
          <w:sz w:val="24"/>
          <w:szCs w:val="24"/>
          <w:u w:val="single"/>
          <w:lang w:eastAsia="ro-RO"/>
        </w:rPr>
      </w:pPr>
      <w:r w:rsidRPr="00F941DA">
        <w:rPr>
          <w:rFonts w:ascii="Times New Roman" w:eastAsia="Times New Roman" w:hAnsi="Times New Roman" w:cs="Times New Roman"/>
          <w:b/>
          <w:sz w:val="24"/>
          <w:szCs w:val="24"/>
          <w:u w:val="single"/>
          <w:lang w:eastAsia="ro-RO"/>
        </w:rPr>
        <w:t>3. CARCINOMUL RENAL AVANSAT</w:t>
      </w:r>
    </w:p>
    <w:p w14:paraId="324C35C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30B6C517"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 Indicaţii (face obiectul unui contract cost volum)</w:t>
      </w:r>
    </w:p>
    <w:p w14:paraId="6EB3E1F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Nivolumab este indicat ca monoterapie pentru tratamentul carcinomului renal avansat după terapie anterioară, la adulţi.</w:t>
      </w:r>
    </w:p>
    <w:p w14:paraId="05F1909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1F439C49"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Această indicaţie se codifică la prescriere prin codul 137 (conform clasificării internaţionale a maladiilor revizia a 10-a, varianta 999 coduri de boală).</w:t>
      </w:r>
    </w:p>
    <w:p w14:paraId="7FCF6A4B"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w:t>
      </w:r>
    </w:p>
    <w:p w14:paraId="532DADEA"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II. Criterii de includere</w:t>
      </w:r>
    </w:p>
    <w:p w14:paraId="1A75CECA" w14:textId="77777777" w:rsidR="00D05E4C" w:rsidRPr="00F941DA" w:rsidRDefault="00D05E4C" w:rsidP="00D11DF1">
      <w:pPr>
        <w:numPr>
          <w:ilvl w:val="0"/>
          <w:numId w:val="20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Pacienţi cu vârsta mai mare de 18 ani</w:t>
      </w:r>
    </w:p>
    <w:p w14:paraId="348ADAA0" w14:textId="77777777" w:rsidR="00D05E4C" w:rsidRPr="00F941DA" w:rsidRDefault="00D05E4C" w:rsidP="00D11DF1">
      <w:pPr>
        <w:numPr>
          <w:ilvl w:val="0"/>
          <w:numId w:val="20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Diagnostic de carcinom cu celule renale clare, confirmat histologic, stadiul avansat (sunt eligibile şi celelalte tipuri histologice de carcinom renal, cu excepţia celor uroteliale)</w:t>
      </w:r>
    </w:p>
    <w:p w14:paraId="4DF1EB4A" w14:textId="77777777" w:rsidR="00D05E4C" w:rsidRPr="00F941DA" w:rsidRDefault="00D05E4C" w:rsidP="00D11DF1">
      <w:pPr>
        <w:numPr>
          <w:ilvl w:val="0"/>
          <w:numId w:val="20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Progresia bolii, în timpul sau după cel puţin un regim de tratament anterior specific pentru carcinomul renal</w:t>
      </w:r>
    </w:p>
    <w:p w14:paraId="54DC5471"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w:t>
      </w:r>
    </w:p>
    <w:p w14:paraId="23A055BC"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III. Criterii de excludere</w:t>
      </w:r>
    </w:p>
    <w:p w14:paraId="5905C93D" w14:textId="77777777" w:rsidR="00D05E4C" w:rsidRPr="00F941DA" w:rsidRDefault="00D05E4C" w:rsidP="00D11DF1">
      <w:pPr>
        <w:numPr>
          <w:ilvl w:val="0"/>
          <w:numId w:val="210"/>
        </w:numPr>
        <w:pBdr>
          <w:top w:val="nil"/>
          <w:left w:val="nil"/>
          <w:bottom w:val="nil"/>
          <w:right w:val="nil"/>
          <w:between w:val="nil"/>
          <w:bar w:val="nil"/>
        </w:pBdr>
        <w:spacing w:after="0" w:line="240" w:lineRule="auto"/>
        <w:ind w:hanging="654"/>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Hipersensibilitate la substanţă activă sau la oricare dintre excipienţi</w:t>
      </w:r>
    </w:p>
    <w:p w14:paraId="4E060EFD" w14:textId="77777777" w:rsidR="00D05E4C" w:rsidRPr="00F941DA" w:rsidRDefault="00D05E4C" w:rsidP="00D11DF1">
      <w:pPr>
        <w:numPr>
          <w:ilvl w:val="0"/>
          <w:numId w:val="210"/>
        </w:numPr>
        <w:pBdr>
          <w:top w:val="nil"/>
          <w:left w:val="nil"/>
          <w:bottom w:val="nil"/>
          <w:right w:val="nil"/>
          <w:between w:val="nil"/>
          <w:bar w:val="nil"/>
        </w:pBdr>
        <w:spacing w:after="0" w:line="240" w:lineRule="auto"/>
        <w:ind w:hanging="654"/>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Pacienta însărcinată sau care alăptează</w:t>
      </w:r>
    </w:p>
    <w:p w14:paraId="5979D3FA" w14:textId="77777777" w:rsidR="00D05E4C" w:rsidRPr="00F941DA" w:rsidRDefault="00D05E4C" w:rsidP="00D05E4C">
      <w:pPr>
        <w:tabs>
          <w:tab w:val="left" w:pos="709"/>
        </w:tabs>
        <w:spacing w:after="0" w:line="240" w:lineRule="auto"/>
        <w:jc w:val="both"/>
        <w:rPr>
          <w:rFonts w:ascii="Times New Roman" w:eastAsia="Times New Roman" w:hAnsi="Times New Roman" w:cs="Times New Roman"/>
          <w:sz w:val="24"/>
          <w:szCs w:val="24"/>
          <w:lang w:eastAsia="ro-RO"/>
        </w:rPr>
      </w:pPr>
    </w:p>
    <w:p w14:paraId="31C61662" w14:textId="77777777" w:rsidR="00D05E4C" w:rsidRPr="00F941DA" w:rsidRDefault="00D05E4C" w:rsidP="00D05E4C">
      <w:pPr>
        <w:tabs>
          <w:tab w:val="left" w:pos="709"/>
        </w:tabs>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Contraindicaţii relative (nivolumab poate fi utilizat, de la caz la caz, după o analiză atentă a raportului beneficii/riscuri, conform precizărilor de mai jos)*):</w:t>
      </w:r>
    </w:p>
    <w:p w14:paraId="17556B0C" w14:textId="77777777" w:rsidR="00D05E4C" w:rsidRPr="00F941DA" w:rsidRDefault="00D05E4C" w:rsidP="00D11DF1">
      <w:pPr>
        <w:numPr>
          <w:ilvl w:val="0"/>
          <w:numId w:val="21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lastRenderedPageBreak/>
        <w:t>Determinări secundare cerebrale de boală nou diagnosticate, fără tratament specific anterior (radioterapie sau neurochirurgie), instabile neurologic</w:t>
      </w:r>
    </w:p>
    <w:p w14:paraId="42F85CBD" w14:textId="77777777" w:rsidR="00D05E4C" w:rsidRPr="00F941DA" w:rsidRDefault="00D05E4C" w:rsidP="00D11DF1">
      <w:pPr>
        <w:numPr>
          <w:ilvl w:val="0"/>
          <w:numId w:val="21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Prezenţa unei afecţiuni auto-imune care necesită tratament imunosupresiv sistemic; afecţiunile cutanate autoimune (vitiligo, psoriazis) care nu necesită tratament sistemic imunosupresiv nu reprezintă contraindicaţie pentru nivolumab*)</w:t>
      </w:r>
    </w:p>
    <w:p w14:paraId="4D0A8D09" w14:textId="77777777" w:rsidR="00D05E4C" w:rsidRPr="00F941DA" w:rsidRDefault="00D05E4C" w:rsidP="00D11DF1">
      <w:pPr>
        <w:numPr>
          <w:ilvl w:val="0"/>
          <w:numId w:val="21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28D16BF6" w14:textId="77777777" w:rsidR="00D05E4C" w:rsidRPr="00F941DA" w:rsidRDefault="00D05E4C" w:rsidP="00D11DF1">
      <w:pPr>
        <w:numPr>
          <w:ilvl w:val="0"/>
          <w:numId w:val="21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Boala interstiţială pulmonară simptomatică*)</w:t>
      </w:r>
    </w:p>
    <w:p w14:paraId="0527801B" w14:textId="77777777" w:rsidR="00D05E4C" w:rsidRPr="00F941DA" w:rsidRDefault="00D05E4C" w:rsidP="00D11DF1">
      <w:pPr>
        <w:numPr>
          <w:ilvl w:val="0"/>
          <w:numId w:val="21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Insuficienţa hepatică severă*)</w:t>
      </w:r>
    </w:p>
    <w:p w14:paraId="576A4713" w14:textId="77777777" w:rsidR="00D05E4C" w:rsidRPr="00F941DA" w:rsidRDefault="00D05E4C" w:rsidP="00D11DF1">
      <w:pPr>
        <w:numPr>
          <w:ilvl w:val="0"/>
          <w:numId w:val="21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p>
    <w:p w14:paraId="233597B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_____________</w:t>
      </w:r>
    </w:p>
    <w:p w14:paraId="5A0B26D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0"/>
          <w:szCs w:val="20"/>
          <w:lang w:eastAsia="ro-RO"/>
        </w:rPr>
        <w:t>*) Nota: pentru pacienţii cu determinări secundare cerebrale nou diagnosticate, netratate sau instabile neurologic, boala inflamatorie pulmonară pre-existentă, afecţiuni autoimune pre-existente în curs de tratament imunosupresiv sistemic, tratamente imunosupresive în curs pentru alte afecţiuni, necesar de corticoterapie în doza mai mare de 10 mg de prednison pe zi sau echivalent, hepatita cronică cu virus B sau C tratată, controlată, cu viremie redusă semnificativ sau absentă după tratamentul specific, insuficienţă hepatică severă, nu există date din trialurile clinice de înregistrare, nefiind înrolaţi în aceste studii clinice pivot. La aceşti pacienţi nivolumab poate fi utilizat cu precauţie, chiar şi în absenţa datelor, pentru aceste grupe de pacienţi, după o analiză atentă a raportului risc potenţial-beneficiu, efectuată individual, pentru fiecare caz în parte.</w:t>
      </w:r>
    </w:p>
    <w:p w14:paraId="78DD151C"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p>
    <w:p w14:paraId="547FD6AC"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IV. Tratament</w:t>
      </w:r>
      <w:r w:rsidRPr="00F941DA">
        <w:rPr>
          <w:rFonts w:ascii="Times New Roman" w:eastAsia="Times New Roman" w:hAnsi="Times New Roman" w:cs="Times New Roman"/>
          <w:sz w:val="24"/>
          <w:szCs w:val="24"/>
          <w:lang w:eastAsia="ro-RO"/>
        </w:rPr>
        <w:t>  </w:t>
      </w:r>
    </w:p>
    <w:p w14:paraId="475B55E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Evaluare pre-terapeutică</w:t>
      </w:r>
    </w:p>
    <w:p w14:paraId="15FC7650" w14:textId="77777777" w:rsidR="00D05E4C" w:rsidRPr="00F941DA" w:rsidRDefault="00D05E4C" w:rsidP="00D11DF1">
      <w:pPr>
        <w:numPr>
          <w:ilvl w:val="0"/>
          <w:numId w:val="21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Evaluare clinică şi imagistică pentru certificarea stadiilor avansat/metastazat - este obligatorie evaluarea imagistică înainte de iniţierea imunoterapiei, evaluare care trebuie să dovedească/să susţină progresia bolii în urma liniei 1 de tratament cu chimioterapie standard. Se recomandă ca evaluarea imagistică să fie efectuată cu cel mult 6 săptămâni anterior iniţierii imunoterapiei. Sunt permise excepţii justificate.</w:t>
      </w:r>
    </w:p>
    <w:p w14:paraId="11538F4A" w14:textId="77777777" w:rsidR="00D05E4C" w:rsidRPr="00F941DA" w:rsidRDefault="00D05E4C" w:rsidP="00D11DF1">
      <w:pPr>
        <w:numPr>
          <w:ilvl w:val="0"/>
          <w:numId w:val="21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Confirmarea histologică a diagnosticului</w:t>
      </w:r>
    </w:p>
    <w:p w14:paraId="4DACD483" w14:textId="77777777" w:rsidR="00D05E4C" w:rsidRPr="00F941DA" w:rsidRDefault="00D05E4C" w:rsidP="00D11DF1">
      <w:pPr>
        <w:numPr>
          <w:ilvl w:val="0"/>
          <w:numId w:val="21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Evaluare biologică. Analizele minimale care trebuie efectuate înaintea iniţierii imunoterapiei sunt: hemoleucograma, glicemia, VSH, examen sumar de urină, creatinina, uree, calcularea RFG, GOT, GPT, bilirubina totală, amilaza şi/sau lipaza, funcţia tiroidiană (TSH, T3, T4), fibrinogen, calcemie serică, ionograma serică (Na, K), precum şi alţi parametri în funcţie de decizia medicului curant</w:t>
      </w:r>
    </w:p>
    <w:p w14:paraId="7A617C2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08E3F65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Doze, mod de administrare, diluţie, valabilitate</w:t>
      </w:r>
    </w:p>
    <w:p w14:paraId="2C6D9D34" w14:textId="77777777" w:rsidR="00D05E4C" w:rsidRPr="00F941DA" w:rsidRDefault="00D05E4C" w:rsidP="00D11DF1">
      <w:pPr>
        <w:numPr>
          <w:ilvl w:val="0"/>
          <w:numId w:val="21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Doza recomandată de nivolumab este de 240 mg la fiecare 2 săptămâni pe durata a 30 minute sau 480 mg la fiecare 4 săptămâni pe durata a 60 minute administrat intravenos.</w:t>
      </w:r>
    </w:p>
    <w:p w14:paraId="04349F92" w14:textId="77777777" w:rsidR="00D05E4C" w:rsidRPr="00F941DA" w:rsidRDefault="00D05E4C" w:rsidP="00D11DF1">
      <w:pPr>
        <w:numPr>
          <w:ilvl w:val="0"/>
          <w:numId w:val="21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Tratamentul cu nivolumab trebuie continuat atât timp cât se observă beneficii clinice sau până când nu mai este tolerat de pacient.</w:t>
      </w:r>
    </w:p>
    <w:p w14:paraId="71DA690C"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62FCD65C"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Grupe speciale de pacienţi</w:t>
      </w:r>
    </w:p>
    <w:p w14:paraId="18B881EF" w14:textId="77777777" w:rsidR="00D05E4C" w:rsidRPr="00F941DA" w:rsidRDefault="00D05E4C" w:rsidP="00D11DF1">
      <w:pPr>
        <w:numPr>
          <w:ilvl w:val="1"/>
          <w:numId w:val="215"/>
        </w:numPr>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Copii şi adolescenţi - siguranţa şi eficacitatea nivolumab la copii cu vârsta sub 18 ani nu au fost încă stabilite. Nu sunt disponibile date astfel încât nu este recomandată utilizarea la copii.</w:t>
      </w:r>
    </w:p>
    <w:p w14:paraId="795D609F" w14:textId="77777777" w:rsidR="00D05E4C" w:rsidRPr="00F941DA" w:rsidRDefault="00D05E4C" w:rsidP="00D11DF1">
      <w:pPr>
        <w:numPr>
          <w:ilvl w:val="1"/>
          <w:numId w:val="215"/>
        </w:numPr>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 vârstnici - nu este necesară ajustarea dozelor la pacienţii vârstnici (≥ 65 de ani).</w:t>
      </w:r>
    </w:p>
    <w:p w14:paraId="0E50B9D0" w14:textId="77777777" w:rsidR="00D05E4C" w:rsidRPr="00F941DA" w:rsidRDefault="00D05E4C" w:rsidP="00D11DF1">
      <w:pPr>
        <w:numPr>
          <w:ilvl w:val="1"/>
          <w:numId w:val="215"/>
        </w:numPr>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49F51264" w14:textId="77777777" w:rsidR="00D05E4C" w:rsidRPr="00F941DA" w:rsidRDefault="00D05E4C" w:rsidP="00D11DF1">
      <w:pPr>
        <w:numPr>
          <w:ilvl w:val="1"/>
          <w:numId w:val="215"/>
        </w:numPr>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uşoară.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59CF5826"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0275912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Modificarea dozei. Principii de tratament al efectelor secundare</w:t>
      </w:r>
    </w:p>
    <w:p w14:paraId="734D8B55" w14:textId="77777777" w:rsidR="00D05E4C" w:rsidRPr="00F941DA" w:rsidRDefault="00D05E4C" w:rsidP="00D11DF1">
      <w:pPr>
        <w:numPr>
          <w:ilvl w:val="0"/>
          <w:numId w:val="21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00E72EC0" w14:textId="77777777" w:rsidR="00D05E4C" w:rsidRPr="00F941DA" w:rsidRDefault="00D05E4C" w:rsidP="00D11DF1">
      <w:pPr>
        <w:numPr>
          <w:ilvl w:val="0"/>
          <w:numId w:val="21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3FF93153" w14:textId="77777777" w:rsidR="00D05E4C" w:rsidRPr="00F941DA" w:rsidRDefault="00D05E4C" w:rsidP="00D11DF1">
      <w:pPr>
        <w:numPr>
          <w:ilvl w:val="0"/>
          <w:numId w:val="21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55E6121F" w14:textId="77777777" w:rsidR="00D05E4C" w:rsidRPr="00F941DA" w:rsidRDefault="00D05E4C" w:rsidP="00D11DF1">
      <w:pPr>
        <w:numPr>
          <w:ilvl w:val="0"/>
          <w:numId w:val="21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765213D0" w14:textId="77777777" w:rsidR="00D05E4C" w:rsidRPr="00F941DA" w:rsidRDefault="00D05E4C" w:rsidP="00D11DF1">
      <w:pPr>
        <w:numPr>
          <w:ilvl w:val="0"/>
          <w:numId w:val="21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45CF09A0" w14:textId="77777777" w:rsidR="00D05E4C" w:rsidRPr="00F941DA" w:rsidRDefault="00D05E4C" w:rsidP="00D11DF1">
      <w:pPr>
        <w:numPr>
          <w:ilvl w:val="0"/>
          <w:numId w:val="21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32B10ABB"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w:t>
      </w:r>
    </w:p>
    <w:p w14:paraId="4CF565F9"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 Monitorizarea tratamentului</w:t>
      </w:r>
    </w:p>
    <w:p w14:paraId="7D55EA94" w14:textId="77777777" w:rsidR="00D05E4C" w:rsidRPr="00F941DA" w:rsidRDefault="00D05E4C" w:rsidP="00D11DF1">
      <w:pPr>
        <w:numPr>
          <w:ilvl w:val="0"/>
          <w:numId w:val="21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8 - 12 săptămâni. Medicul curant apreciază necesitatea efectuării şi a altor investigaţii imagistice: scintigrafie, RMN, etc.</w:t>
      </w:r>
    </w:p>
    <w:p w14:paraId="641529E6" w14:textId="77777777" w:rsidR="00D05E4C" w:rsidRPr="00F941DA" w:rsidRDefault="00D05E4C" w:rsidP="00D11DF1">
      <w:pPr>
        <w:numPr>
          <w:ilvl w:val="0"/>
          <w:numId w:val="21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1AF53965" w14:textId="77777777" w:rsidR="00D05E4C" w:rsidRPr="00F941DA" w:rsidRDefault="00D05E4C" w:rsidP="00D11DF1">
      <w:pPr>
        <w:numPr>
          <w:ilvl w:val="0"/>
          <w:numId w:val="21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4CA78D31"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w:t>
      </w:r>
    </w:p>
    <w:p w14:paraId="52E05ECD"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 Efecte secundare. Reacţii adverse mediate imun</w:t>
      </w:r>
    </w:p>
    <w:p w14:paraId="04A1BBB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4BAA00E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53F1F0C4" w14:textId="77777777" w:rsidR="00D05E4C" w:rsidRPr="00F941DA" w:rsidRDefault="00D05E4C" w:rsidP="00D11DF1">
      <w:pPr>
        <w:numPr>
          <w:ilvl w:val="0"/>
          <w:numId w:val="21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Pneumonită mediată imun</w:t>
      </w:r>
    </w:p>
    <w:p w14:paraId="03AE6E4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55C9D39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3AC819DC" w14:textId="77777777" w:rsidR="00D05E4C" w:rsidRPr="00F941DA" w:rsidRDefault="00D05E4C" w:rsidP="00D11DF1">
      <w:pPr>
        <w:numPr>
          <w:ilvl w:val="0"/>
          <w:numId w:val="21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Colită mediată imun</w:t>
      </w:r>
    </w:p>
    <w:p w14:paraId="2994CF0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4CD6618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576793A3" w14:textId="77777777" w:rsidR="00D05E4C" w:rsidRPr="00F941DA" w:rsidRDefault="00D05E4C" w:rsidP="00D11DF1">
      <w:pPr>
        <w:numPr>
          <w:ilvl w:val="0"/>
          <w:numId w:val="21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Hepatită mediată imun</w:t>
      </w:r>
    </w:p>
    <w:p w14:paraId="3B97C52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487278E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6A95F230" w14:textId="77777777" w:rsidR="00D05E4C" w:rsidRPr="00F941DA" w:rsidRDefault="00D05E4C" w:rsidP="00D11DF1">
      <w:pPr>
        <w:numPr>
          <w:ilvl w:val="0"/>
          <w:numId w:val="21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Nefrită sau disfuncţie renală mediată imun</w:t>
      </w:r>
    </w:p>
    <w:p w14:paraId="1579105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607427C7"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6326DF26" w14:textId="77777777" w:rsidR="00D05E4C" w:rsidRPr="00F941DA" w:rsidRDefault="00D05E4C" w:rsidP="00D11DF1">
      <w:pPr>
        <w:numPr>
          <w:ilvl w:val="0"/>
          <w:numId w:val="21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Endocrinopatii mediate imun</w:t>
      </w:r>
    </w:p>
    <w:p w14:paraId="654B972F"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Au fost observate endocrinopatii severe: hipotiroidism, hipertiroidism, insuficienţă suprarenaliană, hipofizită, diabet zaharat sau cetoacidoză diabetică.</w:t>
      </w:r>
    </w:p>
    <w:p w14:paraId="1FF3D2DF"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67ED84F5" w14:textId="77777777" w:rsidR="00D05E4C" w:rsidRPr="00F941DA" w:rsidRDefault="00D05E4C" w:rsidP="00D11DF1">
      <w:pPr>
        <w:numPr>
          <w:ilvl w:val="0"/>
          <w:numId w:val="21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Reacţii adverse cutanate mediate imun</w:t>
      </w:r>
    </w:p>
    <w:p w14:paraId="1E12A3F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4C280E7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37BFFB18" w14:textId="77777777" w:rsidR="00D05E4C" w:rsidRPr="00F941DA" w:rsidRDefault="00D05E4C" w:rsidP="00D11DF1">
      <w:pPr>
        <w:numPr>
          <w:ilvl w:val="0"/>
          <w:numId w:val="21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Alte reacţii adverse mediate imun</w:t>
      </w:r>
    </w:p>
    <w:p w14:paraId="5B1097F7"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26A2CD2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4EA60725" w14:textId="77777777" w:rsidR="00D05E4C" w:rsidRPr="00F941DA" w:rsidRDefault="00D05E4C" w:rsidP="00D11DF1">
      <w:pPr>
        <w:numPr>
          <w:ilvl w:val="0"/>
          <w:numId w:val="21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Reacţii legate de administrarea perfuziei</w:t>
      </w:r>
    </w:p>
    <w:p w14:paraId="526D017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3ADD0E37"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w:t>
      </w:r>
    </w:p>
    <w:p w14:paraId="4D77165E"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VII. Criterii de întrerupere a tratamentului</w:t>
      </w:r>
    </w:p>
    <w:p w14:paraId="6CA1EB70" w14:textId="77777777" w:rsidR="00D05E4C" w:rsidRPr="00F941DA" w:rsidRDefault="00D05E4C" w:rsidP="00D11DF1">
      <w:pPr>
        <w:numPr>
          <w:ilvl w:val="0"/>
          <w:numId w:val="21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Progresia obiectivă a bolii în absenţa beneficiului clinic.</w:t>
      </w:r>
    </w:p>
    <w:p w14:paraId="1AD218FB" w14:textId="77777777" w:rsidR="00D05E4C" w:rsidRPr="00F941DA" w:rsidRDefault="00D05E4C" w:rsidP="00D11DF1">
      <w:pPr>
        <w:numPr>
          <w:ilvl w:val="0"/>
          <w:numId w:val="21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0915213D" w14:textId="77777777" w:rsidR="00D05E4C" w:rsidRPr="00F941DA" w:rsidRDefault="00D05E4C" w:rsidP="00D11DF1">
      <w:pPr>
        <w:numPr>
          <w:ilvl w:val="0"/>
          <w:numId w:val="21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Decizia medicului sau a pacientului</w:t>
      </w:r>
    </w:p>
    <w:p w14:paraId="0AA8E2A7"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0C0BCAB5"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3B6C3169"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p>
    <w:p w14:paraId="40B050B4"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VIII. Prescriptori</w:t>
      </w:r>
    </w:p>
    <w:p w14:paraId="4714CEC6"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044D636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27EB990C"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w:t>
      </w:r>
      <w:r w:rsidRPr="00F941DA">
        <w:rPr>
          <w:rFonts w:ascii="Times New Roman" w:eastAsia="Times New Roman" w:hAnsi="Times New Roman" w:cs="Times New Roman"/>
          <w:b/>
          <w:sz w:val="24"/>
          <w:szCs w:val="24"/>
          <w:lang w:eastAsia="ro-RO"/>
        </w:rPr>
        <w:tab/>
      </w:r>
    </w:p>
    <w:p w14:paraId="145B3C66" w14:textId="77777777" w:rsidR="00D05E4C" w:rsidRPr="00F941DA" w:rsidRDefault="00D05E4C" w:rsidP="00D05E4C">
      <w:pPr>
        <w:spacing w:after="0" w:line="240" w:lineRule="auto"/>
        <w:jc w:val="both"/>
        <w:rPr>
          <w:rFonts w:ascii="Times New Roman" w:eastAsia="Times New Roman" w:hAnsi="Times New Roman" w:cs="Times New Roman"/>
          <w:b/>
          <w:sz w:val="24"/>
          <w:szCs w:val="24"/>
          <w:u w:val="single"/>
          <w:lang w:eastAsia="ro-RO"/>
        </w:rPr>
      </w:pPr>
      <w:r w:rsidRPr="00F941DA">
        <w:rPr>
          <w:rFonts w:ascii="Times New Roman" w:eastAsia="Times New Roman" w:hAnsi="Times New Roman" w:cs="Times New Roman"/>
          <w:b/>
          <w:sz w:val="24"/>
          <w:szCs w:val="24"/>
          <w:u w:val="single"/>
          <w:lang w:eastAsia="ro-RO"/>
        </w:rPr>
        <w:t>4. LIMFOM HODGKIN (LH) clasic recidivat sau refractar după transplant autolog de celule stem (TCSA) şi tratament cu brentuximab vedotin - în monoterapie</w:t>
      </w:r>
    </w:p>
    <w:p w14:paraId="0B28E32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3A9E4D2B"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w:t>
      </w:r>
    </w:p>
    <w:p w14:paraId="66033ED7"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 INDICAŢII</w:t>
      </w:r>
    </w:p>
    <w:p w14:paraId="258E9E3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Nivolumab este indicat în monoterapie pentru tratamentul pacienţilor adulţi cu limfom Hodgkin (LH) clasic recidivat sau refractar după transplant autolog de celule stem (TCSA) şi tratament cu brentuximab vedotin.</w:t>
      </w:r>
    </w:p>
    <w:p w14:paraId="6B5965B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p>
    <w:p w14:paraId="5FA042B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Această indicaţie se codifică la prescriere prin codul 154 (conform clasificării internaţionale a maladiilor revizia a 10-a, varianta 999 coduri de boală).</w:t>
      </w:r>
    </w:p>
    <w:p w14:paraId="222B947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7CEA4422"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lastRenderedPageBreak/>
        <w:t>II. CRITERII DE INCLUDERE ÎN TRATAMENT:</w:t>
      </w:r>
    </w:p>
    <w:p w14:paraId="4244B613" w14:textId="77777777" w:rsidR="00D05E4C" w:rsidRPr="00F941DA" w:rsidRDefault="00D05E4C" w:rsidP="00D11DF1">
      <w:pPr>
        <w:numPr>
          <w:ilvl w:val="0"/>
          <w:numId w:val="22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pacienţi adulţi cu limfom Hodgkin (LH) clasic recidivat sau refractar după transplant autolog de celule stem (TCSA) şi tratament cu brentuximab vedotin</w:t>
      </w:r>
    </w:p>
    <w:p w14:paraId="6109DC2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524EC709"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III. CRITERII DE EXCLUDERE:</w:t>
      </w:r>
    </w:p>
    <w:p w14:paraId="3336976F" w14:textId="77777777" w:rsidR="00D05E4C" w:rsidRPr="00F941DA" w:rsidRDefault="00D05E4C" w:rsidP="00D11DF1">
      <w:pPr>
        <w:numPr>
          <w:ilvl w:val="0"/>
          <w:numId w:val="220"/>
        </w:numPr>
        <w:pBdr>
          <w:top w:val="nil"/>
          <w:left w:val="nil"/>
          <w:bottom w:val="nil"/>
          <w:right w:val="nil"/>
          <w:between w:val="nil"/>
          <w:bar w:val="nil"/>
        </w:pBdr>
        <w:spacing w:after="0" w:line="240" w:lineRule="auto"/>
        <w:ind w:hanging="774"/>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Hipersensibilitate la substanţa activă sau la oricare dintre excipienţi.</w:t>
      </w:r>
    </w:p>
    <w:p w14:paraId="505C5E22"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w:t>
      </w:r>
    </w:p>
    <w:p w14:paraId="02940BE8"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IV. TRATAMENT:</w:t>
      </w:r>
    </w:p>
    <w:p w14:paraId="049976B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Tratamentul cu nivolumab trebuie iniţiat şi supravegheat de un medic cu experienţă în utilizarea medicamentelor antineoplazice.</w:t>
      </w:r>
    </w:p>
    <w:p w14:paraId="0E6AE249"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p>
    <w:p w14:paraId="3577B24C"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Doza recomandată:</w:t>
      </w:r>
    </w:p>
    <w:p w14:paraId="4BFFE982" w14:textId="77777777" w:rsidR="00D05E4C" w:rsidRPr="00F941DA" w:rsidRDefault="00D05E4C" w:rsidP="00D11DF1">
      <w:pPr>
        <w:numPr>
          <w:ilvl w:val="0"/>
          <w:numId w:val="221"/>
        </w:numPr>
        <w:pBdr>
          <w:top w:val="nil"/>
          <w:left w:val="nil"/>
          <w:bottom w:val="nil"/>
          <w:right w:val="nil"/>
          <w:between w:val="nil"/>
          <w:bar w:val="nil"/>
        </w:pBdr>
        <w:spacing w:after="0" w:line="240" w:lineRule="auto"/>
        <w:ind w:hanging="436"/>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240 mg la fiecare 2 săptămâni în perfuzie de 30 minute</w:t>
      </w:r>
    </w:p>
    <w:p w14:paraId="33AE04E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35FFFD19"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Ajustări ale dozei:</w:t>
      </w:r>
    </w:p>
    <w:p w14:paraId="389D6B5E" w14:textId="77777777" w:rsidR="00D05E4C" w:rsidRPr="00F941DA" w:rsidRDefault="00D05E4C" w:rsidP="00D11DF1">
      <w:pPr>
        <w:numPr>
          <w:ilvl w:val="0"/>
          <w:numId w:val="222"/>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NU se recomandă escaladarea sau reducerea dozei.</w:t>
      </w:r>
    </w:p>
    <w:p w14:paraId="0A2CD356" w14:textId="77777777" w:rsidR="00D05E4C" w:rsidRPr="00F941DA" w:rsidRDefault="00D05E4C" w:rsidP="00D11DF1">
      <w:pPr>
        <w:numPr>
          <w:ilvl w:val="0"/>
          <w:numId w:val="222"/>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Poate fi necesară întârzierea sau întreruperea administrării, în funcţie de siguranţa şi tolerabilitatea individual</w:t>
      </w:r>
    </w:p>
    <w:p w14:paraId="40941A6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tbl>
      <w:tblPr>
        <w:tblW w:w="9818"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993"/>
        <w:gridCol w:w="3415"/>
        <w:gridCol w:w="4410"/>
      </w:tblGrid>
      <w:tr w:rsidR="00D05E4C" w:rsidRPr="00F941DA" w14:paraId="0F2B4012" w14:textId="77777777" w:rsidTr="00D05E4C">
        <w:tc>
          <w:tcPr>
            <w:tcW w:w="1993" w:type="dxa"/>
            <w:tcBorders>
              <w:top w:val="single" w:sz="6" w:space="0" w:color="000000"/>
              <w:left w:val="single" w:sz="6" w:space="0" w:color="000000"/>
              <w:bottom w:val="single" w:sz="6" w:space="0" w:color="000000"/>
              <w:right w:val="single" w:sz="6" w:space="0" w:color="000000"/>
            </w:tcBorders>
            <w:hideMark/>
          </w:tcPr>
          <w:p w14:paraId="0CC4C186"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Reacţia adversă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7340F3B0"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Severitate</w:t>
            </w:r>
          </w:p>
        </w:tc>
        <w:tc>
          <w:tcPr>
            <w:tcW w:w="4410" w:type="dxa"/>
            <w:tcBorders>
              <w:top w:val="single" w:sz="6" w:space="0" w:color="000000"/>
              <w:left w:val="single" w:sz="6" w:space="0" w:color="000000"/>
              <w:bottom w:val="single" w:sz="6" w:space="0" w:color="000000"/>
              <w:right w:val="single" w:sz="6" w:space="0" w:color="000000"/>
            </w:tcBorders>
            <w:hideMark/>
          </w:tcPr>
          <w:p w14:paraId="1DD1A81E"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Ajustarea tratamentului</w:t>
            </w:r>
          </w:p>
        </w:tc>
      </w:tr>
      <w:tr w:rsidR="00D05E4C" w:rsidRPr="00F941DA" w14:paraId="5ADB871D" w14:textId="77777777" w:rsidTr="00D05E4C">
        <w:tc>
          <w:tcPr>
            <w:tcW w:w="1993" w:type="dxa"/>
            <w:tcBorders>
              <w:top w:val="single" w:sz="6" w:space="0" w:color="000000"/>
              <w:left w:val="single" w:sz="6" w:space="0" w:color="000000"/>
              <w:bottom w:val="nil"/>
              <w:right w:val="single" w:sz="6" w:space="0" w:color="000000"/>
            </w:tcBorders>
            <w:hideMark/>
          </w:tcPr>
          <w:p w14:paraId="0945BCB9"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Pneumonită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5365B1F0"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Pneumonită de grad 2</w:t>
            </w:r>
          </w:p>
        </w:tc>
        <w:tc>
          <w:tcPr>
            <w:tcW w:w="4410" w:type="dxa"/>
            <w:tcBorders>
              <w:top w:val="single" w:sz="6" w:space="0" w:color="000000"/>
              <w:left w:val="single" w:sz="6" w:space="0" w:color="000000"/>
              <w:bottom w:val="single" w:sz="6" w:space="0" w:color="000000"/>
              <w:right w:val="single" w:sz="6" w:space="0" w:color="000000"/>
            </w:tcBorders>
            <w:hideMark/>
          </w:tcPr>
          <w:p w14:paraId="7F682EE2"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întrerupe tratamentul până la remiterea simptomelor, până la îmbunătăţirea modificărilor radiologice şi până la încheierea corticoterapiei</w:t>
            </w:r>
          </w:p>
        </w:tc>
      </w:tr>
      <w:tr w:rsidR="00D05E4C" w:rsidRPr="00F941DA" w14:paraId="1BBC03A4" w14:textId="77777777" w:rsidTr="00D05E4C">
        <w:tc>
          <w:tcPr>
            <w:tcW w:w="1993" w:type="dxa"/>
            <w:tcBorders>
              <w:top w:val="nil"/>
              <w:left w:val="single" w:sz="6" w:space="0" w:color="000000"/>
              <w:bottom w:val="single" w:sz="6" w:space="0" w:color="000000"/>
              <w:right w:val="single" w:sz="6" w:space="0" w:color="000000"/>
            </w:tcBorders>
            <w:hideMark/>
          </w:tcPr>
          <w:p w14:paraId="32DB5CD8"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2485A73B"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Pneumonită de grad 3 sau 4</w:t>
            </w:r>
          </w:p>
        </w:tc>
        <w:tc>
          <w:tcPr>
            <w:tcW w:w="4410" w:type="dxa"/>
            <w:tcBorders>
              <w:top w:val="single" w:sz="6" w:space="0" w:color="000000"/>
              <w:left w:val="single" w:sz="6" w:space="0" w:color="000000"/>
              <w:bottom w:val="single" w:sz="6" w:space="0" w:color="000000"/>
              <w:right w:val="single" w:sz="6" w:space="0" w:color="000000"/>
            </w:tcBorders>
            <w:hideMark/>
          </w:tcPr>
          <w:p w14:paraId="366D5754"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întrerupe permanent tratamentul</w:t>
            </w:r>
          </w:p>
        </w:tc>
      </w:tr>
      <w:tr w:rsidR="00D05E4C" w:rsidRPr="00F941DA" w14:paraId="639489FB" w14:textId="77777777" w:rsidTr="00D05E4C">
        <w:tc>
          <w:tcPr>
            <w:tcW w:w="1993" w:type="dxa"/>
            <w:tcBorders>
              <w:top w:val="single" w:sz="6" w:space="0" w:color="000000"/>
              <w:left w:val="single" w:sz="6" w:space="0" w:color="000000"/>
              <w:bottom w:val="nil"/>
              <w:right w:val="single" w:sz="6" w:space="0" w:color="000000"/>
            </w:tcBorders>
            <w:hideMark/>
          </w:tcPr>
          <w:p w14:paraId="16E4610E"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Colită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526C0B95"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Diaree sau colită de grad 2 şi 3</w:t>
            </w:r>
          </w:p>
        </w:tc>
        <w:tc>
          <w:tcPr>
            <w:tcW w:w="4410" w:type="dxa"/>
            <w:tcBorders>
              <w:top w:val="single" w:sz="6" w:space="0" w:color="000000"/>
              <w:left w:val="single" w:sz="6" w:space="0" w:color="000000"/>
              <w:bottom w:val="single" w:sz="6" w:space="0" w:color="000000"/>
              <w:right w:val="single" w:sz="6" w:space="0" w:color="000000"/>
            </w:tcBorders>
            <w:hideMark/>
          </w:tcPr>
          <w:p w14:paraId="1605477F"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întrerupe tratamentul până la remiterea simptomelor şi până la încheierea corticoterapiei, dacă aceasta a fost necesară</w:t>
            </w:r>
          </w:p>
        </w:tc>
      </w:tr>
      <w:tr w:rsidR="00D05E4C" w:rsidRPr="00F941DA" w14:paraId="33253B7B" w14:textId="77777777" w:rsidTr="00D05E4C">
        <w:tc>
          <w:tcPr>
            <w:tcW w:w="1993" w:type="dxa"/>
            <w:tcBorders>
              <w:top w:val="nil"/>
              <w:left w:val="single" w:sz="6" w:space="0" w:color="000000"/>
              <w:bottom w:val="single" w:sz="6" w:space="0" w:color="000000"/>
              <w:right w:val="single" w:sz="6" w:space="0" w:color="000000"/>
            </w:tcBorders>
            <w:hideMark/>
          </w:tcPr>
          <w:p w14:paraId="547E60E3"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0F57C43A"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Diaree sau colită de grad 4</w:t>
            </w:r>
          </w:p>
        </w:tc>
        <w:tc>
          <w:tcPr>
            <w:tcW w:w="4410" w:type="dxa"/>
            <w:tcBorders>
              <w:top w:val="single" w:sz="6" w:space="0" w:color="000000"/>
              <w:left w:val="single" w:sz="6" w:space="0" w:color="000000"/>
              <w:bottom w:val="single" w:sz="6" w:space="0" w:color="000000"/>
              <w:right w:val="single" w:sz="6" w:space="0" w:color="000000"/>
            </w:tcBorders>
            <w:hideMark/>
          </w:tcPr>
          <w:p w14:paraId="350F9DCB"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întrerupe permanent tratamentul</w:t>
            </w:r>
          </w:p>
        </w:tc>
      </w:tr>
      <w:tr w:rsidR="00D05E4C" w:rsidRPr="00F941DA" w14:paraId="77F14A10" w14:textId="77777777" w:rsidTr="00D05E4C">
        <w:tc>
          <w:tcPr>
            <w:tcW w:w="1993" w:type="dxa"/>
            <w:tcBorders>
              <w:top w:val="single" w:sz="6" w:space="0" w:color="000000"/>
              <w:left w:val="single" w:sz="6" w:space="0" w:color="000000"/>
              <w:bottom w:val="nil"/>
              <w:right w:val="single" w:sz="6" w:space="0" w:color="000000"/>
            </w:tcBorders>
            <w:hideMark/>
          </w:tcPr>
          <w:p w14:paraId="3667A325"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Hepatită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40EA8487"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Creştere de grad 2 a concentraţiei plasmatice a aspartat aminotransferazei (AST), alanin aminotransferazei (ALT) sau bilirubinei totale</w:t>
            </w:r>
          </w:p>
        </w:tc>
        <w:tc>
          <w:tcPr>
            <w:tcW w:w="4410" w:type="dxa"/>
            <w:tcBorders>
              <w:top w:val="single" w:sz="6" w:space="0" w:color="000000"/>
              <w:left w:val="single" w:sz="6" w:space="0" w:color="000000"/>
              <w:bottom w:val="single" w:sz="6" w:space="0" w:color="000000"/>
              <w:right w:val="single" w:sz="6" w:space="0" w:color="000000"/>
            </w:tcBorders>
            <w:hideMark/>
          </w:tcPr>
          <w:p w14:paraId="7FEB10D2"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întrerupe tratamentul până la revenirea la nivelul iniţial al valorilor testelor de laborator şi până la încheierea corticoterapiei, dacă a fost necesară</w:t>
            </w:r>
          </w:p>
        </w:tc>
      </w:tr>
      <w:tr w:rsidR="00D05E4C" w:rsidRPr="00F941DA" w14:paraId="38B62413" w14:textId="77777777" w:rsidTr="00D05E4C">
        <w:tc>
          <w:tcPr>
            <w:tcW w:w="1993" w:type="dxa"/>
            <w:tcBorders>
              <w:top w:val="nil"/>
              <w:left w:val="single" w:sz="6" w:space="0" w:color="000000"/>
              <w:bottom w:val="single" w:sz="6" w:space="0" w:color="000000"/>
              <w:right w:val="single" w:sz="6" w:space="0" w:color="000000"/>
            </w:tcBorders>
            <w:hideMark/>
          </w:tcPr>
          <w:p w14:paraId="7EB338BA"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3C942D95"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Creştere de grad 3 sau 4 a AST, ALT sau a bilirubinei totale</w:t>
            </w:r>
          </w:p>
        </w:tc>
        <w:tc>
          <w:tcPr>
            <w:tcW w:w="4410" w:type="dxa"/>
            <w:tcBorders>
              <w:top w:val="single" w:sz="6" w:space="0" w:color="000000"/>
              <w:left w:val="single" w:sz="6" w:space="0" w:color="000000"/>
              <w:bottom w:val="single" w:sz="6" w:space="0" w:color="000000"/>
              <w:right w:val="single" w:sz="6" w:space="0" w:color="000000"/>
            </w:tcBorders>
            <w:hideMark/>
          </w:tcPr>
          <w:p w14:paraId="1BA58A44"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întrerupe permanent tratamentul.</w:t>
            </w:r>
          </w:p>
        </w:tc>
      </w:tr>
      <w:tr w:rsidR="00D05E4C" w:rsidRPr="00F941DA" w14:paraId="2ADB887C" w14:textId="77777777" w:rsidTr="00D05E4C">
        <w:tc>
          <w:tcPr>
            <w:tcW w:w="1993" w:type="dxa"/>
            <w:tcBorders>
              <w:top w:val="single" w:sz="6" w:space="0" w:color="000000"/>
              <w:left w:val="single" w:sz="6" w:space="0" w:color="000000"/>
              <w:bottom w:val="nil"/>
              <w:right w:val="single" w:sz="6" w:space="0" w:color="000000"/>
            </w:tcBorders>
            <w:hideMark/>
          </w:tcPr>
          <w:p w14:paraId="3E92D0C8"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Nefrită şi disfuncţie renală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2160675E"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Creştere de grad 2 sau 3 a creatininei</w:t>
            </w:r>
          </w:p>
        </w:tc>
        <w:tc>
          <w:tcPr>
            <w:tcW w:w="4410" w:type="dxa"/>
            <w:tcBorders>
              <w:top w:val="single" w:sz="6" w:space="0" w:color="000000"/>
              <w:left w:val="single" w:sz="6" w:space="0" w:color="000000"/>
              <w:bottom w:val="single" w:sz="6" w:space="0" w:color="000000"/>
              <w:right w:val="single" w:sz="6" w:space="0" w:color="000000"/>
            </w:tcBorders>
            <w:hideMark/>
          </w:tcPr>
          <w:p w14:paraId="0A6A4B68"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întrerupe tratamentul până la revenirea creatininei la nivelul iniţial şi până la încheierea corticoterapiei</w:t>
            </w:r>
          </w:p>
        </w:tc>
      </w:tr>
      <w:tr w:rsidR="00D05E4C" w:rsidRPr="00F941DA" w14:paraId="5E83A0B0" w14:textId="77777777" w:rsidTr="00D05E4C">
        <w:tc>
          <w:tcPr>
            <w:tcW w:w="1993" w:type="dxa"/>
            <w:tcBorders>
              <w:top w:val="nil"/>
              <w:left w:val="single" w:sz="6" w:space="0" w:color="000000"/>
              <w:bottom w:val="single" w:sz="6" w:space="0" w:color="000000"/>
              <w:right w:val="single" w:sz="6" w:space="0" w:color="000000"/>
            </w:tcBorders>
            <w:hideMark/>
          </w:tcPr>
          <w:p w14:paraId="430FBD43"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4DDC805E"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Creştere de grad 4 a creatininei</w:t>
            </w:r>
          </w:p>
        </w:tc>
        <w:tc>
          <w:tcPr>
            <w:tcW w:w="4410" w:type="dxa"/>
            <w:tcBorders>
              <w:top w:val="single" w:sz="6" w:space="0" w:color="000000"/>
              <w:left w:val="single" w:sz="6" w:space="0" w:color="000000"/>
              <w:bottom w:val="single" w:sz="6" w:space="0" w:color="000000"/>
              <w:right w:val="single" w:sz="6" w:space="0" w:color="000000"/>
            </w:tcBorders>
            <w:hideMark/>
          </w:tcPr>
          <w:p w14:paraId="1F356580"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întrerupe permanent tratamentul</w:t>
            </w:r>
          </w:p>
        </w:tc>
      </w:tr>
      <w:tr w:rsidR="00D05E4C" w:rsidRPr="00F941DA" w14:paraId="431BD753" w14:textId="77777777" w:rsidTr="00D05E4C">
        <w:tc>
          <w:tcPr>
            <w:tcW w:w="1993" w:type="dxa"/>
            <w:tcBorders>
              <w:top w:val="single" w:sz="6" w:space="0" w:color="000000"/>
              <w:left w:val="single" w:sz="6" w:space="0" w:color="000000"/>
              <w:bottom w:val="nil"/>
              <w:right w:val="single" w:sz="6" w:space="0" w:color="000000"/>
            </w:tcBorders>
            <w:hideMark/>
          </w:tcPr>
          <w:p w14:paraId="7AB85AD2"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Endocrinopatii mediate imun</w:t>
            </w:r>
          </w:p>
        </w:tc>
        <w:tc>
          <w:tcPr>
            <w:tcW w:w="3415" w:type="dxa"/>
            <w:tcBorders>
              <w:top w:val="single" w:sz="6" w:space="0" w:color="000000"/>
              <w:left w:val="single" w:sz="6" w:space="0" w:color="000000"/>
              <w:bottom w:val="single" w:sz="6" w:space="0" w:color="000000"/>
              <w:right w:val="single" w:sz="6" w:space="0" w:color="000000"/>
            </w:tcBorders>
            <w:hideMark/>
          </w:tcPr>
          <w:p w14:paraId="0D813728"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hipotiroidism, hipertiroidism, hipofizită, simptomatice, grad 2 sau 3</w:t>
            </w:r>
          </w:p>
        </w:tc>
        <w:tc>
          <w:tcPr>
            <w:tcW w:w="4410" w:type="dxa"/>
            <w:vMerge w:val="restart"/>
            <w:tcBorders>
              <w:top w:val="single" w:sz="6" w:space="0" w:color="000000"/>
              <w:left w:val="single" w:sz="6" w:space="0" w:color="000000"/>
              <w:bottom w:val="single" w:sz="6" w:space="0" w:color="000000"/>
              <w:right w:val="single" w:sz="6" w:space="0" w:color="000000"/>
            </w:tcBorders>
            <w:hideMark/>
          </w:tcPr>
          <w:p w14:paraId="312DBF97"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întrerupe tratamentul până la remiterea simptomelor şi până la încheierea corticoterapiei (dacă a fost necesară pentru ameliorarea simptomelor inflamaţiei acute). Tratamentul trebuie continuat concomitent cu terapia de substituţie hormonală în condiţiile absenţei simptomelor</w:t>
            </w:r>
          </w:p>
        </w:tc>
      </w:tr>
      <w:tr w:rsidR="00D05E4C" w:rsidRPr="00F941DA" w14:paraId="2C1F68A8" w14:textId="77777777" w:rsidTr="00D05E4C">
        <w:tc>
          <w:tcPr>
            <w:tcW w:w="1993" w:type="dxa"/>
            <w:tcBorders>
              <w:top w:val="nil"/>
              <w:left w:val="single" w:sz="6" w:space="0" w:color="000000"/>
              <w:bottom w:val="nil"/>
              <w:right w:val="single" w:sz="6" w:space="0" w:color="000000"/>
            </w:tcBorders>
            <w:hideMark/>
          </w:tcPr>
          <w:p w14:paraId="1E207255"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5DCEDEEC"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insuficienţă suprarenaliană grad 2</w:t>
            </w:r>
          </w:p>
        </w:tc>
        <w:tc>
          <w:tcPr>
            <w:tcW w:w="4410" w:type="dxa"/>
            <w:vMerge/>
            <w:tcBorders>
              <w:top w:val="single" w:sz="6" w:space="0" w:color="000000"/>
              <w:left w:val="single" w:sz="6" w:space="0" w:color="000000"/>
              <w:bottom w:val="single" w:sz="6" w:space="0" w:color="000000"/>
              <w:right w:val="single" w:sz="6" w:space="0" w:color="000000"/>
            </w:tcBorders>
            <w:vAlign w:val="center"/>
            <w:hideMark/>
          </w:tcPr>
          <w:p w14:paraId="644AFED7"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F941DA" w14:paraId="2FA9148E" w14:textId="77777777" w:rsidTr="00D05E4C">
        <w:tc>
          <w:tcPr>
            <w:tcW w:w="1993" w:type="dxa"/>
            <w:tcBorders>
              <w:top w:val="nil"/>
              <w:left w:val="single" w:sz="6" w:space="0" w:color="000000"/>
              <w:bottom w:val="nil"/>
              <w:right w:val="single" w:sz="6" w:space="0" w:color="000000"/>
            </w:tcBorders>
            <w:hideMark/>
          </w:tcPr>
          <w:p w14:paraId="4BFEB3BF"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05428181"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Diabet zaharat grad 3</w:t>
            </w:r>
          </w:p>
        </w:tc>
        <w:tc>
          <w:tcPr>
            <w:tcW w:w="4410" w:type="dxa"/>
            <w:vMerge/>
            <w:tcBorders>
              <w:top w:val="single" w:sz="6" w:space="0" w:color="000000"/>
              <w:left w:val="single" w:sz="6" w:space="0" w:color="000000"/>
              <w:bottom w:val="single" w:sz="6" w:space="0" w:color="000000"/>
              <w:right w:val="single" w:sz="6" w:space="0" w:color="000000"/>
            </w:tcBorders>
            <w:vAlign w:val="center"/>
            <w:hideMark/>
          </w:tcPr>
          <w:p w14:paraId="636EE08B"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F941DA" w14:paraId="3A037089" w14:textId="77777777" w:rsidTr="00D05E4C">
        <w:tc>
          <w:tcPr>
            <w:tcW w:w="1993" w:type="dxa"/>
            <w:tcBorders>
              <w:top w:val="nil"/>
              <w:left w:val="single" w:sz="6" w:space="0" w:color="000000"/>
              <w:bottom w:val="nil"/>
              <w:right w:val="single" w:sz="6" w:space="0" w:color="000000"/>
            </w:tcBorders>
            <w:hideMark/>
          </w:tcPr>
          <w:p w14:paraId="0486602F"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3224A153"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Hipotiroidism grad 4</w:t>
            </w:r>
          </w:p>
        </w:tc>
        <w:tc>
          <w:tcPr>
            <w:tcW w:w="4410" w:type="dxa"/>
            <w:tcBorders>
              <w:top w:val="single" w:sz="6" w:space="0" w:color="000000"/>
              <w:left w:val="single" w:sz="6" w:space="0" w:color="000000"/>
              <w:bottom w:val="nil"/>
              <w:right w:val="single" w:sz="6" w:space="0" w:color="000000"/>
            </w:tcBorders>
            <w:hideMark/>
          </w:tcPr>
          <w:p w14:paraId="424DB41C"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întrerupe permanent tratamentul</w:t>
            </w:r>
          </w:p>
        </w:tc>
      </w:tr>
      <w:tr w:rsidR="00D05E4C" w:rsidRPr="00F941DA" w14:paraId="5779D9BB" w14:textId="77777777" w:rsidTr="00D05E4C">
        <w:tc>
          <w:tcPr>
            <w:tcW w:w="1993" w:type="dxa"/>
            <w:tcBorders>
              <w:top w:val="nil"/>
              <w:left w:val="single" w:sz="6" w:space="0" w:color="000000"/>
              <w:bottom w:val="nil"/>
              <w:right w:val="single" w:sz="6" w:space="0" w:color="000000"/>
            </w:tcBorders>
            <w:hideMark/>
          </w:tcPr>
          <w:p w14:paraId="310113DC"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11639B78"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Hipertiroidism grad 4</w:t>
            </w:r>
          </w:p>
        </w:tc>
        <w:tc>
          <w:tcPr>
            <w:tcW w:w="4410" w:type="dxa"/>
            <w:tcBorders>
              <w:top w:val="nil"/>
              <w:left w:val="single" w:sz="6" w:space="0" w:color="000000"/>
              <w:bottom w:val="nil"/>
              <w:right w:val="single" w:sz="6" w:space="0" w:color="000000"/>
            </w:tcBorders>
            <w:hideMark/>
          </w:tcPr>
          <w:p w14:paraId="354FF514"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F941DA" w14:paraId="494C06E5" w14:textId="77777777" w:rsidTr="00D05E4C">
        <w:tc>
          <w:tcPr>
            <w:tcW w:w="1993" w:type="dxa"/>
            <w:tcBorders>
              <w:top w:val="nil"/>
              <w:left w:val="single" w:sz="6" w:space="0" w:color="000000"/>
              <w:bottom w:val="nil"/>
              <w:right w:val="single" w:sz="6" w:space="0" w:color="000000"/>
            </w:tcBorders>
            <w:hideMark/>
          </w:tcPr>
          <w:p w14:paraId="78A2B020"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144BA99F"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Hipofizită grad 4</w:t>
            </w:r>
          </w:p>
        </w:tc>
        <w:tc>
          <w:tcPr>
            <w:tcW w:w="4410" w:type="dxa"/>
            <w:tcBorders>
              <w:top w:val="nil"/>
              <w:left w:val="single" w:sz="6" w:space="0" w:color="000000"/>
              <w:bottom w:val="nil"/>
              <w:right w:val="single" w:sz="6" w:space="0" w:color="000000"/>
            </w:tcBorders>
            <w:hideMark/>
          </w:tcPr>
          <w:p w14:paraId="35B7051D"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F941DA" w14:paraId="60463A6A" w14:textId="77777777" w:rsidTr="00D05E4C">
        <w:tc>
          <w:tcPr>
            <w:tcW w:w="1993" w:type="dxa"/>
            <w:tcBorders>
              <w:top w:val="nil"/>
              <w:left w:val="single" w:sz="6" w:space="0" w:color="000000"/>
              <w:bottom w:val="nil"/>
              <w:right w:val="single" w:sz="6" w:space="0" w:color="000000"/>
            </w:tcBorders>
            <w:hideMark/>
          </w:tcPr>
          <w:p w14:paraId="04B16579"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248E841D"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insuficienţă suprarenaliană grad 3 sau 4</w:t>
            </w:r>
          </w:p>
        </w:tc>
        <w:tc>
          <w:tcPr>
            <w:tcW w:w="4410" w:type="dxa"/>
            <w:tcBorders>
              <w:top w:val="nil"/>
              <w:left w:val="single" w:sz="6" w:space="0" w:color="000000"/>
              <w:bottom w:val="nil"/>
              <w:right w:val="single" w:sz="6" w:space="0" w:color="000000"/>
            </w:tcBorders>
            <w:hideMark/>
          </w:tcPr>
          <w:p w14:paraId="0A6F0602"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F941DA" w14:paraId="6F201FE9" w14:textId="77777777" w:rsidTr="00D05E4C">
        <w:tc>
          <w:tcPr>
            <w:tcW w:w="1993" w:type="dxa"/>
            <w:tcBorders>
              <w:top w:val="nil"/>
              <w:left w:val="single" w:sz="6" w:space="0" w:color="000000"/>
              <w:bottom w:val="single" w:sz="6" w:space="0" w:color="000000"/>
              <w:right w:val="single" w:sz="6" w:space="0" w:color="000000"/>
            </w:tcBorders>
            <w:hideMark/>
          </w:tcPr>
          <w:p w14:paraId="013BDD7D"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70ACA3E1"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Diabet zaharat grad 4</w:t>
            </w:r>
          </w:p>
        </w:tc>
        <w:tc>
          <w:tcPr>
            <w:tcW w:w="4410" w:type="dxa"/>
            <w:tcBorders>
              <w:top w:val="nil"/>
              <w:left w:val="single" w:sz="6" w:space="0" w:color="000000"/>
              <w:bottom w:val="single" w:sz="6" w:space="0" w:color="000000"/>
              <w:right w:val="single" w:sz="6" w:space="0" w:color="000000"/>
            </w:tcBorders>
            <w:hideMark/>
          </w:tcPr>
          <w:p w14:paraId="2A17D3AB"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F941DA" w14:paraId="13C66A5F" w14:textId="77777777" w:rsidTr="00D05E4C">
        <w:tc>
          <w:tcPr>
            <w:tcW w:w="1993" w:type="dxa"/>
            <w:vMerge w:val="restart"/>
            <w:tcBorders>
              <w:top w:val="single" w:sz="6" w:space="0" w:color="000000"/>
              <w:left w:val="single" w:sz="6" w:space="0" w:color="000000"/>
              <w:bottom w:val="nil"/>
              <w:right w:val="single" w:sz="6" w:space="0" w:color="000000"/>
            </w:tcBorders>
            <w:hideMark/>
          </w:tcPr>
          <w:p w14:paraId="3E7510DA"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Erupţii cutanate mediate imun</w:t>
            </w:r>
          </w:p>
        </w:tc>
        <w:tc>
          <w:tcPr>
            <w:tcW w:w="3415" w:type="dxa"/>
            <w:tcBorders>
              <w:top w:val="single" w:sz="6" w:space="0" w:color="000000"/>
              <w:left w:val="single" w:sz="6" w:space="0" w:color="000000"/>
              <w:bottom w:val="single" w:sz="6" w:space="0" w:color="000000"/>
              <w:right w:val="single" w:sz="6" w:space="0" w:color="000000"/>
            </w:tcBorders>
            <w:hideMark/>
          </w:tcPr>
          <w:p w14:paraId="2C14418E"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Rash cutanat grad 3</w:t>
            </w:r>
          </w:p>
        </w:tc>
        <w:tc>
          <w:tcPr>
            <w:tcW w:w="4410" w:type="dxa"/>
            <w:vMerge w:val="restart"/>
            <w:tcBorders>
              <w:top w:val="single" w:sz="6" w:space="0" w:color="000000"/>
              <w:left w:val="single" w:sz="6" w:space="0" w:color="000000"/>
              <w:bottom w:val="single" w:sz="6" w:space="0" w:color="000000"/>
              <w:right w:val="single" w:sz="6" w:space="0" w:color="000000"/>
            </w:tcBorders>
            <w:hideMark/>
          </w:tcPr>
          <w:p w14:paraId="2023AD92"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întrerupe tratamentul până la remiterea simptomelor şi până la încheierea corticoterapiei</w:t>
            </w:r>
          </w:p>
        </w:tc>
      </w:tr>
      <w:tr w:rsidR="00D05E4C" w:rsidRPr="00F941DA" w14:paraId="57807DF7" w14:textId="77777777" w:rsidTr="00D05E4C">
        <w:tc>
          <w:tcPr>
            <w:tcW w:w="1993" w:type="dxa"/>
            <w:vMerge/>
            <w:tcBorders>
              <w:top w:val="single" w:sz="6" w:space="0" w:color="000000"/>
              <w:left w:val="single" w:sz="6" w:space="0" w:color="000000"/>
              <w:bottom w:val="nil"/>
              <w:right w:val="single" w:sz="6" w:space="0" w:color="000000"/>
            </w:tcBorders>
            <w:hideMark/>
          </w:tcPr>
          <w:p w14:paraId="3DEB780F"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0D699E1C"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Rash cutanat grad 4</w:t>
            </w:r>
          </w:p>
        </w:tc>
        <w:tc>
          <w:tcPr>
            <w:tcW w:w="4410" w:type="dxa"/>
            <w:vMerge/>
            <w:tcBorders>
              <w:top w:val="single" w:sz="6" w:space="0" w:color="000000"/>
              <w:left w:val="single" w:sz="6" w:space="0" w:color="000000"/>
              <w:bottom w:val="single" w:sz="6" w:space="0" w:color="000000"/>
              <w:right w:val="single" w:sz="6" w:space="0" w:color="000000"/>
            </w:tcBorders>
            <w:vAlign w:val="center"/>
            <w:hideMark/>
          </w:tcPr>
          <w:p w14:paraId="27E356AA"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F941DA" w14:paraId="59E630CD" w14:textId="77777777" w:rsidTr="00D05E4C">
        <w:tc>
          <w:tcPr>
            <w:tcW w:w="1993" w:type="dxa"/>
            <w:tcBorders>
              <w:top w:val="nil"/>
              <w:left w:val="single" w:sz="6" w:space="0" w:color="000000"/>
              <w:bottom w:val="single" w:sz="6" w:space="0" w:color="000000"/>
              <w:right w:val="single" w:sz="6" w:space="0" w:color="000000"/>
            </w:tcBorders>
            <w:hideMark/>
          </w:tcPr>
          <w:p w14:paraId="776D4E22"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375B73A6"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Sindrom Stevens-Johnson (SJS) sau epidermoliză necrotică toxică (TEN)</w:t>
            </w:r>
          </w:p>
        </w:tc>
        <w:tc>
          <w:tcPr>
            <w:tcW w:w="4410" w:type="dxa"/>
            <w:tcBorders>
              <w:top w:val="single" w:sz="6" w:space="0" w:color="000000"/>
              <w:left w:val="single" w:sz="6" w:space="0" w:color="000000"/>
              <w:bottom w:val="single" w:sz="6" w:space="0" w:color="000000"/>
              <w:right w:val="single" w:sz="6" w:space="0" w:color="000000"/>
            </w:tcBorders>
            <w:hideMark/>
          </w:tcPr>
          <w:p w14:paraId="4A70868A"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întrerupe permanent tratamentul</w:t>
            </w:r>
          </w:p>
        </w:tc>
      </w:tr>
      <w:tr w:rsidR="00D05E4C" w:rsidRPr="00F941DA" w14:paraId="6F438185" w14:textId="77777777" w:rsidTr="00D05E4C">
        <w:tc>
          <w:tcPr>
            <w:tcW w:w="1993" w:type="dxa"/>
            <w:tcBorders>
              <w:top w:val="single" w:sz="6" w:space="0" w:color="000000"/>
              <w:left w:val="single" w:sz="6" w:space="0" w:color="000000"/>
              <w:bottom w:val="nil"/>
              <w:right w:val="single" w:sz="6" w:space="0" w:color="000000"/>
            </w:tcBorders>
            <w:hideMark/>
          </w:tcPr>
          <w:p w14:paraId="6EEB0C0D"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Alte reacţii adverse mediate imun</w:t>
            </w:r>
          </w:p>
        </w:tc>
        <w:tc>
          <w:tcPr>
            <w:tcW w:w="3415" w:type="dxa"/>
            <w:tcBorders>
              <w:top w:val="single" w:sz="6" w:space="0" w:color="000000"/>
              <w:left w:val="single" w:sz="6" w:space="0" w:color="000000"/>
              <w:bottom w:val="single" w:sz="6" w:space="0" w:color="000000"/>
              <w:right w:val="single" w:sz="6" w:space="0" w:color="000000"/>
            </w:tcBorders>
            <w:hideMark/>
          </w:tcPr>
          <w:p w14:paraId="4A3A37EC"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Grad 3 (prima apariţie)</w:t>
            </w:r>
          </w:p>
        </w:tc>
        <w:tc>
          <w:tcPr>
            <w:tcW w:w="4410" w:type="dxa"/>
            <w:tcBorders>
              <w:top w:val="single" w:sz="6" w:space="0" w:color="000000"/>
              <w:left w:val="single" w:sz="6" w:space="0" w:color="000000"/>
              <w:bottom w:val="single" w:sz="6" w:space="0" w:color="000000"/>
              <w:right w:val="single" w:sz="6" w:space="0" w:color="000000"/>
            </w:tcBorders>
            <w:hideMark/>
          </w:tcPr>
          <w:p w14:paraId="36803379"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întrerupe tratamentul până la remiterea simptomelor</w:t>
            </w:r>
          </w:p>
        </w:tc>
      </w:tr>
      <w:tr w:rsidR="00D05E4C" w:rsidRPr="00F941DA" w14:paraId="7D2A47DC" w14:textId="77777777" w:rsidTr="00D05E4C">
        <w:tc>
          <w:tcPr>
            <w:tcW w:w="1993" w:type="dxa"/>
            <w:tcBorders>
              <w:top w:val="nil"/>
              <w:left w:val="single" w:sz="6" w:space="0" w:color="000000"/>
              <w:bottom w:val="nil"/>
              <w:right w:val="single" w:sz="6" w:space="0" w:color="000000"/>
            </w:tcBorders>
            <w:hideMark/>
          </w:tcPr>
          <w:p w14:paraId="0BCCBFFC"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48EDD2FB"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Miocardita grad 3</w:t>
            </w:r>
          </w:p>
        </w:tc>
        <w:tc>
          <w:tcPr>
            <w:tcW w:w="4410" w:type="dxa"/>
            <w:tcBorders>
              <w:top w:val="single" w:sz="6" w:space="0" w:color="000000"/>
              <w:left w:val="single" w:sz="6" w:space="0" w:color="000000"/>
              <w:bottom w:val="single" w:sz="6" w:space="0" w:color="000000"/>
              <w:right w:val="single" w:sz="6" w:space="0" w:color="000000"/>
            </w:tcBorders>
            <w:hideMark/>
          </w:tcPr>
          <w:p w14:paraId="66C3B602"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întrerupe permanent tratamentul</w:t>
            </w:r>
          </w:p>
        </w:tc>
      </w:tr>
      <w:tr w:rsidR="00D05E4C" w:rsidRPr="00F941DA" w14:paraId="443E7818" w14:textId="77777777" w:rsidTr="00D05E4C">
        <w:tc>
          <w:tcPr>
            <w:tcW w:w="1993" w:type="dxa"/>
            <w:tcBorders>
              <w:top w:val="nil"/>
              <w:left w:val="single" w:sz="6" w:space="0" w:color="000000"/>
              <w:bottom w:val="single" w:sz="6" w:space="0" w:color="000000"/>
              <w:right w:val="single" w:sz="6" w:space="0" w:color="000000"/>
            </w:tcBorders>
            <w:hideMark/>
          </w:tcPr>
          <w:p w14:paraId="5A13BAA8"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41ECA310"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Grad 4 sau grad 3 recurent; persistenţa grad 2 sau 3 în pofida ajustării tratamentului; imposibilitatea reducerii dozei de corticosteroid la 10 mg de prednison sau echivalent pe zi.</w:t>
            </w:r>
          </w:p>
        </w:tc>
        <w:tc>
          <w:tcPr>
            <w:tcW w:w="4410" w:type="dxa"/>
            <w:tcBorders>
              <w:top w:val="single" w:sz="6" w:space="0" w:color="000000"/>
              <w:left w:val="single" w:sz="6" w:space="0" w:color="000000"/>
              <w:bottom w:val="single" w:sz="6" w:space="0" w:color="000000"/>
              <w:right w:val="single" w:sz="6" w:space="0" w:color="000000"/>
            </w:tcBorders>
            <w:hideMark/>
          </w:tcPr>
          <w:p w14:paraId="2E386319"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întrerupe permanent tratamentul</w:t>
            </w:r>
          </w:p>
        </w:tc>
      </w:tr>
      <w:tr w:rsidR="00D05E4C" w:rsidRPr="00F941DA" w14:paraId="1CD13FF1" w14:textId="77777777" w:rsidTr="00D05E4C">
        <w:tc>
          <w:tcPr>
            <w:tcW w:w="9818" w:type="dxa"/>
            <w:gridSpan w:val="3"/>
            <w:tcBorders>
              <w:top w:val="single" w:sz="6" w:space="0" w:color="000000"/>
              <w:left w:val="nil"/>
              <w:bottom w:val="nil"/>
              <w:right w:val="nil"/>
            </w:tcBorders>
            <w:hideMark/>
          </w:tcPr>
          <w:p w14:paraId="2B920B89"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F941DA" w14:paraId="5B043B07" w14:textId="77777777" w:rsidTr="00D05E4C">
        <w:tc>
          <w:tcPr>
            <w:tcW w:w="9818" w:type="dxa"/>
            <w:gridSpan w:val="3"/>
            <w:tcBorders>
              <w:top w:val="nil"/>
              <w:left w:val="nil"/>
              <w:bottom w:val="nil"/>
              <w:right w:val="nil"/>
            </w:tcBorders>
            <w:hideMark/>
          </w:tcPr>
          <w:p w14:paraId="228ECABB"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lastRenderedPageBreak/>
              <w:t>Notă: Gradele de toxicitate sunt în conformitate cu Criteriile de Terminologie Comună pentru Evenimente Adverse ale Institutului Naţional de Cancer versiunea 4.0 (National Cancer Institute Common Terminology Criteria for Adverse Events Version 4.0, NCI-CTCAE v4).</w:t>
            </w:r>
          </w:p>
        </w:tc>
      </w:tr>
    </w:tbl>
    <w:p w14:paraId="4C59663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1CB4252D" w14:textId="77777777" w:rsidR="00D05E4C" w:rsidRPr="00F941DA" w:rsidRDefault="00D05E4C" w:rsidP="00D11DF1">
      <w:pPr>
        <w:numPr>
          <w:ilvl w:val="0"/>
          <w:numId w:val="22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În funcţie de severitatea reacţiei adverse, nivolumab trebuie întrerupt şi administraţi corticosteroizi; după ameliorare, se poate relua administrarea nivolumab după întreruperea treptată a corticoterapiei.</w:t>
      </w:r>
    </w:p>
    <w:p w14:paraId="46030238" w14:textId="77777777" w:rsidR="00D05E4C" w:rsidRPr="00F941DA" w:rsidRDefault="00D05E4C" w:rsidP="00D11DF1">
      <w:pPr>
        <w:numPr>
          <w:ilvl w:val="0"/>
          <w:numId w:val="22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În cazul în care pentru tratamentul unei reacţii adverse se utilizează corticoterapie cu rol imunosupresor, după ameliorarea reacţiei adverse se va iniţia reducerea dozei acesteia timp de cel puţin o lună; reducerea rapidă a dozei poate duce la agravarea reacţiei adverse.</w:t>
      </w:r>
    </w:p>
    <w:p w14:paraId="7C78F422" w14:textId="77777777" w:rsidR="00D05E4C" w:rsidRPr="00F941DA" w:rsidRDefault="00D05E4C" w:rsidP="00D11DF1">
      <w:pPr>
        <w:numPr>
          <w:ilvl w:val="0"/>
          <w:numId w:val="22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473ABBBB" w14:textId="77777777" w:rsidR="00D05E4C" w:rsidRPr="00F941DA" w:rsidRDefault="00D05E4C" w:rsidP="00D11DF1">
      <w:pPr>
        <w:numPr>
          <w:ilvl w:val="0"/>
          <w:numId w:val="22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Tratamentul cu nivolumab nu trebuie reluat pe durata utilizării imunosupresiei cu corticosteroizi sau cu alte medicamente imunosupresoare.</w:t>
      </w:r>
    </w:p>
    <w:p w14:paraId="3340C6AE" w14:textId="77777777" w:rsidR="00D05E4C" w:rsidRPr="00F941DA" w:rsidRDefault="00D05E4C" w:rsidP="00D11DF1">
      <w:pPr>
        <w:numPr>
          <w:ilvl w:val="0"/>
          <w:numId w:val="22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La pacienţii la care se administrează terapie imunosupresoare se va utiliza profilaxia cu antibiotice în vederea prevenirii infecţiilor oportuniste.</w:t>
      </w:r>
    </w:p>
    <w:p w14:paraId="5712E191" w14:textId="77777777" w:rsidR="00D05E4C" w:rsidRPr="00F941DA" w:rsidRDefault="00D05E4C" w:rsidP="00D11DF1">
      <w:pPr>
        <w:numPr>
          <w:ilvl w:val="0"/>
          <w:numId w:val="22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Tratamentul cu nivolumab trebuie întrerupt permanent în cazul recidivei oricărei reacţii adverse mediate imun severe şi al oricărei reacţii adverse mediate imun care pune viaţa în pericol.</w:t>
      </w:r>
    </w:p>
    <w:p w14:paraId="0A646826" w14:textId="77777777" w:rsidR="00D05E4C" w:rsidRPr="00F941DA" w:rsidRDefault="00D05E4C" w:rsidP="00D05E4C">
      <w:pPr>
        <w:pBdr>
          <w:top w:val="nil"/>
          <w:left w:val="nil"/>
          <w:bottom w:val="nil"/>
          <w:right w:val="nil"/>
          <w:between w:val="nil"/>
          <w:bar w:val="nil"/>
        </w:pBdr>
        <w:spacing w:after="0" w:line="240" w:lineRule="auto"/>
        <w:ind w:left="1395"/>
        <w:jc w:val="both"/>
        <w:rPr>
          <w:rFonts w:ascii="Times New Roman" w:eastAsia="Times New Roman" w:hAnsi="Times New Roman" w:cs="Times New Roman"/>
          <w:sz w:val="24"/>
          <w:szCs w:val="24"/>
          <w:u w:color="000000"/>
          <w:bdr w:val="nil"/>
          <w:lang w:eastAsia="ro-RO"/>
        </w:rPr>
      </w:pPr>
    </w:p>
    <w:p w14:paraId="48FC1F91"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Mod de administrare:</w:t>
      </w:r>
    </w:p>
    <w:p w14:paraId="0B53EC80" w14:textId="77777777" w:rsidR="00D05E4C" w:rsidRPr="00F941DA" w:rsidRDefault="00D05E4C" w:rsidP="00D11DF1">
      <w:pPr>
        <w:numPr>
          <w:ilvl w:val="0"/>
          <w:numId w:val="224"/>
        </w:numPr>
        <w:pBdr>
          <w:top w:val="nil"/>
          <w:left w:val="nil"/>
          <w:bottom w:val="nil"/>
          <w:right w:val="nil"/>
          <w:between w:val="nil"/>
          <w:bar w:val="nil"/>
        </w:pBdr>
        <w:spacing w:after="0" w:line="240" w:lineRule="auto"/>
        <w:ind w:left="567" w:hanging="307"/>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Nivolumab se administrează numai intravenos sub formă de perfuzie pe durata unui interval de 30 de minute.</w:t>
      </w:r>
    </w:p>
    <w:p w14:paraId="2DA4906A" w14:textId="77777777" w:rsidR="00D05E4C" w:rsidRPr="00F941DA" w:rsidRDefault="00D05E4C" w:rsidP="00D11DF1">
      <w:pPr>
        <w:numPr>
          <w:ilvl w:val="0"/>
          <w:numId w:val="224"/>
        </w:numPr>
        <w:pBdr>
          <w:top w:val="nil"/>
          <w:left w:val="nil"/>
          <w:bottom w:val="nil"/>
          <w:right w:val="nil"/>
          <w:between w:val="nil"/>
          <w:bar w:val="nil"/>
        </w:pBdr>
        <w:spacing w:after="0" w:line="240" w:lineRule="auto"/>
        <w:ind w:left="567" w:hanging="307"/>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NU trebuie administrat intravenos rapid sau în bolus.</w:t>
      </w:r>
    </w:p>
    <w:p w14:paraId="1D4508E7" w14:textId="77777777" w:rsidR="00D05E4C" w:rsidRPr="00F941DA" w:rsidRDefault="00D05E4C" w:rsidP="00D11DF1">
      <w:pPr>
        <w:numPr>
          <w:ilvl w:val="0"/>
          <w:numId w:val="224"/>
        </w:numPr>
        <w:pBdr>
          <w:top w:val="nil"/>
          <w:left w:val="nil"/>
          <w:bottom w:val="nil"/>
          <w:right w:val="nil"/>
          <w:between w:val="nil"/>
          <w:bar w:val="nil"/>
        </w:pBdr>
        <w:spacing w:after="0" w:line="240" w:lineRule="auto"/>
        <w:ind w:left="567" w:hanging="307"/>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Perfuzia trebuie administrată printr-un filtru încorporat steril, apirogen, cu legare redusă de proteine şi dimensiune a porilor de 0,2 - 1,2 μm.</w:t>
      </w:r>
    </w:p>
    <w:p w14:paraId="7C7349F3" w14:textId="77777777" w:rsidR="00D05E4C" w:rsidRPr="00F941DA" w:rsidRDefault="00D05E4C" w:rsidP="00D11DF1">
      <w:pPr>
        <w:numPr>
          <w:ilvl w:val="0"/>
          <w:numId w:val="224"/>
        </w:numPr>
        <w:pBdr>
          <w:top w:val="nil"/>
          <w:left w:val="nil"/>
          <w:bottom w:val="nil"/>
          <w:right w:val="nil"/>
          <w:between w:val="nil"/>
          <w:bar w:val="nil"/>
        </w:pBdr>
        <w:spacing w:after="0" w:line="240" w:lineRule="auto"/>
        <w:ind w:left="567" w:hanging="307"/>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Doza totală necesară de nivolumab poate fi perfuzată direct sub forma soluţiei de 10 mg/ml sau poate fi diluată până la o concentraţie minimă de 1 mg/ml prin utilizarea soluţiei de clorură de sodiu 9 mg/ml (0,9%) pentru preparate injectabile sau a soluţiei de glucoză 50 mg/ml (5%) pentru preparate injectabile.</w:t>
      </w:r>
    </w:p>
    <w:p w14:paraId="6DE8ECC8" w14:textId="77777777" w:rsidR="00D05E4C" w:rsidRPr="00F941DA" w:rsidRDefault="00D05E4C" w:rsidP="00D11DF1">
      <w:pPr>
        <w:numPr>
          <w:ilvl w:val="0"/>
          <w:numId w:val="224"/>
        </w:numPr>
        <w:pBdr>
          <w:top w:val="nil"/>
          <w:left w:val="nil"/>
          <w:bottom w:val="nil"/>
          <w:right w:val="nil"/>
          <w:between w:val="nil"/>
          <w:bar w:val="nil"/>
        </w:pBdr>
        <w:spacing w:after="0" w:line="240" w:lineRule="auto"/>
        <w:ind w:left="567" w:hanging="307"/>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Manipularea medicamentului înainte de administrare se va face conform instrucţiunilor din RCP (rezumatul caracteristicilor produsului).</w:t>
      </w:r>
    </w:p>
    <w:p w14:paraId="1BD09817" w14:textId="77777777" w:rsidR="00D05E4C" w:rsidRPr="00F941DA" w:rsidRDefault="00D05E4C" w:rsidP="00D05E4C">
      <w:pPr>
        <w:pBdr>
          <w:top w:val="nil"/>
          <w:left w:val="nil"/>
          <w:bottom w:val="nil"/>
          <w:right w:val="nil"/>
          <w:between w:val="nil"/>
          <w:bar w:val="nil"/>
        </w:pBdr>
        <w:spacing w:after="0" w:line="240" w:lineRule="auto"/>
        <w:ind w:left="1365"/>
        <w:jc w:val="both"/>
        <w:rPr>
          <w:rFonts w:ascii="Times New Roman" w:eastAsia="Times New Roman" w:hAnsi="Times New Roman" w:cs="Times New Roman"/>
          <w:sz w:val="24"/>
          <w:szCs w:val="24"/>
          <w:u w:color="000000"/>
          <w:bdr w:val="nil"/>
          <w:lang w:eastAsia="ro-RO"/>
        </w:rPr>
      </w:pPr>
    </w:p>
    <w:p w14:paraId="2C675F55"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Durata tratamentului:</w:t>
      </w:r>
    </w:p>
    <w:p w14:paraId="14C10378"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Tratamentul trebuie continuat cât timp se observă un beneficiu clinic sau până când nu mai este tolerat de către pacient.</w:t>
      </w:r>
    </w:p>
    <w:p w14:paraId="4BAEBFE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0A05BCD2"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 MONITORIZAREA TRATAMENTULUI:</w:t>
      </w:r>
    </w:p>
    <w:p w14:paraId="19296FFA" w14:textId="77777777" w:rsidR="00D05E4C" w:rsidRPr="00F941DA" w:rsidRDefault="00D05E4C" w:rsidP="00D11DF1">
      <w:pPr>
        <w:numPr>
          <w:ilvl w:val="0"/>
          <w:numId w:val="225"/>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Înaintea începerii tratamentului este necesară o evaluare completă a pacientului:</w:t>
      </w:r>
    </w:p>
    <w:p w14:paraId="65B97953" w14:textId="77777777" w:rsidR="00D05E4C" w:rsidRPr="00F941DA" w:rsidRDefault="00D05E4C" w:rsidP="00D11DF1">
      <w:pPr>
        <w:numPr>
          <w:ilvl w:val="0"/>
          <w:numId w:val="226"/>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Examen clinic</w:t>
      </w:r>
    </w:p>
    <w:p w14:paraId="17704523" w14:textId="77777777" w:rsidR="00D05E4C" w:rsidRPr="00F941DA" w:rsidRDefault="00D05E4C" w:rsidP="00D11DF1">
      <w:pPr>
        <w:numPr>
          <w:ilvl w:val="0"/>
          <w:numId w:val="226"/>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Hemoleucograma</w:t>
      </w:r>
    </w:p>
    <w:p w14:paraId="49191D57" w14:textId="77777777" w:rsidR="00D05E4C" w:rsidRPr="00F941DA" w:rsidRDefault="00D05E4C" w:rsidP="00D11DF1">
      <w:pPr>
        <w:numPr>
          <w:ilvl w:val="0"/>
          <w:numId w:val="226"/>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Examene biochimice: glicemie, probe hepatice (transaminaze, bilirubină), probe renale (uree, creatinină), ionogramă, hormoni tiroidieni</w:t>
      </w:r>
    </w:p>
    <w:p w14:paraId="63877356" w14:textId="77777777" w:rsidR="00D05E4C" w:rsidRPr="00F941DA" w:rsidRDefault="00D05E4C" w:rsidP="00D11DF1">
      <w:pPr>
        <w:numPr>
          <w:ilvl w:val="0"/>
          <w:numId w:val="226"/>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Examene imagistice</w:t>
      </w:r>
    </w:p>
    <w:p w14:paraId="5E609730" w14:textId="77777777" w:rsidR="00D05E4C" w:rsidRPr="00F941DA" w:rsidRDefault="00D05E4C" w:rsidP="00D05E4C">
      <w:pPr>
        <w:pBdr>
          <w:top w:val="nil"/>
          <w:left w:val="nil"/>
          <w:bottom w:val="nil"/>
          <w:right w:val="nil"/>
          <w:between w:val="nil"/>
          <w:bar w:val="nil"/>
        </w:pBdr>
        <w:spacing w:after="0" w:line="240" w:lineRule="auto"/>
        <w:ind w:left="1440"/>
        <w:jc w:val="both"/>
        <w:rPr>
          <w:rFonts w:ascii="Times New Roman" w:eastAsia="Times New Roman" w:hAnsi="Times New Roman" w:cs="Times New Roman"/>
          <w:sz w:val="24"/>
          <w:szCs w:val="24"/>
          <w:u w:color="000000"/>
          <w:bdr w:val="nil"/>
          <w:lang w:eastAsia="ro-RO"/>
        </w:rPr>
      </w:pPr>
    </w:p>
    <w:p w14:paraId="3A94EA53" w14:textId="77777777" w:rsidR="00D05E4C" w:rsidRPr="00F941DA" w:rsidRDefault="00D05E4C" w:rsidP="00D11DF1">
      <w:pPr>
        <w:numPr>
          <w:ilvl w:val="0"/>
          <w:numId w:val="225"/>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În timpul şi după terminarea tratamentului:</w:t>
      </w:r>
    </w:p>
    <w:p w14:paraId="7DEE3C7A" w14:textId="77777777" w:rsidR="00D05E4C" w:rsidRPr="00F941DA" w:rsidRDefault="00D05E4C" w:rsidP="00D11DF1">
      <w:pPr>
        <w:numPr>
          <w:ilvl w:val="0"/>
          <w:numId w:val="227"/>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Tratamentul cu nivolumab este asociat cu reacţii adverse mediate imun. Pacienţii trebuie monitorizaţi continuu (timp de cel puţin 5 luni de la administrarea ultimei doze) deoarece o reacţie adversă la tratamentul cu nivolumab poate apărea în orice moment în timpul sau după întreruperea utilizării acestuia.</w:t>
      </w:r>
    </w:p>
    <w:p w14:paraId="37931BB7" w14:textId="77777777" w:rsidR="00D05E4C" w:rsidRPr="00F941DA" w:rsidRDefault="00D05E4C" w:rsidP="00D11DF1">
      <w:pPr>
        <w:numPr>
          <w:ilvl w:val="0"/>
          <w:numId w:val="227"/>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Pentru a confirma etiologia reacţiilor adverse mediate imun suspectate sau a exclude alte cauze, trebuie efectuată o evaluare adecvată.</w:t>
      </w:r>
    </w:p>
    <w:p w14:paraId="219B1E0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56DB2D75"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 REACŢII ADVERSE:</w:t>
      </w:r>
    </w:p>
    <w:p w14:paraId="316BCF9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 Reacţii adverse mediate imun:</w:t>
      </w:r>
    </w:p>
    <w:p w14:paraId="10070DB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În cazul reacţiilor adverse mediate imun suspectate, se impune evaluarea adecvată în vederea confirmării etiologiei sau a excluderii altor cauze.</w:t>
      </w:r>
    </w:p>
    <w:p w14:paraId="79A64B7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7BA93B10" w14:textId="77777777" w:rsidR="00D05E4C" w:rsidRPr="00F941DA" w:rsidRDefault="00D05E4C" w:rsidP="00D11DF1">
      <w:pPr>
        <w:numPr>
          <w:ilvl w:val="0"/>
          <w:numId w:val="225"/>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Pneumonită mediată imun.</w:t>
      </w:r>
    </w:p>
    <w:p w14:paraId="264BCF52"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S-au observat cazuri severe de pneumonită sau afecţiune pulmonară interstiţială, inclusiv decese în timpul tratamentului cu nivolumab. Pacienţii trebuie monitorizaţi pentru depistarea semnelor şi simptomelor sugestive pentru pneumonită, cum sunt modificările radiologice (de exemplu, opacităţi focale cu aspect de sticlă de geam mat, infiltrate difuze), dispnee şi hipoxie. Trebuie excluse cauzele infecţioase şi cele asociate bolii.</w:t>
      </w:r>
    </w:p>
    <w:p w14:paraId="455D5607"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28BA3132" w14:textId="77777777" w:rsidR="00D05E4C" w:rsidRPr="00F941DA" w:rsidRDefault="00D05E4C" w:rsidP="00D11DF1">
      <w:pPr>
        <w:numPr>
          <w:ilvl w:val="0"/>
          <w:numId w:val="225"/>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Colită mediată imun.</w:t>
      </w:r>
    </w:p>
    <w:p w14:paraId="09FE1F2A"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Pacienţii trebuie monitorizaţi pentru depistarea diareei şi a altor simptome ale colitei, cum sunt durerea abdominală şi prezenţa de mucus sau sânge în materiile fecale. Trebuie excluse cauzele infecţioase şi cele asociate bolii.</w:t>
      </w:r>
    </w:p>
    <w:p w14:paraId="74FE331F"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56FC1430" w14:textId="77777777" w:rsidR="00D05E4C" w:rsidRPr="00F941DA" w:rsidRDefault="00D05E4C" w:rsidP="00D11DF1">
      <w:pPr>
        <w:numPr>
          <w:ilvl w:val="0"/>
          <w:numId w:val="225"/>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Hepatită mediată imun.</w:t>
      </w:r>
    </w:p>
    <w:p w14:paraId="1F9F4CE2"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Pacienţii trebuie monitorizaţi pentru depistarea semnelor şi simptomelor sugestive pentru hepatită, cum sunt creşterea concentraţiilor plasmatice ale transaminazelor şi ale bilirubinei totale. Trebuie excluse cauzele infecţioase şi cele asociate bolii.</w:t>
      </w:r>
    </w:p>
    <w:p w14:paraId="3D552C9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079CFA1F" w14:textId="77777777" w:rsidR="00D05E4C" w:rsidRPr="00F941DA" w:rsidRDefault="00D05E4C" w:rsidP="00D11DF1">
      <w:pPr>
        <w:numPr>
          <w:ilvl w:val="0"/>
          <w:numId w:val="225"/>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Nefrită sau disfuncţie renală mediată imun.</w:t>
      </w:r>
    </w:p>
    <w:p w14:paraId="2C343980"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6A8EACD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7E8A20BA" w14:textId="77777777" w:rsidR="00D05E4C" w:rsidRPr="00F941DA" w:rsidRDefault="00D05E4C" w:rsidP="00D11DF1">
      <w:pPr>
        <w:numPr>
          <w:ilvl w:val="0"/>
          <w:numId w:val="225"/>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Endocrinopatii mediate imun.</w:t>
      </w:r>
    </w:p>
    <w:p w14:paraId="1416713D"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În cazul tratamentului cu nivolumab, s-au observat endocrinopatii severe, inclusiv hipotiroidism, hipertiroidism, insuficienţă suprarenaliană, hipofizită, diabet zaharat şi cetoacidoză diabetică.</w:t>
      </w:r>
    </w:p>
    <w:p w14:paraId="3C02F9C4"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p>
    <w:p w14:paraId="5934AE6A"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Pacienţii trebuie monitorizaţi pentru apariţia semnelor şi simptomelor endocrinopatiilor şi pentru modificări ale funcţiei tiroidiene (la începutul tratamentului, periodic pe parcursul tratamentului şi aşa cum este indicat pe baza evaluării clinice).</w:t>
      </w:r>
    </w:p>
    <w:p w14:paraId="55140D05"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p>
    <w:p w14:paraId="7D4463F6"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Pacienţii pot avea stări de oboseală, cefalee, modificări ale stării mentale, dureri abdominale, modificări ale tranzitului intestinal şi hipotensiune arterială sau simptome nespecifice care pot fi asemănătoare altor cauze, precum metastaze cerebrale sau o afecţiune de fond.</w:t>
      </w:r>
    </w:p>
    <w:p w14:paraId="43BBCAD4"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p>
    <w:p w14:paraId="1661079A"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Semnele şi simptomele endocrinopatiilor trebuie considerate mediate imun, cu excepţia cazului în care a fost identificată o altă etiologie.</w:t>
      </w:r>
    </w:p>
    <w:p w14:paraId="236D5798"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lang w:eastAsia="ro-RO"/>
        </w:rPr>
      </w:pPr>
    </w:p>
    <w:p w14:paraId="34C621FC" w14:textId="77777777" w:rsidR="00D05E4C" w:rsidRPr="00F941DA" w:rsidRDefault="00D05E4C" w:rsidP="00D11DF1">
      <w:pPr>
        <w:numPr>
          <w:ilvl w:val="0"/>
          <w:numId w:val="225"/>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Erupţii cutanate mediate imun.</w:t>
      </w:r>
    </w:p>
    <w:p w14:paraId="30128A21"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Trebuie manifestată precauţie atunci când se ia în considerare utilizarea nivolumab la pacienţii care au avut anterior o reacţie adversă cutanată severă sau care a pus viaţa în pericol în cazul tratamentului anterior cu alte medicamente imunostimulatoare antineoplazice.</w:t>
      </w:r>
    </w:p>
    <w:p w14:paraId="5249D5B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75981954" w14:textId="77777777" w:rsidR="00D05E4C" w:rsidRPr="00F941DA" w:rsidRDefault="00D05E4C" w:rsidP="00D11DF1">
      <w:pPr>
        <w:numPr>
          <w:ilvl w:val="0"/>
          <w:numId w:val="225"/>
        </w:numPr>
        <w:pBdr>
          <w:top w:val="nil"/>
          <w:left w:val="nil"/>
          <w:bottom w:val="nil"/>
          <w:right w:val="nil"/>
          <w:between w:val="nil"/>
          <w:bar w:val="nil"/>
        </w:pBdr>
        <w:spacing w:after="0" w:line="240" w:lineRule="auto"/>
        <w:ind w:left="0" w:firstLine="36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Alte reacţii adverse mediate imun: pancreatită, uveită, demielinizare, neuropatie autoimună (inclusiv pareza nervilor facial şi abducens), sindrom Guillain-Barré, sindrom miastenic, encefalita, gastrita, duodenita, miotoxicitate (miozita, miocardita şi rabdomioliza).</w:t>
      </w:r>
    </w:p>
    <w:p w14:paraId="67109B8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032B9F87"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b. Reacţii legate de administrarea perfuziei.</w:t>
      </w:r>
    </w:p>
    <w:p w14:paraId="3B93BFD5" w14:textId="77777777" w:rsidR="00D05E4C" w:rsidRPr="00F941DA" w:rsidRDefault="00D05E4C" w:rsidP="00D11DF1">
      <w:pPr>
        <w:numPr>
          <w:ilvl w:val="0"/>
          <w:numId w:val="22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În cazul unei reacţii severe legate de administrarea perfuziei, trebuie întreruptă perfuzia cu nivolumab şi administrat tratamentul medical adecvat.</w:t>
      </w:r>
    </w:p>
    <w:p w14:paraId="2E33144A" w14:textId="77777777" w:rsidR="00D05E4C" w:rsidRPr="00F941DA" w:rsidRDefault="00D05E4C" w:rsidP="00D11DF1">
      <w:pPr>
        <w:numPr>
          <w:ilvl w:val="0"/>
          <w:numId w:val="22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lastRenderedPageBreak/>
        <w:t>Pacienţii cu reacţii adverse uşoare sau moderate pot fi trataţi cu nivolumab sub supraveghere atentă şi cu utilizarea de premedicaţie conform ghidurilor locale de profilaxie a reacţiilor legate de perfuzii.</w:t>
      </w:r>
    </w:p>
    <w:p w14:paraId="789E376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68C0EA39"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VII. ATENŢIONĂRI ŞI PRECAUŢII:</w:t>
      </w:r>
    </w:p>
    <w:p w14:paraId="4BE66B57" w14:textId="77777777" w:rsidR="00D05E4C" w:rsidRPr="00F941DA" w:rsidRDefault="00D05E4C" w:rsidP="00D11DF1">
      <w:pPr>
        <w:numPr>
          <w:ilvl w:val="0"/>
          <w:numId w:val="22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S-au observat răspunsuri atipice (ex: o creştere iniţială tranzitorie a dimensiunii tumorii sau apariţia unor mici leziuni noi în timpul primelor câteva luni urmată de reducerea dimensiunii tumorale). Se recomandă continuarea tratamentului cu nivolumab la pacienţii clinic stabili cu aspect de boală progresivă până când progresia bolii este confirmată.</w:t>
      </w:r>
    </w:p>
    <w:p w14:paraId="61B0D241" w14:textId="77777777" w:rsidR="00D05E4C" w:rsidRPr="00F941DA" w:rsidRDefault="00D05E4C" w:rsidP="00D11DF1">
      <w:pPr>
        <w:numPr>
          <w:ilvl w:val="0"/>
          <w:numId w:val="22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Rezultatele preliminare ale urmăririi pacienţilor care au primit transplant alogeneic de celule stem după expunerea anterioară la nivolumab au arătat un număr mai mare decât cel aşteptat de cazuri de mortalitate prin boală de grefă contra gazdă acută (aGVHD) şi mortalitate legată de transplant (TRM). Până la noi rezultate trebuie făcută, de la caz la caz, o evaluare atentă a beneficiilor transplantului de celule stem comparativ cu riscul potenţial crescut de apariţie a complicaţiilor legate de transplant.</w:t>
      </w:r>
    </w:p>
    <w:p w14:paraId="577EE5CC" w14:textId="77777777" w:rsidR="00D05E4C" w:rsidRPr="00F941DA" w:rsidRDefault="00D05E4C" w:rsidP="00D11DF1">
      <w:pPr>
        <w:numPr>
          <w:ilvl w:val="0"/>
          <w:numId w:val="22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Nivolumab nu este recomandat în timpul sarcinii şi la femei aflate la vârsta fertilă care nu utilizează măsuri contraceptive, cu excepţia cazului în care beneficiul clinic depăşeşte riscul potenţial. Trebuie să se utilizeze măsuri contraceptive eficace timp de cel puţin 5 luni de la administrarea ultimei doze de nivolumab.</w:t>
      </w:r>
    </w:p>
    <w:p w14:paraId="3A42A950" w14:textId="77777777" w:rsidR="00D05E4C" w:rsidRPr="00F941DA" w:rsidRDefault="00D05E4C" w:rsidP="00D11DF1">
      <w:pPr>
        <w:numPr>
          <w:ilvl w:val="0"/>
          <w:numId w:val="22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La femeile care alăptează trebuie luată decizia fie de a întrerupe alăptarea, fie de a întrerupe tratamentul cu nivolumab având în vedere beneficiul alăptării pentru copil şi beneficiul tratamentului pentru femeie.</w:t>
      </w:r>
    </w:p>
    <w:p w14:paraId="2A66329D" w14:textId="77777777" w:rsidR="00D05E4C" w:rsidRPr="00F941DA" w:rsidRDefault="00D05E4C" w:rsidP="00D11DF1">
      <w:pPr>
        <w:numPr>
          <w:ilvl w:val="0"/>
          <w:numId w:val="22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Din cauza reacţiilor adverse potenţiale, cum este fatigabilitatea, pacienţilor trebuie să li se recomande precauţie atunci când conduc vehicule sau folosesc utilaje până în momentul în care au certitudinea că tratamentul cu nivolumab nu are un impact negativ asupra lor.</w:t>
      </w:r>
    </w:p>
    <w:p w14:paraId="2DB06EA1" w14:textId="77777777" w:rsidR="00D05E4C" w:rsidRPr="00F941DA" w:rsidRDefault="00D05E4C" w:rsidP="00D11DF1">
      <w:pPr>
        <w:numPr>
          <w:ilvl w:val="0"/>
          <w:numId w:val="22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Pacienţii care urmează o dietă cu restricţie de sodiu. Fiecare mililitru din acest medicament conţine sodiu 0,1 mmol (sau 2,5 mg). Acest lucru trebuie avut în vedere la pacienţii ce urmează o dietă cu restricţie de sodiu.</w:t>
      </w:r>
    </w:p>
    <w:p w14:paraId="6490D5CD" w14:textId="77777777" w:rsidR="00D05E4C" w:rsidRPr="00F941DA" w:rsidRDefault="00D05E4C" w:rsidP="00D11DF1">
      <w:pPr>
        <w:numPr>
          <w:ilvl w:val="0"/>
          <w:numId w:val="22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Trebuie evitată utilizarea corticosteroizilor sistemici şi a altor terapii imunosupresoare la momentul iniţial, înaintea iniţierii tratamentului cu nivolumab, din cauza posibilei interferenţe cu activitatea farmacodinamică. Corticoterapia sistemică şi alte terapii imunosupresoare pot fi utilizate după iniţierea administrării nivolumab în scopul tratării reacţiilor adverse mediate imun.</w:t>
      </w:r>
    </w:p>
    <w:p w14:paraId="236705F9"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w:t>
      </w:r>
    </w:p>
    <w:p w14:paraId="425CD588"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VIII. PRESCRIPTORI:</w:t>
      </w:r>
    </w:p>
    <w:p w14:paraId="7E78A575" w14:textId="77777777" w:rsidR="00D05E4C" w:rsidRPr="00F941DA" w:rsidRDefault="00D05E4C" w:rsidP="00D05E4C">
      <w:p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Medici din specialitatea hematologie şi oncologie medicală.</w:t>
      </w:r>
    </w:p>
    <w:p w14:paraId="75707EA6"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77B79DF6"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w:t>
      </w:r>
    </w:p>
    <w:p w14:paraId="5A33E9B7" w14:textId="77777777" w:rsidR="00D05E4C" w:rsidRPr="00F941DA" w:rsidRDefault="00D05E4C" w:rsidP="00D05E4C">
      <w:pPr>
        <w:spacing w:after="0" w:line="240" w:lineRule="auto"/>
        <w:jc w:val="both"/>
        <w:rPr>
          <w:rFonts w:ascii="Times New Roman" w:eastAsia="Times New Roman" w:hAnsi="Times New Roman" w:cs="Times New Roman"/>
          <w:b/>
          <w:sz w:val="24"/>
          <w:szCs w:val="24"/>
          <w:u w:val="single"/>
          <w:lang w:eastAsia="ro-RO"/>
        </w:rPr>
      </w:pPr>
      <w:r w:rsidRPr="00F941DA">
        <w:rPr>
          <w:rFonts w:ascii="Times New Roman" w:eastAsia="Times New Roman" w:hAnsi="Times New Roman" w:cs="Times New Roman"/>
          <w:b/>
          <w:sz w:val="24"/>
          <w:szCs w:val="24"/>
          <w:u w:val="single"/>
          <w:lang w:eastAsia="ro-RO"/>
        </w:rPr>
        <w:t>5. CARCINOAME SCUAMOASE DIN SFERA ORL AVANSATE</w:t>
      </w:r>
    </w:p>
    <w:p w14:paraId="1499FB5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724C9EC8"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w:t>
      </w:r>
    </w:p>
    <w:p w14:paraId="00745EDD"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 Indicaţii (face obiectul unui contract cost volum)</w:t>
      </w:r>
    </w:p>
    <w:p w14:paraId="0B67EFAC"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Nivolumab în monoterapie este indicat pentru tratamentul cancerului scuamos de cap şi gât recurent sau metastazat, la adulţi la care boala progresează în timpul sau după terapie pe bază de săruri de platină.</w:t>
      </w:r>
    </w:p>
    <w:p w14:paraId="2D62537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30296B4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Exclusiv în scopul identificării şi raportării pacienţilor efectiv trataţi pe această indicaţie, indiferent de localizarea carcinomului scuamos (cavitate bucală, faringe, laringe, se codifică la prescriere prin codul 94 sau 109 (conform clasificării internaţionale a maladiilor revizia a 10-a, varianta 999 coduri de boală).</w:t>
      </w:r>
    </w:p>
    <w:p w14:paraId="4005D0A9"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3A22AC43"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II. Criterii de includere</w:t>
      </w:r>
    </w:p>
    <w:p w14:paraId="5F3765CC" w14:textId="77777777" w:rsidR="00D05E4C" w:rsidRPr="00F941DA" w:rsidRDefault="00D05E4C" w:rsidP="00D11DF1">
      <w:pPr>
        <w:numPr>
          <w:ilvl w:val="0"/>
          <w:numId w:val="23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Pacienţi cu vârsta mai mare de 18 ani</w:t>
      </w:r>
    </w:p>
    <w:p w14:paraId="6B492CAE" w14:textId="77777777" w:rsidR="00D05E4C" w:rsidRPr="00F941DA" w:rsidRDefault="00D05E4C" w:rsidP="00D11DF1">
      <w:pPr>
        <w:numPr>
          <w:ilvl w:val="0"/>
          <w:numId w:val="23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lastRenderedPageBreak/>
        <w:t>Diagnostic de carcinom scuamos din sfera ORL (cap şi gât), recurent/metastazat, confirmat histologic</w:t>
      </w:r>
    </w:p>
    <w:p w14:paraId="71440CCA" w14:textId="77777777" w:rsidR="00D05E4C" w:rsidRPr="00F941DA" w:rsidRDefault="00D05E4C" w:rsidP="00D11DF1">
      <w:pPr>
        <w:numPr>
          <w:ilvl w:val="0"/>
          <w:numId w:val="23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Progresia bolii, în timpul sau după tratament anterior cu regimurile standard de chimioterapie pe bază de săruri de platină</w:t>
      </w:r>
    </w:p>
    <w:p w14:paraId="5AAB8BB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021B6F02"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III. Criterii de excludere</w:t>
      </w:r>
    </w:p>
    <w:p w14:paraId="717E4171" w14:textId="77777777" w:rsidR="00D05E4C" w:rsidRPr="00F941DA" w:rsidRDefault="00D05E4C" w:rsidP="00D11DF1">
      <w:pPr>
        <w:numPr>
          <w:ilvl w:val="0"/>
          <w:numId w:val="231"/>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Hipersensibilitate la substanţă activă sau la oricare dintre excipienţi</w:t>
      </w:r>
    </w:p>
    <w:p w14:paraId="13A18238" w14:textId="77777777" w:rsidR="00D05E4C" w:rsidRPr="00F941DA" w:rsidRDefault="00D05E4C" w:rsidP="00D11DF1">
      <w:pPr>
        <w:numPr>
          <w:ilvl w:val="0"/>
          <w:numId w:val="231"/>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Pacienta însărcinată sau care alăptează</w:t>
      </w:r>
    </w:p>
    <w:p w14:paraId="360D539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384DB3DC"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Contraindicații relative (nivolumab poate fi utilizat, de la caz la caz, după o analiză atentă a raportului beneficii/riscuri, conform precizărilor de mai jos)*):</w:t>
      </w:r>
    </w:p>
    <w:p w14:paraId="17F9C223" w14:textId="77777777" w:rsidR="00D05E4C" w:rsidRPr="00F941DA" w:rsidRDefault="00D05E4C" w:rsidP="00D11DF1">
      <w:pPr>
        <w:numPr>
          <w:ilvl w:val="0"/>
          <w:numId w:val="23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Determinări secundare cerebrale de boală nou diagnosticate, fără tratament specific anterior (radioterapie sau neurochirurgie), instabile neurologic</w:t>
      </w:r>
    </w:p>
    <w:p w14:paraId="63996991" w14:textId="77777777" w:rsidR="00D05E4C" w:rsidRPr="00F941DA" w:rsidRDefault="00D05E4C" w:rsidP="00D11DF1">
      <w:pPr>
        <w:numPr>
          <w:ilvl w:val="0"/>
          <w:numId w:val="23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 xml:space="preserve">Pacientii cu carcinom nazofaringian – pot beneficia de nivolumab după eșecul chimioterapiei de linia 1 (pentru boală avansată), daca medicul curant apreciază că beneficiile depășesc riscurile asociate cu o condiție care nu a fost evaluată în studiile clinice de înregistrare (au fost excluși la înrolarea în trial clinic pacientii cu carcinom nazofaringian) </w:t>
      </w:r>
    </w:p>
    <w:p w14:paraId="0F73CA01" w14:textId="77777777" w:rsidR="00D05E4C" w:rsidRPr="00F941DA" w:rsidRDefault="00D05E4C" w:rsidP="00D11DF1">
      <w:pPr>
        <w:numPr>
          <w:ilvl w:val="0"/>
          <w:numId w:val="23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contraindicație pentru nivolumab*)</w:t>
      </w:r>
    </w:p>
    <w:p w14:paraId="6819322C" w14:textId="77777777" w:rsidR="00D05E4C" w:rsidRPr="00F941DA" w:rsidRDefault="00D05E4C" w:rsidP="00D11DF1">
      <w:pPr>
        <w:numPr>
          <w:ilvl w:val="0"/>
          <w:numId w:val="23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Pacientul urmează tratament imunosupresiv pentru o altă afecțiune concomitentă (inclusiv corticoterapie în doza zilnică mai mare decât echivalentul a 10 mg de prednison)*)</w:t>
      </w:r>
    </w:p>
    <w:p w14:paraId="29A6A976" w14:textId="77777777" w:rsidR="00D05E4C" w:rsidRPr="00F941DA" w:rsidRDefault="00D05E4C" w:rsidP="00D11DF1">
      <w:pPr>
        <w:numPr>
          <w:ilvl w:val="0"/>
          <w:numId w:val="23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Boala interstiţială pulmonară simptomatică*)</w:t>
      </w:r>
    </w:p>
    <w:p w14:paraId="79BFE7C9" w14:textId="77777777" w:rsidR="00D05E4C" w:rsidRPr="00F941DA" w:rsidRDefault="00D05E4C" w:rsidP="00D11DF1">
      <w:pPr>
        <w:numPr>
          <w:ilvl w:val="0"/>
          <w:numId w:val="23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Insuficienţa hepatică severă*)</w:t>
      </w:r>
    </w:p>
    <w:p w14:paraId="522BF4A4" w14:textId="77777777" w:rsidR="00D05E4C" w:rsidRPr="00F941DA" w:rsidRDefault="00D05E4C" w:rsidP="00D11DF1">
      <w:pPr>
        <w:numPr>
          <w:ilvl w:val="0"/>
          <w:numId w:val="23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p>
    <w:p w14:paraId="7B5523B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_____________</w:t>
      </w:r>
    </w:p>
    <w:p w14:paraId="0C4767FE" w14:textId="77777777" w:rsidR="00D05E4C" w:rsidRPr="00F941DA" w:rsidRDefault="00D05E4C" w:rsidP="00D05E4C">
      <w:pPr>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Nota: pentru pacienții cu determinări secundare cerebrale nou diagnosticate, netratate sau instabile neurologic, carcinom nazofaringian avansat cu progresie la chimioterapia efectuată ca linia 1 pentru boală metastazată sau recurentă după tratament definitiv multimodal, boala inflamatorie pulmonară pre-existentă, afecţiuni autoimune pre-existente în curs de tratament imunosupresiv sistemic, tratamente imunosupresive în curs pentru alte afecţiuni, necesar de corticoterapie în doza mai mare de 10 mg de prednison pe zi sau echivalent, hepatita cronică cu virus B sau C tratată, controlată, cu viremie redusă semnificativ sau absenţa după tratamentul specific, insuficienţă hepatică severă, nu există date din trialurile clinice de înregistrare, nefiind înrolaţi în aceste studii clinice pivot. La aceşti pacienţi nivolumab poate fi utilizat cu precauţie, chiar şi în absenţa datelor pentru aceste grupe de pacienţi, după o analiză atentă a raportului risc potenţial-beneficiu, efectuată individual, pentru fiecare caz în parte.</w:t>
      </w:r>
    </w:p>
    <w:p w14:paraId="2A6D265C"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38655BE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2383ADDF"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IV. Tratament</w:t>
      </w:r>
    </w:p>
    <w:p w14:paraId="0DB20EA5"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Evaluare pre-terapeutică</w:t>
      </w:r>
    </w:p>
    <w:p w14:paraId="02E88020" w14:textId="77777777" w:rsidR="00D05E4C" w:rsidRPr="00F941DA" w:rsidRDefault="00D05E4C" w:rsidP="00D11DF1">
      <w:pPr>
        <w:numPr>
          <w:ilvl w:val="0"/>
          <w:numId w:val="23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Evaluare clinică şi imagistică pentru certificarea stadiilor avansat/metastazat - este obligatorie evaluarea imagistică (+/- consult specialitate ORL/chirurgie BMF) înainte de iniţierea imunoterapiei, evaluare care trebuie să dovedească/să susţină progresia bolii în timpul sau în urma liniei 1 de tratament cu chimioterapie pe bază de săruri de platină. Se recomandă ca evaluarea imagistică să fie efectuată cu cel mult 6 săptămâni anterior iniţierii imunoterapiei. Sunt permise excepţii justificate.</w:t>
      </w:r>
    </w:p>
    <w:p w14:paraId="2C87F73C" w14:textId="77777777" w:rsidR="00D05E4C" w:rsidRPr="00F941DA" w:rsidRDefault="00D05E4C" w:rsidP="00D11DF1">
      <w:pPr>
        <w:numPr>
          <w:ilvl w:val="0"/>
          <w:numId w:val="23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Confirmarea histologică a diagnosticului</w:t>
      </w:r>
    </w:p>
    <w:p w14:paraId="772487B2" w14:textId="77777777" w:rsidR="00D05E4C" w:rsidRPr="00F941DA" w:rsidRDefault="00D05E4C" w:rsidP="00D11DF1">
      <w:pPr>
        <w:numPr>
          <w:ilvl w:val="0"/>
          <w:numId w:val="23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Evaluare biologică. Analizele minimale care trebuie efectuate înaintea iniţierii imunoterapiei sunt: hemoleucograma, glicemia, VSH, examen sumar de urină, creatinina, GOT, GPT, bilirubina totală, amilaza şi/sau lipaza, funcţia tiroidiană (TSH, T3, T4), fibrinogen, calcemie serică, ionograma serică (Na, K), precum şi alţi parametri în funcţie de decizia medicului curant</w:t>
      </w:r>
    </w:p>
    <w:p w14:paraId="4F76B2C5"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17B51A3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Doze, mod de administrare, diluţie, valabilitate</w:t>
      </w:r>
    </w:p>
    <w:p w14:paraId="19BA8F7D" w14:textId="77777777" w:rsidR="00D05E4C" w:rsidRPr="00F941DA" w:rsidRDefault="00D05E4C" w:rsidP="00D11DF1">
      <w:pPr>
        <w:numPr>
          <w:ilvl w:val="0"/>
          <w:numId w:val="23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Doza recomandată de nivolumab este de 240 mg la fiecare 2 săptămâni pe durata a 30 minute administrat intravenos.</w:t>
      </w:r>
    </w:p>
    <w:p w14:paraId="251F5F0A" w14:textId="77777777" w:rsidR="00D05E4C" w:rsidRPr="00F941DA" w:rsidRDefault="00D05E4C" w:rsidP="00D11DF1">
      <w:pPr>
        <w:numPr>
          <w:ilvl w:val="0"/>
          <w:numId w:val="23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lastRenderedPageBreak/>
        <w:t>Tratamentul cu nivolumab trebuie continuat atât timp cât se observă beneficii clinice sau până când nu mai este tolerat de pacient.</w:t>
      </w:r>
    </w:p>
    <w:p w14:paraId="3F8DD80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3FA6474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Grupe speciale de pacienţi</w:t>
      </w:r>
    </w:p>
    <w:p w14:paraId="69089554" w14:textId="77777777" w:rsidR="00D05E4C" w:rsidRPr="00F941DA" w:rsidRDefault="00D05E4C" w:rsidP="00D11DF1">
      <w:pPr>
        <w:numPr>
          <w:ilvl w:val="1"/>
          <w:numId w:val="235"/>
        </w:numPr>
        <w:spacing w:after="0" w:line="240" w:lineRule="auto"/>
        <w:ind w:left="709" w:hanging="425"/>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Copii şi adolescenţi - siguranţa şi eficacitatea nivolumab la copii cu vârsta sub 18 ani nu au fost încă stabilite. Nu sunt disponibile date astfel încât nu este recomandată utilizarea la copii.</w:t>
      </w:r>
    </w:p>
    <w:p w14:paraId="09559601" w14:textId="77777777" w:rsidR="00D05E4C" w:rsidRPr="00F941DA" w:rsidRDefault="00D05E4C" w:rsidP="00D11DF1">
      <w:pPr>
        <w:numPr>
          <w:ilvl w:val="1"/>
          <w:numId w:val="235"/>
        </w:numPr>
        <w:spacing w:after="0" w:line="240" w:lineRule="auto"/>
        <w:ind w:left="709" w:hanging="425"/>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 vârstnici - nu este necesară ajustarea dozelor la pacienţii vârstnici (≥ 65 de ani).</w:t>
      </w:r>
    </w:p>
    <w:p w14:paraId="336859B7" w14:textId="77777777" w:rsidR="00D05E4C" w:rsidRPr="00F941DA" w:rsidRDefault="00D05E4C" w:rsidP="00D11DF1">
      <w:pPr>
        <w:numPr>
          <w:ilvl w:val="1"/>
          <w:numId w:val="235"/>
        </w:numPr>
        <w:spacing w:after="0" w:line="240" w:lineRule="auto"/>
        <w:ind w:left="709" w:hanging="425"/>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4546818B" w14:textId="77777777" w:rsidR="00D05E4C" w:rsidRPr="00F941DA" w:rsidRDefault="00D05E4C" w:rsidP="00D11DF1">
      <w:pPr>
        <w:numPr>
          <w:ilvl w:val="1"/>
          <w:numId w:val="235"/>
        </w:numPr>
        <w:spacing w:after="0" w:line="240" w:lineRule="auto"/>
        <w:ind w:left="709" w:hanging="425"/>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uşoară.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3CE496F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287FBFDF"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Modificarea dozei. Principii de tratament al efectelor secundare</w:t>
      </w:r>
    </w:p>
    <w:p w14:paraId="47F08E73" w14:textId="77777777" w:rsidR="00D05E4C" w:rsidRPr="00F941DA" w:rsidRDefault="00D05E4C" w:rsidP="00D11DF1">
      <w:pPr>
        <w:numPr>
          <w:ilvl w:val="0"/>
          <w:numId w:val="23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7295B3B5" w14:textId="77777777" w:rsidR="00D05E4C" w:rsidRPr="00F941DA" w:rsidRDefault="00D05E4C" w:rsidP="00D11DF1">
      <w:pPr>
        <w:numPr>
          <w:ilvl w:val="0"/>
          <w:numId w:val="236"/>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741C101A" w14:textId="77777777" w:rsidR="00D05E4C" w:rsidRPr="00F941DA" w:rsidRDefault="00D05E4C" w:rsidP="00D11DF1">
      <w:pPr>
        <w:numPr>
          <w:ilvl w:val="0"/>
          <w:numId w:val="23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73A29E44" w14:textId="77777777" w:rsidR="00D05E4C" w:rsidRPr="00F941DA" w:rsidRDefault="00D05E4C" w:rsidP="00D11DF1">
      <w:pPr>
        <w:numPr>
          <w:ilvl w:val="0"/>
          <w:numId w:val="23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409E9B67" w14:textId="77777777" w:rsidR="00D05E4C" w:rsidRPr="00F941DA" w:rsidRDefault="00D05E4C" w:rsidP="00D11DF1">
      <w:pPr>
        <w:numPr>
          <w:ilvl w:val="0"/>
          <w:numId w:val="23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1FBC8C45" w14:textId="77777777" w:rsidR="00D05E4C" w:rsidRPr="00F941DA" w:rsidRDefault="00D05E4C" w:rsidP="00D11DF1">
      <w:pPr>
        <w:numPr>
          <w:ilvl w:val="0"/>
          <w:numId w:val="23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1F5E0258"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748CA42F"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 Monitorizarea tratamentului</w:t>
      </w:r>
    </w:p>
    <w:p w14:paraId="5283A472" w14:textId="77777777" w:rsidR="00D05E4C" w:rsidRPr="00F941DA" w:rsidRDefault="00D05E4C" w:rsidP="00D11DF1">
      <w:pPr>
        <w:numPr>
          <w:ilvl w:val="0"/>
          <w:numId w:val="237"/>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Evaluarea evoluţiei bolii - examenul CT/RMN trebuie efectuat regulat pe durata tratamentului, pentru monitorizarea răspunsului la tratament, la interval de 8 - 12 săptămâni. Medicul curant apreciază necesitatea efectuării şi a altor investigaţii imagistice: scintigrafie, PET-CT, etc.</w:t>
      </w:r>
    </w:p>
    <w:p w14:paraId="1F488F8B" w14:textId="77777777" w:rsidR="00D05E4C" w:rsidRPr="00F941DA" w:rsidRDefault="00D05E4C" w:rsidP="00D11DF1">
      <w:pPr>
        <w:numPr>
          <w:ilvl w:val="0"/>
          <w:numId w:val="237"/>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Consultul de specialitate ORL/chirurgie BMF este necesar, alături de evaluarea imagistică, pentru aprecierea răspunsului la tratament.</w:t>
      </w:r>
    </w:p>
    <w:p w14:paraId="3DB79113" w14:textId="77777777" w:rsidR="00D05E4C" w:rsidRPr="00F941DA" w:rsidRDefault="00D05E4C" w:rsidP="00D11DF1">
      <w:pPr>
        <w:numPr>
          <w:ilvl w:val="0"/>
          <w:numId w:val="237"/>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46456DFA" w14:textId="77777777" w:rsidR="00D05E4C" w:rsidRPr="00F941DA" w:rsidRDefault="00D05E4C" w:rsidP="00D11DF1">
      <w:pPr>
        <w:numPr>
          <w:ilvl w:val="0"/>
          <w:numId w:val="237"/>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7098F51F"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37009648"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b/>
          <w:sz w:val="24"/>
          <w:szCs w:val="24"/>
          <w:lang w:eastAsia="ro-RO"/>
        </w:rPr>
        <w:t>VI. Efecte secundare. Reacţii adverse mediate imun</w:t>
      </w:r>
    </w:p>
    <w:p w14:paraId="2C9210E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7A9FA2C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59353204"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Pneumonită mediată imun </w:t>
      </w:r>
    </w:p>
    <w:p w14:paraId="68CCAF6C"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0F72B8A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3F21854D"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Colită mediată imun </w:t>
      </w:r>
    </w:p>
    <w:p w14:paraId="0403B72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1D957D3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0AF1E6CD"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Hepatită mediată imun </w:t>
      </w:r>
    </w:p>
    <w:p w14:paraId="7D2FF9F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3494B0F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475533D1"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Nefrită sau disfuncţie renală mediată imun </w:t>
      </w:r>
    </w:p>
    <w:p w14:paraId="2AB1B517"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7E7CF6D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1B176F61"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Endocrinopatii mediate imun </w:t>
      </w:r>
    </w:p>
    <w:p w14:paraId="6D188FB6"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624E3127"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6CC07EB4"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Reacţii adverse cutanate mediate imun </w:t>
      </w:r>
    </w:p>
    <w:p w14:paraId="2FC9C1E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6A211807"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12A3C593"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Alte reacţii adverse mediate imun </w:t>
      </w:r>
    </w:p>
    <w:p w14:paraId="2FDF43A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233296A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66C9BD8F"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Reacţii legate de administrarea perfuziei </w:t>
      </w:r>
    </w:p>
    <w:p w14:paraId="647A08B0"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38AC3DC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42CBB099"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VII. Criterii de întrerupere a tratamentului</w:t>
      </w:r>
    </w:p>
    <w:p w14:paraId="1B42B03B" w14:textId="77777777" w:rsidR="00D05E4C" w:rsidRPr="00F941DA" w:rsidRDefault="00D05E4C" w:rsidP="00D11DF1">
      <w:pPr>
        <w:numPr>
          <w:ilvl w:val="0"/>
          <w:numId w:val="23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Progresia obiectivă a bolii în absenţa beneficiului clinic.</w:t>
      </w:r>
    </w:p>
    <w:p w14:paraId="686F8852" w14:textId="77777777" w:rsidR="00D05E4C" w:rsidRPr="00F941DA" w:rsidRDefault="00D05E4C" w:rsidP="00D11DF1">
      <w:pPr>
        <w:numPr>
          <w:ilvl w:val="0"/>
          <w:numId w:val="23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19CD972B" w14:textId="77777777" w:rsidR="00D05E4C" w:rsidRPr="00F941DA" w:rsidRDefault="00D05E4C" w:rsidP="00D11DF1">
      <w:pPr>
        <w:numPr>
          <w:ilvl w:val="0"/>
          <w:numId w:val="23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Decizia medicului sau a pacientului</w:t>
      </w:r>
    </w:p>
    <w:p w14:paraId="7F2D1D3E"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w:t>
      </w:r>
    </w:p>
    <w:p w14:paraId="00C7BE7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09E1FD0D"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p>
    <w:p w14:paraId="3DB582D6"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VIII. Prescriptori</w:t>
      </w:r>
    </w:p>
    <w:p w14:paraId="77692A09"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187E9F25" w14:textId="77777777" w:rsidR="00D05E4C" w:rsidRPr="00F941DA" w:rsidRDefault="00D05E4C" w:rsidP="00D05E4C">
      <w:pPr>
        <w:pBdr>
          <w:top w:val="nil"/>
          <w:left w:val="nil"/>
          <w:bottom w:val="nil"/>
          <w:right w:val="nil"/>
          <w:between w:val="nil"/>
          <w:bar w:val="nil"/>
        </w:pBdr>
        <w:spacing w:after="0" w:line="240" w:lineRule="auto"/>
        <w:ind w:left="720"/>
        <w:jc w:val="both"/>
        <w:rPr>
          <w:rFonts w:ascii="Arial" w:eastAsia="Arial" w:hAnsi="Arial" w:cs="Arial"/>
          <w:b/>
          <w:bCs/>
          <w:sz w:val="24"/>
          <w:szCs w:val="24"/>
          <w:u w:color="000000"/>
          <w:bdr w:val="nil"/>
          <w:lang w:val="en-GB" w:eastAsia="ro-RO"/>
        </w:rPr>
      </w:pPr>
    </w:p>
    <w:p w14:paraId="01C63886" w14:textId="77777777" w:rsidR="00D05E4C" w:rsidRPr="00F941DA" w:rsidRDefault="00D05E4C" w:rsidP="00D05E4C">
      <w:pPr>
        <w:autoSpaceDE w:val="0"/>
        <w:autoSpaceDN w:val="0"/>
        <w:adjustRightInd w:val="0"/>
        <w:spacing w:after="0" w:line="240" w:lineRule="auto"/>
        <w:jc w:val="both"/>
        <w:rPr>
          <w:rFonts w:ascii="Times New Roman" w:eastAsia="Times New Roman" w:hAnsi="Times New Roman" w:cs="Times New Roman"/>
          <w:iCs/>
          <w:sz w:val="24"/>
          <w:szCs w:val="24"/>
          <w:lang w:val="x-none" w:eastAsia="ro-RO"/>
        </w:rPr>
      </w:pPr>
    </w:p>
    <w:p w14:paraId="2C7326E7" w14:textId="77777777" w:rsidR="00D05E4C" w:rsidRPr="00F941DA" w:rsidRDefault="00D05E4C" w:rsidP="00D05E4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p>
    <w:p w14:paraId="58A82491" w14:textId="77777777" w:rsidR="00D05E4C" w:rsidRPr="00F941DA" w:rsidRDefault="00D05E4C" w:rsidP="00D05E4C">
      <w:pPr>
        <w:spacing w:after="0" w:line="240" w:lineRule="auto"/>
        <w:jc w:val="both"/>
        <w:rPr>
          <w:rFonts w:ascii="Times New Roman" w:eastAsia="Times New Roman" w:hAnsi="Times New Roman" w:cs="Times New Roman"/>
          <w:b/>
          <w:sz w:val="24"/>
          <w:szCs w:val="24"/>
          <w:u w:val="single"/>
          <w:lang w:eastAsia="ro-RO"/>
        </w:rPr>
      </w:pPr>
      <w:r w:rsidRPr="00F941DA">
        <w:rPr>
          <w:rFonts w:ascii="Times New Roman" w:eastAsia="Times New Roman" w:hAnsi="Times New Roman" w:cs="Times New Roman"/>
          <w:b/>
          <w:sz w:val="24"/>
          <w:szCs w:val="24"/>
          <w:u w:val="single"/>
          <w:lang w:eastAsia="ro-RO"/>
        </w:rPr>
        <w:t>6. CANCER ESOFAGIAN SAU DE JONCȚIUNE ESO-GASTRICĂ – tratament adjuvant pentru boala reziduala patologica după tratament neoadjuvant cu chimioradioterapie și intervenție chirurgicală</w:t>
      </w:r>
    </w:p>
    <w:p w14:paraId="458FA57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32CAC6EE"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w:t>
      </w:r>
    </w:p>
    <w:p w14:paraId="283E5B00"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 Indicaţii</w:t>
      </w:r>
    </w:p>
    <w:p w14:paraId="7B35CDD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Nivolumab în monoterapie este indicat pentru tratamentul adjuvant al cancerului esofagian sau de joncțiune eso-gastrică, la pacienții adulți care prezintă boală patologică reziduală după tratament neoadjuvant anterior cu chimioradioterapie.</w:t>
      </w:r>
    </w:p>
    <w:p w14:paraId="5A278055"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3873303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Exclusiv în scopul identificării şi raportării pacienților efectiv tratați pentru această indicație, se codifică la prescriere prin codul 95 (conform clasificării internaționale a maladiilor revizia a 10-a, varianta 999 coduri de boală).</w:t>
      </w:r>
    </w:p>
    <w:p w14:paraId="360CB68C"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20C3DE2C"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xml:space="preserve">II. Criterii de includere </w:t>
      </w:r>
    </w:p>
    <w:p w14:paraId="152EF223" w14:textId="77777777" w:rsidR="00D05E4C" w:rsidRPr="00F941DA" w:rsidRDefault="00D05E4C" w:rsidP="00D11DF1">
      <w:pPr>
        <w:numPr>
          <w:ilvl w:val="0"/>
          <w:numId w:val="230"/>
        </w:numPr>
        <w:spacing w:after="0" w:line="240" w:lineRule="auto"/>
        <w:ind w:left="709" w:hanging="425"/>
        <w:contextualSpacing/>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u w:color="000000"/>
          <w:bdr w:val="nil"/>
          <w:lang w:eastAsia="ro-RO"/>
        </w:rPr>
        <w:t xml:space="preserve">Pacienţi cu vârsta </w:t>
      </w:r>
      <w:r w:rsidRPr="00F941DA">
        <w:rPr>
          <w:rFonts w:ascii="Times New Roman" w:eastAsia="Times New Roman" w:hAnsi="Times New Roman" w:cs="Times New Roman"/>
          <w:sz w:val="24"/>
          <w:szCs w:val="24"/>
          <w:lang w:eastAsia="ro-RO"/>
        </w:rPr>
        <w:t>cel puțin 18 ani,</w:t>
      </w:r>
    </w:p>
    <w:p w14:paraId="450BEC60" w14:textId="77777777" w:rsidR="00D05E4C" w:rsidRPr="00F941DA" w:rsidRDefault="00D05E4C" w:rsidP="00D11DF1">
      <w:pPr>
        <w:numPr>
          <w:ilvl w:val="0"/>
          <w:numId w:val="230"/>
        </w:numPr>
        <w:spacing w:after="0" w:line="240" w:lineRule="auto"/>
        <w:ind w:left="709" w:hanging="425"/>
        <w:contextualSpacing/>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Diagnostic confirmat histologic de adenocarcinom sau carcinom cu celule scuamoase al joncțiunii eso-gastrice sau esofagian</w:t>
      </w:r>
    </w:p>
    <w:p w14:paraId="7577F989" w14:textId="77777777" w:rsidR="00D05E4C" w:rsidRPr="00F941DA" w:rsidRDefault="00D05E4C" w:rsidP="00D11DF1">
      <w:pPr>
        <w:numPr>
          <w:ilvl w:val="0"/>
          <w:numId w:val="230"/>
        </w:numPr>
        <w:spacing w:after="0" w:line="240" w:lineRule="auto"/>
        <w:ind w:left="709" w:hanging="425"/>
        <w:contextualSpacing/>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Stadiul TNM - II sau III pentru care au primit chimio-radioterapie neoadjuvantă, urmată de intervenție chirurgicală radicală (rezecție completă).</w:t>
      </w:r>
    </w:p>
    <w:p w14:paraId="16ACF4BC" w14:textId="77777777" w:rsidR="00D05E4C" w:rsidRPr="00F941DA" w:rsidRDefault="00D05E4C" w:rsidP="00D11DF1">
      <w:pPr>
        <w:pStyle w:val="ListParagraph"/>
        <w:numPr>
          <w:ilvl w:val="0"/>
          <w:numId w:val="230"/>
        </w:numPr>
        <w:ind w:left="709" w:hanging="425"/>
        <w:contextualSpacing/>
        <w:rPr>
          <w:color w:val="auto"/>
        </w:rPr>
      </w:pPr>
      <w:r w:rsidRPr="00F941DA">
        <w:rPr>
          <w:b/>
          <w:bCs/>
          <w:color w:val="auto"/>
        </w:rPr>
        <w:t>Stadiul II definit prin</w:t>
      </w:r>
      <w:r w:rsidRPr="00F941DA">
        <w:rPr>
          <w:color w:val="auto"/>
        </w:rPr>
        <w:t xml:space="preserve">: </w:t>
      </w:r>
    </w:p>
    <w:p w14:paraId="04357C6F" w14:textId="7877C9A9" w:rsidR="00D05E4C" w:rsidRPr="00F941DA" w:rsidRDefault="00D05E4C" w:rsidP="00D11DF1">
      <w:pPr>
        <w:pStyle w:val="ListParagraph"/>
        <w:numPr>
          <w:ilvl w:val="0"/>
          <w:numId w:val="242"/>
        </w:numPr>
        <w:ind w:hanging="295"/>
        <w:contextualSpacing/>
        <w:rPr>
          <w:color w:val="auto"/>
        </w:rPr>
      </w:pPr>
      <w:r w:rsidRPr="00F941DA">
        <w:rPr>
          <w:color w:val="auto"/>
        </w:rPr>
        <w:t xml:space="preserve">IIA - T1N2M0, T2N1M0 sau T3N0M0; </w:t>
      </w:r>
    </w:p>
    <w:p w14:paraId="12F36147" w14:textId="77777777" w:rsidR="00D05E4C" w:rsidRPr="00F941DA" w:rsidRDefault="00D05E4C" w:rsidP="00D11DF1">
      <w:pPr>
        <w:pStyle w:val="ListParagraph"/>
        <w:numPr>
          <w:ilvl w:val="0"/>
          <w:numId w:val="242"/>
        </w:numPr>
        <w:ind w:hanging="295"/>
        <w:contextualSpacing/>
        <w:rPr>
          <w:color w:val="auto"/>
        </w:rPr>
      </w:pPr>
      <w:r w:rsidRPr="00F941DA">
        <w:rPr>
          <w:color w:val="auto"/>
        </w:rPr>
        <w:t xml:space="preserve">IIB - T1N3aM0, T2N2M0, T3N1M0 sau T4aN0M0. </w:t>
      </w:r>
    </w:p>
    <w:p w14:paraId="1DE7A80D" w14:textId="77777777" w:rsidR="00D05E4C" w:rsidRPr="00F941DA" w:rsidRDefault="00D05E4C" w:rsidP="00D11DF1">
      <w:pPr>
        <w:pStyle w:val="ListParagraph"/>
        <w:numPr>
          <w:ilvl w:val="0"/>
          <w:numId w:val="242"/>
        </w:numPr>
        <w:ind w:hanging="295"/>
        <w:contextualSpacing/>
        <w:rPr>
          <w:color w:val="auto"/>
        </w:rPr>
      </w:pPr>
      <w:r w:rsidRPr="00F941DA">
        <w:rPr>
          <w:b/>
          <w:bCs/>
          <w:color w:val="auto"/>
        </w:rPr>
        <w:t>Stadiu III definit prin</w:t>
      </w:r>
      <w:r w:rsidRPr="00F941DA">
        <w:rPr>
          <w:color w:val="auto"/>
        </w:rPr>
        <w:t xml:space="preserve">: </w:t>
      </w:r>
    </w:p>
    <w:p w14:paraId="5B26CA98" w14:textId="6A8AC239" w:rsidR="00D05E4C" w:rsidRPr="00F941DA" w:rsidRDefault="00D05E4C" w:rsidP="00D11DF1">
      <w:pPr>
        <w:pStyle w:val="ListParagraph"/>
        <w:numPr>
          <w:ilvl w:val="0"/>
          <w:numId w:val="242"/>
        </w:numPr>
        <w:ind w:hanging="295"/>
        <w:contextualSpacing/>
        <w:rPr>
          <w:color w:val="auto"/>
        </w:rPr>
      </w:pPr>
      <w:r w:rsidRPr="00F941DA">
        <w:rPr>
          <w:color w:val="auto"/>
        </w:rPr>
        <w:t>IIIA - T2N3aM0, T3N2M0, T4aN1M0, T4aN2M0 sau T4bN0M0</w:t>
      </w:r>
    </w:p>
    <w:p w14:paraId="7A371B2E" w14:textId="77777777" w:rsidR="00D05E4C" w:rsidRPr="00F941DA" w:rsidRDefault="00D05E4C" w:rsidP="00D11DF1">
      <w:pPr>
        <w:pStyle w:val="ListParagraph"/>
        <w:numPr>
          <w:ilvl w:val="0"/>
          <w:numId w:val="242"/>
        </w:numPr>
        <w:ind w:hanging="295"/>
        <w:contextualSpacing/>
        <w:rPr>
          <w:color w:val="auto"/>
        </w:rPr>
      </w:pPr>
      <w:r w:rsidRPr="00F941DA">
        <w:rPr>
          <w:color w:val="auto"/>
        </w:rPr>
        <w:t>IIIB - T1N3bM0, T2N3bM0, T3N3aM0, T4aN3aM0, T4bN1M0 sau T4bN2M0</w:t>
      </w:r>
    </w:p>
    <w:p w14:paraId="2F1ABE7B" w14:textId="77777777" w:rsidR="00D05E4C" w:rsidRPr="00F941DA" w:rsidRDefault="00D05E4C" w:rsidP="00D11DF1">
      <w:pPr>
        <w:pStyle w:val="ListParagraph"/>
        <w:numPr>
          <w:ilvl w:val="0"/>
          <w:numId w:val="242"/>
        </w:numPr>
        <w:ind w:hanging="295"/>
        <w:contextualSpacing/>
        <w:rPr>
          <w:color w:val="auto"/>
        </w:rPr>
      </w:pPr>
      <w:r w:rsidRPr="00F941DA">
        <w:rPr>
          <w:color w:val="auto"/>
        </w:rPr>
        <w:t>IIIC - T3N3bM0, T4aN3bM0, T4bN3aM0 sau T4bN3bM0</w:t>
      </w:r>
    </w:p>
    <w:p w14:paraId="300A3772" w14:textId="77777777" w:rsidR="00D05E4C" w:rsidRPr="00F941DA" w:rsidRDefault="00D05E4C" w:rsidP="00D11DF1">
      <w:pPr>
        <w:pStyle w:val="ListParagraph"/>
        <w:numPr>
          <w:ilvl w:val="0"/>
          <w:numId w:val="230"/>
        </w:numPr>
        <w:ind w:left="709" w:hanging="425"/>
        <w:contextualSpacing/>
        <w:rPr>
          <w:color w:val="auto"/>
        </w:rPr>
      </w:pPr>
      <w:r w:rsidRPr="00F941DA">
        <w:rPr>
          <w:b/>
          <w:bCs/>
          <w:color w:val="auto"/>
        </w:rPr>
        <w:t>Categoriile T si N fiind definite astfel</w:t>
      </w:r>
      <w:r w:rsidRPr="00F941DA">
        <w:rPr>
          <w:color w:val="auto"/>
        </w:rPr>
        <w:t xml:space="preserve">: </w:t>
      </w:r>
    </w:p>
    <w:p w14:paraId="12FDE430" w14:textId="77777777" w:rsidR="00D05E4C" w:rsidRPr="00F941DA" w:rsidRDefault="00D05E4C" w:rsidP="00D11DF1">
      <w:pPr>
        <w:pStyle w:val="ListParagraph"/>
        <w:numPr>
          <w:ilvl w:val="0"/>
          <w:numId w:val="243"/>
        </w:numPr>
        <w:ind w:left="993" w:hanging="284"/>
        <w:contextualSpacing/>
        <w:rPr>
          <w:color w:val="auto"/>
        </w:rPr>
      </w:pPr>
      <w:r w:rsidRPr="00F941DA">
        <w:rPr>
          <w:color w:val="auto"/>
        </w:rPr>
        <w:t xml:space="preserve">T1 tumora limitată la mucoasa și submucoasa stomacului. </w:t>
      </w:r>
    </w:p>
    <w:p w14:paraId="3127BBC3" w14:textId="77777777" w:rsidR="00D05E4C" w:rsidRPr="00F941DA" w:rsidRDefault="00D05E4C" w:rsidP="00D11DF1">
      <w:pPr>
        <w:pStyle w:val="ListParagraph"/>
        <w:numPr>
          <w:ilvl w:val="0"/>
          <w:numId w:val="244"/>
        </w:numPr>
        <w:ind w:left="1276" w:hanging="283"/>
        <w:contextualSpacing/>
        <w:rPr>
          <w:color w:val="auto"/>
        </w:rPr>
      </w:pPr>
      <w:r w:rsidRPr="00F941DA">
        <w:rPr>
          <w:color w:val="auto"/>
        </w:rPr>
        <w:t>T1a tumora limitată la mucoasa gastrică</w:t>
      </w:r>
    </w:p>
    <w:p w14:paraId="5C5AF5C4" w14:textId="77777777" w:rsidR="00D05E4C" w:rsidRPr="00F941DA" w:rsidRDefault="00D05E4C" w:rsidP="00D11DF1">
      <w:pPr>
        <w:pStyle w:val="ListParagraph"/>
        <w:numPr>
          <w:ilvl w:val="0"/>
          <w:numId w:val="244"/>
        </w:numPr>
        <w:ind w:left="1276" w:hanging="283"/>
        <w:contextualSpacing/>
        <w:rPr>
          <w:color w:val="auto"/>
        </w:rPr>
      </w:pPr>
      <w:r w:rsidRPr="00F941DA">
        <w:rPr>
          <w:color w:val="auto"/>
        </w:rPr>
        <w:t>T1b tumora invadează submucoasa</w:t>
      </w:r>
    </w:p>
    <w:p w14:paraId="28933673" w14:textId="77777777" w:rsidR="00D05E4C" w:rsidRPr="00F941DA" w:rsidRDefault="00D05E4C" w:rsidP="00D11DF1">
      <w:pPr>
        <w:pStyle w:val="ListParagraph"/>
        <w:numPr>
          <w:ilvl w:val="0"/>
          <w:numId w:val="245"/>
        </w:numPr>
        <w:ind w:left="993" w:hanging="284"/>
        <w:contextualSpacing/>
        <w:rPr>
          <w:color w:val="auto"/>
        </w:rPr>
      </w:pPr>
      <w:r w:rsidRPr="00F941DA">
        <w:rPr>
          <w:color w:val="auto"/>
        </w:rPr>
        <w:t>T2 tumora invadează stratul muscular al stomacului</w:t>
      </w:r>
    </w:p>
    <w:p w14:paraId="329C8FE0" w14:textId="77777777" w:rsidR="00D05E4C" w:rsidRPr="00F941DA" w:rsidRDefault="00D05E4C" w:rsidP="00D11DF1">
      <w:pPr>
        <w:pStyle w:val="ListParagraph"/>
        <w:numPr>
          <w:ilvl w:val="0"/>
          <w:numId w:val="245"/>
        </w:numPr>
        <w:ind w:left="993" w:hanging="284"/>
        <w:contextualSpacing/>
        <w:rPr>
          <w:color w:val="auto"/>
        </w:rPr>
      </w:pPr>
      <w:r w:rsidRPr="00F941DA">
        <w:rPr>
          <w:color w:val="auto"/>
        </w:rPr>
        <w:t>T3 tumora invadează seroasa stomacului</w:t>
      </w:r>
    </w:p>
    <w:p w14:paraId="3B4863C2" w14:textId="77777777" w:rsidR="00D05E4C" w:rsidRPr="00F941DA" w:rsidRDefault="00D05E4C" w:rsidP="00D11DF1">
      <w:pPr>
        <w:pStyle w:val="ListParagraph"/>
        <w:numPr>
          <w:ilvl w:val="0"/>
          <w:numId w:val="245"/>
        </w:numPr>
        <w:ind w:left="993" w:hanging="284"/>
        <w:contextualSpacing/>
        <w:rPr>
          <w:color w:val="auto"/>
        </w:rPr>
      </w:pPr>
      <w:r w:rsidRPr="00F941DA">
        <w:rPr>
          <w:color w:val="auto"/>
        </w:rPr>
        <w:t>T4 tumora a depășit seroasa stomacului și este împărțită în T4a și T4b:</w:t>
      </w:r>
    </w:p>
    <w:p w14:paraId="6327EC15" w14:textId="77777777" w:rsidR="00D05E4C" w:rsidRPr="00F941DA" w:rsidRDefault="00D05E4C" w:rsidP="00D11DF1">
      <w:pPr>
        <w:pStyle w:val="ListParagraph"/>
        <w:numPr>
          <w:ilvl w:val="0"/>
          <w:numId w:val="246"/>
        </w:numPr>
        <w:ind w:left="1276" w:hanging="283"/>
        <w:contextualSpacing/>
        <w:rPr>
          <w:color w:val="auto"/>
        </w:rPr>
      </w:pPr>
      <w:r w:rsidRPr="00F941DA">
        <w:rPr>
          <w:color w:val="auto"/>
        </w:rPr>
        <w:t>T4a tumora a depășit seroasa stomacului</w:t>
      </w:r>
    </w:p>
    <w:p w14:paraId="0D98BCF8" w14:textId="77777777" w:rsidR="00D05E4C" w:rsidRPr="00F941DA" w:rsidRDefault="00D05E4C" w:rsidP="00D11DF1">
      <w:pPr>
        <w:pStyle w:val="ListParagraph"/>
        <w:numPr>
          <w:ilvl w:val="0"/>
          <w:numId w:val="246"/>
        </w:numPr>
        <w:ind w:left="1276" w:hanging="283"/>
        <w:contextualSpacing/>
        <w:rPr>
          <w:color w:val="auto"/>
        </w:rPr>
      </w:pPr>
      <w:r w:rsidRPr="00F941DA">
        <w:rPr>
          <w:color w:val="auto"/>
        </w:rPr>
        <w:t>T4b tumora a invadat alte organe sau structuri ale organismului situate în apropierea stomacului, cum ar fi ficatul, pancreasul, esofagul sau peretele abdominal.</w:t>
      </w:r>
    </w:p>
    <w:p w14:paraId="379639AE" w14:textId="77777777" w:rsidR="00D05E4C" w:rsidRPr="00F941DA" w:rsidRDefault="00D05E4C" w:rsidP="00D11DF1">
      <w:pPr>
        <w:pStyle w:val="ListParagraph"/>
        <w:numPr>
          <w:ilvl w:val="0"/>
          <w:numId w:val="247"/>
        </w:numPr>
        <w:ind w:left="993" w:hanging="284"/>
        <w:contextualSpacing/>
        <w:rPr>
          <w:color w:val="auto"/>
        </w:rPr>
      </w:pPr>
      <w:r w:rsidRPr="00F941DA">
        <w:rPr>
          <w:color w:val="auto"/>
        </w:rPr>
        <w:t>N0 nu există ganglioni limfatici invadați.</w:t>
      </w:r>
    </w:p>
    <w:p w14:paraId="192F9BE9" w14:textId="77777777" w:rsidR="00D05E4C" w:rsidRPr="00F941DA" w:rsidRDefault="00D05E4C" w:rsidP="00D11DF1">
      <w:pPr>
        <w:pStyle w:val="ListParagraph"/>
        <w:numPr>
          <w:ilvl w:val="0"/>
          <w:numId w:val="247"/>
        </w:numPr>
        <w:ind w:left="993" w:hanging="284"/>
        <w:contextualSpacing/>
        <w:rPr>
          <w:color w:val="auto"/>
        </w:rPr>
      </w:pPr>
      <w:r w:rsidRPr="00F941DA">
        <w:rPr>
          <w:color w:val="auto"/>
        </w:rPr>
        <w:t>N1 – 1-2 ganglioni limfatici regionali invadați.</w:t>
      </w:r>
    </w:p>
    <w:p w14:paraId="527CE900" w14:textId="77777777" w:rsidR="00D05E4C" w:rsidRPr="00F941DA" w:rsidRDefault="00D05E4C" w:rsidP="00D11DF1">
      <w:pPr>
        <w:pStyle w:val="ListParagraph"/>
        <w:numPr>
          <w:ilvl w:val="0"/>
          <w:numId w:val="247"/>
        </w:numPr>
        <w:ind w:left="993" w:hanging="284"/>
        <w:contextualSpacing/>
        <w:rPr>
          <w:color w:val="auto"/>
        </w:rPr>
      </w:pPr>
      <w:r w:rsidRPr="00F941DA">
        <w:rPr>
          <w:color w:val="auto"/>
        </w:rPr>
        <w:t>N2 – 3-6 ganglioni limfatici regionali invadați.</w:t>
      </w:r>
    </w:p>
    <w:p w14:paraId="1D03770D" w14:textId="77777777" w:rsidR="00D05E4C" w:rsidRPr="00F941DA" w:rsidRDefault="00D05E4C" w:rsidP="00D11DF1">
      <w:pPr>
        <w:pStyle w:val="ListParagraph"/>
        <w:numPr>
          <w:ilvl w:val="0"/>
          <w:numId w:val="247"/>
        </w:numPr>
        <w:ind w:left="993" w:hanging="284"/>
        <w:contextualSpacing/>
        <w:rPr>
          <w:color w:val="auto"/>
        </w:rPr>
      </w:pPr>
      <w:r w:rsidRPr="00F941DA">
        <w:rPr>
          <w:color w:val="auto"/>
        </w:rPr>
        <w:t>N3 este împărțit în N3a și N3b:</w:t>
      </w:r>
    </w:p>
    <w:p w14:paraId="28FADD3B" w14:textId="77777777" w:rsidR="00D05E4C" w:rsidRPr="00F941DA" w:rsidRDefault="00D05E4C" w:rsidP="00D11DF1">
      <w:pPr>
        <w:pStyle w:val="ListParagraph"/>
        <w:numPr>
          <w:ilvl w:val="0"/>
          <w:numId w:val="248"/>
        </w:numPr>
        <w:ind w:left="1843" w:hanging="425"/>
        <w:contextualSpacing/>
        <w:rPr>
          <w:color w:val="auto"/>
        </w:rPr>
      </w:pPr>
      <w:r w:rsidRPr="00F941DA">
        <w:rPr>
          <w:color w:val="auto"/>
        </w:rPr>
        <w:t>N3a – 7-15 ganglioni limfatici regionali invadați.</w:t>
      </w:r>
    </w:p>
    <w:p w14:paraId="3B05DA0E" w14:textId="77777777" w:rsidR="00D05E4C" w:rsidRPr="00F941DA" w:rsidRDefault="00D05E4C" w:rsidP="00D11DF1">
      <w:pPr>
        <w:pStyle w:val="ListParagraph"/>
        <w:numPr>
          <w:ilvl w:val="0"/>
          <w:numId w:val="248"/>
        </w:numPr>
        <w:ind w:left="1843" w:hanging="425"/>
        <w:contextualSpacing/>
        <w:rPr>
          <w:color w:val="auto"/>
        </w:rPr>
      </w:pPr>
      <w:r w:rsidRPr="00F941DA">
        <w:rPr>
          <w:color w:val="auto"/>
        </w:rPr>
        <w:t>N3b - minim 16 ganglioni limfatici regionali invadați.</w:t>
      </w:r>
    </w:p>
    <w:p w14:paraId="6A8B18B6" w14:textId="77777777" w:rsidR="00D05E4C" w:rsidRPr="00F941DA" w:rsidRDefault="00D05E4C" w:rsidP="00D11DF1">
      <w:pPr>
        <w:pStyle w:val="ListParagraph"/>
        <w:numPr>
          <w:ilvl w:val="0"/>
          <w:numId w:val="230"/>
        </w:numPr>
        <w:contextualSpacing/>
        <w:rPr>
          <w:color w:val="auto"/>
        </w:rPr>
      </w:pPr>
      <w:r w:rsidRPr="00F941DA">
        <w:rPr>
          <w:b/>
          <w:bCs/>
          <w:color w:val="auto"/>
        </w:rPr>
        <w:lastRenderedPageBreak/>
        <w:t xml:space="preserve">Ganglioni regionali pentru stomac </w:t>
      </w:r>
      <w:r w:rsidRPr="00F941DA">
        <w:rPr>
          <w:color w:val="auto"/>
        </w:rPr>
        <w:t>sunt considerate următoarele stații ganglionare:</w:t>
      </w:r>
    </w:p>
    <w:p w14:paraId="753FDED9" w14:textId="77777777" w:rsidR="00D05E4C" w:rsidRPr="00F941DA" w:rsidRDefault="00D05E4C" w:rsidP="00D11DF1">
      <w:pPr>
        <w:pStyle w:val="ListParagraph"/>
        <w:numPr>
          <w:ilvl w:val="0"/>
          <w:numId w:val="249"/>
        </w:numPr>
        <w:ind w:left="1418" w:hanging="284"/>
        <w:contextualSpacing/>
        <w:rPr>
          <w:i/>
          <w:iCs/>
          <w:color w:val="auto"/>
        </w:rPr>
      </w:pPr>
      <w:r w:rsidRPr="00F941DA">
        <w:rPr>
          <w:b/>
          <w:bCs/>
          <w:i/>
          <w:iCs/>
          <w:color w:val="auto"/>
        </w:rPr>
        <w:t>Inferior (dreapta) gastrici</w:t>
      </w:r>
      <w:r w:rsidRPr="00F941DA">
        <w:rPr>
          <w:i/>
          <w:iCs/>
          <w:color w:val="auto"/>
        </w:rPr>
        <w:t xml:space="preserve">, </w:t>
      </w:r>
    </w:p>
    <w:p w14:paraId="2E5517C7" w14:textId="77777777" w:rsidR="00D05E4C" w:rsidRPr="00F941DA" w:rsidRDefault="00D05E4C" w:rsidP="00D11DF1">
      <w:pPr>
        <w:pStyle w:val="ListParagraph"/>
        <w:numPr>
          <w:ilvl w:val="0"/>
          <w:numId w:val="251"/>
        </w:numPr>
        <w:contextualSpacing/>
        <w:rPr>
          <w:color w:val="auto"/>
        </w:rPr>
      </w:pPr>
      <w:r w:rsidRPr="00F941DA">
        <w:rPr>
          <w:color w:val="auto"/>
        </w:rPr>
        <w:t>Marea curbură,  Omentul mare, Gastro-duodenali, Gastro-colici, Gastro-epiploici (dreapta sau NOS), Gastro-hepatici, Piloric (inclusiv subpiloric și infrapiloric), Pancreatico-duodenali</w:t>
      </w:r>
    </w:p>
    <w:p w14:paraId="117E0B55" w14:textId="77777777" w:rsidR="00D05E4C" w:rsidRPr="00F941DA" w:rsidRDefault="00D05E4C" w:rsidP="00D11DF1">
      <w:pPr>
        <w:pStyle w:val="ListParagraph"/>
        <w:numPr>
          <w:ilvl w:val="0"/>
          <w:numId w:val="249"/>
        </w:numPr>
        <w:ind w:left="1418" w:hanging="284"/>
        <w:contextualSpacing/>
        <w:rPr>
          <w:b/>
          <w:bCs/>
          <w:i/>
          <w:iCs/>
          <w:color w:val="auto"/>
        </w:rPr>
      </w:pPr>
      <w:r w:rsidRPr="00F941DA">
        <w:rPr>
          <w:b/>
          <w:bCs/>
          <w:i/>
          <w:iCs/>
          <w:color w:val="auto"/>
        </w:rPr>
        <w:t>Splenici</w:t>
      </w:r>
    </w:p>
    <w:p w14:paraId="2B856DC8" w14:textId="77777777" w:rsidR="00D05E4C" w:rsidRPr="00F941DA" w:rsidRDefault="00D05E4C" w:rsidP="00D11DF1">
      <w:pPr>
        <w:pStyle w:val="ListParagraph"/>
        <w:numPr>
          <w:ilvl w:val="0"/>
          <w:numId w:val="251"/>
        </w:numPr>
        <w:contextualSpacing/>
        <w:rPr>
          <w:color w:val="auto"/>
        </w:rPr>
      </w:pPr>
      <w:r w:rsidRPr="00F941DA">
        <w:rPr>
          <w:color w:val="auto"/>
        </w:rPr>
        <w:t>Gastro-epiploici (stânga), Pancreaticolienali, Peripancreatici, Hilar splenici</w:t>
      </w:r>
    </w:p>
    <w:p w14:paraId="38D16A72" w14:textId="77777777" w:rsidR="00D05E4C" w:rsidRPr="00F941DA" w:rsidRDefault="00D05E4C" w:rsidP="00D11DF1">
      <w:pPr>
        <w:pStyle w:val="ListParagraph"/>
        <w:numPr>
          <w:ilvl w:val="0"/>
          <w:numId w:val="249"/>
        </w:numPr>
        <w:ind w:left="1418" w:hanging="284"/>
        <w:contextualSpacing/>
        <w:rPr>
          <w:b/>
          <w:bCs/>
          <w:i/>
          <w:iCs/>
          <w:color w:val="auto"/>
        </w:rPr>
      </w:pPr>
      <w:r w:rsidRPr="00F941DA">
        <w:rPr>
          <w:b/>
          <w:bCs/>
          <w:i/>
          <w:iCs/>
          <w:color w:val="auto"/>
        </w:rPr>
        <w:t>Superior (stânga) gastric</w:t>
      </w:r>
    </w:p>
    <w:p w14:paraId="54ED7A9E" w14:textId="77777777" w:rsidR="00D05E4C" w:rsidRPr="00F941DA" w:rsidRDefault="00D05E4C" w:rsidP="00D11DF1">
      <w:pPr>
        <w:pStyle w:val="ListParagraph"/>
        <w:numPr>
          <w:ilvl w:val="0"/>
          <w:numId w:val="252"/>
        </w:numPr>
        <w:contextualSpacing/>
        <w:rPr>
          <w:color w:val="auto"/>
        </w:rPr>
      </w:pPr>
      <w:r w:rsidRPr="00F941DA">
        <w:rPr>
          <w:color w:val="auto"/>
        </w:rPr>
        <w:t>Curbura mică, Omentul mic, Gastro-pancreatici (stânga), Gastrici (stânga), Paracardiaci, Cardia, Cardio-esofagieni</w:t>
      </w:r>
    </w:p>
    <w:p w14:paraId="3585EC1F" w14:textId="77777777" w:rsidR="00D05E4C" w:rsidRPr="00F941DA" w:rsidRDefault="00D05E4C" w:rsidP="00D11DF1">
      <w:pPr>
        <w:pStyle w:val="ListParagraph"/>
        <w:numPr>
          <w:ilvl w:val="0"/>
          <w:numId w:val="250"/>
        </w:numPr>
        <w:ind w:left="1418" w:hanging="284"/>
        <w:contextualSpacing/>
        <w:rPr>
          <w:b/>
          <w:bCs/>
          <w:i/>
          <w:iCs/>
          <w:color w:val="auto"/>
        </w:rPr>
      </w:pPr>
      <w:r w:rsidRPr="00F941DA">
        <w:rPr>
          <w:b/>
          <w:bCs/>
          <w:i/>
          <w:iCs/>
          <w:color w:val="auto"/>
        </w:rPr>
        <w:t>Perigastric, NOS</w:t>
      </w:r>
    </w:p>
    <w:p w14:paraId="6DC02A3D" w14:textId="77777777" w:rsidR="00D05E4C" w:rsidRPr="00F941DA" w:rsidRDefault="00D05E4C" w:rsidP="00D11DF1">
      <w:pPr>
        <w:pStyle w:val="ListParagraph"/>
        <w:numPr>
          <w:ilvl w:val="0"/>
          <w:numId w:val="250"/>
        </w:numPr>
        <w:ind w:left="1418" w:hanging="284"/>
        <w:contextualSpacing/>
        <w:rPr>
          <w:b/>
          <w:bCs/>
          <w:i/>
          <w:iCs/>
          <w:color w:val="auto"/>
        </w:rPr>
      </w:pPr>
      <w:r w:rsidRPr="00F941DA">
        <w:rPr>
          <w:b/>
          <w:bCs/>
          <w:i/>
          <w:iCs/>
          <w:color w:val="auto"/>
        </w:rPr>
        <w:t>Celiaci</w:t>
      </w:r>
    </w:p>
    <w:p w14:paraId="00216338" w14:textId="77777777" w:rsidR="00D05E4C" w:rsidRPr="00F941DA" w:rsidRDefault="00D05E4C" w:rsidP="00D11DF1">
      <w:pPr>
        <w:pStyle w:val="ListParagraph"/>
        <w:numPr>
          <w:ilvl w:val="0"/>
          <w:numId w:val="250"/>
        </w:numPr>
        <w:ind w:left="1418" w:hanging="284"/>
        <w:contextualSpacing/>
        <w:rPr>
          <w:b/>
          <w:bCs/>
          <w:i/>
          <w:iCs/>
          <w:color w:val="auto"/>
        </w:rPr>
      </w:pPr>
      <w:r w:rsidRPr="00F941DA">
        <w:rPr>
          <w:b/>
          <w:bCs/>
          <w:i/>
          <w:iCs/>
          <w:color w:val="auto"/>
        </w:rPr>
        <w:t>Hepatici</w:t>
      </w:r>
    </w:p>
    <w:p w14:paraId="1BE814F7" w14:textId="77777777" w:rsidR="00D05E4C" w:rsidRPr="00F941DA" w:rsidRDefault="00D05E4C" w:rsidP="00D11DF1">
      <w:pPr>
        <w:pStyle w:val="ListParagraph"/>
        <w:numPr>
          <w:ilvl w:val="0"/>
          <w:numId w:val="230"/>
        </w:numPr>
        <w:contextualSpacing/>
        <w:rPr>
          <w:color w:val="auto"/>
        </w:rPr>
      </w:pPr>
      <w:r w:rsidRPr="00F941DA">
        <w:rPr>
          <w:b/>
          <w:bCs/>
          <w:color w:val="auto"/>
        </w:rPr>
        <w:t xml:space="preserve">Ganglioni regionali pentru esofagul inferior </w:t>
      </w:r>
      <w:r w:rsidRPr="00F941DA">
        <w:rPr>
          <w:color w:val="auto"/>
        </w:rPr>
        <w:t>sunt considerate următoarele stații ganglionare:</w:t>
      </w:r>
    </w:p>
    <w:p w14:paraId="3179155C" w14:textId="77777777" w:rsidR="00D05E4C" w:rsidRPr="00F941DA" w:rsidRDefault="00D05E4C" w:rsidP="00D05E4C">
      <w:pPr>
        <w:spacing w:after="0" w:line="240" w:lineRule="auto"/>
        <w:ind w:left="1080"/>
        <w:contextualSpacing/>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Gastrici stângi, Cardiali, Perigastrici, Mediastinali posteriori, Curbura mică</w:t>
      </w:r>
    </w:p>
    <w:p w14:paraId="0D35332E" w14:textId="77777777" w:rsidR="00D05E4C" w:rsidRPr="00F941DA" w:rsidRDefault="00D05E4C" w:rsidP="00D05E4C">
      <w:pPr>
        <w:spacing w:after="0" w:line="240" w:lineRule="auto"/>
        <w:ind w:left="1080"/>
        <w:contextualSpacing/>
        <w:rPr>
          <w:rFonts w:ascii="Times New Roman" w:eastAsia="Times New Roman" w:hAnsi="Times New Roman" w:cs="Times New Roman"/>
          <w:sz w:val="24"/>
          <w:szCs w:val="24"/>
          <w:lang w:eastAsia="ro-RO"/>
        </w:rPr>
      </w:pPr>
    </w:p>
    <w:p w14:paraId="4CF92D7F" w14:textId="77777777" w:rsidR="00D05E4C" w:rsidRPr="00F941DA" w:rsidRDefault="00D05E4C" w:rsidP="00D11DF1">
      <w:pPr>
        <w:numPr>
          <w:ilvl w:val="0"/>
          <w:numId w:val="230"/>
        </w:numPr>
        <w:spacing w:after="0" w:line="240" w:lineRule="auto"/>
        <w:contextualSpacing/>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Pacienții eligibili trebuie să fie liberi de boală macroscopic – clinic și imagistic, loco-regional și la distanță și: </w:t>
      </w:r>
    </w:p>
    <w:p w14:paraId="0E534D69" w14:textId="77777777" w:rsidR="00D05E4C" w:rsidRPr="00F941DA" w:rsidRDefault="00D05E4C" w:rsidP="00D11DF1">
      <w:pPr>
        <w:numPr>
          <w:ilvl w:val="1"/>
          <w:numId w:val="230"/>
        </w:numPr>
        <w:spacing w:after="0" w:line="240" w:lineRule="auto"/>
        <w:ind w:left="1418" w:hanging="284"/>
        <w:contextualSpacing/>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Intervenție chirurgicală radicala – rezecție R0: minim 1 mm de marginile de rezecție proximală, distală sau circumferențială.</w:t>
      </w:r>
    </w:p>
    <w:p w14:paraId="2CCD7AAE" w14:textId="77777777" w:rsidR="00D05E4C" w:rsidRPr="00F941DA" w:rsidRDefault="00D05E4C" w:rsidP="00D11DF1">
      <w:pPr>
        <w:numPr>
          <w:ilvl w:val="1"/>
          <w:numId w:val="230"/>
        </w:numPr>
        <w:spacing w:after="0" w:line="240" w:lineRule="auto"/>
        <w:ind w:left="1418" w:hanging="284"/>
        <w:contextualSpacing/>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Boală patologică reziduală (absența unui răspuns patologic complet) cu o clasificare a tumorii și a ganglionilor limfatici cel puțin ypT1 și/sau ypN1 în piesele de rezecție</w:t>
      </w:r>
    </w:p>
    <w:p w14:paraId="61E82E44" w14:textId="77777777" w:rsidR="00D05E4C" w:rsidRPr="00F941DA" w:rsidRDefault="00D05E4C" w:rsidP="00D11DF1">
      <w:pPr>
        <w:numPr>
          <w:ilvl w:val="0"/>
          <w:numId w:val="230"/>
        </w:numPr>
        <w:spacing w:after="0" w:line="240" w:lineRule="auto"/>
        <w:contextualSpacing/>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Scor de performanță ECOG de 0 sau 1</w:t>
      </w:r>
    </w:p>
    <w:p w14:paraId="2343C45E" w14:textId="77777777" w:rsidR="00D05E4C" w:rsidRPr="00F941DA" w:rsidRDefault="00D05E4C" w:rsidP="00D11DF1">
      <w:pPr>
        <w:numPr>
          <w:ilvl w:val="0"/>
          <w:numId w:val="230"/>
        </w:numPr>
        <w:spacing w:after="0" w:line="240" w:lineRule="auto"/>
        <w:contextualSpacing/>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Intervenția chirurgicală (rezecție completă) a fost efectuată cu 4 - 16 săptămâni înainte de inițierea tratamentului adjuvant cu nivolaumab</w:t>
      </w:r>
    </w:p>
    <w:p w14:paraId="79D0FF9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61E9716F"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III. Criterii de excludere</w:t>
      </w:r>
    </w:p>
    <w:p w14:paraId="5E0754FF" w14:textId="77777777" w:rsidR="00D05E4C" w:rsidRPr="00F941DA" w:rsidRDefault="00D05E4C" w:rsidP="00D11DF1">
      <w:pPr>
        <w:numPr>
          <w:ilvl w:val="0"/>
          <w:numId w:val="231"/>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Pacienta care este însărcinată sau care alăptează</w:t>
      </w:r>
    </w:p>
    <w:p w14:paraId="27408621" w14:textId="77777777" w:rsidR="004E7783" w:rsidRPr="00F941DA" w:rsidRDefault="004E7783" w:rsidP="00D11DF1">
      <w:pPr>
        <w:pStyle w:val="ListParagraph"/>
        <w:numPr>
          <w:ilvl w:val="0"/>
          <w:numId w:val="231"/>
        </w:numPr>
        <w:rPr>
          <w:color w:val="auto"/>
        </w:rPr>
      </w:pPr>
      <w:r w:rsidRPr="00F941DA">
        <w:rPr>
          <w:b/>
          <w:color w:val="auto"/>
        </w:rPr>
        <w:t>Contraindicații</w:t>
      </w:r>
      <w:r w:rsidRPr="00F941DA">
        <w:rPr>
          <w:color w:val="auto"/>
        </w:rPr>
        <w:t>: Hipersensibilitate la substanţă activă sau la oricare dintre excipienţi</w:t>
      </w:r>
    </w:p>
    <w:p w14:paraId="5A549DEA" w14:textId="184C03C8" w:rsidR="00D05E4C" w:rsidRPr="00F941DA" w:rsidRDefault="00D05E4C" w:rsidP="001A7F68">
      <w:pPr>
        <w:jc w:val="both"/>
      </w:pPr>
    </w:p>
    <w:p w14:paraId="7B3B0DB2" w14:textId="77777777" w:rsidR="00D05E4C" w:rsidRPr="00F941DA" w:rsidRDefault="00D05E4C" w:rsidP="00D11DF1">
      <w:pPr>
        <w:pStyle w:val="ListParagraph"/>
        <w:numPr>
          <w:ilvl w:val="0"/>
          <w:numId w:val="231"/>
        </w:numPr>
        <w:jc w:val="both"/>
        <w:rPr>
          <w:color w:val="auto"/>
        </w:rPr>
      </w:pPr>
      <w:r w:rsidRPr="00F941DA">
        <w:rPr>
          <w:b/>
          <w:color w:val="auto"/>
        </w:rPr>
        <w:t>Contraindicații relative</w:t>
      </w:r>
      <w:r w:rsidRPr="00F941DA">
        <w:rPr>
          <w:color w:val="auto"/>
        </w:rPr>
        <w:t xml:space="preserve"> (nivolumab poate fi utilizat, de la caz la caz, după o analiză atentă a raportului beneficii/riscuri, conform precizărilor de mai jos)*):</w:t>
      </w:r>
    </w:p>
    <w:p w14:paraId="238950E3" w14:textId="77777777" w:rsidR="00D05E4C" w:rsidRPr="00F941DA" w:rsidRDefault="00D05E4C" w:rsidP="00D11DF1">
      <w:pPr>
        <w:numPr>
          <w:ilvl w:val="0"/>
          <w:numId w:val="240"/>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p>
    <w:p w14:paraId="65F0EB9B" w14:textId="77777777" w:rsidR="00D05E4C" w:rsidRPr="00F941DA" w:rsidRDefault="00D05E4C" w:rsidP="00D11DF1">
      <w:pPr>
        <w:numPr>
          <w:ilvl w:val="0"/>
          <w:numId w:val="240"/>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668B7CA9" w14:textId="77777777" w:rsidR="00D05E4C" w:rsidRPr="00F941DA" w:rsidRDefault="00D05E4C" w:rsidP="00D11DF1">
      <w:pPr>
        <w:numPr>
          <w:ilvl w:val="0"/>
          <w:numId w:val="240"/>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Boala interstiţială pulmonară simptomatică*)</w:t>
      </w:r>
    </w:p>
    <w:p w14:paraId="103A5A0E" w14:textId="77777777" w:rsidR="00D05E4C" w:rsidRPr="00F941DA" w:rsidRDefault="00D05E4C" w:rsidP="00D11DF1">
      <w:pPr>
        <w:numPr>
          <w:ilvl w:val="0"/>
          <w:numId w:val="240"/>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Insuficienţa hepatică severă*)</w:t>
      </w:r>
    </w:p>
    <w:p w14:paraId="299D8BD3" w14:textId="77777777" w:rsidR="00D05E4C" w:rsidRPr="00F941DA" w:rsidRDefault="00D05E4C" w:rsidP="00D11DF1">
      <w:pPr>
        <w:numPr>
          <w:ilvl w:val="0"/>
          <w:numId w:val="240"/>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p>
    <w:p w14:paraId="1C09F519" w14:textId="77777777" w:rsidR="00D05E4C" w:rsidRPr="00F941DA" w:rsidRDefault="00D05E4C" w:rsidP="00D05E4C">
      <w:pPr>
        <w:pBdr>
          <w:top w:val="nil"/>
          <w:left w:val="nil"/>
          <w:bottom w:val="nil"/>
          <w:right w:val="nil"/>
          <w:between w:val="nil"/>
          <w:bar w:val="nil"/>
        </w:pBdr>
        <w:spacing w:after="0"/>
        <w:jc w:val="both"/>
        <w:rPr>
          <w:rFonts w:ascii="Times New Roman" w:eastAsia="Times New Roman" w:hAnsi="Times New Roman" w:cs="Times New Roman"/>
          <w:i/>
          <w:iCs/>
          <w:sz w:val="24"/>
          <w:szCs w:val="24"/>
          <w:u w:color="000000"/>
          <w:bdr w:val="nil"/>
          <w:lang w:eastAsia="ro-RO"/>
        </w:rPr>
      </w:pPr>
      <w:r w:rsidRPr="00F941DA">
        <w:rPr>
          <w:rFonts w:ascii="Times New Roman" w:eastAsia="Times New Roman" w:hAnsi="Times New Roman" w:cs="Times New Roman"/>
          <w:i/>
          <w:iCs/>
          <w:sz w:val="24"/>
          <w:szCs w:val="24"/>
          <w:u w:color="000000"/>
          <w:bdr w:val="nil"/>
          <w:lang w:eastAsia="ro-RO"/>
        </w:rPr>
        <w:t>Pacienții cu scor inițial de performanță ECOG ≥ 2 sau la care nu s-a efectuat chimioradioterapie (CRT) concomitentă înainte de intervenția chirurgicală sau la cei cu boală rezecabilă în stadiul IV (boală oligometsatatică), boală autoimună activă sau afecțiuni medicale ce necesită imunosupresie sistemică (vezi mai sus – punctele 1-5) au fost excluși din studiul clinic de înregistrare pentru această indicație. Deoarece nu există o alternativă terapeutică semnificativă, la acești pacienți nivolumab poate fi utilizat cu precauție, chiar şi în absența datelor pentru aceste grupe de pacienţi, după o analiză atentă a raportului risc potenţial-beneficiu, efectuată individual, pentru fiecare caz în parte.</w:t>
      </w:r>
    </w:p>
    <w:p w14:paraId="450C7295"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0994A84E"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IV. Tratament</w:t>
      </w:r>
    </w:p>
    <w:p w14:paraId="27097A9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Evaluare pre-terapeutică</w:t>
      </w:r>
    </w:p>
    <w:p w14:paraId="31B022C2" w14:textId="77777777" w:rsidR="00D05E4C" w:rsidRPr="00F941DA" w:rsidRDefault="00D05E4C" w:rsidP="00D11DF1">
      <w:pPr>
        <w:numPr>
          <w:ilvl w:val="0"/>
          <w:numId w:val="23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lastRenderedPageBreak/>
        <w:t>Evaluare clinică, imagistică și endoscopică pentru certificarea stadiului afecțiunii maligne - este obligatorie evaluarea imagistică și endoscopică înainte de iniţierea imunoterapiei, evaluare care trebuie să dovedească absența semnelor macroscopice de boală. Se recomandă ca evaluarea imagistică să fie efectuată cu cel mult 6-8 săptămâni anterior inițierii imunoterapiei. Sunt permise excepții justificate.</w:t>
      </w:r>
    </w:p>
    <w:p w14:paraId="4D323FA6" w14:textId="77777777" w:rsidR="00D05E4C" w:rsidRPr="00F941DA" w:rsidRDefault="00D05E4C" w:rsidP="00D11DF1">
      <w:pPr>
        <w:numPr>
          <w:ilvl w:val="0"/>
          <w:numId w:val="23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Confirmarea histologică a diagnosticului</w:t>
      </w:r>
    </w:p>
    <w:p w14:paraId="1BC08E9C" w14:textId="77777777" w:rsidR="00D05E4C" w:rsidRPr="00F941DA" w:rsidRDefault="00D05E4C" w:rsidP="00D11DF1">
      <w:pPr>
        <w:numPr>
          <w:ilvl w:val="0"/>
          <w:numId w:val="23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Evaluare biologică - analizele minimale care trebuie efectuate înaintea iniţierii imunoterapiei sunt: hemoleucograma, glicemia, VSH, examen sumar de urină, creatinina, GOT, GPT, bilirubina totală, amilaza şi/sau lipaza, funcţia tiroidiană - TSH, T3, T4,  ionograma serică (Na, K), precum şi alţi parametri în funcţie de decizia medicului curant</w:t>
      </w:r>
    </w:p>
    <w:p w14:paraId="452BBF3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3A53012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Doze, mod de administrare, diluţie, valabilitate</w:t>
      </w:r>
    </w:p>
    <w:p w14:paraId="1D5F6DFD" w14:textId="77777777" w:rsidR="00D05E4C" w:rsidRPr="00F941DA" w:rsidRDefault="00D05E4C" w:rsidP="00D11DF1">
      <w:pPr>
        <w:numPr>
          <w:ilvl w:val="0"/>
          <w:numId w:val="23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 xml:space="preserve">Nivolumab poate fi administrat în două variante de dozaj (și secvențialitate): </w:t>
      </w:r>
    </w:p>
    <w:p w14:paraId="710B4751" w14:textId="77777777" w:rsidR="00D05E4C" w:rsidRPr="00F941DA" w:rsidRDefault="00D05E4C" w:rsidP="00D11DF1">
      <w:pPr>
        <w:numPr>
          <w:ilvl w:val="1"/>
          <w:numId w:val="234"/>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 xml:space="preserve">Doza fixă de 240 mg la fiecare 2 săptămâni pe durata a 30 minute administrat intravenos, </w:t>
      </w:r>
      <w:r w:rsidRPr="00F941DA">
        <w:rPr>
          <w:rFonts w:ascii="Times New Roman" w:eastAsia="Times New Roman" w:hAnsi="Times New Roman" w:cs="Times New Roman"/>
          <w:b/>
          <w:bCs/>
          <w:i/>
          <w:iCs/>
          <w:sz w:val="24"/>
          <w:szCs w:val="24"/>
          <w:lang w:eastAsia="ro-RO"/>
        </w:rPr>
        <w:t>pentru primele 16 săptămâni</w:t>
      </w:r>
      <w:r w:rsidRPr="00F941DA">
        <w:rPr>
          <w:rFonts w:ascii="Times New Roman" w:eastAsia="Times New Roman" w:hAnsi="Times New Roman" w:cs="Times New Roman"/>
          <w:sz w:val="24"/>
          <w:szCs w:val="24"/>
          <w:lang w:eastAsia="ro-RO"/>
        </w:rPr>
        <w:t>, urmat de 480 mg la fiecare 4 săptămâni, pe durata a 30 minute, până la durata totală a tratamentului de 12 luni</w:t>
      </w:r>
      <w:r w:rsidRPr="00F941DA">
        <w:rPr>
          <w:rFonts w:ascii="Times New Roman" w:eastAsia="Times New Roman" w:hAnsi="Times New Roman" w:cs="Times New Roman"/>
          <w:sz w:val="24"/>
          <w:szCs w:val="24"/>
          <w:u w:color="000000"/>
          <w:bdr w:val="nil"/>
          <w:lang w:eastAsia="ro-RO"/>
        </w:rPr>
        <w:t xml:space="preserve">. </w:t>
      </w:r>
      <w:r w:rsidRPr="00F941DA">
        <w:rPr>
          <w:rFonts w:ascii="Times New Roman" w:eastAsia="Times New Roman" w:hAnsi="Times New Roman" w:cs="Times New Roman"/>
          <w:sz w:val="24"/>
          <w:szCs w:val="24"/>
          <w:lang w:eastAsia="ro-RO"/>
        </w:rPr>
        <w:t>Prima doză de 480 mg trebuie administrată la două săptămâni după ultima doză de 240 mg.</w:t>
      </w:r>
    </w:p>
    <w:p w14:paraId="58BBE868" w14:textId="77777777" w:rsidR="00D05E4C" w:rsidRPr="00F941DA" w:rsidRDefault="00D05E4C" w:rsidP="00D11DF1">
      <w:pPr>
        <w:numPr>
          <w:ilvl w:val="1"/>
          <w:numId w:val="234"/>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lang w:eastAsia="ro-RO"/>
        </w:rPr>
        <w:t xml:space="preserve">Doza fixă de 480 mg la fiecare 4 săptămâni, pe durata a 30 minute </w:t>
      </w:r>
      <w:r w:rsidRPr="00F941DA">
        <w:rPr>
          <w:rFonts w:ascii="Times New Roman" w:eastAsia="Times New Roman" w:hAnsi="Times New Roman" w:cs="Times New Roman"/>
          <w:sz w:val="24"/>
          <w:szCs w:val="24"/>
          <w:u w:color="000000"/>
          <w:bdr w:val="nil"/>
          <w:lang w:eastAsia="ro-RO"/>
        </w:rPr>
        <w:t xml:space="preserve">administrat intravenos, </w:t>
      </w:r>
      <w:r w:rsidRPr="00F941DA">
        <w:rPr>
          <w:rFonts w:ascii="Times New Roman" w:eastAsia="Times New Roman" w:hAnsi="Times New Roman" w:cs="Times New Roman"/>
          <w:sz w:val="24"/>
          <w:szCs w:val="24"/>
          <w:lang w:eastAsia="ro-RO"/>
        </w:rPr>
        <w:t>pe toată durata de administrare a tratamentului de 12 luni</w:t>
      </w:r>
    </w:p>
    <w:p w14:paraId="3BCFD2E5" w14:textId="77777777" w:rsidR="00D05E4C" w:rsidRPr="00F941DA" w:rsidRDefault="00D05E4C" w:rsidP="00D11DF1">
      <w:pPr>
        <w:numPr>
          <w:ilvl w:val="0"/>
          <w:numId w:val="23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Dacă pacientul trebuie să fie schimbat de la doza de 480 mg la fiecare 4 săptămâni, la doza de 240 mg la fiecare 2 săptămâni, prima doză de 240 mg trebuie administrată la patru săptămâni după ultima doză de 480 mg</w:t>
      </w:r>
    </w:p>
    <w:p w14:paraId="2EDA715C" w14:textId="77777777" w:rsidR="00D05E4C" w:rsidRPr="00F941DA" w:rsidRDefault="00D05E4C" w:rsidP="00D11DF1">
      <w:pPr>
        <w:numPr>
          <w:ilvl w:val="0"/>
          <w:numId w:val="23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lang w:eastAsia="ro-RO"/>
        </w:rPr>
        <w:t xml:space="preserve">Durata maximă a tratamentului cu nivolumab este de 12 luni pentru această indicație, </w:t>
      </w:r>
      <w:r w:rsidRPr="00F941DA">
        <w:rPr>
          <w:rFonts w:ascii="Times New Roman" w:eastAsia="Times New Roman" w:hAnsi="Times New Roman" w:cs="Times New Roman"/>
          <w:sz w:val="24"/>
          <w:szCs w:val="24"/>
          <w:u w:color="000000"/>
          <w:bdr w:val="nil"/>
          <w:lang w:eastAsia="ro-RO"/>
        </w:rPr>
        <w:t>atât timp cât se observă beneficiul tratamentului (absența recidivei de boală) sau până când nu mai este tolerat de pacient.</w:t>
      </w:r>
    </w:p>
    <w:p w14:paraId="0D3BABE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453F138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Grupe speciale de pacienţi</w:t>
      </w:r>
    </w:p>
    <w:p w14:paraId="1FDC6AD3" w14:textId="77777777" w:rsidR="00D05E4C" w:rsidRPr="00F941DA" w:rsidRDefault="00D05E4C" w:rsidP="00D11DF1">
      <w:pPr>
        <w:numPr>
          <w:ilvl w:val="0"/>
          <w:numId w:val="241"/>
        </w:numPr>
        <w:spacing w:after="0" w:line="240" w:lineRule="auto"/>
        <w:contextualSpacing/>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Pacienţii care urmează o dietă cu restricţie de sodiu - fiecare ml din acest medicament conţine sodiu 0,1 mmol (sau 2,5 mg).</w:t>
      </w:r>
    </w:p>
    <w:p w14:paraId="65FAD925" w14:textId="77777777" w:rsidR="00D05E4C" w:rsidRPr="00F941DA" w:rsidRDefault="00D05E4C" w:rsidP="00D11DF1">
      <w:pPr>
        <w:numPr>
          <w:ilvl w:val="0"/>
          <w:numId w:val="241"/>
        </w:numPr>
        <w:spacing w:after="0" w:line="240" w:lineRule="auto"/>
        <w:contextualSpacing/>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Copii şi adolescenţi - siguranţa şi eficacitatea Nivolumab la copii cu vârsta sub 18 ani nu au fost încă stabilite. Nu există date disponibile din trialurile clinice de înregistrare</w:t>
      </w:r>
    </w:p>
    <w:p w14:paraId="63695EFE" w14:textId="77777777" w:rsidR="00D05E4C" w:rsidRPr="00F941DA" w:rsidRDefault="00D05E4C" w:rsidP="00D11DF1">
      <w:pPr>
        <w:numPr>
          <w:ilvl w:val="0"/>
          <w:numId w:val="241"/>
        </w:numPr>
        <w:spacing w:after="0" w:line="240" w:lineRule="auto"/>
        <w:contextualSpacing/>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 vârstnici - nu este necesară ajustarea dozelor la pacienții vârstnici (≥ 65 de ani).</w:t>
      </w:r>
    </w:p>
    <w:p w14:paraId="5C6E2E75" w14:textId="77777777" w:rsidR="00D05E4C" w:rsidRPr="00F941DA" w:rsidRDefault="00D05E4C" w:rsidP="00D11DF1">
      <w:pPr>
        <w:numPr>
          <w:ilvl w:val="0"/>
          <w:numId w:val="241"/>
        </w:numPr>
        <w:spacing w:after="0" w:line="240" w:lineRule="auto"/>
        <w:contextualSpacing/>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09F925D5" w14:textId="77777777" w:rsidR="00D05E4C" w:rsidRPr="00F941DA" w:rsidRDefault="00D05E4C" w:rsidP="00D11DF1">
      <w:pPr>
        <w:numPr>
          <w:ilvl w:val="0"/>
          <w:numId w:val="241"/>
        </w:numPr>
        <w:spacing w:after="0" w:line="240" w:lineRule="auto"/>
        <w:contextualSpacing/>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incipientă.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362D225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7C8C1649"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Modificarea dozei. Principii de tratament al efectelor secundare</w:t>
      </w:r>
    </w:p>
    <w:p w14:paraId="253FD9D2" w14:textId="77777777" w:rsidR="00D05E4C" w:rsidRPr="00F941DA" w:rsidRDefault="00D05E4C" w:rsidP="00D11DF1">
      <w:pPr>
        <w:numPr>
          <w:ilvl w:val="0"/>
          <w:numId w:val="23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1D9404F7" w14:textId="77777777" w:rsidR="00D05E4C" w:rsidRPr="00F941DA" w:rsidRDefault="00D05E4C" w:rsidP="00D11DF1">
      <w:pPr>
        <w:numPr>
          <w:ilvl w:val="0"/>
          <w:numId w:val="236"/>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528F29A2" w14:textId="77777777" w:rsidR="00D05E4C" w:rsidRPr="00F941DA" w:rsidRDefault="00D05E4C" w:rsidP="00D11DF1">
      <w:pPr>
        <w:numPr>
          <w:ilvl w:val="0"/>
          <w:numId w:val="23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593D04A4" w14:textId="77777777" w:rsidR="00D05E4C" w:rsidRPr="00F941DA" w:rsidRDefault="00D05E4C" w:rsidP="00D11DF1">
      <w:pPr>
        <w:numPr>
          <w:ilvl w:val="0"/>
          <w:numId w:val="23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 o ameliorare în pofida utilizării corticosteroizilor.</w:t>
      </w:r>
    </w:p>
    <w:p w14:paraId="14E7EAC9" w14:textId="77777777" w:rsidR="00D05E4C" w:rsidRPr="00F941DA" w:rsidRDefault="00D05E4C" w:rsidP="00D11DF1">
      <w:pPr>
        <w:numPr>
          <w:ilvl w:val="0"/>
          <w:numId w:val="23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lastRenderedPageBreak/>
        <w:t>Rezultatele preliminare arată că utilizarea terapiei imunosupresoare sistemice, după iniţierea tratamentului cu nivolumab, nu exclude răspunsul la nivolumab.</w:t>
      </w:r>
    </w:p>
    <w:p w14:paraId="2026E761" w14:textId="77777777" w:rsidR="00D05E4C" w:rsidRPr="00F941DA" w:rsidRDefault="00D05E4C" w:rsidP="00D11DF1">
      <w:pPr>
        <w:numPr>
          <w:ilvl w:val="0"/>
          <w:numId w:val="236"/>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0F873D39"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52446409"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p>
    <w:p w14:paraId="24BE8D2E"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 Monitorizarea tratamentului</w:t>
      </w:r>
    </w:p>
    <w:p w14:paraId="3D3AE45E" w14:textId="77777777" w:rsidR="00D05E4C" w:rsidRPr="00F941DA" w:rsidRDefault="00D05E4C" w:rsidP="00D11DF1">
      <w:pPr>
        <w:numPr>
          <w:ilvl w:val="0"/>
          <w:numId w:val="237"/>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1757CF01" w14:textId="77777777" w:rsidR="00D05E4C" w:rsidRPr="00F941DA" w:rsidRDefault="00D05E4C" w:rsidP="00D11DF1">
      <w:pPr>
        <w:numPr>
          <w:ilvl w:val="0"/>
          <w:numId w:val="237"/>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Endoscopia digestivă superioară poate fi necesară, alături de evaluarea imagistică, pentru excluderea recidivei bolii maligne.</w:t>
      </w:r>
    </w:p>
    <w:p w14:paraId="1EAD1F93" w14:textId="77777777" w:rsidR="00D05E4C" w:rsidRPr="00F941DA" w:rsidRDefault="00D05E4C" w:rsidP="00D11DF1">
      <w:pPr>
        <w:numPr>
          <w:ilvl w:val="0"/>
          <w:numId w:val="237"/>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72A10571" w14:textId="77777777" w:rsidR="00D05E4C" w:rsidRPr="00F941DA" w:rsidRDefault="00D05E4C" w:rsidP="00D11DF1">
      <w:pPr>
        <w:numPr>
          <w:ilvl w:val="0"/>
          <w:numId w:val="237"/>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265AC55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0351C69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p>
    <w:p w14:paraId="733B7D58"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 Efecte secundare. Reacţii adverse mediate imun</w:t>
      </w:r>
    </w:p>
    <w:p w14:paraId="4C447C8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7A6B070F"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p>
    <w:p w14:paraId="76FAC27B"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Pneumonită mediată imun </w:t>
      </w:r>
    </w:p>
    <w:p w14:paraId="0D03E897"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69FE9EB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681C3669"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Colită mediată imun </w:t>
      </w:r>
    </w:p>
    <w:p w14:paraId="1D60491E"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11E1B7C1"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1B530EE7"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Hepatită mediată imun </w:t>
      </w:r>
    </w:p>
    <w:p w14:paraId="5C6F78B3"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3B76617D"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r w:rsidRPr="00F941DA">
        <w:rPr>
          <w:rFonts w:ascii="Times New Roman" w:eastAsia="Times New Roman" w:hAnsi="Times New Roman" w:cs="Times New Roman"/>
          <w:sz w:val="24"/>
          <w:szCs w:val="24"/>
          <w:lang w:eastAsia="ro-RO"/>
        </w:rPr>
        <w:tab/>
      </w:r>
    </w:p>
    <w:p w14:paraId="4786D8EB"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Nefrită sau disfuncţie renală mediată imun </w:t>
      </w:r>
    </w:p>
    <w:p w14:paraId="1B3C876A"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7C23B164"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005938E7"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Endocrinopatii mediate imun </w:t>
      </w:r>
    </w:p>
    <w:p w14:paraId="79E894DC"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6AA3BCCC"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268ED685"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Reacţii adverse cutanate mediate imun </w:t>
      </w:r>
    </w:p>
    <w:p w14:paraId="3737250F" w14:textId="72CEE964"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59957E13"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Alte reacţii adverse mediate imun </w:t>
      </w:r>
    </w:p>
    <w:p w14:paraId="57127FA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7BB756C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4389ADFF" w14:textId="77777777" w:rsidR="00D05E4C" w:rsidRPr="00F941DA" w:rsidRDefault="00D05E4C" w:rsidP="00D11DF1">
      <w:pPr>
        <w:numPr>
          <w:ilvl w:val="0"/>
          <w:numId w:val="238"/>
        </w:num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Reacţii legate de administrarea perfuziei </w:t>
      </w:r>
    </w:p>
    <w:p w14:paraId="13E4DA0B"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4D8D99A2" w14:textId="77777777" w:rsidR="00D05E4C" w:rsidRPr="00F941DA" w:rsidRDefault="00D05E4C" w:rsidP="00D05E4C">
      <w:pPr>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w:t>
      </w:r>
    </w:p>
    <w:p w14:paraId="4C4BBA30"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VII. Criterii de întrerupere a tratamentului</w:t>
      </w:r>
    </w:p>
    <w:p w14:paraId="10329137" w14:textId="77777777" w:rsidR="00D05E4C" w:rsidRPr="00F941DA" w:rsidRDefault="00D05E4C" w:rsidP="00D11DF1">
      <w:pPr>
        <w:numPr>
          <w:ilvl w:val="0"/>
          <w:numId w:val="23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Recidiva bolii pe parcursul tratamentului.</w:t>
      </w:r>
    </w:p>
    <w:p w14:paraId="7EF9B348" w14:textId="77777777" w:rsidR="00D05E4C" w:rsidRPr="00F941DA" w:rsidRDefault="00D05E4C" w:rsidP="00D11DF1">
      <w:pPr>
        <w:numPr>
          <w:ilvl w:val="0"/>
          <w:numId w:val="23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Tratamentul cu intenţie de adjuvanţă se va opri după 12 luni, în absenţa progresiei bolii sau toxicităţii inacceptabile.</w:t>
      </w:r>
    </w:p>
    <w:p w14:paraId="4C5FDC39" w14:textId="77777777" w:rsidR="00D05E4C" w:rsidRPr="00F941DA" w:rsidRDefault="00D05E4C" w:rsidP="00D11DF1">
      <w:pPr>
        <w:numPr>
          <w:ilvl w:val="0"/>
          <w:numId w:val="23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14905558" w14:textId="77777777" w:rsidR="00D05E4C" w:rsidRPr="00F941DA" w:rsidRDefault="00D05E4C" w:rsidP="00D11DF1">
      <w:pPr>
        <w:numPr>
          <w:ilvl w:val="0"/>
          <w:numId w:val="23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Decizia medicului sau a pacientului</w:t>
      </w:r>
    </w:p>
    <w:p w14:paraId="0026D442"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w:t>
      </w:r>
    </w:p>
    <w:p w14:paraId="6CA99FCC" w14:textId="77777777" w:rsidR="00D05E4C" w:rsidRPr="00F941DA" w:rsidRDefault="00D05E4C" w:rsidP="00D05E4C">
      <w:pPr>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VIII. Prescriptori</w:t>
      </w:r>
    </w:p>
    <w:p w14:paraId="42643B50" w14:textId="1A444B00" w:rsidR="00D05E4C" w:rsidRPr="00F941DA" w:rsidRDefault="00D05E4C" w:rsidP="00D05E4C">
      <w:pPr>
        <w:spacing w:after="0" w:line="240" w:lineRule="auto"/>
        <w:jc w:val="both"/>
        <w:rPr>
          <w:rFonts w:ascii="Arial" w:eastAsia="Times New Roman" w:hAnsi="Arial" w:cs="Arial"/>
          <w:sz w:val="24"/>
          <w:szCs w:val="24"/>
          <w:lang w:val="en-US" w:eastAsia="ro-RO"/>
        </w:rPr>
      </w:pPr>
      <w:r w:rsidRPr="00F941D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26A40DAE" w14:textId="77777777" w:rsidR="00D05E4C" w:rsidRPr="00F941DA" w:rsidRDefault="00D05E4C" w:rsidP="007B60B7">
      <w:pPr>
        <w:tabs>
          <w:tab w:val="left" w:pos="426"/>
        </w:tabs>
        <w:jc w:val="both"/>
        <w:rPr>
          <w:rFonts w:ascii="Times New Roman" w:eastAsia="Arial" w:hAnsi="Times New Roman" w:cs="Times New Roman"/>
          <w:b/>
          <w:bCs/>
          <w:sz w:val="24"/>
          <w:szCs w:val="24"/>
          <w:lang w:val="en-US"/>
        </w:rPr>
      </w:pPr>
    </w:p>
    <w:p w14:paraId="36455019" w14:textId="77777777" w:rsidR="007B60B7" w:rsidRPr="00F941DA" w:rsidRDefault="007B60B7" w:rsidP="00984957">
      <w:pPr>
        <w:pStyle w:val="ListParagraph"/>
        <w:rPr>
          <w:rFonts w:eastAsia="Arial"/>
          <w:b/>
          <w:bCs/>
          <w:color w:val="auto"/>
          <w:lang w:val="en-US"/>
        </w:rPr>
      </w:pPr>
    </w:p>
    <w:p w14:paraId="43C53FFA" w14:textId="77777777" w:rsidR="00CA4F71" w:rsidRPr="00F941DA" w:rsidRDefault="00CA4F71" w:rsidP="00984957">
      <w:pPr>
        <w:pStyle w:val="ListParagraph"/>
        <w:rPr>
          <w:rFonts w:eastAsia="Arial"/>
          <w:b/>
          <w:bCs/>
          <w:color w:val="auto"/>
          <w:lang w:val="en-US"/>
        </w:rPr>
      </w:pPr>
    </w:p>
    <w:p w14:paraId="77F9E38C" w14:textId="77777777" w:rsidR="00D05E4C" w:rsidRPr="00F941DA" w:rsidRDefault="00D05E4C" w:rsidP="00984957">
      <w:pPr>
        <w:pStyle w:val="ListParagraph"/>
        <w:rPr>
          <w:rFonts w:eastAsia="Arial"/>
          <w:b/>
          <w:bCs/>
          <w:color w:val="auto"/>
          <w:lang w:val="en-US"/>
        </w:rPr>
      </w:pPr>
    </w:p>
    <w:p w14:paraId="489B657A" w14:textId="77777777" w:rsidR="00D05E4C" w:rsidRPr="00F941DA" w:rsidRDefault="00D05E4C" w:rsidP="00984957">
      <w:pPr>
        <w:pStyle w:val="ListParagraph"/>
        <w:rPr>
          <w:rFonts w:eastAsia="Arial"/>
          <w:b/>
          <w:bCs/>
          <w:color w:val="auto"/>
          <w:lang w:val="en-US"/>
        </w:rPr>
      </w:pPr>
    </w:p>
    <w:p w14:paraId="0C90C2D4" w14:textId="77777777" w:rsidR="00D05E4C" w:rsidRPr="00F941DA" w:rsidRDefault="00D05E4C" w:rsidP="00984957">
      <w:pPr>
        <w:pStyle w:val="ListParagraph"/>
        <w:rPr>
          <w:rFonts w:eastAsia="Arial"/>
          <w:b/>
          <w:bCs/>
          <w:color w:val="auto"/>
          <w:lang w:val="en-US"/>
        </w:rPr>
      </w:pPr>
    </w:p>
    <w:p w14:paraId="288EF9C3" w14:textId="77777777" w:rsidR="00D05E4C" w:rsidRPr="00F941DA" w:rsidRDefault="00D05E4C" w:rsidP="00984957">
      <w:pPr>
        <w:pStyle w:val="ListParagraph"/>
        <w:rPr>
          <w:rFonts w:eastAsia="Arial"/>
          <w:b/>
          <w:bCs/>
          <w:color w:val="auto"/>
          <w:lang w:val="en-US"/>
        </w:rPr>
      </w:pPr>
    </w:p>
    <w:p w14:paraId="101070E7" w14:textId="77777777" w:rsidR="00D05E4C" w:rsidRPr="00F941DA" w:rsidRDefault="00D05E4C" w:rsidP="00984957">
      <w:pPr>
        <w:pStyle w:val="ListParagraph"/>
        <w:rPr>
          <w:rFonts w:eastAsia="Arial"/>
          <w:b/>
          <w:bCs/>
          <w:color w:val="auto"/>
          <w:lang w:val="en-US"/>
        </w:rPr>
      </w:pPr>
    </w:p>
    <w:p w14:paraId="61C81732" w14:textId="77777777" w:rsidR="00D05E4C" w:rsidRPr="00F941DA" w:rsidRDefault="00D05E4C" w:rsidP="00984957">
      <w:pPr>
        <w:pStyle w:val="ListParagraph"/>
        <w:rPr>
          <w:rFonts w:eastAsia="Arial"/>
          <w:b/>
          <w:bCs/>
          <w:color w:val="auto"/>
          <w:lang w:val="en-US"/>
        </w:rPr>
      </w:pPr>
    </w:p>
    <w:p w14:paraId="542ECBBA" w14:textId="77777777" w:rsidR="00D05E4C" w:rsidRPr="00F941DA" w:rsidRDefault="00D05E4C" w:rsidP="00984957">
      <w:pPr>
        <w:pStyle w:val="ListParagraph"/>
        <w:rPr>
          <w:rFonts w:eastAsia="Arial"/>
          <w:b/>
          <w:bCs/>
          <w:color w:val="auto"/>
          <w:lang w:val="en-US"/>
        </w:rPr>
      </w:pPr>
    </w:p>
    <w:p w14:paraId="06DC9133" w14:textId="77777777" w:rsidR="00AB4B76" w:rsidRPr="00F941DA" w:rsidRDefault="00AB4B76" w:rsidP="00984957">
      <w:pPr>
        <w:pStyle w:val="ListParagraph"/>
        <w:rPr>
          <w:rFonts w:eastAsia="Arial"/>
          <w:b/>
          <w:bCs/>
          <w:color w:val="auto"/>
          <w:lang w:val="en-US"/>
        </w:rPr>
      </w:pPr>
    </w:p>
    <w:p w14:paraId="56BB0C58" w14:textId="77777777" w:rsidR="00AB4B76" w:rsidRPr="00F941DA" w:rsidRDefault="00AB4B76" w:rsidP="00984957">
      <w:pPr>
        <w:pStyle w:val="ListParagraph"/>
        <w:rPr>
          <w:rFonts w:eastAsia="Arial"/>
          <w:b/>
          <w:bCs/>
          <w:color w:val="auto"/>
          <w:lang w:val="en-US"/>
        </w:rPr>
      </w:pPr>
    </w:p>
    <w:p w14:paraId="60D57C5C" w14:textId="77777777" w:rsidR="00AB4B76" w:rsidRPr="00F941DA" w:rsidRDefault="00AB4B76" w:rsidP="00984957">
      <w:pPr>
        <w:pStyle w:val="ListParagraph"/>
        <w:rPr>
          <w:rFonts w:eastAsia="Arial"/>
          <w:b/>
          <w:bCs/>
          <w:color w:val="auto"/>
          <w:lang w:val="en-US"/>
        </w:rPr>
      </w:pPr>
    </w:p>
    <w:p w14:paraId="7910C0F1" w14:textId="77777777" w:rsidR="00AB4B76" w:rsidRPr="00F941DA" w:rsidRDefault="00AB4B76" w:rsidP="00984957">
      <w:pPr>
        <w:pStyle w:val="ListParagraph"/>
        <w:rPr>
          <w:rFonts w:eastAsia="Arial"/>
          <w:b/>
          <w:bCs/>
          <w:color w:val="auto"/>
          <w:lang w:val="en-US"/>
        </w:rPr>
      </w:pPr>
    </w:p>
    <w:p w14:paraId="224A945C" w14:textId="77777777" w:rsidR="00D05E4C" w:rsidRPr="00F941DA" w:rsidRDefault="00D05E4C" w:rsidP="00984957">
      <w:pPr>
        <w:pStyle w:val="ListParagraph"/>
        <w:rPr>
          <w:rFonts w:eastAsia="Arial"/>
          <w:b/>
          <w:bCs/>
          <w:color w:val="auto"/>
          <w:lang w:val="en-US"/>
        </w:rPr>
      </w:pPr>
    </w:p>
    <w:p w14:paraId="222A5594" w14:textId="77777777" w:rsidR="00D05E4C" w:rsidRPr="00F941DA" w:rsidRDefault="00D05E4C" w:rsidP="00984957">
      <w:pPr>
        <w:pStyle w:val="ListParagraph"/>
        <w:rPr>
          <w:rFonts w:eastAsia="Arial"/>
          <w:b/>
          <w:bCs/>
          <w:color w:val="auto"/>
          <w:lang w:val="en-US"/>
        </w:rPr>
      </w:pPr>
    </w:p>
    <w:p w14:paraId="4D21E588" w14:textId="77777777" w:rsidR="00D05E4C" w:rsidRPr="00F941DA" w:rsidRDefault="00D05E4C" w:rsidP="00984957">
      <w:pPr>
        <w:pStyle w:val="ListParagraph"/>
        <w:rPr>
          <w:rFonts w:eastAsia="Arial"/>
          <w:b/>
          <w:bCs/>
          <w:color w:val="auto"/>
          <w:lang w:val="en-US"/>
        </w:rPr>
      </w:pPr>
    </w:p>
    <w:p w14:paraId="286F7949" w14:textId="77777777" w:rsidR="00D05E4C" w:rsidRPr="00F941DA" w:rsidRDefault="00D05E4C" w:rsidP="00984957">
      <w:pPr>
        <w:pStyle w:val="ListParagraph"/>
        <w:rPr>
          <w:rFonts w:eastAsia="Arial"/>
          <w:b/>
          <w:bCs/>
          <w:color w:val="auto"/>
          <w:lang w:val="en-US"/>
        </w:rPr>
      </w:pPr>
    </w:p>
    <w:p w14:paraId="578CA80E" w14:textId="77777777" w:rsidR="00D05E4C" w:rsidRPr="00F941DA" w:rsidRDefault="00D05E4C" w:rsidP="00984957">
      <w:pPr>
        <w:pStyle w:val="ListParagraph"/>
        <w:rPr>
          <w:rFonts w:eastAsia="Arial"/>
          <w:b/>
          <w:bCs/>
          <w:color w:val="auto"/>
          <w:lang w:val="en-US"/>
        </w:rPr>
      </w:pPr>
    </w:p>
    <w:p w14:paraId="4A180650" w14:textId="77777777" w:rsidR="00D05E4C" w:rsidRPr="00F941DA" w:rsidRDefault="00D05E4C" w:rsidP="00984957">
      <w:pPr>
        <w:pStyle w:val="ListParagraph"/>
        <w:rPr>
          <w:rFonts w:eastAsia="Arial"/>
          <w:b/>
          <w:bCs/>
          <w:color w:val="auto"/>
          <w:lang w:val="en-US"/>
        </w:rPr>
      </w:pPr>
    </w:p>
    <w:p w14:paraId="16B7141D" w14:textId="77777777" w:rsidR="00D05E4C" w:rsidRPr="00F941DA" w:rsidRDefault="00D05E4C" w:rsidP="00984957">
      <w:pPr>
        <w:pStyle w:val="ListParagraph"/>
        <w:rPr>
          <w:rFonts w:eastAsia="Arial"/>
          <w:b/>
          <w:bCs/>
          <w:color w:val="auto"/>
          <w:lang w:val="en-US"/>
        </w:rPr>
      </w:pPr>
    </w:p>
    <w:p w14:paraId="51259229" w14:textId="77777777" w:rsidR="00D05E4C" w:rsidRPr="00F941DA" w:rsidRDefault="00D05E4C" w:rsidP="001A7F68">
      <w:pPr>
        <w:rPr>
          <w:rFonts w:eastAsia="Arial"/>
          <w:b/>
          <w:bCs/>
          <w:lang w:val="en-US"/>
        </w:rPr>
      </w:pPr>
    </w:p>
    <w:p w14:paraId="65F88766" w14:textId="1A342EEF" w:rsidR="007B60B7" w:rsidRPr="00F941DA" w:rsidRDefault="007B60B7" w:rsidP="00301CF8">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 xml:space="preserve">La anexa nr. 1, protocolul terapeutic corespunzător poziţiei nr. </w:t>
      </w:r>
      <w:r w:rsidR="00CA4F71" w:rsidRPr="00F941DA">
        <w:rPr>
          <w:rFonts w:eastAsia="Arial"/>
          <w:b/>
          <w:bCs/>
          <w:color w:val="auto"/>
          <w:lang w:val="en-US"/>
        </w:rPr>
        <w:t>150</w:t>
      </w:r>
      <w:r w:rsidRPr="00F941DA">
        <w:rPr>
          <w:rFonts w:eastAsia="Arial"/>
          <w:b/>
          <w:bCs/>
          <w:color w:val="auto"/>
          <w:lang w:val="en-US"/>
        </w:rPr>
        <w:t xml:space="preserve"> cod (</w:t>
      </w:r>
      <w:r w:rsidR="00CA4F71" w:rsidRPr="00F941DA">
        <w:rPr>
          <w:rFonts w:eastAsia="Arial"/>
          <w:b/>
          <w:bCs/>
          <w:color w:val="auto"/>
          <w:lang w:val="en-US"/>
        </w:rPr>
        <w:t>L01XC21</w:t>
      </w:r>
      <w:r w:rsidRPr="00F941DA">
        <w:rPr>
          <w:rFonts w:eastAsia="Arial"/>
          <w:b/>
          <w:bCs/>
          <w:color w:val="auto"/>
          <w:lang w:val="en-US"/>
        </w:rPr>
        <w:t xml:space="preserve">): DCI </w:t>
      </w:r>
      <w:r w:rsidR="00CA4F71" w:rsidRPr="00F941DA">
        <w:rPr>
          <w:rFonts w:eastAsia="Arial"/>
          <w:b/>
          <w:bCs/>
          <w:color w:val="auto"/>
          <w:lang w:val="en-US"/>
        </w:rPr>
        <w:t>RAMUCIRUMABUM</w:t>
      </w:r>
      <w:r w:rsidRPr="00F941DA">
        <w:rPr>
          <w:rFonts w:eastAsia="Arial"/>
          <w:b/>
          <w:bCs/>
          <w:color w:val="auto"/>
          <w:lang w:val="en-US"/>
        </w:rPr>
        <w:t xml:space="preserve"> se modifică și se înlocuiește cu următorul protocol:</w:t>
      </w:r>
    </w:p>
    <w:p w14:paraId="0A6F3D2F" w14:textId="77777777" w:rsidR="007B60B7" w:rsidRPr="00F941DA" w:rsidRDefault="007B60B7" w:rsidP="007B60B7">
      <w:pPr>
        <w:tabs>
          <w:tab w:val="left" w:pos="426"/>
        </w:tabs>
        <w:jc w:val="both"/>
        <w:rPr>
          <w:rFonts w:ascii="Times New Roman" w:eastAsia="Arial" w:hAnsi="Times New Roman" w:cs="Times New Roman"/>
          <w:b/>
          <w:bCs/>
          <w:sz w:val="24"/>
          <w:szCs w:val="24"/>
          <w:lang w:val="en-US"/>
        </w:rPr>
      </w:pPr>
    </w:p>
    <w:p w14:paraId="1C1E9ECF" w14:textId="05BD50ED" w:rsidR="007B60B7" w:rsidRPr="00F941DA" w:rsidRDefault="007B60B7" w:rsidP="00CA4F71">
      <w:pPr>
        <w:tabs>
          <w:tab w:val="left" w:pos="426"/>
        </w:tabs>
        <w:jc w:val="both"/>
        <w:rPr>
          <w:rFonts w:eastAsia="Arial"/>
          <w:b/>
          <w:bCs/>
          <w:lang w:val="en-US"/>
        </w:rPr>
      </w:pPr>
      <w:r w:rsidRPr="00F941DA">
        <w:rPr>
          <w:rFonts w:ascii="Times New Roman" w:eastAsia="Arial" w:hAnsi="Times New Roman" w:cs="Times New Roman"/>
          <w:b/>
          <w:bCs/>
          <w:sz w:val="24"/>
          <w:szCs w:val="24"/>
          <w:lang w:val="en-US"/>
        </w:rPr>
        <w:t xml:space="preserve">”Protocol terapeutic corespunzător poziţiei nr. </w:t>
      </w:r>
      <w:r w:rsidR="00CA4F71" w:rsidRPr="00F941DA">
        <w:rPr>
          <w:rFonts w:ascii="Times New Roman" w:eastAsia="Arial" w:hAnsi="Times New Roman" w:cs="Times New Roman"/>
          <w:b/>
          <w:bCs/>
          <w:sz w:val="24"/>
          <w:szCs w:val="24"/>
          <w:lang w:val="en-US"/>
        </w:rPr>
        <w:t>150 cod (L01XC21): DCI RAMUCIRUMABUM</w:t>
      </w:r>
    </w:p>
    <w:p w14:paraId="5DBF28DD" w14:textId="77777777" w:rsidR="007B60B7" w:rsidRPr="00F941DA" w:rsidRDefault="007B60B7" w:rsidP="00984957">
      <w:pPr>
        <w:pStyle w:val="ListParagraph"/>
        <w:rPr>
          <w:rFonts w:eastAsia="Arial"/>
          <w:b/>
          <w:bCs/>
          <w:color w:val="auto"/>
          <w:lang w:val="en-US"/>
        </w:rPr>
      </w:pPr>
    </w:p>
    <w:p w14:paraId="674BB40F" w14:textId="77777777" w:rsidR="00C5117B" w:rsidRPr="00F941DA" w:rsidRDefault="00C5117B" w:rsidP="00C5117B">
      <w:pPr>
        <w:pStyle w:val="Body"/>
        <w:tabs>
          <w:tab w:val="left" w:pos="851"/>
        </w:tabs>
        <w:jc w:val="both"/>
        <w:rPr>
          <w:b/>
          <w:bCs/>
          <w:color w:val="auto"/>
          <w:lang w:val="ro-RO"/>
        </w:rPr>
      </w:pPr>
    </w:p>
    <w:p w14:paraId="5E479DE1" w14:textId="77777777" w:rsidR="00C5117B" w:rsidRPr="00F941DA" w:rsidRDefault="00C5117B" w:rsidP="00C5117B">
      <w:pPr>
        <w:pStyle w:val="Body"/>
        <w:tabs>
          <w:tab w:val="left" w:pos="851"/>
        </w:tabs>
        <w:jc w:val="both"/>
        <w:rPr>
          <w:b/>
          <w:bCs/>
          <w:color w:val="auto"/>
          <w:lang w:val="ro-RO"/>
        </w:rPr>
      </w:pPr>
    </w:p>
    <w:p w14:paraId="7C80B94B" w14:textId="77777777" w:rsidR="00C5117B" w:rsidRPr="00F941DA" w:rsidRDefault="00C5117B" w:rsidP="00C5117B">
      <w:pPr>
        <w:pStyle w:val="Body"/>
        <w:spacing w:after="160" w:line="259" w:lineRule="auto"/>
        <w:jc w:val="both"/>
        <w:rPr>
          <w:b/>
          <w:bCs/>
          <w:color w:val="auto"/>
          <w:lang w:val="ro-RO"/>
        </w:rPr>
      </w:pPr>
      <w:r w:rsidRPr="00F941DA">
        <w:rPr>
          <w:b/>
          <w:bCs/>
          <w:color w:val="auto"/>
          <w:lang w:val="ro-RO"/>
        </w:rPr>
        <w:t>I. Indicaţii:</w:t>
      </w:r>
    </w:p>
    <w:p w14:paraId="71517C69" w14:textId="77777777" w:rsidR="00C5117B" w:rsidRPr="00F941DA" w:rsidRDefault="00C5117B" w:rsidP="00C5117B">
      <w:pPr>
        <w:pStyle w:val="Body"/>
        <w:spacing w:after="160" w:line="259" w:lineRule="auto"/>
        <w:jc w:val="both"/>
        <w:rPr>
          <w:b/>
          <w:color w:val="auto"/>
          <w:u w:val="single"/>
          <w:lang w:val="ro-RO"/>
        </w:rPr>
      </w:pPr>
      <w:r w:rsidRPr="00F941DA">
        <w:rPr>
          <w:b/>
          <w:color w:val="auto"/>
          <w:u w:val="single"/>
          <w:lang w:val="ro-RO"/>
        </w:rPr>
        <w:t>A. Cancer gastric</w:t>
      </w:r>
    </w:p>
    <w:p w14:paraId="5E1EC63F" w14:textId="77777777" w:rsidR="00C5117B" w:rsidRPr="00F941DA" w:rsidRDefault="00C5117B" w:rsidP="00C5117B">
      <w:pPr>
        <w:pStyle w:val="Body"/>
        <w:spacing w:after="160" w:line="259" w:lineRule="auto"/>
        <w:jc w:val="both"/>
        <w:rPr>
          <w:color w:val="auto"/>
          <w:lang w:val="ro-RO"/>
        </w:rPr>
      </w:pPr>
      <w:r w:rsidRPr="00F941DA">
        <w:rPr>
          <w:color w:val="auto"/>
          <w:lang w:val="ro-RO"/>
        </w:rPr>
        <w:t>1. În asociere cu paclitaxel pentru tratamentul pacienților adulţi cu neoplasm gastric în stadiu avansat sau adenocarcinom de joncţiune eso-gastrică care prezintă progresia bolii după chimioterapie anterioară pe bază de săruri de platină şi fluoropirimidină.</w:t>
      </w:r>
    </w:p>
    <w:p w14:paraId="5DA853B3" w14:textId="77777777" w:rsidR="00C5117B" w:rsidRPr="00F941DA" w:rsidRDefault="00C5117B" w:rsidP="00C5117B">
      <w:pPr>
        <w:pStyle w:val="Body"/>
        <w:spacing w:after="160" w:line="259" w:lineRule="auto"/>
        <w:jc w:val="both"/>
        <w:rPr>
          <w:color w:val="auto"/>
          <w:lang w:val="ro-RO"/>
        </w:rPr>
      </w:pPr>
      <w:r w:rsidRPr="00F941DA">
        <w:rPr>
          <w:color w:val="auto"/>
          <w:lang w:val="ro-RO"/>
        </w:rPr>
        <w:t>2. Monoterapie pentru tratamentul pacienţilor adulţi cu neoplasm gastric în stadiu avansat sau adenocarcinom de joncţiune eso-gastrică care prezintă progresia bolii după chimioterapie anterioară pe bază de săruri de platină sau fluoropirimidină, pentru care tratamentul în asociaţie cu paclitaxel nu este adecvat</w:t>
      </w:r>
    </w:p>
    <w:p w14:paraId="1D9FDAB0" w14:textId="77777777" w:rsidR="00C5117B" w:rsidRPr="00F941DA" w:rsidRDefault="00C5117B" w:rsidP="00C5117B">
      <w:pPr>
        <w:pStyle w:val="Body"/>
        <w:spacing w:after="160" w:line="259" w:lineRule="auto"/>
        <w:jc w:val="both"/>
        <w:rPr>
          <w:b/>
          <w:color w:val="auto"/>
          <w:u w:val="single"/>
          <w:lang w:val="ro-RO"/>
        </w:rPr>
      </w:pPr>
      <w:r w:rsidRPr="00F941DA">
        <w:rPr>
          <w:b/>
          <w:color w:val="auto"/>
          <w:u w:val="single"/>
          <w:lang w:val="ro-RO"/>
        </w:rPr>
        <w:t>B. Cancer hepatocelular</w:t>
      </w:r>
    </w:p>
    <w:p w14:paraId="1895518E" w14:textId="77777777" w:rsidR="00C5117B" w:rsidRPr="00F941DA" w:rsidRDefault="00C5117B" w:rsidP="00C5117B">
      <w:pPr>
        <w:pStyle w:val="Body"/>
        <w:spacing w:after="160" w:line="259" w:lineRule="auto"/>
        <w:jc w:val="both"/>
        <w:rPr>
          <w:color w:val="auto"/>
          <w:lang w:val="ro-RO"/>
        </w:rPr>
      </w:pPr>
      <w:r w:rsidRPr="00F941DA">
        <w:rPr>
          <w:color w:val="auto"/>
          <w:lang w:val="ro-RO"/>
        </w:rPr>
        <w:t xml:space="preserve">In monoterapie pentru tratamentul pacientilor adulti cu carcinom hepatocelular in stadiul avansat sau nerezecabil, cu o valoare a alfafetoproteinei serice (AFP) ≥ 400 ng/ml, care au fost tratati anterior cu Sorafenib. </w:t>
      </w:r>
    </w:p>
    <w:p w14:paraId="3366703B" w14:textId="77777777" w:rsidR="00C5117B" w:rsidRPr="00F941DA" w:rsidRDefault="00C5117B" w:rsidP="00C5117B">
      <w:pPr>
        <w:pStyle w:val="Body"/>
        <w:spacing w:after="160" w:line="259" w:lineRule="auto"/>
        <w:jc w:val="both"/>
        <w:rPr>
          <w:b/>
          <w:color w:val="auto"/>
          <w:u w:val="single"/>
          <w:lang w:val="ro-RO"/>
        </w:rPr>
      </w:pPr>
      <w:r w:rsidRPr="00F941DA">
        <w:rPr>
          <w:b/>
          <w:color w:val="auto"/>
          <w:u w:val="single"/>
          <w:lang w:val="ro-RO"/>
        </w:rPr>
        <w:t>C. Cancer pulmonar fără celule mici cu mutații activatoare EGFR</w:t>
      </w:r>
    </w:p>
    <w:p w14:paraId="7BEC5162" w14:textId="77777777" w:rsidR="00C5117B" w:rsidRPr="00F941DA" w:rsidRDefault="00C5117B" w:rsidP="00C5117B">
      <w:pPr>
        <w:pStyle w:val="Body"/>
        <w:spacing w:after="160" w:line="259" w:lineRule="auto"/>
        <w:jc w:val="both"/>
        <w:rPr>
          <w:color w:val="auto"/>
          <w:lang w:val="ro-RO"/>
        </w:rPr>
      </w:pPr>
      <w:r w:rsidRPr="00F941DA">
        <w:rPr>
          <w:color w:val="auto"/>
          <w:lang w:val="ro-RO"/>
        </w:rPr>
        <w:t>Ramucirumab în combinație cu erlotinib este indicat ca primă linie de tratament al pacienților adulți cu cancer pulmonar fără celule mici, metastazat, care prezintă mutații activatoare ale receptorului factorului de creștere epidermal (EGFR)</w:t>
      </w:r>
    </w:p>
    <w:p w14:paraId="33FB2785" w14:textId="77777777" w:rsidR="00C5117B" w:rsidRPr="00F941DA" w:rsidRDefault="00C5117B" w:rsidP="00C5117B">
      <w:pPr>
        <w:pStyle w:val="Body"/>
        <w:spacing w:after="160" w:line="259" w:lineRule="auto"/>
        <w:jc w:val="both"/>
        <w:rPr>
          <w:b/>
          <w:color w:val="auto"/>
          <w:u w:val="single"/>
          <w:lang w:val="ro-RO"/>
        </w:rPr>
      </w:pPr>
      <w:r w:rsidRPr="00F941DA">
        <w:rPr>
          <w:b/>
          <w:color w:val="auto"/>
          <w:u w:val="single"/>
          <w:lang w:val="ro-RO"/>
        </w:rPr>
        <w:t>D. Cancer pulmonar fără celule mici</w:t>
      </w:r>
    </w:p>
    <w:p w14:paraId="4527EA2A" w14:textId="77777777" w:rsidR="00C5117B" w:rsidRPr="00F941DA" w:rsidRDefault="00C5117B" w:rsidP="00C5117B">
      <w:pPr>
        <w:pStyle w:val="Body"/>
        <w:spacing w:after="160" w:line="259" w:lineRule="auto"/>
        <w:jc w:val="both"/>
        <w:rPr>
          <w:color w:val="auto"/>
          <w:lang w:val="ro-RO"/>
        </w:rPr>
      </w:pPr>
      <w:r w:rsidRPr="00F941DA">
        <w:rPr>
          <w:color w:val="auto"/>
          <w:lang w:val="ro-RO"/>
        </w:rPr>
        <w:t>Ramucirumab în asociere cu docetaxel este indicat în tratamentul pacienților adulți cu cancer pulmonar fără celule mici, avansat local sau metastazat, la care boala progresat în timpul sau ulterior chimioterapiei pe bază de platină</w:t>
      </w:r>
    </w:p>
    <w:p w14:paraId="274F26B9" w14:textId="77777777" w:rsidR="00C5117B" w:rsidRPr="00F941DA" w:rsidRDefault="00C5117B" w:rsidP="00C5117B">
      <w:pPr>
        <w:pStyle w:val="Body"/>
        <w:spacing w:after="160" w:line="259" w:lineRule="auto"/>
        <w:jc w:val="both"/>
        <w:rPr>
          <w:color w:val="auto"/>
          <w:lang w:val="ro-RO"/>
        </w:rPr>
      </w:pPr>
      <w:r w:rsidRPr="00F941DA">
        <w:rPr>
          <w:b/>
          <w:bCs/>
          <w:color w:val="auto"/>
          <w:lang w:val="ro-RO"/>
        </w:rPr>
        <w:t>II. Stadializarea afecţiunii</w:t>
      </w:r>
      <w:r w:rsidRPr="00F941DA">
        <w:rPr>
          <w:color w:val="auto"/>
          <w:lang w:val="ro-RO"/>
        </w:rPr>
        <w:t>: neoplasm gastric sau adenocarcinom de joncţiune eso-gastrică avansat sau metastatic/ carcinom hepatocelular stadiu avansat sau nerezecabil/cancer pulmonar fara celule mici metastatic care prezinta mutații activatoare EGFR/cancer pulmonar fără celule mici, avansat local sau metastazat, la care boala progresat în timpul sau ulterior chimioterapiei pe bază de platină</w:t>
      </w:r>
    </w:p>
    <w:p w14:paraId="228D5C67" w14:textId="77777777" w:rsidR="00C5117B" w:rsidRPr="00F941DA" w:rsidRDefault="00C5117B" w:rsidP="00C5117B">
      <w:pPr>
        <w:pStyle w:val="Body"/>
        <w:spacing w:line="259" w:lineRule="auto"/>
        <w:jc w:val="both"/>
        <w:rPr>
          <w:b/>
          <w:bCs/>
          <w:color w:val="auto"/>
          <w:lang w:val="ro-RO"/>
        </w:rPr>
      </w:pPr>
      <w:r w:rsidRPr="00F941DA">
        <w:rPr>
          <w:b/>
          <w:bCs/>
          <w:color w:val="auto"/>
          <w:lang w:val="ro-RO"/>
        </w:rPr>
        <w:t>III. Criterii de includere:</w:t>
      </w:r>
    </w:p>
    <w:p w14:paraId="241EA30D" w14:textId="1441723B" w:rsidR="00C5117B" w:rsidRPr="00F941DA" w:rsidRDefault="00C5117B" w:rsidP="00D11DF1">
      <w:pPr>
        <w:pStyle w:val="Body"/>
        <w:numPr>
          <w:ilvl w:val="0"/>
          <w:numId w:val="253"/>
        </w:numPr>
        <w:tabs>
          <w:tab w:val="left" w:pos="567"/>
          <w:tab w:val="left" w:pos="709"/>
        </w:tabs>
        <w:spacing w:after="160" w:line="259" w:lineRule="auto"/>
        <w:ind w:hanging="419"/>
        <w:jc w:val="both"/>
        <w:rPr>
          <w:color w:val="auto"/>
          <w:lang w:val="ro-RO"/>
        </w:rPr>
      </w:pPr>
      <w:r w:rsidRPr="00F941DA">
        <w:rPr>
          <w:color w:val="auto"/>
          <w:lang w:val="ro-RO"/>
        </w:rPr>
        <w:t xml:space="preserve">Pacienţi cu </w:t>
      </w:r>
      <w:r w:rsidRPr="00F941DA">
        <w:rPr>
          <w:i/>
          <w:iCs/>
          <w:color w:val="auto"/>
          <w:lang w:val="ro-RO"/>
        </w:rPr>
        <w:t>neoplasm gastric sau adenocarcinom de joncţiune eso-gastrică</w:t>
      </w:r>
      <w:r w:rsidRPr="00F941DA">
        <w:rPr>
          <w:color w:val="auto"/>
          <w:lang w:val="ro-RO"/>
        </w:rPr>
        <w:t>, avansat sau metastatic, care prezintă progresia bolii în timpul sau după chimioterapia pe bază de platină şi/sau fluoropirimidină</w:t>
      </w:r>
    </w:p>
    <w:p w14:paraId="4661F613" w14:textId="77777777" w:rsidR="00C5117B" w:rsidRPr="00F941DA" w:rsidRDefault="00C5117B" w:rsidP="00D11DF1">
      <w:pPr>
        <w:pStyle w:val="Body"/>
        <w:numPr>
          <w:ilvl w:val="0"/>
          <w:numId w:val="253"/>
        </w:numPr>
        <w:tabs>
          <w:tab w:val="left" w:pos="567"/>
          <w:tab w:val="left" w:pos="709"/>
        </w:tabs>
        <w:spacing w:after="160" w:line="259" w:lineRule="auto"/>
        <w:ind w:hanging="419"/>
        <w:jc w:val="both"/>
        <w:rPr>
          <w:color w:val="auto"/>
          <w:lang w:val="ro-RO"/>
        </w:rPr>
      </w:pPr>
      <w:r w:rsidRPr="00F941DA">
        <w:rPr>
          <w:color w:val="auto"/>
          <w:lang w:val="ro-RO"/>
        </w:rPr>
        <w:t xml:space="preserve">Pacienţi cu </w:t>
      </w:r>
      <w:r w:rsidRPr="00F941DA">
        <w:rPr>
          <w:i/>
          <w:iCs/>
          <w:color w:val="auto"/>
          <w:lang w:val="ro-RO"/>
        </w:rPr>
        <w:t>carcinom hepatocelular</w:t>
      </w:r>
      <w:r w:rsidRPr="00F941DA">
        <w:rPr>
          <w:color w:val="auto"/>
          <w:lang w:val="ro-RO"/>
        </w:rPr>
        <w:t xml:space="preserve"> in stadiul avansat sau nerezecabil, cu o valoare a alfafetoproteinei serice (AFP) ≥ 400 ng/ml, care au fost tratati anterior cu Sorafenib</w:t>
      </w:r>
    </w:p>
    <w:p w14:paraId="372A1444" w14:textId="77777777" w:rsidR="00C5117B" w:rsidRPr="00F941DA" w:rsidRDefault="00C5117B" w:rsidP="00D11DF1">
      <w:pPr>
        <w:pStyle w:val="Body"/>
        <w:numPr>
          <w:ilvl w:val="0"/>
          <w:numId w:val="253"/>
        </w:numPr>
        <w:tabs>
          <w:tab w:val="left" w:pos="567"/>
          <w:tab w:val="left" w:pos="709"/>
        </w:tabs>
        <w:spacing w:after="160" w:line="259" w:lineRule="auto"/>
        <w:ind w:hanging="419"/>
        <w:jc w:val="both"/>
        <w:rPr>
          <w:color w:val="auto"/>
          <w:lang w:val="ro-RO"/>
        </w:rPr>
      </w:pPr>
      <w:r w:rsidRPr="00F941DA">
        <w:rPr>
          <w:color w:val="auto"/>
          <w:lang w:val="ro-RO"/>
        </w:rPr>
        <w:t xml:space="preserve">Pacienţi cu </w:t>
      </w:r>
      <w:r w:rsidRPr="00F941DA">
        <w:rPr>
          <w:i/>
          <w:iCs/>
          <w:color w:val="auto"/>
          <w:lang w:val="ro-RO"/>
        </w:rPr>
        <w:t>cancer pulmonar fara celule mici</w:t>
      </w:r>
      <w:r w:rsidRPr="00F941DA">
        <w:rPr>
          <w:color w:val="auto"/>
          <w:lang w:val="ro-RO"/>
        </w:rPr>
        <w:t xml:space="preserve"> in stadiul metastatic care prezinta </w:t>
      </w:r>
      <w:r w:rsidRPr="00F941DA">
        <w:rPr>
          <w:i/>
          <w:iCs/>
          <w:color w:val="auto"/>
          <w:lang w:val="ro-RO"/>
        </w:rPr>
        <w:t>mutatii EGFR</w:t>
      </w:r>
    </w:p>
    <w:p w14:paraId="6458349D" w14:textId="77777777" w:rsidR="00C5117B" w:rsidRPr="00F941DA" w:rsidRDefault="00C5117B" w:rsidP="00D11DF1">
      <w:pPr>
        <w:pStyle w:val="Body"/>
        <w:numPr>
          <w:ilvl w:val="0"/>
          <w:numId w:val="253"/>
        </w:numPr>
        <w:tabs>
          <w:tab w:val="left" w:pos="567"/>
          <w:tab w:val="left" w:pos="709"/>
        </w:tabs>
        <w:spacing w:after="160" w:line="259" w:lineRule="auto"/>
        <w:ind w:hanging="419"/>
        <w:jc w:val="both"/>
        <w:rPr>
          <w:color w:val="auto"/>
          <w:lang w:val="ro-RO"/>
        </w:rPr>
      </w:pPr>
      <w:r w:rsidRPr="00F941DA">
        <w:rPr>
          <w:color w:val="auto"/>
          <w:lang w:val="ro-RO"/>
        </w:rPr>
        <w:t xml:space="preserve">Pacienţi cu </w:t>
      </w:r>
      <w:r w:rsidRPr="00F941DA">
        <w:rPr>
          <w:i/>
          <w:iCs/>
          <w:color w:val="auto"/>
          <w:lang w:val="ro-RO"/>
        </w:rPr>
        <w:t>cancer pulmonar fără celule mici</w:t>
      </w:r>
      <w:r w:rsidRPr="00F941DA">
        <w:rPr>
          <w:color w:val="auto"/>
          <w:lang w:val="ro-RO"/>
        </w:rPr>
        <w:t>, avansat local sau metastazat, la care boala progresat în timpul sau ulterior chimioterapiei pe bază de platină</w:t>
      </w:r>
    </w:p>
    <w:p w14:paraId="26E768EB" w14:textId="77777777" w:rsidR="00C5117B" w:rsidRPr="00F941DA" w:rsidRDefault="00C5117B" w:rsidP="00D11DF1">
      <w:pPr>
        <w:pStyle w:val="Body"/>
        <w:numPr>
          <w:ilvl w:val="0"/>
          <w:numId w:val="253"/>
        </w:numPr>
        <w:tabs>
          <w:tab w:val="left" w:pos="567"/>
          <w:tab w:val="left" w:pos="709"/>
        </w:tabs>
        <w:spacing w:after="160" w:line="259" w:lineRule="auto"/>
        <w:ind w:hanging="419"/>
        <w:jc w:val="both"/>
        <w:rPr>
          <w:color w:val="auto"/>
          <w:lang w:val="ro-RO"/>
        </w:rPr>
      </w:pPr>
      <w:r w:rsidRPr="00F941DA">
        <w:rPr>
          <w:color w:val="auto"/>
          <w:lang w:val="ro-RO"/>
        </w:rPr>
        <w:t>Vârsta &gt; 18 ani</w:t>
      </w:r>
    </w:p>
    <w:p w14:paraId="16B0B8D8" w14:textId="77777777" w:rsidR="00C5117B" w:rsidRPr="00F941DA" w:rsidRDefault="00C5117B" w:rsidP="00C5117B">
      <w:pPr>
        <w:pStyle w:val="Body"/>
        <w:spacing w:after="160" w:line="259" w:lineRule="auto"/>
        <w:jc w:val="both"/>
        <w:rPr>
          <w:b/>
          <w:bCs/>
          <w:color w:val="auto"/>
          <w:lang w:val="ro-RO"/>
        </w:rPr>
      </w:pPr>
      <w:r w:rsidRPr="00F941DA">
        <w:rPr>
          <w:b/>
          <w:bCs/>
          <w:color w:val="auto"/>
          <w:lang w:val="ro-RO"/>
        </w:rPr>
        <w:lastRenderedPageBreak/>
        <w:t>IV. Tratament şi mod de administrare</w:t>
      </w:r>
    </w:p>
    <w:p w14:paraId="14AFF629" w14:textId="77777777" w:rsidR="00C5117B" w:rsidRPr="00F941DA" w:rsidRDefault="00C5117B" w:rsidP="00C5117B">
      <w:pPr>
        <w:pStyle w:val="Body"/>
        <w:spacing w:after="160" w:line="259" w:lineRule="auto"/>
        <w:jc w:val="both"/>
        <w:rPr>
          <w:color w:val="auto"/>
          <w:u w:val="single"/>
          <w:lang w:val="ro-RO"/>
        </w:rPr>
      </w:pPr>
      <w:r w:rsidRPr="00F941DA">
        <w:rPr>
          <w:color w:val="auto"/>
          <w:u w:val="single"/>
          <w:lang w:val="ro-RO"/>
        </w:rPr>
        <w:t>A. Cancer gastric</w:t>
      </w:r>
    </w:p>
    <w:p w14:paraId="3D834582" w14:textId="24B23B53" w:rsidR="00C5117B" w:rsidRPr="00F941DA" w:rsidRDefault="00C5117B" w:rsidP="00C5117B">
      <w:pPr>
        <w:pStyle w:val="Body"/>
        <w:spacing w:after="160" w:line="259" w:lineRule="auto"/>
        <w:jc w:val="both"/>
        <w:rPr>
          <w:color w:val="auto"/>
          <w:u w:val="single"/>
          <w:lang w:val="ro-RO"/>
        </w:rPr>
      </w:pPr>
      <w:r w:rsidRPr="00F941DA">
        <w:rPr>
          <w:color w:val="auto"/>
          <w:u w:val="single"/>
          <w:lang w:val="ro-RO"/>
        </w:rPr>
        <w:t>Tratament de linia a II-a în combinaţie cu paclitaxel</w:t>
      </w:r>
    </w:p>
    <w:p w14:paraId="700E520F" w14:textId="77777777" w:rsidR="00C5117B" w:rsidRPr="00F941DA" w:rsidRDefault="00C5117B" w:rsidP="00C5117B">
      <w:pPr>
        <w:pStyle w:val="Body"/>
        <w:spacing w:after="160" w:line="259" w:lineRule="auto"/>
        <w:jc w:val="both"/>
        <w:rPr>
          <w:color w:val="auto"/>
          <w:lang w:val="ro-RO"/>
        </w:rPr>
      </w:pPr>
      <w:r w:rsidRPr="00F941DA">
        <w:rPr>
          <w:color w:val="auto"/>
          <w:lang w:val="ro-RO"/>
        </w:rPr>
        <w:t>Doza recomandată de ramucirumab este de 8 mg/kg în zilele 1 şi 15 ale unui ciclu de 28 de zile, înainte de administrarea perfuziei cu paclitaxel. Doza recomandată de paclitaxel este de 80 mg/m</w:t>
      </w:r>
      <w:r w:rsidRPr="00F941DA">
        <w:rPr>
          <w:color w:val="auto"/>
          <w:vertAlign w:val="superscript"/>
          <w:lang w:val="ro-RO"/>
        </w:rPr>
        <w:t>2</w:t>
      </w:r>
      <w:r w:rsidRPr="00F941DA">
        <w:rPr>
          <w:color w:val="auto"/>
          <w:lang w:val="ro-RO"/>
        </w:rPr>
        <w:t xml:space="preserve"> administrată în perfuzie intravenoasă pe durata a aproximativ 60 de minute în zilele 1, 8 şi 15 ale unui ciclu de 28 de zile. Înainte de fiecare perfuzie cu paclitaxel, pacienţilor trebuie să li se efectueze hemograma completă şi biochimia sangvină în vederea evaluării funcţiei hepatice.</w:t>
      </w:r>
    </w:p>
    <w:p w14:paraId="706EEE60" w14:textId="77777777" w:rsidR="00C5117B" w:rsidRPr="00F941DA" w:rsidRDefault="00C5117B" w:rsidP="00C5117B">
      <w:pPr>
        <w:pStyle w:val="Body"/>
        <w:spacing w:after="160" w:line="259" w:lineRule="auto"/>
        <w:jc w:val="both"/>
        <w:rPr>
          <w:color w:val="auto"/>
          <w:lang w:val="ro-RO"/>
        </w:rPr>
      </w:pPr>
      <w:r w:rsidRPr="00F941DA">
        <w:rPr>
          <w:color w:val="auto"/>
          <w:u w:val="single"/>
          <w:lang w:val="ro-RO"/>
        </w:rPr>
        <w:t>Tratament de linia a II-a în monoterapie</w:t>
      </w:r>
    </w:p>
    <w:p w14:paraId="6ABBCC7D" w14:textId="77777777" w:rsidR="00C5117B" w:rsidRPr="00F941DA" w:rsidRDefault="00C5117B" w:rsidP="00C5117B">
      <w:pPr>
        <w:pStyle w:val="Body"/>
        <w:spacing w:after="160" w:line="259" w:lineRule="auto"/>
        <w:jc w:val="both"/>
        <w:rPr>
          <w:color w:val="auto"/>
          <w:lang w:val="ro-RO"/>
        </w:rPr>
      </w:pPr>
      <w:r w:rsidRPr="00F941DA">
        <w:rPr>
          <w:color w:val="auto"/>
          <w:lang w:val="ro-RO"/>
        </w:rPr>
        <w:t>Doza recomandată de RAMUCIRUMAB în monoterapie este de 8 mg/kg la interval de 2 săptămâni. Se recomandă premedicaţie cu un antagonist al histaminei H1 (de exemplu difenhidramină) înainte de fiecare perfuzie de ramucirumab. Dacă un pacient prezintă o reacţie asociată administrării ramucirumab în perfuzie, de grad 1 sau 2, premedicaţia trebuie administrată cu ocazia tuturor perfuziilor ulterioare. Dacă un pacient prezintă o a doua reacţie asociată administrării ramucirumab în perfuzie (RAP) de grad 1 sau 2, se administrează dexametazonă (sau un echivalent); apoi, pentru perfuziile ulterioare, se administrează premedicaţie cu următoarele medicamente sau cu un echivalent al acestora: un antagonist al histaminei H1 cu administrare intravenoasă (de exemplu, difenhidramină clorhidrat), paracetamol şi dexametazonă.</w:t>
      </w:r>
    </w:p>
    <w:p w14:paraId="41A0BBBD" w14:textId="77777777" w:rsidR="00C5117B" w:rsidRPr="00F941DA" w:rsidRDefault="00C5117B" w:rsidP="00C5117B">
      <w:pPr>
        <w:pStyle w:val="Body"/>
        <w:spacing w:after="160" w:line="259" w:lineRule="auto"/>
        <w:jc w:val="both"/>
        <w:rPr>
          <w:color w:val="auto"/>
          <w:u w:val="single"/>
          <w:lang w:val="ro-RO"/>
        </w:rPr>
      </w:pPr>
      <w:r w:rsidRPr="00F941DA">
        <w:rPr>
          <w:color w:val="auto"/>
          <w:u w:val="single"/>
          <w:lang w:val="ro-RO"/>
        </w:rPr>
        <w:t>B. Carcinom hepatocelular metastatic</w:t>
      </w:r>
    </w:p>
    <w:p w14:paraId="4E4F23D1" w14:textId="77777777" w:rsidR="00C5117B" w:rsidRPr="00F941DA" w:rsidRDefault="00C5117B" w:rsidP="00C5117B">
      <w:pPr>
        <w:pStyle w:val="Body"/>
        <w:spacing w:after="160" w:line="259" w:lineRule="auto"/>
        <w:jc w:val="both"/>
        <w:rPr>
          <w:color w:val="auto"/>
          <w:lang w:val="ro-RO"/>
        </w:rPr>
      </w:pPr>
      <w:r w:rsidRPr="00F941DA">
        <w:rPr>
          <w:color w:val="auto"/>
          <w:lang w:val="ro-RO"/>
        </w:rPr>
        <w:t>Tratament de linia a II în monoterapie</w:t>
      </w:r>
    </w:p>
    <w:p w14:paraId="4D1DE0D1" w14:textId="77777777" w:rsidR="00C5117B" w:rsidRPr="00F941DA" w:rsidRDefault="00C5117B" w:rsidP="00C5117B">
      <w:pPr>
        <w:pStyle w:val="Body"/>
        <w:spacing w:after="160" w:line="259" w:lineRule="auto"/>
        <w:jc w:val="both"/>
        <w:rPr>
          <w:color w:val="auto"/>
          <w:lang w:val="ro-RO"/>
        </w:rPr>
      </w:pPr>
      <w:r w:rsidRPr="00F941DA">
        <w:rPr>
          <w:color w:val="auto"/>
          <w:lang w:val="ro-RO"/>
        </w:rPr>
        <w:t>Doza recomandată de ramucirumab în monoterapie este de 8 mg/kg la interval de 2 săptămâni. Pacienții cu CHC ar trebui selectați pe baza concentrației de AFP serică ≥ 400 ng/ml, având un test validat al AFP, înainte de începerea tratamentului cu ramucirumab</w:t>
      </w:r>
    </w:p>
    <w:p w14:paraId="0E468E3E" w14:textId="77777777" w:rsidR="00C5117B" w:rsidRPr="00F941DA" w:rsidRDefault="00C5117B" w:rsidP="00C5117B">
      <w:pPr>
        <w:pStyle w:val="Body"/>
        <w:spacing w:after="160" w:line="259" w:lineRule="auto"/>
        <w:jc w:val="both"/>
        <w:rPr>
          <w:color w:val="auto"/>
          <w:u w:val="single"/>
          <w:lang w:val="ro-RO"/>
        </w:rPr>
      </w:pPr>
      <w:r w:rsidRPr="00F941DA">
        <w:rPr>
          <w:color w:val="auto"/>
          <w:u w:val="single"/>
          <w:lang w:val="ro-RO"/>
        </w:rPr>
        <w:t>C. Cancer pulmonar fara celule mici cu mutații activatoare EGFR</w:t>
      </w:r>
    </w:p>
    <w:p w14:paraId="43CB8B9B" w14:textId="77777777" w:rsidR="00C5117B" w:rsidRPr="00F941DA" w:rsidRDefault="00C5117B" w:rsidP="00C5117B">
      <w:pPr>
        <w:pStyle w:val="Body"/>
        <w:spacing w:after="160" w:line="259" w:lineRule="auto"/>
        <w:jc w:val="both"/>
        <w:rPr>
          <w:color w:val="auto"/>
          <w:lang w:val="ro-RO"/>
        </w:rPr>
      </w:pPr>
      <w:r w:rsidRPr="00F941DA">
        <w:rPr>
          <w:color w:val="auto"/>
          <w:lang w:val="ro-RO"/>
        </w:rPr>
        <w:t>Tratament de linia I in combinație cu erlotinib</w:t>
      </w:r>
    </w:p>
    <w:p w14:paraId="72B7A427" w14:textId="77777777" w:rsidR="00C5117B" w:rsidRPr="00F941DA" w:rsidRDefault="00C5117B" w:rsidP="00C5117B">
      <w:pPr>
        <w:pStyle w:val="Body"/>
        <w:spacing w:after="160" w:line="259" w:lineRule="auto"/>
        <w:jc w:val="both"/>
        <w:rPr>
          <w:color w:val="auto"/>
          <w:lang w:val="ro-RO"/>
        </w:rPr>
      </w:pPr>
      <w:r w:rsidRPr="00F941DA">
        <w:rPr>
          <w:color w:val="auto"/>
          <w:lang w:val="ro-RO"/>
        </w:rPr>
        <w:t>Doza recomandată de ramucirumab în combinație cu erlotinib este de 10 mg/kg la interval de 2 săptămâni. Statusul mutației EGFR ar trebui determinat înainte de inițierea tratamentului cu ramucirumab și erlotinib, folosindu-se o metodă de testare validată. Doza si modalitatea de administrare pentru erlotinib sunt cele standard – prevăzute in protocolul acestui produs.</w:t>
      </w:r>
    </w:p>
    <w:p w14:paraId="0A216D20" w14:textId="77777777" w:rsidR="00C5117B" w:rsidRPr="00F941DA" w:rsidRDefault="00C5117B" w:rsidP="00C5117B">
      <w:pPr>
        <w:pStyle w:val="Body"/>
        <w:spacing w:after="160" w:line="259" w:lineRule="auto"/>
        <w:jc w:val="both"/>
        <w:rPr>
          <w:color w:val="auto"/>
          <w:u w:val="single"/>
          <w:lang w:val="ro-RO"/>
        </w:rPr>
      </w:pPr>
      <w:r w:rsidRPr="00F941DA">
        <w:rPr>
          <w:color w:val="auto"/>
          <w:u w:val="single"/>
          <w:lang w:val="ro-RO"/>
        </w:rPr>
        <w:t>D. Cancer pulmonar fără celule mici, avansat local sau metastazat, la care boala progresat în timpul sau ulterior chimioterapiei pe bază de platină</w:t>
      </w:r>
    </w:p>
    <w:p w14:paraId="3F6408F7" w14:textId="77777777" w:rsidR="00C5117B" w:rsidRPr="00F941DA" w:rsidRDefault="00C5117B" w:rsidP="00C5117B">
      <w:pPr>
        <w:pStyle w:val="Body"/>
        <w:spacing w:after="160" w:line="259" w:lineRule="auto"/>
        <w:jc w:val="both"/>
        <w:rPr>
          <w:color w:val="auto"/>
          <w:lang w:val="ro-RO"/>
        </w:rPr>
      </w:pPr>
      <w:r w:rsidRPr="00F941DA">
        <w:rPr>
          <w:color w:val="auto"/>
          <w:lang w:val="ro-RO"/>
        </w:rPr>
        <w:t>Tratament de linia a II în combinație cu docetaxel</w:t>
      </w:r>
    </w:p>
    <w:p w14:paraId="7BB8C93D" w14:textId="77777777" w:rsidR="00C5117B" w:rsidRPr="00F941DA" w:rsidRDefault="00C5117B" w:rsidP="00C5117B">
      <w:pPr>
        <w:pStyle w:val="Body"/>
        <w:spacing w:after="160" w:line="259" w:lineRule="auto"/>
        <w:jc w:val="both"/>
        <w:rPr>
          <w:color w:val="auto"/>
          <w:lang w:val="ro-RO"/>
        </w:rPr>
      </w:pPr>
      <w:r w:rsidRPr="00F941DA">
        <w:rPr>
          <w:color w:val="auto"/>
          <w:lang w:val="ro-RO"/>
        </w:rPr>
        <w:t>Doza recomandată de ramucirumab este de 10 mg/kg administrată prin perfuzie intravenoasă timp de 60 de minute în ziua 1 a unui ciclu de 21 de zile înainte de perfuzia cu docetaxel. Dacă prima perfuzie este tolerată, toate perfuziile ulterioare cu ramucirumab pot fi administrate în decurs de 30 de minute</w:t>
      </w:r>
    </w:p>
    <w:p w14:paraId="7B0D1D5F" w14:textId="77777777" w:rsidR="00C5117B" w:rsidRPr="00F941DA" w:rsidRDefault="00C5117B" w:rsidP="00C5117B">
      <w:pPr>
        <w:pStyle w:val="Body"/>
        <w:spacing w:line="259" w:lineRule="auto"/>
        <w:jc w:val="both"/>
        <w:rPr>
          <w:b/>
          <w:bCs/>
          <w:color w:val="auto"/>
          <w:lang w:val="ro-RO"/>
        </w:rPr>
      </w:pPr>
      <w:r w:rsidRPr="00F941DA">
        <w:rPr>
          <w:b/>
          <w:bCs/>
          <w:color w:val="auto"/>
          <w:lang w:val="ro-RO"/>
        </w:rPr>
        <w:t>V. Criterii de excludere din tratament</w:t>
      </w:r>
    </w:p>
    <w:p w14:paraId="412CBB39" w14:textId="77777777" w:rsidR="00C5117B" w:rsidRPr="00F941DA" w:rsidRDefault="00C5117B" w:rsidP="00D11DF1">
      <w:pPr>
        <w:pStyle w:val="Body"/>
        <w:numPr>
          <w:ilvl w:val="0"/>
          <w:numId w:val="255"/>
        </w:numPr>
        <w:spacing w:after="160" w:line="259" w:lineRule="auto"/>
        <w:jc w:val="both"/>
        <w:rPr>
          <w:color w:val="auto"/>
          <w:lang w:val="ro-RO"/>
        </w:rPr>
      </w:pPr>
      <w:r w:rsidRPr="00F941DA">
        <w:rPr>
          <w:color w:val="auto"/>
          <w:lang w:val="ro-RO"/>
        </w:rPr>
        <w:t xml:space="preserve">Hipersensibilitate la substanţa activă sau la oricare dintre excipienţi </w:t>
      </w:r>
    </w:p>
    <w:p w14:paraId="6C176155" w14:textId="77777777" w:rsidR="00C5117B" w:rsidRPr="00F941DA" w:rsidRDefault="00C5117B" w:rsidP="00D11DF1">
      <w:pPr>
        <w:pStyle w:val="Body"/>
        <w:numPr>
          <w:ilvl w:val="0"/>
          <w:numId w:val="255"/>
        </w:numPr>
        <w:spacing w:after="160" w:line="259" w:lineRule="auto"/>
        <w:jc w:val="both"/>
        <w:rPr>
          <w:color w:val="auto"/>
          <w:lang w:val="ro-RO"/>
        </w:rPr>
      </w:pPr>
      <w:r w:rsidRPr="00F941DA">
        <w:rPr>
          <w:color w:val="auto"/>
          <w:lang w:val="ro-RO"/>
        </w:rPr>
        <w:t>La pacienții cu cancer pulmonar fără celule mici, ramucirumab este contraindicat dacă apar cavități la nivelul tumorii sau tumora a atins vase majore de sânge</w:t>
      </w:r>
    </w:p>
    <w:p w14:paraId="57FDDBBC" w14:textId="77777777" w:rsidR="00C5117B" w:rsidRPr="00F941DA" w:rsidRDefault="00C5117B" w:rsidP="00C5117B">
      <w:pPr>
        <w:pStyle w:val="Body"/>
        <w:spacing w:line="259" w:lineRule="auto"/>
        <w:jc w:val="both"/>
        <w:rPr>
          <w:b/>
          <w:bCs/>
          <w:color w:val="auto"/>
          <w:lang w:val="ro-RO"/>
        </w:rPr>
      </w:pPr>
      <w:r w:rsidRPr="00F941DA">
        <w:rPr>
          <w:b/>
          <w:bCs/>
          <w:color w:val="auto"/>
          <w:lang w:val="ro-RO"/>
        </w:rPr>
        <w:t>VI. Monitorizarea tratamentului:</w:t>
      </w:r>
    </w:p>
    <w:p w14:paraId="40E39DD4" w14:textId="77777777" w:rsidR="00C5117B" w:rsidRPr="00F941DA" w:rsidRDefault="00C5117B" w:rsidP="00C5117B">
      <w:pPr>
        <w:pStyle w:val="Body"/>
        <w:spacing w:after="160" w:line="259" w:lineRule="auto"/>
        <w:jc w:val="both"/>
        <w:rPr>
          <w:color w:val="auto"/>
          <w:lang w:val="ro-RO"/>
        </w:rPr>
      </w:pPr>
      <w:bookmarkStart w:id="1" w:name="_Hlk150087978"/>
      <w:r w:rsidRPr="00F941DA">
        <w:rPr>
          <w:color w:val="auto"/>
          <w:lang w:val="ro-RO"/>
        </w:rPr>
        <w:t>Pentru administrarea în combinație cu paclitaxel trebuie îndeplinite următoarele criterii înainte de administrarea paclitaxel</w:t>
      </w: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5"/>
        <w:gridCol w:w="4959"/>
      </w:tblGrid>
      <w:tr w:rsidR="00C5117B" w:rsidRPr="00F941DA" w14:paraId="758FD4E0" w14:textId="77777777" w:rsidTr="00E74F9B">
        <w:trPr>
          <w:trHeight w:val="30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AA262" w14:textId="77777777" w:rsidR="00C5117B" w:rsidRPr="00F941DA" w:rsidRDefault="00C5117B" w:rsidP="00E74F9B"/>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477AC" w14:textId="77777777" w:rsidR="00C5117B" w:rsidRPr="00F941DA" w:rsidRDefault="00C5117B" w:rsidP="00E74F9B">
            <w:pPr>
              <w:pStyle w:val="Body"/>
              <w:jc w:val="both"/>
              <w:rPr>
                <w:color w:val="auto"/>
                <w:lang w:val="ro-RO"/>
              </w:rPr>
            </w:pPr>
            <w:r w:rsidRPr="00F941DA">
              <w:rPr>
                <w:b/>
                <w:bCs/>
                <w:color w:val="auto"/>
                <w:sz w:val="20"/>
                <w:szCs w:val="20"/>
                <w:lang w:val="ro-RO"/>
              </w:rPr>
              <w:t>Criterii</w:t>
            </w:r>
          </w:p>
        </w:tc>
      </w:tr>
      <w:tr w:rsidR="00C5117B" w:rsidRPr="00F941DA" w14:paraId="1DDC68BA" w14:textId="77777777" w:rsidTr="00E74F9B">
        <w:trPr>
          <w:trHeight w:val="4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69BF3" w14:textId="77777777" w:rsidR="00C5117B" w:rsidRPr="00F941DA" w:rsidRDefault="00C5117B" w:rsidP="00E74F9B">
            <w:pPr>
              <w:pStyle w:val="Body"/>
              <w:tabs>
                <w:tab w:val="left" w:pos="1670"/>
              </w:tabs>
              <w:jc w:val="both"/>
              <w:rPr>
                <w:color w:val="auto"/>
                <w:lang w:val="ro-RO"/>
              </w:rPr>
            </w:pPr>
            <w:r w:rsidRPr="00F941DA">
              <w:rPr>
                <w:color w:val="auto"/>
                <w:sz w:val="20"/>
                <w:szCs w:val="20"/>
                <w:lang w:val="ro-RO"/>
              </w:rPr>
              <w:t>Neutrofile</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97573" w14:textId="77777777" w:rsidR="00C5117B" w:rsidRPr="00F941DA" w:rsidRDefault="00C5117B" w:rsidP="00E74F9B">
            <w:pPr>
              <w:pStyle w:val="Body"/>
              <w:jc w:val="both"/>
              <w:rPr>
                <w:color w:val="auto"/>
                <w:sz w:val="20"/>
                <w:szCs w:val="20"/>
                <w:lang w:val="ro-RO"/>
              </w:rPr>
            </w:pPr>
            <w:r w:rsidRPr="00F941DA">
              <w:rPr>
                <w:b/>
                <w:bCs/>
                <w:color w:val="auto"/>
                <w:sz w:val="20"/>
                <w:szCs w:val="20"/>
                <w:lang w:val="ro-RO"/>
              </w:rPr>
              <w:t>Ziua 1</w:t>
            </w:r>
            <w:r w:rsidRPr="00F941DA">
              <w:rPr>
                <w:color w:val="auto"/>
                <w:sz w:val="20"/>
                <w:szCs w:val="20"/>
                <w:lang w:val="ro-RO"/>
              </w:rPr>
              <w:t>: ≥ 1,5 x 10</w:t>
            </w:r>
            <w:r w:rsidRPr="00F941DA">
              <w:rPr>
                <w:color w:val="auto"/>
                <w:sz w:val="20"/>
                <w:szCs w:val="20"/>
                <w:vertAlign w:val="superscript"/>
                <w:lang w:val="ro-RO"/>
              </w:rPr>
              <w:t>9</w:t>
            </w:r>
            <w:r w:rsidRPr="00F941DA">
              <w:rPr>
                <w:color w:val="auto"/>
                <w:sz w:val="20"/>
                <w:szCs w:val="20"/>
                <w:lang w:val="ro-RO"/>
              </w:rPr>
              <w:t xml:space="preserve">/L </w:t>
            </w:r>
          </w:p>
          <w:p w14:paraId="131B6AC9" w14:textId="77777777" w:rsidR="00C5117B" w:rsidRPr="00F941DA" w:rsidRDefault="00C5117B" w:rsidP="00E74F9B">
            <w:pPr>
              <w:pStyle w:val="Body"/>
              <w:jc w:val="both"/>
              <w:rPr>
                <w:color w:val="auto"/>
                <w:lang w:val="ro-RO"/>
              </w:rPr>
            </w:pPr>
            <w:r w:rsidRPr="00F941DA">
              <w:rPr>
                <w:b/>
                <w:bCs/>
                <w:color w:val="auto"/>
                <w:sz w:val="20"/>
                <w:szCs w:val="20"/>
                <w:lang w:val="ro-RO"/>
              </w:rPr>
              <w:t>Zilele 8 şi 15</w:t>
            </w:r>
            <w:r w:rsidRPr="00F941DA">
              <w:rPr>
                <w:color w:val="auto"/>
                <w:sz w:val="20"/>
                <w:szCs w:val="20"/>
                <w:lang w:val="ro-RO"/>
              </w:rPr>
              <w:t>: ≥ 1,0 x 10</w:t>
            </w:r>
            <w:r w:rsidRPr="00F941DA">
              <w:rPr>
                <w:color w:val="auto"/>
                <w:sz w:val="20"/>
                <w:szCs w:val="20"/>
                <w:vertAlign w:val="superscript"/>
                <w:lang w:val="ro-RO"/>
              </w:rPr>
              <w:t>9</w:t>
            </w:r>
            <w:r w:rsidRPr="00F941DA">
              <w:rPr>
                <w:color w:val="auto"/>
                <w:sz w:val="20"/>
                <w:szCs w:val="20"/>
                <w:lang w:val="ro-RO"/>
              </w:rPr>
              <w:t xml:space="preserve">/L  </w:t>
            </w:r>
          </w:p>
        </w:tc>
      </w:tr>
      <w:tr w:rsidR="00C5117B" w:rsidRPr="00F941DA" w14:paraId="5C378902" w14:textId="77777777" w:rsidTr="00E74F9B">
        <w:trPr>
          <w:trHeight w:val="4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A7AE4" w14:textId="77777777" w:rsidR="00C5117B" w:rsidRPr="00F941DA" w:rsidRDefault="00C5117B" w:rsidP="00E74F9B">
            <w:pPr>
              <w:pStyle w:val="Body"/>
              <w:jc w:val="both"/>
              <w:rPr>
                <w:color w:val="auto"/>
                <w:lang w:val="ro-RO"/>
              </w:rPr>
            </w:pPr>
            <w:r w:rsidRPr="00F941DA">
              <w:rPr>
                <w:color w:val="auto"/>
                <w:sz w:val="20"/>
                <w:szCs w:val="20"/>
                <w:lang w:val="ro-RO"/>
              </w:rPr>
              <w:t>Trombocite</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95611" w14:textId="77777777" w:rsidR="00C5117B" w:rsidRPr="00F941DA" w:rsidRDefault="00C5117B" w:rsidP="00E74F9B">
            <w:pPr>
              <w:pStyle w:val="Body"/>
              <w:jc w:val="both"/>
              <w:rPr>
                <w:color w:val="auto"/>
                <w:sz w:val="20"/>
                <w:szCs w:val="20"/>
                <w:lang w:val="ro-RO"/>
              </w:rPr>
            </w:pPr>
            <w:r w:rsidRPr="00F941DA">
              <w:rPr>
                <w:b/>
                <w:bCs/>
                <w:color w:val="auto"/>
                <w:sz w:val="20"/>
                <w:szCs w:val="20"/>
                <w:lang w:val="ro-RO"/>
              </w:rPr>
              <w:t>Ziua 1</w:t>
            </w:r>
            <w:r w:rsidRPr="00F941DA">
              <w:rPr>
                <w:color w:val="auto"/>
                <w:sz w:val="20"/>
                <w:szCs w:val="20"/>
                <w:lang w:val="ro-RO"/>
              </w:rPr>
              <w:t>: ≥ 100 x 10</w:t>
            </w:r>
            <w:r w:rsidRPr="00F941DA">
              <w:rPr>
                <w:color w:val="auto"/>
                <w:sz w:val="20"/>
                <w:szCs w:val="20"/>
                <w:vertAlign w:val="superscript"/>
                <w:lang w:val="ro-RO"/>
              </w:rPr>
              <w:t>9</w:t>
            </w:r>
            <w:r w:rsidRPr="00F941DA">
              <w:rPr>
                <w:color w:val="auto"/>
                <w:sz w:val="20"/>
                <w:szCs w:val="20"/>
                <w:lang w:val="ro-RO"/>
              </w:rPr>
              <w:t xml:space="preserve">/L </w:t>
            </w:r>
          </w:p>
          <w:p w14:paraId="20A7B0D4" w14:textId="77777777" w:rsidR="00C5117B" w:rsidRPr="00F941DA" w:rsidRDefault="00C5117B" w:rsidP="00E74F9B">
            <w:pPr>
              <w:pStyle w:val="Body"/>
              <w:jc w:val="both"/>
              <w:rPr>
                <w:color w:val="auto"/>
                <w:lang w:val="ro-RO"/>
              </w:rPr>
            </w:pPr>
            <w:r w:rsidRPr="00F941DA">
              <w:rPr>
                <w:b/>
                <w:bCs/>
                <w:color w:val="auto"/>
                <w:sz w:val="20"/>
                <w:szCs w:val="20"/>
                <w:lang w:val="ro-RO"/>
              </w:rPr>
              <w:t>Zilele 8 şi 15:</w:t>
            </w:r>
            <w:r w:rsidRPr="00F941DA">
              <w:rPr>
                <w:color w:val="auto"/>
                <w:sz w:val="20"/>
                <w:szCs w:val="20"/>
                <w:lang w:val="ro-RO"/>
              </w:rPr>
              <w:t xml:space="preserve"> ≥ 75 x 10</w:t>
            </w:r>
            <w:r w:rsidRPr="00F941DA">
              <w:rPr>
                <w:color w:val="auto"/>
                <w:sz w:val="20"/>
                <w:szCs w:val="20"/>
                <w:vertAlign w:val="superscript"/>
                <w:lang w:val="ro-RO"/>
              </w:rPr>
              <w:t>9</w:t>
            </w:r>
            <w:r w:rsidRPr="00F941DA">
              <w:rPr>
                <w:color w:val="auto"/>
                <w:sz w:val="20"/>
                <w:szCs w:val="20"/>
                <w:lang w:val="ro-RO"/>
              </w:rPr>
              <w:t>/L</w:t>
            </w:r>
          </w:p>
        </w:tc>
      </w:tr>
      <w:tr w:rsidR="00C5117B" w:rsidRPr="00F941DA" w14:paraId="0C1EAE11" w14:textId="77777777" w:rsidTr="00E74F9B">
        <w:trPr>
          <w:trHeight w:val="2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00351" w14:textId="77777777" w:rsidR="00C5117B" w:rsidRPr="00F941DA" w:rsidRDefault="00C5117B" w:rsidP="00E74F9B">
            <w:pPr>
              <w:pStyle w:val="Body"/>
              <w:jc w:val="both"/>
              <w:rPr>
                <w:color w:val="auto"/>
                <w:lang w:val="ro-RO"/>
              </w:rPr>
            </w:pPr>
            <w:r w:rsidRPr="00F941DA">
              <w:rPr>
                <w:color w:val="auto"/>
                <w:sz w:val="20"/>
                <w:szCs w:val="20"/>
                <w:lang w:val="ro-RO"/>
              </w:rPr>
              <w:t>Bilirubină</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225B" w14:textId="77777777" w:rsidR="00C5117B" w:rsidRPr="00F941DA" w:rsidRDefault="00C5117B" w:rsidP="00E74F9B">
            <w:pPr>
              <w:pStyle w:val="Body"/>
              <w:jc w:val="both"/>
              <w:rPr>
                <w:color w:val="auto"/>
                <w:lang w:val="ro-RO"/>
              </w:rPr>
            </w:pPr>
            <w:r w:rsidRPr="00F941DA">
              <w:rPr>
                <w:color w:val="auto"/>
                <w:sz w:val="20"/>
                <w:szCs w:val="20"/>
                <w:lang w:val="ro-RO"/>
              </w:rPr>
              <w:t xml:space="preserve"> ≤ 1,5 x limita superioară a valorilor normale (LSVN)</w:t>
            </w:r>
          </w:p>
        </w:tc>
      </w:tr>
      <w:tr w:rsidR="00C5117B" w:rsidRPr="00F941DA" w14:paraId="10595FED" w14:textId="77777777" w:rsidTr="00E74F9B">
        <w:trPr>
          <w:trHeight w:val="4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86DB6" w14:textId="77777777" w:rsidR="00C5117B" w:rsidRPr="00F941DA" w:rsidRDefault="00C5117B" w:rsidP="00E74F9B">
            <w:pPr>
              <w:pStyle w:val="Body"/>
              <w:jc w:val="both"/>
              <w:rPr>
                <w:color w:val="auto"/>
                <w:sz w:val="20"/>
                <w:szCs w:val="20"/>
                <w:lang w:val="ro-RO"/>
              </w:rPr>
            </w:pPr>
            <w:r w:rsidRPr="00F941DA">
              <w:rPr>
                <w:color w:val="auto"/>
                <w:sz w:val="20"/>
                <w:szCs w:val="20"/>
                <w:lang w:val="ro-RO"/>
              </w:rPr>
              <w:t>Aspartataminotransferaza (AST)/</w:t>
            </w:r>
          </w:p>
          <w:p w14:paraId="2E65A70D" w14:textId="77777777" w:rsidR="00C5117B" w:rsidRPr="00F941DA" w:rsidRDefault="00C5117B" w:rsidP="00E74F9B">
            <w:pPr>
              <w:pStyle w:val="Body"/>
              <w:jc w:val="both"/>
              <w:rPr>
                <w:color w:val="auto"/>
                <w:lang w:val="ro-RO"/>
              </w:rPr>
            </w:pPr>
            <w:r w:rsidRPr="00F941DA">
              <w:rPr>
                <w:color w:val="auto"/>
                <w:sz w:val="20"/>
                <w:szCs w:val="20"/>
                <w:lang w:val="ro-RO"/>
              </w:rPr>
              <w:t>Alaninaminotransferaza (ALT)</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65F97" w14:textId="77777777" w:rsidR="00C5117B" w:rsidRPr="00F941DA" w:rsidRDefault="00C5117B" w:rsidP="00E74F9B">
            <w:pPr>
              <w:pStyle w:val="Body"/>
              <w:jc w:val="both"/>
              <w:rPr>
                <w:color w:val="auto"/>
                <w:sz w:val="20"/>
                <w:szCs w:val="20"/>
                <w:lang w:val="ro-RO"/>
              </w:rPr>
            </w:pPr>
            <w:r w:rsidRPr="00F941DA">
              <w:rPr>
                <w:b/>
                <w:bCs/>
                <w:color w:val="auto"/>
                <w:sz w:val="20"/>
                <w:szCs w:val="20"/>
                <w:lang w:val="ro-RO"/>
              </w:rPr>
              <w:t>Fără metastaze hepatice</w:t>
            </w:r>
            <w:r w:rsidRPr="00F941DA">
              <w:rPr>
                <w:color w:val="auto"/>
                <w:sz w:val="20"/>
                <w:szCs w:val="20"/>
                <w:lang w:val="ro-RO"/>
              </w:rPr>
              <w:t xml:space="preserve">: ALT/AST ≤ 3 x LSVN </w:t>
            </w:r>
          </w:p>
          <w:p w14:paraId="314DCA5F" w14:textId="77777777" w:rsidR="00C5117B" w:rsidRPr="00F941DA" w:rsidRDefault="00C5117B" w:rsidP="00E74F9B">
            <w:pPr>
              <w:pStyle w:val="Body"/>
              <w:jc w:val="both"/>
              <w:rPr>
                <w:color w:val="auto"/>
                <w:lang w:val="ro-RO"/>
              </w:rPr>
            </w:pPr>
            <w:r w:rsidRPr="00F941DA">
              <w:rPr>
                <w:b/>
                <w:bCs/>
                <w:color w:val="auto"/>
                <w:sz w:val="20"/>
                <w:szCs w:val="20"/>
                <w:lang w:val="ro-RO"/>
              </w:rPr>
              <w:t>Cu metastaze hepatice</w:t>
            </w:r>
            <w:r w:rsidRPr="00F941DA">
              <w:rPr>
                <w:color w:val="auto"/>
                <w:sz w:val="20"/>
                <w:szCs w:val="20"/>
                <w:lang w:val="ro-RO"/>
              </w:rPr>
              <w:t>: ALT/AST ≤ 5 x LSVN</w:t>
            </w:r>
          </w:p>
        </w:tc>
      </w:tr>
    </w:tbl>
    <w:p w14:paraId="4FC1D087" w14:textId="77777777" w:rsidR="00C5117B" w:rsidRPr="00F941DA" w:rsidRDefault="00C5117B" w:rsidP="00C5117B">
      <w:pPr>
        <w:pStyle w:val="Body"/>
        <w:widowControl w:val="0"/>
        <w:spacing w:after="160"/>
        <w:jc w:val="both"/>
        <w:rPr>
          <w:color w:val="auto"/>
          <w:lang w:val="ro-RO"/>
        </w:rPr>
      </w:pPr>
    </w:p>
    <w:p w14:paraId="5969A52E" w14:textId="77777777" w:rsidR="00C5117B" w:rsidRPr="00F941DA" w:rsidRDefault="00C5117B" w:rsidP="00C5117B">
      <w:pPr>
        <w:pStyle w:val="Body"/>
        <w:spacing w:after="160" w:line="259" w:lineRule="auto"/>
        <w:jc w:val="both"/>
        <w:rPr>
          <w:color w:val="auto"/>
          <w:lang w:val="ro-RO"/>
        </w:rPr>
      </w:pPr>
      <w:r w:rsidRPr="00F941DA">
        <w:rPr>
          <w:color w:val="auto"/>
          <w:lang w:val="ro-RO"/>
        </w:rPr>
        <w:t>În cazul în care criteriile de mai sus nu sunt îndeplinite, se poate administra ramucirumab în monoterapie.</w:t>
      </w:r>
    </w:p>
    <w:p w14:paraId="44F2C342" w14:textId="77777777" w:rsidR="00C5117B" w:rsidRPr="00F941DA" w:rsidRDefault="00C5117B" w:rsidP="00C5117B">
      <w:pPr>
        <w:pStyle w:val="Body"/>
        <w:spacing w:after="160" w:line="259" w:lineRule="auto"/>
        <w:jc w:val="both"/>
        <w:rPr>
          <w:color w:val="auto"/>
          <w:lang w:val="ro-RO"/>
        </w:rPr>
      </w:pPr>
      <w:r w:rsidRPr="00F941DA">
        <w:rPr>
          <w:color w:val="auto"/>
          <w:lang w:val="ro-RO"/>
        </w:rPr>
        <w:t>Pentru administrarea în combinație cu docetaxel trebuie îndeplinite următoarele criterii înainte de administrarea docetaxel</w:t>
      </w: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5"/>
        <w:gridCol w:w="4959"/>
      </w:tblGrid>
      <w:tr w:rsidR="00C5117B" w:rsidRPr="00F941DA" w14:paraId="78AE36AE" w14:textId="77777777" w:rsidTr="00E74F9B">
        <w:trPr>
          <w:trHeight w:val="2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83E2" w14:textId="77777777" w:rsidR="00C5117B" w:rsidRPr="00F941DA" w:rsidRDefault="00C5117B" w:rsidP="00E74F9B"/>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544D4" w14:textId="77777777" w:rsidR="00C5117B" w:rsidRPr="00F941DA" w:rsidRDefault="00C5117B" w:rsidP="00E74F9B">
            <w:pPr>
              <w:pStyle w:val="Body"/>
              <w:jc w:val="both"/>
              <w:rPr>
                <w:color w:val="auto"/>
                <w:lang w:val="ro-RO"/>
              </w:rPr>
            </w:pPr>
            <w:r w:rsidRPr="00F941DA">
              <w:rPr>
                <w:b/>
                <w:bCs/>
                <w:color w:val="auto"/>
                <w:sz w:val="20"/>
                <w:szCs w:val="20"/>
                <w:lang w:val="ro-RO"/>
              </w:rPr>
              <w:t>Criterii</w:t>
            </w:r>
          </w:p>
        </w:tc>
      </w:tr>
      <w:tr w:rsidR="00C5117B" w:rsidRPr="00F941DA" w14:paraId="18C0E562" w14:textId="77777777" w:rsidTr="00E74F9B">
        <w:trPr>
          <w:trHeight w:val="2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49DDB" w14:textId="77777777" w:rsidR="00C5117B" w:rsidRPr="00F941DA" w:rsidRDefault="00C5117B" w:rsidP="00E74F9B">
            <w:pPr>
              <w:pStyle w:val="Body"/>
              <w:tabs>
                <w:tab w:val="left" w:pos="1670"/>
              </w:tabs>
              <w:jc w:val="both"/>
              <w:rPr>
                <w:color w:val="auto"/>
                <w:lang w:val="ro-RO"/>
              </w:rPr>
            </w:pPr>
            <w:r w:rsidRPr="00F941DA">
              <w:rPr>
                <w:color w:val="auto"/>
                <w:sz w:val="20"/>
                <w:szCs w:val="20"/>
                <w:lang w:val="ro-RO"/>
              </w:rPr>
              <w:t>Neutrofile</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8C315" w14:textId="77777777" w:rsidR="00C5117B" w:rsidRPr="00F941DA" w:rsidRDefault="00C5117B" w:rsidP="00E74F9B">
            <w:pPr>
              <w:pStyle w:val="Body"/>
              <w:jc w:val="both"/>
              <w:rPr>
                <w:color w:val="auto"/>
                <w:lang w:val="ro-RO"/>
              </w:rPr>
            </w:pPr>
            <w:r w:rsidRPr="00F941DA">
              <w:rPr>
                <w:b/>
                <w:bCs/>
                <w:color w:val="auto"/>
                <w:sz w:val="20"/>
                <w:szCs w:val="20"/>
                <w:lang w:val="ro-RO"/>
              </w:rPr>
              <w:t>Ziua 1</w:t>
            </w:r>
            <w:r w:rsidRPr="00F941DA">
              <w:rPr>
                <w:color w:val="auto"/>
                <w:sz w:val="20"/>
                <w:szCs w:val="20"/>
                <w:lang w:val="ro-RO"/>
              </w:rPr>
              <w:t>: ≥ 1,5 x 10</w:t>
            </w:r>
            <w:r w:rsidRPr="00F941DA">
              <w:rPr>
                <w:color w:val="auto"/>
                <w:sz w:val="20"/>
                <w:szCs w:val="20"/>
                <w:vertAlign w:val="superscript"/>
                <w:lang w:val="ro-RO"/>
              </w:rPr>
              <w:t>9</w:t>
            </w:r>
            <w:r w:rsidRPr="00F941DA">
              <w:rPr>
                <w:color w:val="auto"/>
                <w:sz w:val="20"/>
                <w:szCs w:val="20"/>
                <w:lang w:val="ro-RO"/>
              </w:rPr>
              <w:t xml:space="preserve">/L </w:t>
            </w:r>
          </w:p>
        </w:tc>
      </w:tr>
      <w:tr w:rsidR="00C5117B" w:rsidRPr="00F941DA" w14:paraId="4B465813" w14:textId="77777777" w:rsidTr="00E74F9B">
        <w:trPr>
          <w:trHeight w:val="2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91AE" w14:textId="77777777" w:rsidR="00C5117B" w:rsidRPr="00F941DA" w:rsidRDefault="00C5117B" w:rsidP="00E74F9B">
            <w:pPr>
              <w:pStyle w:val="Body"/>
              <w:jc w:val="both"/>
              <w:rPr>
                <w:color w:val="auto"/>
                <w:lang w:val="ro-RO"/>
              </w:rPr>
            </w:pPr>
            <w:r w:rsidRPr="00F941DA">
              <w:rPr>
                <w:color w:val="auto"/>
                <w:sz w:val="20"/>
                <w:szCs w:val="20"/>
                <w:lang w:val="ro-RO"/>
              </w:rPr>
              <w:t>Trombocite</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D9914" w14:textId="77777777" w:rsidR="00C5117B" w:rsidRPr="00F941DA" w:rsidRDefault="00C5117B" w:rsidP="00E74F9B">
            <w:pPr>
              <w:pStyle w:val="Body"/>
              <w:jc w:val="both"/>
              <w:rPr>
                <w:color w:val="auto"/>
                <w:lang w:val="ro-RO"/>
              </w:rPr>
            </w:pPr>
            <w:r w:rsidRPr="00F941DA">
              <w:rPr>
                <w:b/>
                <w:bCs/>
                <w:color w:val="auto"/>
                <w:sz w:val="20"/>
                <w:szCs w:val="20"/>
                <w:lang w:val="ro-RO"/>
              </w:rPr>
              <w:t>Ziua 1</w:t>
            </w:r>
            <w:r w:rsidRPr="00F941DA">
              <w:rPr>
                <w:color w:val="auto"/>
                <w:sz w:val="20"/>
                <w:szCs w:val="20"/>
                <w:lang w:val="ro-RO"/>
              </w:rPr>
              <w:t>: ≥ 100 x 10</w:t>
            </w:r>
            <w:r w:rsidRPr="00F941DA">
              <w:rPr>
                <w:color w:val="auto"/>
                <w:sz w:val="20"/>
                <w:szCs w:val="20"/>
                <w:vertAlign w:val="superscript"/>
                <w:lang w:val="ro-RO"/>
              </w:rPr>
              <w:t>9</w:t>
            </w:r>
            <w:r w:rsidRPr="00F941DA">
              <w:rPr>
                <w:color w:val="auto"/>
                <w:sz w:val="20"/>
                <w:szCs w:val="20"/>
                <w:lang w:val="ro-RO"/>
              </w:rPr>
              <w:t xml:space="preserve">/L </w:t>
            </w:r>
          </w:p>
        </w:tc>
      </w:tr>
      <w:tr w:rsidR="00C5117B" w:rsidRPr="00F941DA" w14:paraId="0F2F5E84" w14:textId="77777777" w:rsidTr="00E74F9B">
        <w:trPr>
          <w:trHeight w:val="2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DB980" w14:textId="77777777" w:rsidR="00C5117B" w:rsidRPr="00F941DA" w:rsidRDefault="00C5117B" w:rsidP="00E74F9B">
            <w:pPr>
              <w:pStyle w:val="Body"/>
              <w:jc w:val="both"/>
              <w:rPr>
                <w:color w:val="auto"/>
                <w:lang w:val="ro-RO"/>
              </w:rPr>
            </w:pPr>
            <w:r w:rsidRPr="00F941DA">
              <w:rPr>
                <w:color w:val="auto"/>
                <w:sz w:val="20"/>
                <w:szCs w:val="20"/>
                <w:lang w:val="ro-RO"/>
              </w:rPr>
              <w:t>Bilirubină</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25337" w14:textId="77777777" w:rsidR="00C5117B" w:rsidRPr="00F941DA" w:rsidRDefault="00C5117B" w:rsidP="00E74F9B">
            <w:pPr>
              <w:pStyle w:val="Body"/>
              <w:jc w:val="both"/>
              <w:rPr>
                <w:color w:val="auto"/>
                <w:lang w:val="ro-RO"/>
              </w:rPr>
            </w:pPr>
            <w:r w:rsidRPr="00F941DA">
              <w:rPr>
                <w:color w:val="auto"/>
                <w:sz w:val="20"/>
                <w:szCs w:val="20"/>
                <w:lang w:val="ro-RO"/>
              </w:rPr>
              <w:t xml:space="preserve"> ≤ 1,5 x limita superioară a valorilor normale (LSVN)</w:t>
            </w:r>
          </w:p>
        </w:tc>
      </w:tr>
      <w:tr w:rsidR="00C5117B" w:rsidRPr="00F941DA" w14:paraId="51319195" w14:textId="77777777" w:rsidTr="00E74F9B">
        <w:trPr>
          <w:trHeight w:val="4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9B968" w14:textId="77777777" w:rsidR="00C5117B" w:rsidRPr="00F941DA" w:rsidRDefault="00C5117B" w:rsidP="00E74F9B">
            <w:pPr>
              <w:pStyle w:val="Body"/>
              <w:jc w:val="both"/>
              <w:rPr>
                <w:color w:val="auto"/>
                <w:sz w:val="20"/>
                <w:szCs w:val="20"/>
                <w:lang w:val="ro-RO"/>
              </w:rPr>
            </w:pPr>
            <w:r w:rsidRPr="00F941DA">
              <w:rPr>
                <w:color w:val="auto"/>
                <w:sz w:val="20"/>
                <w:szCs w:val="20"/>
                <w:lang w:val="ro-RO"/>
              </w:rPr>
              <w:t>Aspartataminotransferaza (AST)/</w:t>
            </w:r>
          </w:p>
          <w:p w14:paraId="525AA13F" w14:textId="77777777" w:rsidR="00C5117B" w:rsidRPr="00F941DA" w:rsidRDefault="00C5117B" w:rsidP="00E74F9B">
            <w:pPr>
              <w:pStyle w:val="Body"/>
              <w:jc w:val="both"/>
              <w:rPr>
                <w:color w:val="auto"/>
                <w:lang w:val="ro-RO"/>
              </w:rPr>
            </w:pPr>
            <w:r w:rsidRPr="00F941DA">
              <w:rPr>
                <w:color w:val="auto"/>
                <w:sz w:val="20"/>
                <w:szCs w:val="20"/>
                <w:lang w:val="ro-RO"/>
              </w:rPr>
              <w:t>Alaninaminotransferaza (ALT)</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8DF40" w14:textId="77777777" w:rsidR="00C5117B" w:rsidRPr="00F941DA" w:rsidRDefault="00C5117B" w:rsidP="00E74F9B">
            <w:pPr>
              <w:pStyle w:val="Body"/>
              <w:jc w:val="both"/>
              <w:rPr>
                <w:color w:val="auto"/>
                <w:sz w:val="20"/>
                <w:szCs w:val="20"/>
                <w:lang w:val="ro-RO"/>
              </w:rPr>
            </w:pPr>
            <w:r w:rsidRPr="00F941DA">
              <w:rPr>
                <w:b/>
                <w:bCs/>
                <w:color w:val="auto"/>
                <w:sz w:val="20"/>
                <w:szCs w:val="20"/>
                <w:lang w:val="ro-RO"/>
              </w:rPr>
              <w:t>Fără metastaze hepatice</w:t>
            </w:r>
            <w:r w:rsidRPr="00F941DA">
              <w:rPr>
                <w:color w:val="auto"/>
                <w:sz w:val="20"/>
                <w:szCs w:val="20"/>
                <w:lang w:val="ro-RO"/>
              </w:rPr>
              <w:t xml:space="preserve">: ALT/AST ≤ 3 x LSVN </w:t>
            </w:r>
          </w:p>
          <w:p w14:paraId="75C993A2" w14:textId="77777777" w:rsidR="00C5117B" w:rsidRPr="00F941DA" w:rsidRDefault="00C5117B" w:rsidP="00E74F9B">
            <w:pPr>
              <w:pStyle w:val="Body"/>
              <w:jc w:val="both"/>
              <w:rPr>
                <w:color w:val="auto"/>
                <w:lang w:val="ro-RO"/>
              </w:rPr>
            </w:pPr>
            <w:r w:rsidRPr="00F941DA">
              <w:rPr>
                <w:b/>
                <w:bCs/>
                <w:color w:val="auto"/>
                <w:sz w:val="20"/>
                <w:szCs w:val="20"/>
                <w:lang w:val="ro-RO"/>
              </w:rPr>
              <w:t>Cu metastaze hepatice</w:t>
            </w:r>
            <w:r w:rsidRPr="00F941DA">
              <w:rPr>
                <w:color w:val="auto"/>
                <w:sz w:val="20"/>
                <w:szCs w:val="20"/>
                <w:lang w:val="ro-RO"/>
              </w:rPr>
              <w:t>: ALT/AST ≤ 5 x LSVN</w:t>
            </w:r>
          </w:p>
        </w:tc>
      </w:tr>
    </w:tbl>
    <w:p w14:paraId="35463D49" w14:textId="77777777" w:rsidR="00C5117B" w:rsidRPr="00F941DA" w:rsidRDefault="00C5117B" w:rsidP="00C5117B">
      <w:pPr>
        <w:pStyle w:val="Body"/>
        <w:spacing w:after="160" w:line="259" w:lineRule="auto"/>
        <w:jc w:val="both"/>
        <w:rPr>
          <w:color w:val="auto"/>
          <w:lang w:val="ro-RO"/>
        </w:rPr>
      </w:pPr>
    </w:p>
    <w:p w14:paraId="62A9EEDC" w14:textId="77777777" w:rsidR="00C5117B" w:rsidRPr="00F941DA" w:rsidRDefault="00C5117B" w:rsidP="00C5117B">
      <w:pPr>
        <w:pStyle w:val="Body"/>
        <w:spacing w:line="259" w:lineRule="auto"/>
        <w:jc w:val="both"/>
        <w:rPr>
          <w:color w:val="auto"/>
          <w:lang w:val="ro-RO"/>
        </w:rPr>
      </w:pPr>
      <w:r w:rsidRPr="00F941DA">
        <w:rPr>
          <w:color w:val="auto"/>
          <w:lang w:val="ro-RO"/>
        </w:rPr>
        <w:t>Modificarea dozelor:</w:t>
      </w:r>
    </w:p>
    <w:p w14:paraId="2C3D69DB" w14:textId="77777777" w:rsidR="00C5117B" w:rsidRPr="00F941DA" w:rsidRDefault="00C5117B" w:rsidP="00D11DF1">
      <w:pPr>
        <w:pStyle w:val="Body"/>
        <w:numPr>
          <w:ilvl w:val="0"/>
          <w:numId w:val="256"/>
        </w:numPr>
        <w:spacing w:after="160" w:line="259" w:lineRule="auto"/>
        <w:jc w:val="both"/>
        <w:rPr>
          <w:color w:val="auto"/>
          <w:lang w:val="ro-RO"/>
        </w:rPr>
      </w:pPr>
      <w:r w:rsidRPr="00F941DA">
        <w:rPr>
          <w:color w:val="auto"/>
          <w:lang w:val="ro-RO"/>
        </w:rPr>
        <w:t>Reacţii asociate administrării în perfuzie: În cazul reacţiilor de grad 1 sau 2 se va reduce viteza de administrare a perfuziei cu 50%</w:t>
      </w:r>
    </w:p>
    <w:p w14:paraId="4B12BAAB" w14:textId="77777777" w:rsidR="00C5117B" w:rsidRPr="00F941DA" w:rsidRDefault="00C5117B" w:rsidP="00D11DF1">
      <w:pPr>
        <w:pStyle w:val="Body"/>
        <w:numPr>
          <w:ilvl w:val="0"/>
          <w:numId w:val="256"/>
        </w:numPr>
        <w:spacing w:after="160" w:line="259" w:lineRule="auto"/>
        <w:jc w:val="both"/>
        <w:rPr>
          <w:color w:val="auto"/>
          <w:lang w:val="ro-RO"/>
        </w:rPr>
      </w:pPr>
      <w:r w:rsidRPr="00F941DA">
        <w:rPr>
          <w:color w:val="auto"/>
          <w:lang w:val="ro-RO"/>
        </w:rPr>
        <w:t>Hipertensiune arterială: Tensiunea arterială a pacienţilor trebuie monitorizată înainte de fiecare administrare a RAMUCIRUMAB şi tratată în funcţie de starea clinică. În caz de hipertensiune severă se va întrerupe administrarea RAMUCIRUMAB până la obţinerea controlului medicamentos al TA</w:t>
      </w:r>
    </w:p>
    <w:p w14:paraId="2890103C" w14:textId="77777777" w:rsidR="00C5117B" w:rsidRPr="00F941DA" w:rsidRDefault="00C5117B" w:rsidP="00D11DF1">
      <w:pPr>
        <w:pStyle w:val="Body"/>
        <w:numPr>
          <w:ilvl w:val="0"/>
          <w:numId w:val="256"/>
        </w:numPr>
        <w:spacing w:after="160" w:line="259" w:lineRule="auto"/>
        <w:jc w:val="both"/>
        <w:rPr>
          <w:color w:val="auto"/>
          <w:lang w:val="ro-RO"/>
        </w:rPr>
      </w:pPr>
      <w:r w:rsidRPr="00F941DA">
        <w:rPr>
          <w:color w:val="auto"/>
          <w:lang w:val="ro-RO"/>
        </w:rPr>
        <w:t>Proteinurie: Pacienţii trebuie monitorizaţi în vederea depistării apariţiei sau agravării proteinuriei în timpul tratamentului cu RAMUCIRUMAB. Dacă nivelul proteinelor în urină este ≥ 2+ la testul cu bandeletă, se va colecta urina pe 24 de ore. Dacă proteinuria este ≥ 2 g/24 ore se va întrerupe tratamentul cu RAMUCIRUMAB. După ce proteinuria revine la &lt; 2 g/24 de ore, tratamentul se va relua în doză redusă      (6 mg/kg). Se recomandă o a doua reducere a dozei în cazul în care survine din nou proteinuria ≥ 2 g/24 de ore (vezi tabelul)</w:t>
      </w:r>
    </w:p>
    <w:p w14:paraId="39CB86AB" w14:textId="77777777" w:rsidR="00C5117B" w:rsidRPr="00F941DA" w:rsidRDefault="00C5117B" w:rsidP="00C5117B">
      <w:pPr>
        <w:pStyle w:val="Body"/>
        <w:spacing w:after="160" w:line="259" w:lineRule="auto"/>
        <w:jc w:val="both"/>
        <w:rPr>
          <w:color w:val="auto"/>
          <w:lang w:val="ro-RO"/>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6"/>
        <w:gridCol w:w="3118"/>
        <w:gridCol w:w="3260"/>
      </w:tblGrid>
      <w:tr w:rsidR="00C5117B" w:rsidRPr="00F941DA" w14:paraId="69789569" w14:textId="77777777" w:rsidTr="00E74F9B">
        <w:trPr>
          <w:trHeight w:val="22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A22CA" w14:textId="77777777" w:rsidR="00C5117B" w:rsidRPr="00F941DA" w:rsidRDefault="00C5117B" w:rsidP="00E74F9B">
            <w:pPr>
              <w:pStyle w:val="Body"/>
              <w:jc w:val="both"/>
              <w:rPr>
                <w:color w:val="auto"/>
                <w:lang w:val="ro-RO"/>
              </w:rPr>
            </w:pPr>
            <w:r w:rsidRPr="00F941DA">
              <w:rPr>
                <w:color w:val="auto"/>
                <w:sz w:val="20"/>
                <w:szCs w:val="20"/>
                <w:lang w:val="ro-RO"/>
              </w:rPr>
              <w:t>Doza inițială RAMUCIRUMAB</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582F6" w14:textId="77777777" w:rsidR="00C5117B" w:rsidRPr="00F941DA" w:rsidRDefault="00C5117B" w:rsidP="00E74F9B">
            <w:pPr>
              <w:pStyle w:val="Body"/>
              <w:jc w:val="both"/>
              <w:rPr>
                <w:color w:val="auto"/>
                <w:lang w:val="ro-RO"/>
              </w:rPr>
            </w:pPr>
            <w:r w:rsidRPr="00F941DA">
              <w:rPr>
                <w:color w:val="auto"/>
                <w:sz w:val="20"/>
                <w:szCs w:val="20"/>
                <w:lang w:val="ro-RO"/>
              </w:rPr>
              <w:t>Prima reducere a dozei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E0091" w14:textId="77777777" w:rsidR="00C5117B" w:rsidRPr="00F941DA" w:rsidRDefault="00C5117B" w:rsidP="00E74F9B">
            <w:pPr>
              <w:pStyle w:val="Body"/>
              <w:jc w:val="both"/>
              <w:rPr>
                <w:color w:val="auto"/>
                <w:lang w:val="ro-RO"/>
              </w:rPr>
            </w:pPr>
            <w:r w:rsidRPr="00F941DA">
              <w:rPr>
                <w:color w:val="auto"/>
                <w:sz w:val="20"/>
                <w:szCs w:val="20"/>
                <w:lang w:val="ro-RO"/>
              </w:rPr>
              <w:t>A doua reducere a dozei</w:t>
            </w:r>
          </w:p>
        </w:tc>
      </w:tr>
      <w:tr w:rsidR="00C5117B" w:rsidRPr="00F941DA" w14:paraId="4190C2E4" w14:textId="77777777" w:rsidTr="00E74F9B">
        <w:trPr>
          <w:trHeight w:val="22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8DC13" w14:textId="77777777" w:rsidR="00C5117B" w:rsidRPr="00F941DA" w:rsidRDefault="00C5117B" w:rsidP="00E74F9B">
            <w:pPr>
              <w:pStyle w:val="Body"/>
              <w:jc w:val="both"/>
              <w:rPr>
                <w:color w:val="auto"/>
                <w:lang w:val="ro-RO"/>
              </w:rPr>
            </w:pPr>
            <w:r w:rsidRPr="00F941DA">
              <w:rPr>
                <w:color w:val="auto"/>
                <w:sz w:val="20"/>
                <w:szCs w:val="20"/>
                <w:lang w:val="ro-RO"/>
              </w:rPr>
              <w:t>8 mg/kg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F9334" w14:textId="77777777" w:rsidR="00C5117B" w:rsidRPr="00F941DA" w:rsidRDefault="00C5117B" w:rsidP="00E74F9B">
            <w:pPr>
              <w:pStyle w:val="Body"/>
              <w:jc w:val="both"/>
              <w:rPr>
                <w:color w:val="auto"/>
                <w:lang w:val="ro-RO"/>
              </w:rPr>
            </w:pPr>
            <w:r w:rsidRPr="00F941DA">
              <w:rPr>
                <w:color w:val="auto"/>
                <w:sz w:val="20"/>
                <w:szCs w:val="20"/>
                <w:lang w:val="ro-RO"/>
              </w:rPr>
              <w:t>6 mg/kg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F049C" w14:textId="77777777" w:rsidR="00C5117B" w:rsidRPr="00F941DA" w:rsidRDefault="00C5117B" w:rsidP="00E74F9B">
            <w:pPr>
              <w:pStyle w:val="Body"/>
              <w:jc w:val="both"/>
              <w:rPr>
                <w:color w:val="auto"/>
                <w:lang w:val="ro-RO"/>
              </w:rPr>
            </w:pPr>
            <w:r w:rsidRPr="00F941DA">
              <w:rPr>
                <w:color w:val="auto"/>
                <w:sz w:val="20"/>
                <w:szCs w:val="20"/>
                <w:lang w:val="ro-RO"/>
              </w:rPr>
              <w:t>5 mg/kg</w:t>
            </w:r>
          </w:p>
        </w:tc>
      </w:tr>
      <w:tr w:rsidR="00C5117B" w:rsidRPr="00F941DA" w14:paraId="426E5104" w14:textId="77777777" w:rsidTr="00E74F9B">
        <w:trPr>
          <w:trHeight w:val="22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18615" w14:textId="77777777" w:rsidR="00C5117B" w:rsidRPr="00F941DA" w:rsidRDefault="00C5117B" w:rsidP="00E74F9B">
            <w:pPr>
              <w:pStyle w:val="Body"/>
              <w:jc w:val="both"/>
              <w:rPr>
                <w:color w:val="auto"/>
                <w:lang w:val="ro-RO"/>
              </w:rPr>
            </w:pPr>
            <w:r w:rsidRPr="00F941DA">
              <w:rPr>
                <w:color w:val="auto"/>
                <w:sz w:val="20"/>
                <w:szCs w:val="20"/>
                <w:lang w:val="ro-RO"/>
              </w:rPr>
              <w:t>10 mg/kg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1CAFE" w14:textId="77777777" w:rsidR="00C5117B" w:rsidRPr="00F941DA" w:rsidRDefault="00C5117B" w:rsidP="00E74F9B">
            <w:pPr>
              <w:pStyle w:val="Body"/>
              <w:jc w:val="both"/>
              <w:rPr>
                <w:color w:val="auto"/>
                <w:lang w:val="ro-RO"/>
              </w:rPr>
            </w:pPr>
            <w:r w:rsidRPr="00F941DA">
              <w:rPr>
                <w:color w:val="auto"/>
                <w:sz w:val="20"/>
                <w:szCs w:val="20"/>
                <w:lang w:val="ro-RO"/>
              </w:rPr>
              <w:t>8 mg/kg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53350" w14:textId="77777777" w:rsidR="00C5117B" w:rsidRPr="00F941DA" w:rsidRDefault="00C5117B" w:rsidP="00E74F9B">
            <w:pPr>
              <w:pStyle w:val="Body"/>
              <w:jc w:val="both"/>
              <w:rPr>
                <w:color w:val="auto"/>
                <w:lang w:val="ro-RO"/>
              </w:rPr>
            </w:pPr>
            <w:r w:rsidRPr="00F941DA">
              <w:rPr>
                <w:color w:val="auto"/>
                <w:sz w:val="20"/>
                <w:szCs w:val="20"/>
                <w:lang w:val="ro-RO"/>
              </w:rPr>
              <w:t>6 mg/kg</w:t>
            </w:r>
          </w:p>
        </w:tc>
      </w:tr>
    </w:tbl>
    <w:p w14:paraId="74D9AD0C" w14:textId="77777777" w:rsidR="00C5117B" w:rsidRPr="00F941DA" w:rsidRDefault="00C5117B" w:rsidP="00C5117B">
      <w:pPr>
        <w:pStyle w:val="Body"/>
        <w:spacing w:after="160" w:line="259" w:lineRule="auto"/>
        <w:jc w:val="both"/>
        <w:rPr>
          <w:color w:val="auto"/>
          <w:lang w:val="ro-RO"/>
        </w:rPr>
      </w:pPr>
    </w:p>
    <w:p w14:paraId="5DD0A63C" w14:textId="77777777" w:rsidR="00C5117B" w:rsidRPr="00F941DA" w:rsidRDefault="00C5117B" w:rsidP="00C5117B">
      <w:pPr>
        <w:pStyle w:val="Body"/>
        <w:spacing w:line="259" w:lineRule="auto"/>
        <w:jc w:val="both"/>
        <w:rPr>
          <w:color w:val="auto"/>
          <w:lang w:val="ro-RO"/>
        </w:rPr>
      </w:pPr>
      <w:r w:rsidRPr="00F941DA">
        <w:rPr>
          <w:color w:val="auto"/>
          <w:lang w:val="ro-RO"/>
        </w:rPr>
        <w:t>Se întrerupe tratamentul cu RAMUCIRUMAB definitiv în următoarele situaţii:</w:t>
      </w:r>
    </w:p>
    <w:p w14:paraId="288635D2" w14:textId="77777777" w:rsidR="00C5117B" w:rsidRPr="00F941DA" w:rsidRDefault="00C5117B" w:rsidP="00D11DF1">
      <w:pPr>
        <w:pStyle w:val="Body"/>
        <w:numPr>
          <w:ilvl w:val="0"/>
          <w:numId w:val="258"/>
        </w:numPr>
        <w:spacing w:line="259" w:lineRule="auto"/>
        <w:jc w:val="both"/>
        <w:rPr>
          <w:color w:val="auto"/>
          <w:lang w:val="ro-RO"/>
        </w:rPr>
      </w:pPr>
      <w:r w:rsidRPr="00F941DA">
        <w:rPr>
          <w:color w:val="auto"/>
          <w:lang w:val="ro-RO"/>
        </w:rPr>
        <w:t>proteinurie &gt; 3 g/24 de ore sau în caz de sindrom nefrotic</w:t>
      </w:r>
    </w:p>
    <w:p w14:paraId="3FCB93F4" w14:textId="77777777" w:rsidR="00C5117B" w:rsidRPr="00F941DA" w:rsidRDefault="00C5117B" w:rsidP="00D11DF1">
      <w:pPr>
        <w:pStyle w:val="Body"/>
        <w:numPr>
          <w:ilvl w:val="0"/>
          <w:numId w:val="258"/>
        </w:numPr>
        <w:spacing w:line="259" w:lineRule="auto"/>
        <w:jc w:val="both"/>
        <w:rPr>
          <w:color w:val="auto"/>
          <w:lang w:val="ro-RO"/>
        </w:rPr>
      </w:pPr>
      <w:r w:rsidRPr="00F941DA">
        <w:rPr>
          <w:color w:val="auto"/>
          <w:lang w:val="ro-RO"/>
        </w:rPr>
        <w:lastRenderedPageBreak/>
        <w:t>În cazul în care există hipertensiune arterială semnificativă din punct de vedere medical care nu poate fi controlată în condiţii de siguranţă cu terapie antihipertensivă</w:t>
      </w:r>
    </w:p>
    <w:p w14:paraId="7FF7C93C" w14:textId="77777777" w:rsidR="00C5117B" w:rsidRPr="00F941DA" w:rsidRDefault="00C5117B" w:rsidP="00D11DF1">
      <w:pPr>
        <w:pStyle w:val="Body"/>
        <w:numPr>
          <w:ilvl w:val="0"/>
          <w:numId w:val="258"/>
        </w:numPr>
        <w:spacing w:line="259" w:lineRule="auto"/>
        <w:jc w:val="both"/>
        <w:rPr>
          <w:color w:val="auto"/>
          <w:lang w:val="ro-RO"/>
        </w:rPr>
      </w:pPr>
      <w:r w:rsidRPr="00F941DA">
        <w:rPr>
          <w:color w:val="auto"/>
          <w:lang w:val="ro-RO"/>
        </w:rPr>
        <w:t>la pacienţii la care survine un eveniment tromboembolic arterial sever</w:t>
      </w:r>
    </w:p>
    <w:p w14:paraId="5FEFFB94" w14:textId="77777777" w:rsidR="00C5117B" w:rsidRPr="00F941DA" w:rsidRDefault="00C5117B" w:rsidP="00D11DF1">
      <w:pPr>
        <w:pStyle w:val="Body"/>
        <w:numPr>
          <w:ilvl w:val="0"/>
          <w:numId w:val="258"/>
        </w:numPr>
        <w:spacing w:line="259" w:lineRule="auto"/>
        <w:jc w:val="both"/>
        <w:rPr>
          <w:color w:val="auto"/>
          <w:lang w:val="ro-RO"/>
        </w:rPr>
      </w:pPr>
      <w:r w:rsidRPr="00F941DA">
        <w:rPr>
          <w:color w:val="auto"/>
          <w:lang w:val="ro-RO"/>
        </w:rPr>
        <w:t>la pacienţii la care survin perforaţii gastro-intestinale</w:t>
      </w:r>
    </w:p>
    <w:p w14:paraId="1493557A" w14:textId="77777777" w:rsidR="00C5117B" w:rsidRPr="00F941DA" w:rsidRDefault="00C5117B" w:rsidP="00D11DF1">
      <w:pPr>
        <w:pStyle w:val="Body"/>
        <w:numPr>
          <w:ilvl w:val="0"/>
          <w:numId w:val="258"/>
        </w:numPr>
        <w:spacing w:line="259" w:lineRule="auto"/>
        <w:jc w:val="both"/>
        <w:rPr>
          <w:color w:val="auto"/>
          <w:lang w:val="ro-RO"/>
        </w:rPr>
      </w:pPr>
      <w:r w:rsidRPr="00F941DA">
        <w:rPr>
          <w:color w:val="auto"/>
          <w:lang w:val="ro-RO"/>
        </w:rPr>
        <w:t>în cazul apariţiei sângerărilor de grad 3 sau 4</w:t>
      </w:r>
    </w:p>
    <w:p w14:paraId="7342F4B2" w14:textId="77777777" w:rsidR="00C5117B" w:rsidRPr="00F941DA" w:rsidRDefault="00C5117B" w:rsidP="00D11DF1">
      <w:pPr>
        <w:pStyle w:val="Body"/>
        <w:numPr>
          <w:ilvl w:val="0"/>
          <w:numId w:val="258"/>
        </w:numPr>
        <w:spacing w:line="259" w:lineRule="auto"/>
        <w:jc w:val="both"/>
        <w:rPr>
          <w:color w:val="auto"/>
          <w:lang w:val="ro-RO"/>
        </w:rPr>
      </w:pPr>
      <w:r w:rsidRPr="00F941DA">
        <w:rPr>
          <w:color w:val="auto"/>
          <w:lang w:val="ro-RO"/>
        </w:rPr>
        <w:t>dacă apar fistule spontane</w:t>
      </w:r>
    </w:p>
    <w:p w14:paraId="6AB24686" w14:textId="77777777" w:rsidR="00C5117B" w:rsidRPr="00F941DA" w:rsidRDefault="00C5117B" w:rsidP="00D11DF1">
      <w:pPr>
        <w:pStyle w:val="Body"/>
        <w:numPr>
          <w:ilvl w:val="0"/>
          <w:numId w:val="258"/>
        </w:numPr>
        <w:spacing w:line="259" w:lineRule="auto"/>
        <w:jc w:val="both"/>
        <w:rPr>
          <w:color w:val="auto"/>
          <w:lang w:val="ro-RO"/>
        </w:rPr>
      </w:pPr>
      <w:r w:rsidRPr="00F941DA">
        <w:rPr>
          <w:color w:val="auto"/>
          <w:lang w:val="ro-RO"/>
        </w:rPr>
        <w:t>dacă apar reacţii asociate administrării în perfuzie de grad 3 sau 4</w:t>
      </w:r>
    </w:p>
    <w:p w14:paraId="5448783E" w14:textId="77777777" w:rsidR="00C5117B" w:rsidRPr="00F941DA" w:rsidRDefault="00C5117B" w:rsidP="00D11DF1">
      <w:pPr>
        <w:pStyle w:val="Body"/>
        <w:numPr>
          <w:ilvl w:val="0"/>
          <w:numId w:val="258"/>
        </w:numPr>
        <w:spacing w:line="259" w:lineRule="auto"/>
        <w:jc w:val="both"/>
        <w:rPr>
          <w:color w:val="auto"/>
          <w:lang w:val="ro-RO"/>
        </w:rPr>
      </w:pPr>
      <w:r w:rsidRPr="00F941DA">
        <w:rPr>
          <w:color w:val="auto"/>
          <w:lang w:val="ro-RO"/>
        </w:rPr>
        <w:t xml:space="preserve">progresia bolii </w:t>
      </w:r>
    </w:p>
    <w:p w14:paraId="7B39BC22" w14:textId="77777777" w:rsidR="00C5117B" w:rsidRPr="00F941DA" w:rsidRDefault="00C5117B" w:rsidP="00C5117B">
      <w:pPr>
        <w:pStyle w:val="Body"/>
        <w:spacing w:after="160" w:line="259" w:lineRule="auto"/>
        <w:jc w:val="both"/>
        <w:rPr>
          <w:color w:val="auto"/>
          <w:lang w:val="ro-RO"/>
        </w:rPr>
      </w:pPr>
      <w:r w:rsidRPr="00F941DA">
        <w:rPr>
          <w:color w:val="auto"/>
          <w:lang w:val="ro-RO"/>
        </w:rPr>
        <w:t>Tratamentul cu ramucirumab trebuie întrerupt temporar cu cel puţin 4 săptămâni înainte de o intervenţie chirurgicală electivă. Tratamentul cu ramucirumab trebuie întrerupt temporar în cazul în care există complicaţii ale vindecării plăgilor, până la vindecarea completă a plăgii</w:t>
      </w:r>
    </w:p>
    <w:p w14:paraId="70F36DD8" w14:textId="77777777" w:rsidR="00C5117B" w:rsidRPr="00F941DA" w:rsidRDefault="00C5117B" w:rsidP="00C5117B">
      <w:pPr>
        <w:pStyle w:val="Body"/>
        <w:spacing w:after="160" w:line="259" w:lineRule="auto"/>
        <w:jc w:val="both"/>
        <w:rPr>
          <w:color w:val="auto"/>
          <w:lang w:val="ro-RO"/>
        </w:rPr>
      </w:pPr>
      <w:r w:rsidRPr="00F941DA">
        <w:rPr>
          <w:b/>
          <w:bCs/>
          <w:color w:val="auto"/>
          <w:lang w:val="ro-RO"/>
        </w:rPr>
        <w:t>Răspunsul terapeutic</w:t>
      </w:r>
      <w:r w:rsidRPr="00F941DA">
        <w:rPr>
          <w:color w:val="auto"/>
          <w:lang w:val="ro-RO"/>
        </w:rPr>
        <w:t xml:space="preserve"> se va evalua prin metode imagistice, iar în caz de progresie a bolii se întrerupe tratamentul.</w:t>
      </w:r>
    </w:p>
    <w:p w14:paraId="45C9DD4C" w14:textId="77777777" w:rsidR="00C5117B" w:rsidRPr="00F941DA" w:rsidRDefault="00C5117B" w:rsidP="00C5117B">
      <w:pPr>
        <w:pStyle w:val="Body"/>
        <w:spacing w:after="160" w:line="259" w:lineRule="auto"/>
        <w:jc w:val="both"/>
        <w:rPr>
          <w:color w:val="auto"/>
          <w:lang w:val="ro-RO"/>
        </w:rPr>
      </w:pPr>
      <w:r w:rsidRPr="00F941DA">
        <w:rPr>
          <w:b/>
          <w:bCs/>
          <w:color w:val="auto"/>
          <w:lang w:val="ro-RO"/>
        </w:rPr>
        <w:t>VII. Prescriptori</w:t>
      </w:r>
      <w:r w:rsidRPr="00F941DA">
        <w:rPr>
          <w:color w:val="auto"/>
          <w:lang w:val="ro-RO"/>
        </w:rPr>
        <w:t>: medici în specialitatea Oncologie Medicală.”</w:t>
      </w:r>
      <w:bookmarkEnd w:id="1"/>
    </w:p>
    <w:p w14:paraId="5A78AF3E" w14:textId="77777777" w:rsidR="00C5117B" w:rsidRPr="00F941DA" w:rsidRDefault="00C5117B" w:rsidP="00984957">
      <w:pPr>
        <w:pStyle w:val="ListParagraph"/>
        <w:rPr>
          <w:rFonts w:eastAsia="Arial"/>
          <w:b/>
          <w:bCs/>
          <w:color w:val="auto"/>
          <w:lang w:val="en-US"/>
        </w:rPr>
      </w:pPr>
    </w:p>
    <w:p w14:paraId="62E7D4BC" w14:textId="77777777" w:rsidR="00C5117B" w:rsidRPr="00F941DA" w:rsidRDefault="00C5117B" w:rsidP="00984957">
      <w:pPr>
        <w:pStyle w:val="ListParagraph"/>
        <w:rPr>
          <w:rFonts w:eastAsia="Arial"/>
          <w:b/>
          <w:bCs/>
          <w:color w:val="auto"/>
          <w:lang w:val="en-US"/>
        </w:rPr>
      </w:pPr>
    </w:p>
    <w:p w14:paraId="72D909C2" w14:textId="77777777" w:rsidR="00C5117B" w:rsidRPr="00F941DA" w:rsidRDefault="00C5117B" w:rsidP="00984957">
      <w:pPr>
        <w:pStyle w:val="ListParagraph"/>
        <w:rPr>
          <w:rFonts w:eastAsia="Arial"/>
          <w:b/>
          <w:bCs/>
          <w:color w:val="auto"/>
          <w:lang w:val="en-US"/>
        </w:rPr>
      </w:pPr>
    </w:p>
    <w:p w14:paraId="0B585309" w14:textId="77777777" w:rsidR="00C5117B" w:rsidRPr="00F941DA" w:rsidRDefault="00C5117B" w:rsidP="00984957">
      <w:pPr>
        <w:pStyle w:val="ListParagraph"/>
        <w:rPr>
          <w:rFonts w:eastAsia="Arial"/>
          <w:b/>
          <w:bCs/>
          <w:color w:val="auto"/>
          <w:lang w:val="en-US"/>
        </w:rPr>
      </w:pPr>
    </w:p>
    <w:p w14:paraId="567647FA" w14:textId="77777777" w:rsidR="00C5117B" w:rsidRPr="00F941DA" w:rsidRDefault="00C5117B" w:rsidP="00984957">
      <w:pPr>
        <w:pStyle w:val="ListParagraph"/>
        <w:rPr>
          <w:rFonts w:eastAsia="Arial"/>
          <w:b/>
          <w:bCs/>
          <w:color w:val="auto"/>
          <w:lang w:val="en-US"/>
        </w:rPr>
      </w:pPr>
    </w:p>
    <w:p w14:paraId="12B41525" w14:textId="77777777" w:rsidR="00C5117B" w:rsidRPr="00F941DA" w:rsidRDefault="00C5117B" w:rsidP="00984957">
      <w:pPr>
        <w:pStyle w:val="ListParagraph"/>
        <w:rPr>
          <w:rFonts w:eastAsia="Arial"/>
          <w:b/>
          <w:bCs/>
          <w:color w:val="auto"/>
          <w:lang w:val="en-US"/>
        </w:rPr>
      </w:pPr>
    </w:p>
    <w:p w14:paraId="219BDF52" w14:textId="77777777" w:rsidR="00C5117B" w:rsidRPr="00F941DA" w:rsidRDefault="00C5117B" w:rsidP="00984957">
      <w:pPr>
        <w:pStyle w:val="ListParagraph"/>
        <w:rPr>
          <w:rFonts w:eastAsia="Arial"/>
          <w:b/>
          <w:bCs/>
          <w:color w:val="auto"/>
          <w:lang w:val="en-US"/>
        </w:rPr>
      </w:pPr>
    </w:p>
    <w:p w14:paraId="73D30D13" w14:textId="77777777" w:rsidR="00C5117B" w:rsidRPr="00F941DA" w:rsidRDefault="00C5117B" w:rsidP="00984957">
      <w:pPr>
        <w:pStyle w:val="ListParagraph"/>
        <w:rPr>
          <w:rFonts w:eastAsia="Arial"/>
          <w:b/>
          <w:bCs/>
          <w:color w:val="auto"/>
          <w:lang w:val="en-US"/>
        </w:rPr>
      </w:pPr>
    </w:p>
    <w:p w14:paraId="02A98C44" w14:textId="77777777" w:rsidR="00C5117B" w:rsidRPr="00F941DA" w:rsidRDefault="00C5117B" w:rsidP="00984957">
      <w:pPr>
        <w:pStyle w:val="ListParagraph"/>
        <w:rPr>
          <w:rFonts w:eastAsia="Arial"/>
          <w:b/>
          <w:bCs/>
          <w:color w:val="auto"/>
          <w:lang w:val="en-US"/>
        </w:rPr>
      </w:pPr>
    </w:p>
    <w:p w14:paraId="3D76B1A5" w14:textId="77777777" w:rsidR="00C5117B" w:rsidRPr="00F941DA" w:rsidRDefault="00C5117B" w:rsidP="00984957">
      <w:pPr>
        <w:pStyle w:val="ListParagraph"/>
        <w:rPr>
          <w:rFonts w:eastAsia="Arial"/>
          <w:b/>
          <w:bCs/>
          <w:color w:val="auto"/>
          <w:lang w:val="en-US"/>
        </w:rPr>
      </w:pPr>
    </w:p>
    <w:p w14:paraId="0D89CF7A" w14:textId="77777777" w:rsidR="00C5117B" w:rsidRPr="00F941DA" w:rsidRDefault="00C5117B" w:rsidP="00984957">
      <w:pPr>
        <w:pStyle w:val="ListParagraph"/>
        <w:rPr>
          <w:rFonts w:eastAsia="Arial"/>
          <w:b/>
          <w:bCs/>
          <w:color w:val="auto"/>
          <w:lang w:val="en-US"/>
        </w:rPr>
      </w:pPr>
    </w:p>
    <w:p w14:paraId="7AE93F34" w14:textId="77777777" w:rsidR="00C5117B" w:rsidRPr="00F941DA" w:rsidRDefault="00C5117B" w:rsidP="00984957">
      <w:pPr>
        <w:pStyle w:val="ListParagraph"/>
        <w:rPr>
          <w:rFonts w:eastAsia="Arial"/>
          <w:b/>
          <w:bCs/>
          <w:color w:val="auto"/>
          <w:lang w:val="en-US"/>
        </w:rPr>
      </w:pPr>
    </w:p>
    <w:p w14:paraId="612A9D75" w14:textId="77777777" w:rsidR="00C5117B" w:rsidRPr="00F941DA" w:rsidRDefault="00C5117B" w:rsidP="00984957">
      <w:pPr>
        <w:pStyle w:val="ListParagraph"/>
        <w:rPr>
          <w:rFonts w:eastAsia="Arial"/>
          <w:b/>
          <w:bCs/>
          <w:color w:val="auto"/>
          <w:lang w:val="en-US"/>
        </w:rPr>
      </w:pPr>
    </w:p>
    <w:p w14:paraId="3AE77D2D" w14:textId="77777777" w:rsidR="00C5117B" w:rsidRPr="00F941DA" w:rsidRDefault="00C5117B" w:rsidP="00984957">
      <w:pPr>
        <w:pStyle w:val="ListParagraph"/>
        <w:rPr>
          <w:rFonts w:eastAsia="Arial"/>
          <w:b/>
          <w:bCs/>
          <w:color w:val="auto"/>
          <w:lang w:val="en-US"/>
        </w:rPr>
      </w:pPr>
    </w:p>
    <w:p w14:paraId="5DBA01DC" w14:textId="77777777" w:rsidR="00C5117B" w:rsidRPr="00F941DA" w:rsidRDefault="00C5117B" w:rsidP="00984957">
      <w:pPr>
        <w:pStyle w:val="ListParagraph"/>
        <w:rPr>
          <w:rFonts w:eastAsia="Arial"/>
          <w:b/>
          <w:bCs/>
          <w:color w:val="auto"/>
          <w:lang w:val="en-US"/>
        </w:rPr>
      </w:pPr>
    </w:p>
    <w:p w14:paraId="43E63EF2" w14:textId="77777777" w:rsidR="00C5117B" w:rsidRPr="00F941DA" w:rsidRDefault="00C5117B" w:rsidP="00984957">
      <w:pPr>
        <w:pStyle w:val="ListParagraph"/>
        <w:rPr>
          <w:rFonts w:eastAsia="Arial"/>
          <w:b/>
          <w:bCs/>
          <w:color w:val="auto"/>
          <w:lang w:val="en-US"/>
        </w:rPr>
      </w:pPr>
    </w:p>
    <w:p w14:paraId="7309A493" w14:textId="77777777" w:rsidR="00C5117B" w:rsidRPr="00F941DA" w:rsidRDefault="00C5117B" w:rsidP="00984957">
      <w:pPr>
        <w:pStyle w:val="ListParagraph"/>
        <w:rPr>
          <w:rFonts w:eastAsia="Arial"/>
          <w:b/>
          <w:bCs/>
          <w:color w:val="auto"/>
          <w:lang w:val="en-US"/>
        </w:rPr>
      </w:pPr>
    </w:p>
    <w:p w14:paraId="53FB935D" w14:textId="77777777" w:rsidR="00C5117B" w:rsidRPr="00F941DA" w:rsidRDefault="00C5117B" w:rsidP="00984957">
      <w:pPr>
        <w:pStyle w:val="ListParagraph"/>
        <w:rPr>
          <w:rFonts w:eastAsia="Arial"/>
          <w:b/>
          <w:bCs/>
          <w:color w:val="auto"/>
          <w:lang w:val="en-US"/>
        </w:rPr>
      </w:pPr>
    </w:p>
    <w:p w14:paraId="75512947" w14:textId="77777777" w:rsidR="00C5117B" w:rsidRPr="00F941DA" w:rsidRDefault="00C5117B" w:rsidP="00984957">
      <w:pPr>
        <w:pStyle w:val="ListParagraph"/>
        <w:rPr>
          <w:rFonts w:eastAsia="Arial"/>
          <w:b/>
          <w:bCs/>
          <w:color w:val="auto"/>
          <w:lang w:val="en-US"/>
        </w:rPr>
      </w:pPr>
    </w:p>
    <w:p w14:paraId="45A98879" w14:textId="77777777" w:rsidR="00C5117B" w:rsidRPr="00F941DA" w:rsidRDefault="00C5117B" w:rsidP="00984957">
      <w:pPr>
        <w:pStyle w:val="ListParagraph"/>
        <w:rPr>
          <w:rFonts w:eastAsia="Arial"/>
          <w:b/>
          <w:bCs/>
          <w:color w:val="auto"/>
          <w:lang w:val="en-US"/>
        </w:rPr>
      </w:pPr>
    </w:p>
    <w:p w14:paraId="13E55138" w14:textId="77777777" w:rsidR="00C5117B" w:rsidRPr="00F941DA" w:rsidRDefault="00C5117B" w:rsidP="00984957">
      <w:pPr>
        <w:pStyle w:val="ListParagraph"/>
        <w:rPr>
          <w:rFonts w:eastAsia="Arial"/>
          <w:b/>
          <w:bCs/>
          <w:color w:val="auto"/>
          <w:lang w:val="en-US"/>
        </w:rPr>
      </w:pPr>
    </w:p>
    <w:p w14:paraId="5F697ADA" w14:textId="77777777" w:rsidR="00C5117B" w:rsidRPr="00F941DA" w:rsidRDefault="00C5117B" w:rsidP="00984957">
      <w:pPr>
        <w:pStyle w:val="ListParagraph"/>
        <w:rPr>
          <w:rFonts w:eastAsia="Arial"/>
          <w:b/>
          <w:bCs/>
          <w:color w:val="auto"/>
          <w:lang w:val="en-US"/>
        </w:rPr>
      </w:pPr>
    </w:p>
    <w:p w14:paraId="6C9AEF29" w14:textId="77777777" w:rsidR="00C5117B" w:rsidRPr="00F941DA" w:rsidRDefault="00C5117B" w:rsidP="00984957">
      <w:pPr>
        <w:pStyle w:val="ListParagraph"/>
        <w:rPr>
          <w:rFonts w:eastAsia="Arial"/>
          <w:b/>
          <w:bCs/>
          <w:color w:val="auto"/>
          <w:lang w:val="en-US"/>
        </w:rPr>
      </w:pPr>
    </w:p>
    <w:p w14:paraId="0ED5DC4D" w14:textId="77777777" w:rsidR="00C5117B" w:rsidRPr="00F941DA" w:rsidRDefault="00C5117B" w:rsidP="00984957">
      <w:pPr>
        <w:pStyle w:val="ListParagraph"/>
        <w:rPr>
          <w:rFonts w:eastAsia="Arial"/>
          <w:b/>
          <w:bCs/>
          <w:color w:val="auto"/>
          <w:lang w:val="en-US"/>
        </w:rPr>
      </w:pPr>
    </w:p>
    <w:p w14:paraId="3D7138BC" w14:textId="77777777" w:rsidR="00C5117B" w:rsidRPr="00F941DA" w:rsidRDefault="00C5117B" w:rsidP="00984957">
      <w:pPr>
        <w:pStyle w:val="ListParagraph"/>
        <w:rPr>
          <w:rFonts w:eastAsia="Arial"/>
          <w:b/>
          <w:bCs/>
          <w:color w:val="auto"/>
          <w:lang w:val="en-US"/>
        </w:rPr>
      </w:pPr>
    </w:p>
    <w:p w14:paraId="3B9A5811" w14:textId="77777777" w:rsidR="00C5117B" w:rsidRPr="00F941DA" w:rsidRDefault="00C5117B" w:rsidP="00984957">
      <w:pPr>
        <w:pStyle w:val="ListParagraph"/>
        <w:rPr>
          <w:rFonts w:eastAsia="Arial"/>
          <w:b/>
          <w:bCs/>
          <w:color w:val="auto"/>
          <w:lang w:val="en-US"/>
        </w:rPr>
      </w:pPr>
    </w:p>
    <w:p w14:paraId="2B3160DD" w14:textId="77777777" w:rsidR="00C5117B" w:rsidRPr="00F941DA" w:rsidRDefault="00C5117B" w:rsidP="00984957">
      <w:pPr>
        <w:pStyle w:val="ListParagraph"/>
        <w:rPr>
          <w:rFonts w:eastAsia="Arial"/>
          <w:b/>
          <w:bCs/>
          <w:color w:val="auto"/>
          <w:lang w:val="en-US"/>
        </w:rPr>
      </w:pPr>
    </w:p>
    <w:p w14:paraId="205DCC36" w14:textId="77777777" w:rsidR="00C5117B" w:rsidRPr="00F941DA" w:rsidRDefault="00C5117B" w:rsidP="00984957">
      <w:pPr>
        <w:pStyle w:val="ListParagraph"/>
        <w:rPr>
          <w:rFonts w:eastAsia="Arial"/>
          <w:b/>
          <w:bCs/>
          <w:color w:val="auto"/>
          <w:lang w:val="en-US"/>
        </w:rPr>
      </w:pPr>
    </w:p>
    <w:p w14:paraId="497009DC" w14:textId="77777777" w:rsidR="00C5117B" w:rsidRPr="00F941DA" w:rsidRDefault="00C5117B" w:rsidP="00984957">
      <w:pPr>
        <w:pStyle w:val="ListParagraph"/>
        <w:rPr>
          <w:rFonts w:eastAsia="Arial"/>
          <w:b/>
          <w:bCs/>
          <w:color w:val="auto"/>
          <w:lang w:val="en-US"/>
        </w:rPr>
      </w:pPr>
    </w:p>
    <w:p w14:paraId="6A371962" w14:textId="77777777" w:rsidR="00C5117B" w:rsidRPr="00F941DA" w:rsidRDefault="00C5117B" w:rsidP="00984957">
      <w:pPr>
        <w:pStyle w:val="ListParagraph"/>
        <w:rPr>
          <w:rFonts w:eastAsia="Arial"/>
          <w:b/>
          <w:bCs/>
          <w:color w:val="auto"/>
          <w:lang w:val="en-US"/>
        </w:rPr>
      </w:pPr>
    </w:p>
    <w:p w14:paraId="5ED5A3FC" w14:textId="77777777" w:rsidR="00C5117B" w:rsidRPr="00F941DA" w:rsidRDefault="00C5117B" w:rsidP="00984957">
      <w:pPr>
        <w:pStyle w:val="ListParagraph"/>
        <w:rPr>
          <w:rFonts w:eastAsia="Arial"/>
          <w:b/>
          <w:bCs/>
          <w:color w:val="auto"/>
          <w:lang w:val="en-US"/>
        </w:rPr>
      </w:pPr>
    </w:p>
    <w:p w14:paraId="4500DD27" w14:textId="77777777" w:rsidR="00C5117B" w:rsidRPr="00F941DA" w:rsidRDefault="00C5117B" w:rsidP="00984957">
      <w:pPr>
        <w:pStyle w:val="ListParagraph"/>
        <w:rPr>
          <w:rFonts w:eastAsia="Arial"/>
          <w:b/>
          <w:bCs/>
          <w:color w:val="auto"/>
          <w:lang w:val="en-US"/>
        </w:rPr>
      </w:pPr>
    </w:p>
    <w:p w14:paraId="4D30FC81" w14:textId="77777777" w:rsidR="00C5117B" w:rsidRPr="00F941DA" w:rsidRDefault="00C5117B" w:rsidP="00984957">
      <w:pPr>
        <w:pStyle w:val="ListParagraph"/>
        <w:rPr>
          <w:rFonts w:eastAsia="Arial"/>
          <w:b/>
          <w:bCs/>
          <w:color w:val="auto"/>
          <w:lang w:val="en-US"/>
        </w:rPr>
      </w:pPr>
    </w:p>
    <w:p w14:paraId="6B53CACF" w14:textId="77777777" w:rsidR="00C5117B" w:rsidRPr="00F941DA" w:rsidRDefault="00C5117B" w:rsidP="00984957">
      <w:pPr>
        <w:pStyle w:val="ListParagraph"/>
        <w:rPr>
          <w:rFonts w:eastAsia="Arial"/>
          <w:b/>
          <w:bCs/>
          <w:color w:val="auto"/>
          <w:lang w:val="en-US"/>
        </w:rPr>
      </w:pPr>
    </w:p>
    <w:p w14:paraId="08986143" w14:textId="77777777" w:rsidR="00C5117B" w:rsidRPr="00F941DA" w:rsidRDefault="00C5117B" w:rsidP="00984957">
      <w:pPr>
        <w:pStyle w:val="ListParagraph"/>
        <w:rPr>
          <w:rFonts w:eastAsia="Arial"/>
          <w:b/>
          <w:bCs/>
          <w:color w:val="auto"/>
          <w:lang w:val="en-US"/>
        </w:rPr>
      </w:pPr>
    </w:p>
    <w:p w14:paraId="58D7F6C5" w14:textId="77777777" w:rsidR="00C5117B" w:rsidRPr="00F941DA" w:rsidRDefault="00C5117B" w:rsidP="00984957">
      <w:pPr>
        <w:pStyle w:val="ListParagraph"/>
        <w:rPr>
          <w:rFonts w:eastAsia="Arial"/>
          <w:b/>
          <w:bCs/>
          <w:color w:val="auto"/>
          <w:lang w:val="en-US"/>
        </w:rPr>
      </w:pPr>
    </w:p>
    <w:p w14:paraId="7022BC94" w14:textId="77777777" w:rsidR="00C5117B" w:rsidRPr="00F941DA" w:rsidRDefault="00C5117B" w:rsidP="00984957">
      <w:pPr>
        <w:pStyle w:val="ListParagraph"/>
        <w:rPr>
          <w:rFonts w:eastAsia="Arial"/>
          <w:b/>
          <w:bCs/>
          <w:color w:val="auto"/>
          <w:lang w:val="en-US"/>
        </w:rPr>
      </w:pPr>
    </w:p>
    <w:p w14:paraId="33439941" w14:textId="77777777" w:rsidR="00CA4F71" w:rsidRPr="00F941DA" w:rsidRDefault="00CA4F71" w:rsidP="00C5117B">
      <w:pPr>
        <w:rPr>
          <w:rFonts w:eastAsia="Arial"/>
          <w:b/>
          <w:bCs/>
          <w:lang w:val="en-US"/>
        </w:rPr>
      </w:pPr>
    </w:p>
    <w:p w14:paraId="4FDB88EE" w14:textId="656AA147" w:rsidR="007B60B7" w:rsidRPr="00F941DA" w:rsidRDefault="007B60B7" w:rsidP="00301CF8">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 xml:space="preserve">La anexa nr. 1, protocolul terapeutic corespunzător poziţiei nr. </w:t>
      </w:r>
      <w:r w:rsidR="00CA4F71" w:rsidRPr="00F941DA">
        <w:rPr>
          <w:rFonts w:eastAsia="Arial"/>
          <w:b/>
          <w:bCs/>
          <w:color w:val="auto"/>
          <w:lang w:val="en-US"/>
        </w:rPr>
        <w:t>166</w:t>
      </w:r>
      <w:r w:rsidRPr="00F941DA">
        <w:rPr>
          <w:rFonts w:eastAsia="Arial"/>
          <w:b/>
          <w:bCs/>
          <w:color w:val="auto"/>
          <w:lang w:val="en-US"/>
        </w:rPr>
        <w:t xml:space="preserve"> cod (</w:t>
      </w:r>
      <w:r w:rsidR="00CA4F71" w:rsidRPr="00F941DA">
        <w:rPr>
          <w:rFonts w:eastAsia="Arial"/>
          <w:b/>
          <w:bCs/>
          <w:color w:val="auto"/>
          <w:lang w:val="en-US"/>
        </w:rPr>
        <w:t>L01XE15</w:t>
      </w:r>
      <w:r w:rsidRPr="00F941DA">
        <w:rPr>
          <w:rFonts w:eastAsia="Arial"/>
          <w:b/>
          <w:bCs/>
          <w:color w:val="auto"/>
          <w:lang w:val="en-US"/>
        </w:rPr>
        <w:t xml:space="preserve">): DCI </w:t>
      </w:r>
      <w:r w:rsidR="00CA4F71" w:rsidRPr="00F941DA">
        <w:rPr>
          <w:rFonts w:eastAsia="Arial"/>
          <w:b/>
          <w:bCs/>
          <w:color w:val="auto"/>
          <w:lang w:val="en-US"/>
        </w:rPr>
        <w:t>VEMURAFENIBUM</w:t>
      </w:r>
      <w:r w:rsidRPr="00F941DA">
        <w:rPr>
          <w:rFonts w:eastAsia="Arial"/>
          <w:b/>
          <w:bCs/>
          <w:color w:val="auto"/>
          <w:lang w:val="en-US"/>
        </w:rPr>
        <w:t xml:space="preserve"> se modifică și se înlocuiește cu următorul protocol:</w:t>
      </w:r>
    </w:p>
    <w:p w14:paraId="3420EEEC" w14:textId="77777777" w:rsidR="007B60B7" w:rsidRPr="00F941DA" w:rsidRDefault="007B60B7" w:rsidP="007B60B7">
      <w:pPr>
        <w:tabs>
          <w:tab w:val="left" w:pos="426"/>
        </w:tabs>
        <w:jc w:val="both"/>
        <w:rPr>
          <w:rFonts w:ascii="Times New Roman" w:eastAsia="Arial" w:hAnsi="Times New Roman" w:cs="Times New Roman"/>
          <w:b/>
          <w:bCs/>
          <w:sz w:val="24"/>
          <w:szCs w:val="24"/>
          <w:lang w:val="en-US"/>
        </w:rPr>
      </w:pPr>
    </w:p>
    <w:p w14:paraId="098F92EF" w14:textId="3313C574" w:rsidR="007B60B7" w:rsidRPr="00F941DA" w:rsidRDefault="007B60B7" w:rsidP="00CA4F71">
      <w:pPr>
        <w:tabs>
          <w:tab w:val="left" w:pos="426"/>
        </w:tabs>
        <w:jc w:val="both"/>
        <w:rPr>
          <w:rFonts w:eastAsia="Arial"/>
          <w:b/>
          <w:bCs/>
          <w:lang w:val="en-US"/>
        </w:rPr>
      </w:pPr>
      <w:r w:rsidRPr="00F941DA">
        <w:rPr>
          <w:rFonts w:ascii="Times New Roman" w:eastAsia="Arial" w:hAnsi="Times New Roman" w:cs="Times New Roman"/>
          <w:b/>
          <w:bCs/>
          <w:sz w:val="24"/>
          <w:szCs w:val="24"/>
          <w:lang w:val="en-US"/>
        </w:rPr>
        <w:t xml:space="preserve">”Protocol terapeutic corespunzător poziţiei nr. </w:t>
      </w:r>
      <w:r w:rsidR="00CA4F71" w:rsidRPr="00F941DA">
        <w:rPr>
          <w:rFonts w:ascii="Times New Roman" w:eastAsia="Arial" w:hAnsi="Times New Roman" w:cs="Times New Roman"/>
          <w:b/>
          <w:bCs/>
          <w:sz w:val="24"/>
          <w:szCs w:val="24"/>
          <w:lang w:val="en-US"/>
        </w:rPr>
        <w:t>166 cod (L01XE15): DCI VEMURAFENIBUM</w:t>
      </w:r>
    </w:p>
    <w:p w14:paraId="1BB24AFD" w14:textId="77777777" w:rsidR="00CA4F71" w:rsidRPr="00F941DA" w:rsidRDefault="00CA4F71" w:rsidP="00CA4F71">
      <w:pPr>
        <w:rPr>
          <w:rFonts w:eastAsia="Arial"/>
          <w:b/>
          <w:bCs/>
          <w:lang w:val="en-US"/>
        </w:rPr>
      </w:pPr>
    </w:p>
    <w:p w14:paraId="50EBA2A9" w14:textId="77777777" w:rsidR="00A827C3" w:rsidRPr="00F941DA" w:rsidRDefault="00A827C3" w:rsidP="00A827C3">
      <w:pPr>
        <w:pStyle w:val="BodyA"/>
        <w:jc w:val="both"/>
        <w:rPr>
          <w:color w:val="auto"/>
          <w:lang w:val="ro-RO"/>
        </w:rPr>
      </w:pPr>
      <w:r w:rsidRPr="00F941DA">
        <w:rPr>
          <w:b/>
          <w:bCs/>
          <w:color w:val="auto"/>
          <w:lang w:val="ro-RO"/>
        </w:rPr>
        <w:t xml:space="preserve">Indicaţie: </w:t>
      </w:r>
      <w:r w:rsidRPr="00F941DA">
        <w:rPr>
          <w:color w:val="auto"/>
          <w:lang w:val="ro-RO"/>
        </w:rPr>
        <w:t>Melanomul malign</w:t>
      </w:r>
    </w:p>
    <w:p w14:paraId="7ACC12C5" w14:textId="77777777" w:rsidR="00A827C3" w:rsidRPr="00F941DA" w:rsidRDefault="00A827C3" w:rsidP="00A827C3">
      <w:pPr>
        <w:pStyle w:val="BodyA"/>
        <w:jc w:val="both"/>
        <w:rPr>
          <w:b/>
          <w:bCs/>
          <w:color w:val="auto"/>
          <w:lang w:val="ro-RO"/>
        </w:rPr>
      </w:pPr>
      <w:r w:rsidRPr="00F941DA">
        <w:rPr>
          <w:b/>
          <w:bCs/>
          <w:color w:val="auto"/>
          <w:lang w:val="ro-RO"/>
        </w:rPr>
        <w:t xml:space="preserve">    </w:t>
      </w:r>
    </w:p>
    <w:p w14:paraId="01F9068F" w14:textId="77777777" w:rsidR="00A827C3" w:rsidRPr="00F941DA" w:rsidRDefault="00A827C3" w:rsidP="00A827C3">
      <w:pPr>
        <w:pStyle w:val="BodyA"/>
        <w:jc w:val="both"/>
        <w:rPr>
          <w:b/>
          <w:bCs/>
          <w:color w:val="auto"/>
          <w:lang w:val="ro-RO"/>
        </w:rPr>
      </w:pPr>
      <w:r w:rsidRPr="00F941DA">
        <w:rPr>
          <w:b/>
          <w:bCs/>
          <w:color w:val="auto"/>
          <w:lang w:val="ro-RO"/>
        </w:rPr>
        <w:t>I. Indicaţii:</w:t>
      </w:r>
    </w:p>
    <w:p w14:paraId="497D3A25" w14:textId="77777777" w:rsidR="00A827C3" w:rsidRPr="00F941DA" w:rsidRDefault="00A827C3" w:rsidP="00A827C3">
      <w:pPr>
        <w:pStyle w:val="BodyA"/>
        <w:jc w:val="both"/>
        <w:rPr>
          <w:color w:val="auto"/>
          <w:lang w:val="ro-RO"/>
        </w:rPr>
      </w:pPr>
      <w:r w:rsidRPr="00F941DA">
        <w:rPr>
          <w:color w:val="auto"/>
          <w:lang w:val="ro-RO"/>
        </w:rPr>
        <w:t>Vemurafenib este indicat în monoterapie pentru tratamentul pacienţilor adulţi cu melanom inoperabil sau metastatic, pozitiv la mutaţia BRAF V600</w:t>
      </w:r>
    </w:p>
    <w:p w14:paraId="642C7F00" w14:textId="77777777" w:rsidR="00A827C3" w:rsidRPr="00F941DA" w:rsidRDefault="00A827C3" w:rsidP="00A827C3">
      <w:pPr>
        <w:pStyle w:val="BodyA"/>
        <w:jc w:val="both"/>
        <w:rPr>
          <w:b/>
          <w:bCs/>
          <w:color w:val="auto"/>
          <w:lang w:val="ro-RO"/>
        </w:rPr>
      </w:pPr>
      <w:r w:rsidRPr="00F941DA">
        <w:rPr>
          <w:b/>
          <w:bCs/>
          <w:color w:val="auto"/>
          <w:lang w:val="ro-RO"/>
        </w:rPr>
        <w:t xml:space="preserve">   </w:t>
      </w:r>
    </w:p>
    <w:p w14:paraId="1A110083" w14:textId="77777777" w:rsidR="00A827C3" w:rsidRPr="00F941DA" w:rsidRDefault="00A827C3" w:rsidP="00A827C3">
      <w:pPr>
        <w:pStyle w:val="BodyA"/>
        <w:jc w:val="both"/>
        <w:rPr>
          <w:b/>
          <w:bCs/>
          <w:color w:val="auto"/>
          <w:lang w:val="ro-RO"/>
        </w:rPr>
      </w:pPr>
      <w:r w:rsidRPr="00F941DA">
        <w:rPr>
          <w:b/>
          <w:bCs/>
          <w:color w:val="auto"/>
          <w:lang w:val="ro-RO"/>
        </w:rPr>
        <w:t>II. Criterii de includere</w:t>
      </w:r>
    </w:p>
    <w:p w14:paraId="2E3C1DF4" w14:textId="77777777" w:rsidR="00A827C3" w:rsidRPr="00F941DA" w:rsidRDefault="00A827C3" w:rsidP="00D11DF1">
      <w:pPr>
        <w:pStyle w:val="BodyA"/>
        <w:numPr>
          <w:ilvl w:val="0"/>
          <w:numId w:val="252"/>
        </w:numPr>
        <w:ind w:left="567" w:hanging="283"/>
        <w:jc w:val="both"/>
        <w:rPr>
          <w:color w:val="auto"/>
          <w:lang w:val="ro-RO"/>
        </w:rPr>
      </w:pPr>
      <w:r w:rsidRPr="00F941DA">
        <w:rPr>
          <w:color w:val="auto"/>
          <w:lang w:val="ro-RO"/>
        </w:rPr>
        <w:t>Pacienţi cu vârsta mai mare de 18 ani</w:t>
      </w:r>
    </w:p>
    <w:p w14:paraId="41A4B555" w14:textId="77777777" w:rsidR="00A827C3" w:rsidRPr="00F941DA" w:rsidRDefault="00A827C3" w:rsidP="00D11DF1">
      <w:pPr>
        <w:pStyle w:val="BodyA"/>
        <w:numPr>
          <w:ilvl w:val="0"/>
          <w:numId w:val="252"/>
        </w:numPr>
        <w:ind w:left="567" w:hanging="283"/>
        <w:jc w:val="both"/>
        <w:rPr>
          <w:color w:val="auto"/>
          <w:lang w:val="ro-RO"/>
        </w:rPr>
      </w:pPr>
      <w:r w:rsidRPr="00F941DA">
        <w:rPr>
          <w:color w:val="auto"/>
          <w:lang w:val="ro-RO"/>
        </w:rPr>
        <w:t>Melanom avansat local şi/sau regional, inoperabil, sau metastazat, confirmat histologic</w:t>
      </w:r>
    </w:p>
    <w:p w14:paraId="38DA7DBC" w14:textId="66CD6773" w:rsidR="00A827C3" w:rsidRPr="00F941DA" w:rsidRDefault="00A827C3" w:rsidP="00D11DF1">
      <w:pPr>
        <w:pStyle w:val="BodyA"/>
        <w:numPr>
          <w:ilvl w:val="0"/>
          <w:numId w:val="252"/>
        </w:numPr>
        <w:ind w:left="567" w:hanging="283"/>
        <w:jc w:val="both"/>
        <w:rPr>
          <w:color w:val="auto"/>
          <w:lang w:val="ro-RO"/>
        </w:rPr>
      </w:pPr>
      <w:r w:rsidRPr="00F941DA">
        <w:rPr>
          <w:color w:val="auto"/>
          <w:lang w:val="ro-RO"/>
        </w:rPr>
        <w:t>Prezenţa mutaţiei BRAF V600; vemurafenib nu trebuie utilizat la pacienţii cu melanom malign cu alte tipuri de mutaţii BRAF (altele decât V600E sau V600K).</w:t>
      </w:r>
    </w:p>
    <w:p w14:paraId="3116744F" w14:textId="77777777" w:rsidR="00A827C3" w:rsidRPr="00F941DA" w:rsidRDefault="00A827C3" w:rsidP="00A827C3">
      <w:pPr>
        <w:pStyle w:val="BodyA"/>
        <w:jc w:val="both"/>
        <w:rPr>
          <w:b/>
          <w:bCs/>
          <w:color w:val="auto"/>
          <w:lang w:val="ro-RO"/>
        </w:rPr>
      </w:pPr>
      <w:r w:rsidRPr="00F941DA">
        <w:rPr>
          <w:b/>
          <w:bCs/>
          <w:color w:val="auto"/>
          <w:lang w:val="ro-RO"/>
        </w:rPr>
        <w:t xml:space="preserve">    </w:t>
      </w:r>
    </w:p>
    <w:p w14:paraId="4578BA77" w14:textId="77777777" w:rsidR="00A827C3" w:rsidRPr="00F941DA" w:rsidRDefault="00A827C3" w:rsidP="00A827C3">
      <w:pPr>
        <w:pStyle w:val="BodyA"/>
        <w:jc w:val="both"/>
        <w:rPr>
          <w:b/>
          <w:bCs/>
          <w:color w:val="auto"/>
          <w:lang w:val="ro-RO"/>
        </w:rPr>
      </w:pPr>
      <w:r w:rsidRPr="00F941DA">
        <w:rPr>
          <w:b/>
          <w:bCs/>
          <w:color w:val="auto"/>
          <w:lang w:val="ro-RO"/>
        </w:rPr>
        <w:t>III. Criterii de excludere</w:t>
      </w:r>
    </w:p>
    <w:p w14:paraId="57776C12" w14:textId="77777777" w:rsidR="00A827C3" w:rsidRPr="00F941DA" w:rsidRDefault="00A827C3" w:rsidP="00D11DF1">
      <w:pPr>
        <w:pStyle w:val="BodyA"/>
        <w:numPr>
          <w:ilvl w:val="0"/>
          <w:numId w:val="295"/>
        </w:numPr>
        <w:jc w:val="both"/>
        <w:rPr>
          <w:color w:val="auto"/>
          <w:lang w:val="ro-RO"/>
        </w:rPr>
      </w:pPr>
      <w:r w:rsidRPr="00F941DA">
        <w:rPr>
          <w:color w:val="auto"/>
          <w:lang w:val="ro-RO"/>
        </w:rPr>
        <w:t>Hipersensibilitate la substanţa activă sau la oricare dintre excipienţi</w:t>
      </w:r>
    </w:p>
    <w:p w14:paraId="607D5A85" w14:textId="77777777" w:rsidR="00A827C3" w:rsidRPr="00F941DA" w:rsidRDefault="00A827C3" w:rsidP="00D11DF1">
      <w:pPr>
        <w:pStyle w:val="BodyA"/>
        <w:numPr>
          <w:ilvl w:val="0"/>
          <w:numId w:val="295"/>
        </w:numPr>
        <w:jc w:val="both"/>
        <w:rPr>
          <w:color w:val="auto"/>
          <w:lang w:val="ro-RO"/>
        </w:rPr>
      </w:pPr>
      <w:r w:rsidRPr="00F941DA">
        <w:rPr>
          <w:color w:val="auto"/>
          <w:lang w:val="ro-RO"/>
        </w:rPr>
        <w:t>Sarcina şi alăptarea sunt contraindicaţii relative (vezi mai jos punctul IV)</w:t>
      </w:r>
    </w:p>
    <w:p w14:paraId="1F36E106" w14:textId="440689BE" w:rsidR="00A827C3" w:rsidRPr="00F941DA" w:rsidRDefault="00A827C3" w:rsidP="00D11DF1">
      <w:pPr>
        <w:pStyle w:val="BodyA"/>
        <w:numPr>
          <w:ilvl w:val="0"/>
          <w:numId w:val="295"/>
        </w:numPr>
        <w:jc w:val="both"/>
        <w:rPr>
          <w:color w:val="auto"/>
          <w:lang w:val="ro-RO"/>
        </w:rPr>
      </w:pPr>
      <w:r w:rsidRPr="00F941DA">
        <w:rPr>
          <w:color w:val="auto"/>
          <w:lang w:val="ro-RO"/>
        </w:rPr>
        <w:t>Tratament anterior cu alţi inhibitori BRAF*</w:t>
      </w:r>
    </w:p>
    <w:p w14:paraId="09527B8B" w14:textId="77777777" w:rsidR="00A827C3" w:rsidRPr="00F941DA" w:rsidRDefault="00A827C3" w:rsidP="00A827C3">
      <w:pPr>
        <w:pStyle w:val="BodyA"/>
        <w:jc w:val="both"/>
        <w:rPr>
          <w:color w:val="auto"/>
          <w:u w:val="single"/>
          <w:lang w:val="ro-RO"/>
        </w:rPr>
      </w:pPr>
    </w:p>
    <w:p w14:paraId="391894F4" w14:textId="77777777" w:rsidR="00A827C3" w:rsidRPr="00F941DA" w:rsidRDefault="00A827C3" w:rsidP="00A827C3">
      <w:pPr>
        <w:pStyle w:val="BodyA"/>
        <w:jc w:val="both"/>
        <w:rPr>
          <w:color w:val="auto"/>
          <w:sz w:val="20"/>
          <w:szCs w:val="20"/>
          <w:lang w:val="ro-RO"/>
        </w:rPr>
      </w:pPr>
      <w:r w:rsidRPr="00F941DA">
        <w:rPr>
          <w:color w:val="auto"/>
          <w:sz w:val="20"/>
          <w:szCs w:val="20"/>
          <w:u w:color="FF2600"/>
          <w:lang w:val="ro-RO"/>
        </w:rPr>
        <w:t>*Nota: Pacientii cu tratament anterior cu inhibitori BRAF care au urmat si alte linii de tratament pot fi retratati cu terapie antiBRAF daca medicucl curant considera raportul beneficiu/riscuri favorabil acestui tratatment. Aceasta recomandare este prezenta in ghidurile internationale utilizate pe scara larga (ESMO, NCCN)</w:t>
      </w:r>
    </w:p>
    <w:p w14:paraId="7F171D51" w14:textId="77777777" w:rsidR="00A827C3" w:rsidRPr="00F941DA" w:rsidRDefault="00A827C3" w:rsidP="00A827C3">
      <w:pPr>
        <w:pStyle w:val="BodyA"/>
        <w:jc w:val="both"/>
        <w:rPr>
          <w:b/>
          <w:bCs/>
          <w:color w:val="auto"/>
          <w:lang w:val="ro-RO"/>
        </w:rPr>
      </w:pPr>
      <w:r w:rsidRPr="00F941DA">
        <w:rPr>
          <w:b/>
          <w:bCs/>
          <w:color w:val="auto"/>
          <w:lang w:val="ro-RO"/>
        </w:rPr>
        <w:t xml:space="preserve">    </w:t>
      </w:r>
    </w:p>
    <w:p w14:paraId="34CCB3F9" w14:textId="77777777" w:rsidR="00A827C3" w:rsidRPr="00F941DA" w:rsidRDefault="00A827C3" w:rsidP="00A827C3">
      <w:pPr>
        <w:pStyle w:val="BodyA"/>
        <w:jc w:val="both"/>
        <w:rPr>
          <w:b/>
          <w:bCs/>
          <w:color w:val="auto"/>
          <w:lang w:val="ro-RO"/>
        </w:rPr>
      </w:pPr>
      <w:r w:rsidRPr="00F941DA">
        <w:rPr>
          <w:b/>
          <w:bCs/>
          <w:color w:val="auto"/>
          <w:lang w:val="ro-RO"/>
        </w:rPr>
        <w:t>IV. Tratament</w:t>
      </w:r>
    </w:p>
    <w:p w14:paraId="2C212190" w14:textId="77777777" w:rsidR="00A827C3" w:rsidRPr="00F941DA" w:rsidRDefault="00A827C3" w:rsidP="00A827C3">
      <w:pPr>
        <w:pStyle w:val="BodyA"/>
        <w:jc w:val="both"/>
        <w:rPr>
          <w:b/>
          <w:bCs/>
          <w:color w:val="auto"/>
          <w:lang w:val="ro-RO"/>
        </w:rPr>
      </w:pPr>
      <w:r w:rsidRPr="00F941DA">
        <w:rPr>
          <w:b/>
          <w:bCs/>
          <w:color w:val="auto"/>
          <w:lang w:val="ro-RO"/>
        </w:rPr>
        <w:t xml:space="preserve">    </w:t>
      </w:r>
    </w:p>
    <w:p w14:paraId="0E115D71" w14:textId="77777777" w:rsidR="00A827C3" w:rsidRPr="00F941DA" w:rsidRDefault="00A827C3" w:rsidP="00A827C3">
      <w:pPr>
        <w:pStyle w:val="BodyA"/>
        <w:jc w:val="both"/>
        <w:rPr>
          <w:b/>
          <w:bCs/>
          <w:color w:val="auto"/>
          <w:lang w:val="ro-RO"/>
        </w:rPr>
      </w:pPr>
      <w:r w:rsidRPr="00F941DA">
        <w:rPr>
          <w:b/>
          <w:bCs/>
          <w:color w:val="auto"/>
          <w:lang w:val="ro-RO"/>
        </w:rPr>
        <w:t>Evaluare pre-terapeutică:</w:t>
      </w:r>
    </w:p>
    <w:p w14:paraId="4B3A8082" w14:textId="77777777" w:rsidR="00A827C3" w:rsidRPr="00F941DA" w:rsidRDefault="00A827C3" w:rsidP="00D11DF1">
      <w:pPr>
        <w:pStyle w:val="BodyA"/>
        <w:numPr>
          <w:ilvl w:val="0"/>
          <w:numId w:val="294"/>
        </w:numPr>
        <w:jc w:val="both"/>
        <w:rPr>
          <w:color w:val="auto"/>
          <w:lang w:val="ro-RO"/>
        </w:rPr>
      </w:pPr>
      <w:r w:rsidRPr="00F941DA">
        <w:rPr>
          <w:color w:val="auto"/>
          <w:lang w:val="ro-RO"/>
        </w:rPr>
        <w:t>Evaluare clinică şi imagistică pentru demonstrarea stadiului inoperabil sau metastatic</w:t>
      </w:r>
    </w:p>
    <w:p w14:paraId="1E60C782" w14:textId="77777777" w:rsidR="00A827C3" w:rsidRPr="00F941DA" w:rsidRDefault="00A827C3" w:rsidP="00D11DF1">
      <w:pPr>
        <w:pStyle w:val="BodyA"/>
        <w:numPr>
          <w:ilvl w:val="0"/>
          <w:numId w:val="294"/>
        </w:numPr>
        <w:jc w:val="both"/>
        <w:rPr>
          <w:color w:val="auto"/>
          <w:lang w:val="ro-RO"/>
        </w:rPr>
      </w:pPr>
      <w:r w:rsidRPr="00F941DA">
        <w:rPr>
          <w:color w:val="auto"/>
          <w:lang w:val="ro-RO"/>
        </w:rPr>
        <w:t>Confirmarea histologică a diagnosticului</w:t>
      </w:r>
    </w:p>
    <w:p w14:paraId="01D27642" w14:textId="77777777" w:rsidR="00A827C3" w:rsidRPr="00F941DA" w:rsidRDefault="00A827C3" w:rsidP="00D11DF1">
      <w:pPr>
        <w:pStyle w:val="BodyA"/>
        <w:numPr>
          <w:ilvl w:val="0"/>
          <w:numId w:val="294"/>
        </w:numPr>
        <w:jc w:val="both"/>
        <w:rPr>
          <w:color w:val="auto"/>
          <w:lang w:val="ro-RO"/>
        </w:rPr>
      </w:pPr>
      <w:r w:rsidRPr="00F941DA">
        <w:rPr>
          <w:color w:val="auto"/>
          <w:lang w:val="ro-RO"/>
        </w:rPr>
        <w:t>Statusul mutant al BRAF V600</w:t>
      </w:r>
    </w:p>
    <w:p w14:paraId="020F8604" w14:textId="77777777" w:rsidR="00A827C3" w:rsidRPr="00F941DA" w:rsidRDefault="00A827C3" w:rsidP="00D11DF1">
      <w:pPr>
        <w:pStyle w:val="BodyA"/>
        <w:numPr>
          <w:ilvl w:val="0"/>
          <w:numId w:val="294"/>
        </w:numPr>
        <w:jc w:val="both"/>
        <w:rPr>
          <w:color w:val="auto"/>
          <w:lang w:val="ro-RO"/>
        </w:rPr>
      </w:pPr>
      <w:r w:rsidRPr="00F941DA">
        <w:rPr>
          <w:color w:val="auto"/>
          <w:lang w:val="ro-RO"/>
        </w:rPr>
        <w:t>Examen dermatologic; orice leziune suspectă trebuie excizată şi evaluată histopatologic</w:t>
      </w:r>
    </w:p>
    <w:p w14:paraId="2894F83C" w14:textId="77777777" w:rsidR="00A827C3" w:rsidRPr="00F941DA" w:rsidRDefault="00A827C3" w:rsidP="00D11DF1">
      <w:pPr>
        <w:pStyle w:val="BodyA"/>
        <w:numPr>
          <w:ilvl w:val="0"/>
          <w:numId w:val="294"/>
        </w:numPr>
        <w:jc w:val="both"/>
        <w:rPr>
          <w:color w:val="auto"/>
          <w:lang w:val="ro-RO"/>
        </w:rPr>
      </w:pPr>
      <w:r w:rsidRPr="00F941DA">
        <w:rPr>
          <w:color w:val="auto"/>
          <w:lang w:val="ro-RO"/>
        </w:rPr>
        <w:t>Examen ORL</w:t>
      </w:r>
    </w:p>
    <w:p w14:paraId="7603E9C9" w14:textId="77777777" w:rsidR="00A827C3" w:rsidRPr="00F941DA" w:rsidRDefault="00A827C3" w:rsidP="00D11DF1">
      <w:pPr>
        <w:pStyle w:val="BodyA"/>
        <w:numPr>
          <w:ilvl w:val="0"/>
          <w:numId w:val="294"/>
        </w:numPr>
        <w:jc w:val="both"/>
        <w:rPr>
          <w:color w:val="auto"/>
          <w:lang w:val="ro-RO"/>
        </w:rPr>
      </w:pPr>
      <w:r w:rsidRPr="00F941DA">
        <w:rPr>
          <w:color w:val="auto"/>
          <w:lang w:val="ro-RO"/>
        </w:rPr>
        <w:t>Examen ginecologic şi urologic</w:t>
      </w:r>
    </w:p>
    <w:p w14:paraId="0F2CADF9" w14:textId="77777777" w:rsidR="00A827C3" w:rsidRPr="00F941DA" w:rsidRDefault="00A827C3" w:rsidP="00D11DF1">
      <w:pPr>
        <w:pStyle w:val="BodyA"/>
        <w:numPr>
          <w:ilvl w:val="0"/>
          <w:numId w:val="294"/>
        </w:numPr>
        <w:jc w:val="both"/>
        <w:rPr>
          <w:color w:val="auto"/>
          <w:lang w:val="ro-RO"/>
        </w:rPr>
      </w:pPr>
      <w:r w:rsidRPr="00F941DA">
        <w:rPr>
          <w:color w:val="auto"/>
          <w:lang w:val="ro-RO"/>
        </w:rPr>
        <w:t>Evaluare cardiologică, EKG, ionograma serică (inclusiv magneziu seric) - datorită riscului de apariţie a prelungirii intervalului QT</w:t>
      </w:r>
    </w:p>
    <w:p w14:paraId="401AD6F0" w14:textId="77777777" w:rsidR="00A827C3" w:rsidRPr="00F941DA" w:rsidRDefault="00A827C3" w:rsidP="00D11DF1">
      <w:pPr>
        <w:pStyle w:val="BodyA"/>
        <w:numPr>
          <w:ilvl w:val="0"/>
          <w:numId w:val="294"/>
        </w:numPr>
        <w:jc w:val="both"/>
        <w:rPr>
          <w:color w:val="auto"/>
          <w:lang w:val="ro-RO"/>
        </w:rPr>
      </w:pPr>
      <w:r w:rsidRPr="00F941DA">
        <w:rPr>
          <w:color w:val="auto"/>
          <w:lang w:val="ro-RO"/>
        </w:rPr>
        <w:t>Evaluare biologică a cărei complexitate o stabileşte medicul curant de la caz la caz, dar obligatoriu transaminaze, bilirubina totală, fosfataza alcalină, ionograma serică, inclusiv magneziu</w:t>
      </w:r>
    </w:p>
    <w:p w14:paraId="60B498D7" w14:textId="77777777" w:rsidR="00A827C3" w:rsidRPr="00F941DA" w:rsidRDefault="00A827C3" w:rsidP="00A827C3">
      <w:pPr>
        <w:pStyle w:val="BodyA"/>
        <w:jc w:val="both"/>
        <w:rPr>
          <w:b/>
          <w:bCs/>
          <w:color w:val="auto"/>
          <w:lang w:val="ro-RO"/>
        </w:rPr>
      </w:pPr>
      <w:r w:rsidRPr="00F941DA">
        <w:rPr>
          <w:b/>
          <w:bCs/>
          <w:color w:val="auto"/>
          <w:lang w:val="ro-RO"/>
        </w:rPr>
        <w:t xml:space="preserve">    </w:t>
      </w:r>
    </w:p>
    <w:p w14:paraId="0B586047" w14:textId="77777777" w:rsidR="00A827C3" w:rsidRPr="00F941DA" w:rsidRDefault="00A827C3" w:rsidP="00A827C3">
      <w:pPr>
        <w:pStyle w:val="BodyA"/>
        <w:jc w:val="both"/>
        <w:rPr>
          <w:b/>
          <w:bCs/>
          <w:color w:val="auto"/>
          <w:lang w:val="ro-RO"/>
        </w:rPr>
      </w:pPr>
      <w:r w:rsidRPr="00F941DA">
        <w:rPr>
          <w:b/>
          <w:bCs/>
          <w:color w:val="auto"/>
          <w:lang w:val="ro-RO"/>
        </w:rPr>
        <w:t>Doze, administrare:</w:t>
      </w:r>
    </w:p>
    <w:p w14:paraId="5872340C" w14:textId="77777777" w:rsidR="00A827C3" w:rsidRPr="00F941DA" w:rsidRDefault="00A827C3" w:rsidP="00A827C3">
      <w:pPr>
        <w:pStyle w:val="BodyA"/>
        <w:jc w:val="both"/>
        <w:rPr>
          <w:color w:val="auto"/>
          <w:lang w:val="ro-RO"/>
        </w:rPr>
      </w:pPr>
      <w:r w:rsidRPr="00F941DA">
        <w:rPr>
          <w:color w:val="auto"/>
          <w:lang w:val="ro-RO"/>
        </w:rPr>
        <w:t>Doza recomandată de vemurafenib este de 960 mg (4 comprimate filmate de 240 mg) de două ori pe zi (echivalent cu o doză zilnică totală de 1920 mg). Vemurafenib poate fi administrat cu sau fără alimente, dar trebuie evitată administrarea consecventă a ambelor doze zilnice pe stomacul gol. Tratamentul cu vemurafenib trebuie continuat atât timp cât se observă beneficii clinice sau până la apariţia unei toxicităţi inacceptabile.</w:t>
      </w:r>
    </w:p>
    <w:p w14:paraId="3043894D" w14:textId="77777777" w:rsidR="00A827C3" w:rsidRPr="00F941DA" w:rsidRDefault="00A827C3" w:rsidP="00A827C3">
      <w:pPr>
        <w:pStyle w:val="BodyA"/>
        <w:jc w:val="both"/>
        <w:rPr>
          <w:color w:val="auto"/>
          <w:lang w:val="ro-RO"/>
        </w:rPr>
      </w:pPr>
      <w:r w:rsidRPr="00F941DA">
        <w:rPr>
          <w:color w:val="auto"/>
          <w:lang w:val="ro-RO"/>
        </w:rPr>
        <w:t>Vemurafenib este destinat administrării orale. Comprimatele trebuie înghiţite întregi, cu apă. Acestea nu trebuie mestecate sau sfărâmate. Se recomandă ca dozele de vemurafenib să fie luate la aceleaşi ore în fiecare zi, cu un interval de aproximativ 12 ore între doze.</w:t>
      </w:r>
    </w:p>
    <w:p w14:paraId="29F719C1" w14:textId="77777777" w:rsidR="00A827C3" w:rsidRPr="00F941DA" w:rsidRDefault="00A827C3" w:rsidP="00A827C3">
      <w:pPr>
        <w:pStyle w:val="BodyA"/>
        <w:jc w:val="both"/>
        <w:rPr>
          <w:b/>
          <w:bCs/>
          <w:color w:val="auto"/>
          <w:lang w:val="ro-RO"/>
        </w:rPr>
      </w:pPr>
      <w:r w:rsidRPr="00F941DA">
        <w:rPr>
          <w:b/>
          <w:bCs/>
          <w:color w:val="auto"/>
          <w:lang w:val="ro-RO"/>
        </w:rPr>
        <w:t xml:space="preserve">    </w:t>
      </w:r>
    </w:p>
    <w:p w14:paraId="07A3BF3C" w14:textId="77777777" w:rsidR="00A827C3" w:rsidRPr="00F941DA" w:rsidRDefault="00A827C3" w:rsidP="00A827C3">
      <w:pPr>
        <w:pStyle w:val="BodyA"/>
        <w:jc w:val="both"/>
        <w:rPr>
          <w:b/>
          <w:bCs/>
          <w:color w:val="auto"/>
          <w:lang w:val="ro-RO"/>
        </w:rPr>
      </w:pPr>
      <w:r w:rsidRPr="00F941DA">
        <w:rPr>
          <w:b/>
          <w:bCs/>
          <w:color w:val="auto"/>
          <w:lang w:val="ro-RO"/>
        </w:rPr>
        <w:t>Doze omise</w:t>
      </w:r>
    </w:p>
    <w:p w14:paraId="2FEC042A" w14:textId="77777777" w:rsidR="00A827C3" w:rsidRPr="00F941DA" w:rsidRDefault="00A827C3" w:rsidP="00A827C3">
      <w:pPr>
        <w:pStyle w:val="BodyA"/>
        <w:jc w:val="both"/>
        <w:rPr>
          <w:color w:val="auto"/>
          <w:lang w:val="ro-RO"/>
        </w:rPr>
      </w:pPr>
      <w:r w:rsidRPr="00F941DA">
        <w:rPr>
          <w:color w:val="auto"/>
          <w:lang w:val="ro-RO"/>
        </w:rPr>
        <w:lastRenderedPageBreak/>
        <w:t>Dacă o doză este omisă, poate fi administrată cu până la 4 ore înainte de următoarea doză, pentru a se menţine regimul de administrare de două ori pe zi. Nu trebuie administrate ambele doze în acelaşi timp.</w:t>
      </w:r>
    </w:p>
    <w:p w14:paraId="0C688EE9" w14:textId="77777777" w:rsidR="00A827C3" w:rsidRPr="00F941DA" w:rsidRDefault="00A827C3" w:rsidP="00A827C3">
      <w:pPr>
        <w:pStyle w:val="BodyA"/>
        <w:jc w:val="both"/>
        <w:rPr>
          <w:color w:val="auto"/>
          <w:lang w:val="ro-RO"/>
        </w:rPr>
      </w:pPr>
      <w:r w:rsidRPr="00F941DA">
        <w:rPr>
          <w:color w:val="auto"/>
          <w:lang w:val="ro-RO"/>
        </w:rPr>
        <w:t>Dacă apar vărsături după administrarea vemurafenib, pacientul nu trebuie să utilizeze o doză suplimentară de medicament, dar tratamentul trebuie continuat ca de obicei.</w:t>
      </w:r>
    </w:p>
    <w:p w14:paraId="223F3758" w14:textId="77777777" w:rsidR="00A827C3" w:rsidRPr="00F941DA" w:rsidRDefault="00A827C3" w:rsidP="00A827C3">
      <w:pPr>
        <w:pStyle w:val="BodyA"/>
        <w:jc w:val="both"/>
        <w:rPr>
          <w:b/>
          <w:bCs/>
          <w:color w:val="auto"/>
          <w:lang w:val="ro-RO"/>
        </w:rPr>
      </w:pPr>
      <w:r w:rsidRPr="00F941DA">
        <w:rPr>
          <w:b/>
          <w:bCs/>
          <w:color w:val="auto"/>
          <w:lang w:val="ro-RO"/>
        </w:rPr>
        <w:t xml:space="preserve">    </w:t>
      </w:r>
    </w:p>
    <w:p w14:paraId="6E3AF55F" w14:textId="77777777" w:rsidR="00A827C3" w:rsidRPr="00F941DA" w:rsidRDefault="00A827C3" w:rsidP="00A827C3">
      <w:pPr>
        <w:pStyle w:val="BodyA"/>
        <w:jc w:val="both"/>
        <w:rPr>
          <w:b/>
          <w:bCs/>
          <w:color w:val="auto"/>
          <w:lang w:val="ro-RO"/>
        </w:rPr>
      </w:pPr>
      <w:r w:rsidRPr="00F941DA">
        <w:rPr>
          <w:b/>
          <w:bCs/>
          <w:color w:val="auto"/>
          <w:lang w:val="ro-RO"/>
        </w:rPr>
        <w:t>Grupe speciale de pacienţi:</w:t>
      </w:r>
    </w:p>
    <w:p w14:paraId="66E42583" w14:textId="77777777" w:rsidR="00A827C3" w:rsidRPr="00F941DA" w:rsidRDefault="00A827C3" w:rsidP="00A827C3">
      <w:pPr>
        <w:pStyle w:val="BodyA"/>
        <w:jc w:val="both"/>
        <w:rPr>
          <w:color w:val="auto"/>
          <w:lang w:val="ro-RO"/>
        </w:rPr>
      </w:pPr>
      <w:r w:rsidRPr="00F941DA">
        <w:rPr>
          <w:color w:val="auto"/>
          <w:lang w:val="ro-RO"/>
        </w:rPr>
        <w:t>Copii şi adolescenţi - siguranţa şi eficacitatea vemurafenib la copii şi adolescenţi (&lt; 18 ani) nu au fost încă stabilite. Nu sunt disponibile date clinice.</w:t>
      </w:r>
    </w:p>
    <w:p w14:paraId="597FF0EC" w14:textId="77777777" w:rsidR="00A827C3" w:rsidRPr="00F941DA" w:rsidRDefault="00A827C3" w:rsidP="00A827C3">
      <w:pPr>
        <w:pStyle w:val="BodyA"/>
        <w:jc w:val="both"/>
        <w:rPr>
          <w:color w:val="auto"/>
          <w:lang w:val="ro-RO"/>
        </w:rPr>
      </w:pPr>
      <w:r w:rsidRPr="00F941DA">
        <w:rPr>
          <w:color w:val="auto"/>
          <w:lang w:val="ro-RO"/>
        </w:rPr>
        <w:t xml:space="preserve">    </w:t>
      </w:r>
    </w:p>
    <w:p w14:paraId="1C4A81E0" w14:textId="77777777" w:rsidR="00A827C3" w:rsidRPr="00F941DA" w:rsidRDefault="00A827C3" w:rsidP="00A827C3">
      <w:pPr>
        <w:pStyle w:val="BodyA"/>
        <w:jc w:val="both"/>
        <w:rPr>
          <w:color w:val="auto"/>
          <w:lang w:val="ro-RO"/>
        </w:rPr>
      </w:pPr>
      <w:r w:rsidRPr="00F941DA">
        <w:rPr>
          <w:color w:val="auto"/>
          <w:lang w:val="ro-RO"/>
        </w:rPr>
        <w:t>Pacienţi vârstnici - nu este necesară ajustarea dozelor la pacienţii vârstnici (&gt; 65 de ani).</w:t>
      </w:r>
    </w:p>
    <w:p w14:paraId="716536AE" w14:textId="77777777" w:rsidR="00A827C3" w:rsidRPr="00F941DA" w:rsidRDefault="00A827C3" w:rsidP="00A827C3">
      <w:pPr>
        <w:pStyle w:val="BodyA"/>
        <w:jc w:val="both"/>
        <w:rPr>
          <w:color w:val="auto"/>
          <w:lang w:val="ro-RO"/>
        </w:rPr>
      </w:pPr>
    </w:p>
    <w:p w14:paraId="52EF95EA" w14:textId="77777777" w:rsidR="00A827C3" w:rsidRPr="00F941DA" w:rsidRDefault="00A827C3" w:rsidP="00A827C3">
      <w:pPr>
        <w:pStyle w:val="BodyA"/>
        <w:jc w:val="both"/>
        <w:rPr>
          <w:color w:val="auto"/>
          <w:lang w:val="ro-RO"/>
        </w:rPr>
      </w:pPr>
      <w:r w:rsidRPr="00F941DA">
        <w:rPr>
          <w:color w:val="auto"/>
          <w:lang w:val="ro-RO"/>
        </w:rPr>
        <w:t>Insuficienţă renală - la pacienţii cu insuficienţă renală sunt disponibile date limitate. Nu poate fi exclus riscul de expunere crescută la pacienţii cu insuficienţă renală severă. Pacienţii cu insuficienţă renală severă trebuie atent monitorizaţi</w:t>
      </w:r>
    </w:p>
    <w:p w14:paraId="4C5710A4" w14:textId="77777777" w:rsidR="00A827C3" w:rsidRPr="00F941DA" w:rsidRDefault="00A827C3" w:rsidP="00A827C3">
      <w:pPr>
        <w:pStyle w:val="BodyA"/>
        <w:jc w:val="both"/>
        <w:rPr>
          <w:color w:val="auto"/>
          <w:lang w:val="ro-RO"/>
        </w:rPr>
      </w:pPr>
      <w:r w:rsidRPr="00F941DA">
        <w:rPr>
          <w:color w:val="auto"/>
          <w:lang w:val="ro-RO"/>
        </w:rPr>
        <w:t xml:space="preserve">    </w:t>
      </w:r>
    </w:p>
    <w:p w14:paraId="43264D3A" w14:textId="77777777" w:rsidR="00A827C3" w:rsidRPr="00F941DA" w:rsidRDefault="00A827C3" w:rsidP="00A827C3">
      <w:pPr>
        <w:pStyle w:val="BodyA"/>
        <w:jc w:val="both"/>
        <w:rPr>
          <w:color w:val="auto"/>
          <w:lang w:val="ro-RO"/>
        </w:rPr>
      </w:pPr>
      <w:r w:rsidRPr="00F941DA">
        <w:rPr>
          <w:color w:val="auto"/>
          <w:lang w:val="ro-RO"/>
        </w:rPr>
        <w:t>Insuficienţă hepatică - la pacienţii cu insuficienţă hepatică sunt disponibile date limitate. Deoarece vemurafenib este metabolizat la nivelul ficatului, pacienţii cu insuficienţă hepatică moderată sau severă pot prezenta expunere crescută şi trebuie atent monitorizaţi.</w:t>
      </w:r>
    </w:p>
    <w:p w14:paraId="2F6D8842" w14:textId="77777777" w:rsidR="00A827C3" w:rsidRPr="00F941DA" w:rsidRDefault="00A827C3" w:rsidP="00A827C3">
      <w:pPr>
        <w:pStyle w:val="BodyA"/>
        <w:jc w:val="both"/>
        <w:rPr>
          <w:color w:val="auto"/>
          <w:lang w:val="ro-RO"/>
        </w:rPr>
      </w:pPr>
      <w:r w:rsidRPr="00F941DA">
        <w:rPr>
          <w:color w:val="auto"/>
          <w:lang w:val="ro-RO"/>
        </w:rPr>
        <w:t xml:space="preserve">    </w:t>
      </w:r>
    </w:p>
    <w:p w14:paraId="18110BD1" w14:textId="77777777" w:rsidR="00A827C3" w:rsidRPr="00F941DA" w:rsidRDefault="00A827C3" w:rsidP="00A827C3">
      <w:pPr>
        <w:pStyle w:val="BodyA"/>
        <w:jc w:val="both"/>
        <w:rPr>
          <w:color w:val="auto"/>
          <w:lang w:val="ro-RO"/>
        </w:rPr>
      </w:pPr>
      <w:r w:rsidRPr="00F941DA">
        <w:rPr>
          <w:color w:val="auto"/>
          <w:lang w:val="ro-RO"/>
        </w:rPr>
        <w:t>Alăptarea - nu se cunoaşte dacă vemurafenib se excretă în laptele uman. Nu poate fi exclus riscul pentru nou-născuţi/sugari. Luând în considerare beneficiul alăptării pentru copil şi beneficiul tratamentului pentru mamă, trebuie luată decizia fie a întreruperii alăptării, fie a întreruperii tratamentului cu vemurafenib.</w:t>
      </w:r>
    </w:p>
    <w:p w14:paraId="60FF2179" w14:textId="77777777" w:rsidR="00A827C3" w:rsidRPr="00F941DA" w:rsidRDefault="00A827C3" w:rsidP="00A827C3">
      <w:pPr>
        <w:pStyle w:val="BodyA"/>
        <w:jc w:val="both"/>
        <w:rPr>
          <w:color w:val="auto"/>
          <w:lang w:val="ro-RO"/>
        </w:rPr>
      </w:pPr>
      <w:r w:rsidRPr="00F941DA">
        <w:rPr>
          <w:color w:val="auto"/>
          <w:lang w:val="ro-RO"/>
        </w:rPr>
        <w:t xml:space="preserve">    </w:t>
      </w:r>
    </w:p>
    <w:p w14:paraId="36B402EA" w14:textId="77777777" w:rsidR="00A827C3" w:rsidRPr="00F941DA" w:rsidRDefault="00A827C3" w:rsidP="00A827C3">
      <w:pPr>
        <w:pStyle w:val="BodyA"/>
        <w:jc w:val="both"/>
        <w:rPr>
          <w:color w:val="auto"/>
          <w:lang w:val="ro-RO"/>
        </w:rPr>
      </w:pPr>
      <w:r w:rsidRPr="00F941DA">
        <w:rPr>
          <w:color w:val="auto"/>
          <w:lang w:val="ro-RO"/>
        </w:rPr>
        <w:t>Fertilitatea - nu au fost efectuate studii specifice cu vemurafenib la animale pentru a evalua efectul asupra fertilităţii. Cu toate acestea, în studii de toxicitate după doze repetate la şobolani şi câini, nu au fost înregistrate modificări histopatologice la nivelul organelor reproductive; vemurafenib poate reduce eficienţa contraceptivelor orale (hormonale).</w:t>
      </w:r>
    </w:p>
    <w:p w14:paraId="32E08A53" w14:textId="77777777" w:rsidR="00A827C3" w:rsidRPr="00F941DA" w:rsidRDefault="00A827C3" w:rsidP="00A827C3">
      <w:pPr>
        <w:pStyle w:val="BodyA"/>
        <w:jc w:val="both"/>
        <w:rPr>
          <w:color w:val="auto"/>
          <w:lang w:val="ro-RO"/>
        </w:rPr>
      </w:pPr>
      <w:r w:rsidRPr="00F941DA">
        <w:rPr>
          <w:color w:val="auto"/>
          <w:lang w:val="ro-RO"/>
        </w:rPr>
        <w:t xml:space="preserve">    </w:t>
      </w:r>
    </w:p>
    <w:p w14:paraId="6B275848" w14:textId="77777777" w:rsidR="00A827C3" w:rsidRPr="00F941DA" w:rsidRDefault="00A827C3" w:rsidP="00A827C3">
      <w:pPr>
        <w:pStyle w:val="BodyA"/>
        <w:jc w:val="both"/>
        <w:rPr>
          <w:color w:val="auto"/>
          <w:lang w:val="ro-RO"/>
        </w:rPr>
      </w:pPr>
      <w:r w:rsidRPr="00F941DA">
        <w:rPr>
          <w:color w:val="auto"/>
          <w:lang w:val="ro-RO"/>
        </w:rPr>
        <w:t>Sarcina - vemurafenib nu trebuie administrat femeilor gravide decât dacă beneficiul posibil pentru mamă depăşeşte riscul posibil pentru făt. Medicamentul nu a avut efecte teratogene asupra embrionului/fătului la animale, experimental. În cazul în care pacienta rămâne însărcinată în timpul tratamentului cu vemurafenib, aceasta trebuie să fie informată cu privire la riscurile potenţiale pentru făt (medicamentul traversează bariera feto-placentară).</w:t>
      </w:r>
    </w:p>
    <w:p w14:paraId="5F72C2F5" w14:textId="77777777" w:rsidR="00A827C3" w:rsidRPr="00F941DA" w:rsidRDefault="00A827C3" w:rsidP="00A827C3">
      <w:pPr>
        <w:pStyle w:val="BodyA"/>
        <w:jc w:val="both"/>
        <w:rPr>
          <w:b/>
          <w:bCs/>
          <w:color w:val="auto"/>
          <w:lang w:val="ro-RO"/>
        </w:rPr>
      </w:pPr>
      <w:r w:rsidRPr="00F941DA">
        <w:rPr>
          <w:b/>
          <w:bCs/>
          <w:color w:val="auto"/>
          <w:lang w:val="ro-RO"/>
        </w:rPr>
        <w:t xml:space="preserve">    </w:t>
      </w:r>
    </w:p>
    <w:p w14:paraId="50AE1422" w14:textId="77777777" w:rsidR="00A827C3" w:rsidRPr="00F941DA" w:rsidRDefault="00A827C3" w:rsidP="00A827C3">
      <w:pPr>
        <w:pStyle w:val="BodyA"/>
        <w:jc w:val="both"/>
        <w:rPr>
          <w:b/>
          <w:bCs/>
          <w:color w:val="auto"/>
          <w:lang w:val="ro-RO"/>
        </w:rPr>
      </w:pPr>
      <w:r w:rsidRPr="00F941DA">
        <w:rPr>
          <w:b/>
          <w:bCs/>
          <w:color w:val="auto"/>
          <w:lang w:val="ro-RO"/>
        </w:rPr>
        <w:t>Asocierea cu alte medicamente:</w:t>
      </w:r>
    </w:p>
    <w:p w14:paraId="4147421B" w14:textId="77777777" w:rsidR="00A827C3" w:rsidRPr="00F941DA" w:rsidRDefault="00A827C3" w:rsidP="00A827C3">
      <w:pPr>
        <w:pStyle w:val="BodyA"/>
        <w:jc w:val="both"/>
        <w:rPr>
          <w:color w:val="auto"/>
          <w:lang w:val="ro-RO"/>
        </w:rPr>
      </w:pPr>
    </w:p>
    <w:p w14:paraId="65BFD2E8" w14:textId="77777777" w:rsidR="00A827C3" w:rsidRPr="00F941DA" w:rsidRDefault="00A827C3" w:rsidP="00A827C3">
      <w:pPr>
        <w:pStyle w:val="BodyA"/>
        <w:jc w:val="both"/>
        <w:rPr>
          <w:color w:val="auto"/>
          <w:lang w:val="ro-RO"/>
        </w:rPr>
      </w:pPr>
      <w:r w:rsidRPr="00F941DA">
        <w:rPr>
          <w:color w:val="auto"/>
          <w:lang w:val="ro-RO"/>
        </w:rPr>
        <w:t>a. Efectele vemurafenib asupra altor medicamente</w:t>
      </w:r>
    </w:p>
    <w:p w14:paraId="67692002" w14:textId="77777777" w:rsidR="00A827C3" w:rsidRPr="00F941DA" w:rsidRDefault="00A827C3" w:rsidP="00D11DF1">
      <w:pPr>
        <w:pStyle w:val="BodyA"/>
        <w:numPr>
          <w:ilvl w:val="0"/>
          <w:numId w:val="297"/>
        </w:numPr>
        <w:jc w:val="both"/>
        <w:rPr>
          <w:color w:val="auto"/>
          <w:lang w:val="ro-RO"/>
        </w:rPr>
      </w:pPr>
      <w:r w:rsidRPr="00F941DA">
        <w:rPr>
          <w:color w:val="auto"/>
          <w:lang w:val="ro-RO"/>
        </w:rPr>
        <w:t>Vemurafenib creşte expunerea plasmatică a medicamentelor metabolizate predominant de CYP1A2 (de exemplu agomelatină, alosteron, duloxetină, melatonină, ramelteon, tacrină, tizanidină, teofilină)</w:t>
      </w:r>
    </w:p>
    <w:p w14:paraId="462AC66B" w14:textId="77777777" w:rsidR="00A827C3" w:rsidRPr="00F941DA" w:rsidRDefault="00A827C3" w:rsidP="00D11DF1">
      <w:pPr>
        <w:pStyle w:val="BodyA"/>
        <w:numPr>
          <w:ilvl w:val="0"/>
          <w:numId w:val="297"/>
        </w:numPr>
        <w:jc w:val="both"/>
        <w:rPr>
          <w:color w:val="auto"/>
          <w:lang w:val="ro-RO"/>
        </w:rPr>
      </w:pPr>
      <w:r w:rsidRPr="00F941DA">
        <w:rPr>
          <w:color w:val="auto"/>
          <w:lang w:val="ro-RO"/>
        </w:rPr>
        <w:t>Vemurafenib scade expunerea plasmatică a medicamentelor metabolizate predominant de CYP3A4, incluzând contraceptivele orale.</w:t>
      </w:r>
    </w:p>
    <w:p w14:paraId="3B410DA4" w14:textId="77777777" w:rsidR="00A827C3" w:rsidRPr="00F941DA" w:rsidRDefault="00A827C3" w:rsidP="00D11DF1">
      <w:pPr>
        <w:pStyle w:val="BodyA"/>
        <w:numPr>
          <w:ilvl w:val="0"/>
          <w:numId w:val="297"/>
        </w:numPr>
        <w:jc w:val="both"/>
        <w:rPr>
          <w:color w:val="auto"/>
          <w:lang w:val="ro-RO"/>
        </w:rPr>
      </w:pPr>
      <w:r w:rsidRPr="00F941DA">
        <w:rPr>
          <w:color w:val="auto"/>
          <w:lang w:val="ro-RO"/>
        </w:rPr>
        <w:t>Dacă vemurafenib este administrat concomitent cu warfarina, este necesară precauţie şi trebuie monitorizat INR.</w:t>
      </w:r>
    </w:p>
    <w:p w14:paraId="55E6AA7E" w14:textId="49B50EBD" w:rsidR="00A827C3" w:rsidRPr="00F941DA" w:rsidRDefault="00A827C3" w:rsidP="00D11DF1">
      <w:pPr>
        <w:pStyle w:val="BodyA"/>
        <w:numPr>
          <w:ilvl w:val="0"/>
          <w:numId w:val="297"/>
        </w:numPr>
        <w:jc w:val="both"/>
        <w:rPr>
          <w:color w:val="auto"/>
          <w:lang w:val="ro-RO"/>
        </w:rPr>
      </w:pPr>
      <w:r w:rsidRPr="00F941DA">
        <w:rPr>
          <w:color w:val="auto"/>
          <w:lang w:val="ro-RO"/>
        </w:rPr>
        <w:t>Vemurafenib poate creşte expunerea plasmatică a medicamentelor care reprezintă substraturi pentru gp-P, fiind necesară prudenţă şi luată în considerare scăderea dozei şi/sau monitorizarea suplimentară a concentraţiei medicamentelor care sunt substraturi pentru gp-P (de exemplu digoxină, dabigatran etexilat, aliskiren).</w:t>
      </w:r>
    </w:p>
    <w:p w14:paraId="0D277B98" w14:textId="77777777" w:rsidR="00A827C3" w:rsidRPr="00F941DA" w:rsidRDefault="00A827C3" w:rsidP="00A827C3">
      <w:pPr>
        <w:pStyle w:val="BodyA"/>
        <w:jc w:val="both"/>
        <w:rPr>
          <w:color w:val="auto"/>
          <w:lang w:val="ro-RO"/>
        </w:rPr>
      </w:pPr>
      <w:r w:rsidRPr="00F941DA">
        <w:rPr>
          <w:color w:val="auto"/>
          <w:lang w:val="ro-RO"/>
        </w:rPr>
        <w:t xml:space="preserve">    </w:t>
      </w:r>
    </w:p>
    <w:p w14:paraId="3EBD2533" w14:textId="77777777" w:rsidR="00A827C3" w:rsidRPr="00F941DA" w:rsidRDefault="00A827C3" w:rsidP="00A827C3">
      <w:pPr>
        <w:pStyle w:val="BodyA"/>
        <w:jc w:val="both"/>
        <w:rPr>
          <w:color w:val="auto"/>
          <w:lang w:val="ro-RO"/>
        </w:rPr>
      </w:pPr>
      <w:r w:rsidRPr="00F941DA">
        <w:rPr>
          <w:color w:val="auto"/>
          <w:lang w:val="ro-RO"/>
        </w:rPr>
        <w:t>b. Efectele altor medicamente asupra vemurafenib</w:t>
      </w:r>
    </w:p>
    <w:p w14:paraId="4B064A97" w14:textId="77777777" w:rsidR="00A827C3" w:rsidRPr="00F941DA" w:rsidRDefault="00A827C3" w:rsidP="00D11DF1">
      <w:pPr>
        <w:pStyle w:val="BodyA"/>
        <w:numPr>
          <w:ilvl w:val="0"/>
          <w:numId w:val="298"/>
        </w:numPr>
        <w:jc w:val="both"/>
        <w:rPr>
          <w:color w:val="auto"/>
          <w:lang w:val="ro-RO"/>
        </w:rPr>
      </w:pPr>
      <w:r w:rsidRPr="00F941DA">
        <w:rPr>
          <w:color w:val="auto"/>
          <w:lang w:val="ro-RO"/>
        </w:rPr>
        <w:t>Farmacocinetică vemurafenib poate fi modificată de medicamente care inhibă sau influenţează gp-P (de exemplu verapamil, claritromicină, ciclosporină, ritonavir, chinidină, dronedaronă, amiodaronă, itraconazol, ranolazină).</w:t>
      </w:r>
    </w:p>
    <w:p w14:paraId="7D09A24B" w14:textId="77777777" w:rsidR="00A827C3" w:rsidRPr="00F941DA" w:rsidRDefault="00A827C3" w:rsidP="00D11DF1">
      <w:pPr>
        <w:pStyle w:val="BodyA"/>
        <w:numPr>
          <w:ilvl w:val="0"/>
          <w:numId w:val="298"/>
        </w:numPr>
        <w:jc w:val="both"/>
        <w:rPr>
          <w:color w:val="auto"/>
          <w:lang w:val="ro-RO"/>
        </w:rPr>
      </w:pPr>
      <w:r w:rsidRPr="00F941DA">
        <w:rPr>
          <w:color w:val="auto"/>
          <w:lang w:val="ro-RO"/>
        </w:rPr>
        <w:lastRenderedPageBreak/>
        <w:t>Administrarea concomitentă a inductorilor puternici ai gp-P, ai glucuronidării, ai CYP3A4 trebuie evitată (de exemplu rifampicină, rifabutină, carbamazepină, fenitoină sau sunătoare [hipericină]). Pentru a menţine eficacitatea vemurafenib, trebuie avut în vedere un tratament alternativ cu potenţial inductor mai mic.</w:t>
      </w:r>
    </w:p>
    <w:p w14:paraId="48454FFC" w14:textId="75A40BFB" w:rsidR="00A827C3" w:rsidRPr="00F941DA" w:rsidRDefault="00A827C3" w:rsidP="00D11DF1">
      <w:pPr>
        <w:pStyle w:val="BodyA"/>
        <w:numPr>
          <w:ilvl w:val="0"/>
          <w:numId w:val="298"/>
        </w:numPr>
        <w:jc w:val="both"/>
        <w:rPr>
          <w:color w:val="auto"/>
          <w:lang w:val="ro-RO"/>
        </w:rPr>
      </w:pPr>
      <w:r w:rsidRPr="00F941DA">
        <w:rPr>
          <w:color w:val="auto"/>
          <w:lang w:val="ro-RO"/>
        </w:rPr>
        <w:t>Administrare concomitentă cu ipilimumab a fost asociată cu creşteri asimptomatice de grad 3 ale valorilor transaminazelor (ALT/AST &gt; 5 x LSN) şi bilirubinei (bilirubină totală &gt; 3 x LSN). Pe baza acestor date preliminare, nu se recomandă administrarea concomitentă de ipilimumab şi vemurafenib.</w:t>
      </w:r>
    </w:p>
    <w:p w14:paraId="261A5CD3" w14:textId="77777777" w:rsidR="00A827C3" w:rsidRPr="00F941DA" w:rsidRDefault="00A827C3" w:rsidP="00A827C3">
      <w:pPr>
        <w:pStyle w:val="BodyA"/>
        <w:jc w:val="both"/>
        <w:rPr>
          <w:b/>
          <w:bCs/>
          <w:color w:val="auto"/>
          <w:lang w:val="ro-RO"/>
        </w:rPr>
      </w:pPr>
      <w:r w:rsidRPr="00F941DA">
        <w:rPr>
          <w:b/>
          <w:bCs/>
          <w:color w:val="auto"/>
          <w:lang w:val="ro-RO"/>
        </w:rPr>
        <w:t xml:space="preserve">    </w:t>
      </w:r>
    </w:p>
    <w:p w14:paraId="5C67E22B" w14:textId="77777777" w:rsidR="00A827C3" w:rsidRPr="00F941DA" w:rsidRDefault="00A827C3" w:rsidP="00A827C3">
      <w:pPr>
        <w:pStyle w:val="BodyA"/>
        <w:jc w:val="both"/>
        <w:rPr>
          <w:b/>
          <w:bCs/>
          <w:color w:val="auto"/>
          <w:lang w:val="ro-RO"/>
        </w:rPr>
      </w:pPr>
      <w:r w:rsidRPr="00F941DA">
        <w:rPr>
          <w:b/>
          <w:bCs/>
          <w:color w:val="auto"/>
          <w:lang w:val="ro-RO"/>
        </w:rPr>
        <w:t>Modificarea dozei în funcţie de gradul oricăror evenimente adverse (EA):</w:t>
      </w:r>
    </w:p>
    <w:p w14:paraId="185C6B75" w14:textId="77777777" w:rsidR="00A827C3" w:rsidRPr="00F941DA" w:rsidRDefault="00A827C3" w:rsidP="00A827C3">
      <w:pPr>
        <w:pStyle w:val="BodyA"/>
        <w:jc w:val="both"/>
        <w:rPr>
          <w:color w:val="auto"/>
          <w:lang w:val="ro-RO"/>
        </w:rPr>
      </w:pPr>
      <w:r w:rsidRPr="00F941DA">
        <w:rPr>
          <w:color w:val="auto"/>
          <w:lang w:val="ro-RO"/>
        </w:rPr>
        <w:t xml:space="preserve">    </w:t>
      </w:r>
    </w:p>
    <w:p w14:paraId="2C932732" w14:textId="77777777" w:rsidR="00A827C3" w:rsidRPr="00F941DA" w:rsidRDefault="00A827C3" w:rsidP="00A827C3">
      <w:pPr>
        <w:pStyle w:val="BodyA"/>
        <w:jc w:val="both"/>
        <w:rPr>
          <w:color w:val="auto"/>
          <w:lang w:val="ro-RO"/>
        </w:rPr>
      </w:pPr>
      <w:r w:rsidRPr="00F941DA">
        <w:rPr>
          <w:color w:val="auto"/>
          <w:lang w:val="ro-RO"/>
        </w:rPr>
        <w:t>A. Grad 1 sau Grad 2 (tolerabil):</w:t>
      </w:r>
    </w:p>
    <w:p w14:paraId="24536BC7" w14:textId="77777777" w:rsidR="00A827C3" w:rsidRPr="00F941DA" w:rsidRDefault="00A827C3" w:rsidP="00D11DF1">
      <w:pPr>
        <w:pStyle w:val="BodyA"/>
        <w:numPr>
          <w:ilvl w:val="0"/>
          <w:numId w:val="299"/>
        </w:numPr>
        <w:jc w:val="both"/>
        <w:rPr>
          <w:color w:val="auto"/>
          <w:lang w:val="ro-RO"/>
        </w:rPr>
      </w:pPr>
      <w:r w:rsidRPr="00F941DA">
        <w:rPr>
          <w:color w:val="auto"/>
          <w:lang w:val="ro-RO"/>
        </w:rPr>
        <w:t>se menţine doza de vemurafenib la 960 mg de două ori pe zi.</w:t>
      </w:r>
    </w:p>
    <w:p w14:paraId="2F5A7721" w14:textId="77777777" w:rsidR="00A827C3" w:rsidRPr="00F941DA" w:rsidRDefault="00A827C3" w:rsidP="00A827C3">
      <w:pPr>
        <w:pStyle w:val="BodyA"/>
        <w:jc w:val="both"/>
        <w:rPr>
          <w:color w:val="auto"/>
          <w:lang w:val="ro-RO"/>
        </w:rPr>
      </w:pPr>
      <w:r w:rsidRPr="00F941DA">
        <w:rPr>
          <w:color w:val="auto"/>
          <w:lang w:val="ro-RO"/>
        </w:rPr>
        <w:t xml:space="preserve">    </w:t>
      </w:r>
    </w:p>
    <w:p w14:paraId="3C98EB8E" w14:textId="77777777" w:rsidR="00A827C3" w:rsidRPr="00F941DA" w:rsidRDefault="00A827C3" w:rsidP="00A827C3">
      <w:pPr>
        <w:pStyle w:val="BodyA"/>
        <w:jc w:val="both"/>
        <w:rPr>
          <w:color w:val="auto"/>
          <w:lang w:val="ro-RO"/>
        </w:rPr>
      </w:pPr>
      <w:r w:rsidRPr="00F941DA">
        <w:rPr>
          <w:color w:val="auto"/>
          <w:lang w:val="ro-RO"/>
        </w:rPr>
        <w:t>B. Grad 2 (intolerabil) sau Grad 3</w:t>
      </w:r>
    </w:p>
    <w:p w14:paraId="519173C3" w14:textId="1521BCF2" w:rsidR="00A827C3" w:rsidRPr="00F941DA" w:rsidRDefault="00A827C3" w:rsidP="00D11DF1">
      <w:pPr>
        <w:pStyle w:val="BodyA"/>
        <w:numPr>
          <w:ilvl w:val="0"/>
          <w:numId w:val="300"/>
        </w:numPr>
        <w:jc w:val="both"/>
        <w:rPr>
          <w:color w:val="auto"/>
          <w:lang w:val="ro-RO"/>
        </w:rPr>
      </w:pPr>
      <w:r w:rsidRPr="00F941DA">
        <w:rPr>
          <w:color w:val="auto"/>
          <w:lang w:val="ro-RO"/>
        </w:rPr>
        <w:t>Prima apariţie a oricărui EA de grad 2 sau 3</w:t>
      </w:r>
    </w:p>
    <w:p w14:paraId="5412DD20" w14:textId="77777777" w:rsidR="00A827C3" w:rsidRPr="00F941DA" w:rsidRDefault="00A827C3" w:rsidP="00D11DF1">
      <w:pPr>
        <w:pStyle w:val="BodyA"/>
        <w:numPr>
          <w:ilvl w:val="0"/>
          <w:numId w:val="300"/>
        </w:numPr>
        <w:jc w:val="both"/>
        <w:rPr>
          <w:color w:val="auto"/>
          <w:lang w:val="ro-RO"/>
        </w:rPr>
      </w:pPr>
      <w:r w:rsidRPr="00F941DA">
        <w:rPr>
          <w:color w:val="auto"/>
          <w:lang w:val="ro-RO"/>
        </w:rPr>
        <w:t>Întrerupeţi tratamentul până la gradul 0 - 1. Reluaţi administrarea cu doza de 720 mg de două ori pe zi (sau 480 mg de două ori pe zi dacă doza a fost deja scăzută).</w:t>
      </w:r>
    </w:p>
    <w:p w14:paraId="72B9F3EE" w14:textId="02F22F5A" w:rsidR="00A827C3" w:rsidRPr="00F941DA" w:rsidRDefault="00A827C3" w:rsidP="00D11DF1">
      <w:pPr>
        <w:pStyle w:val="BodyA"/>
        <w:numPr>
          <w:ilvl w:val="0"/>
          <w:numId w:val="300"/>
        </w:numPr>
        <w:jc w:val="both"/>
        <w:rPr>
          <w:color w:val="auto"/>
          <w:lang w:val="ro-RO"/>
        </w:rPr>
      </w:pPr>
      <w:r w:rsidRPr="00F941DA">
        <w:rPr>
          <w:color w:val="auto"/>
          <w:lang w:val="ro-RO"/>
        </w:rPr>
        <w:t>A 2-a apariţie a oricărui EA de grad 2 sau 3 sau persistenţa după întreruperea tratamentului</w:t>
      </w:r>
    </w:p>
    <w:p w14:paraId="62CFF376" w14:textId="77777777" w:rsidR="00A827C3" w:rsidRPr="00F941DA" w:rsidRDefault="00A827C3" w:rsidP="00D11DF1">
      <w:pPr>
        <w:pStyle w:val="BodyA"/>
        <w:numPr>
          <w:ilvl w:val="0"/>
          <w:numId w:val="300"/>
        </w:numPr>
        <w:jc w:val="both"/>
        <w:rPr>
          <w:color w:val="auto"/>
          <w:lang w:val="ro-RO"/>
        </w:rPr>
      </w:pPr>
      <w:r w:rsidRPr="00F941DA">
        <w:rPr>
          <w:color w:val="auto"/>
          <w:lang w:val="ro-RO"/>
        </w:rPr>
        <w:t>Întrerupeţi tratamentul până la gradul 0 - 1. Reluaţi administrarea cu doza de 480 mg de două ori pe zi (sau întrerupeţi permanent dacă doza a fost deja scăzută la 480 mg de două ori pe zi).</w:t>
      </w:r>
    </w:p>
    <w:p w14:paraId="5EBBD566" w14:textId="02299C57" w:rsidR="00A827C3" w:rsidRPr="00F941DA" w:rsidRDefault="00A827C3" w:rsidP="00D11DF1">
      <w:pPr>
        <w:pStyle w:val="BodyA"/>
        <w:numPr>
          <w:ilvl w:val="0"/>
          <w:numId w:val="300"/>
        </w:numPr>
        <w:jc w:val="both"/>
        <w:rPr>
          <w:color w:val="auto"/>
          <w:lang w:val="ro-RO"/>
        </w:rPr>
      </w:pPr>
      <w:r w:rsidRPr="00F941DA">
        <w:rPr>
          <w:color w:val="auto"/>
          <w:lang w:val="ro-RO"/>
        </w:rPr>
        <w:t>A 3-a apariţie a oricărui EA de grad 2 sau 3 sau persistenţa după a 2-a reducere a dozei</w:t>
      </w:r>
    </w:p>
    <w:p w14:paraId="66F69A98" w14:textId="77777777" w:rsidR="00A827C3" w:rsidRPr="00F941DA" w:rsidRDefault="00A827C3" w:rsidP="00D11DF1">
      <w:pPr>
        <w:pStyle w:val="BodyA"/>
        <w:numPr>
          <w:ilvl w:val="0"/>
          <w:numId w:val="300"/>
        </w:numPr>
        <w:jc w:val="both"/>
        <w:rPr>
          <w:color w:val="auto"/>
          <w:lang w:val="ro-RO"/>
        </w:rPr>
      </w:pPr>
      <w:r w:rsidRPr="00F941DA">
        <w:rPr>
          <w:color w:val="auto"/>
          <w:lang w:val="ro-RO"/>
        </w:rPr>
        <w:t>Întrerupeţi permanent.</w:t>
      </w:r>
    </w:p>
    <w:p w14:paraId="1D95B2AE" w14:textId="77777777" w:rsidR="00A827C3" w:rsidRPr="00F941DA" w:rsidRDefault="00A827C3" w:rsidP="00A827C3">
      <w:pPr>
        <w:pStyle w:val="BodyA"/>
        <w:jc w:val="both"/>
        <w:rPr>
          <w:color w:val="auto"/>
          <w:lang w:val="ro-RO"/>
        </w:rPr>
      </w:pPr>
      <w:r w:rsidRPr="00F941DA">
        <w:rPr>
          <w:color w:val="auto"/>
          <w:lang w:val="ro-RO"/>
        </w:rPr>
        <w:t xml:space="preserve">    </w:t>
      </w:r>
    </w:p>
    <w:p w14:paraId="12F4818C" w14:textId="77777777" w:rsidR="00A827C3" w:rsidRPr="00F941DA" w:rsidRDefault="00A827C3" w:rsidP="00A827C3">
      <w:pPr>
        <w:pStyle w:val="BodyA"/>
        <w:jc w:val="both"/>
        <w:rPr>
          <w:color w:val="auto"/>
          <w:lang w:val="ro-RO"/>
        </w:rPr>
      </w:pPr>
      <w:r w:rsidRPr="00F941DA">
        <w:rPr>
          <w:color w:val="auto"/>
          <w:lang w:val="ro-RO"/>
        </w:rPr>
        <w:t>C. Grad 4</w:t>
      </w:r>
    </w:p>
    <w:p w14:paraId="491AA483" w14:textId="57E04A90" w:rsidR="00A827C3" w:rsidRPr="00F941DA" w:rsidRDefault="00A827C3" w:rsidP="00D11DF1">
      <w:pPr>
        <w:pStyle w:val="BodyA"/>
        <w:numPr>
          <w:ilvl w:val="0"/>
          <w:numId w:val="301"/>
        </w:numPr>
        <w:jc w:val="both"/>
        <w:rPr>
          <w:color w:val="auto"/>
          <w:lang w:val="ro-RO"/>
        </w:rPr>
      </w:pPr>
      <w:r w:rsidRPr="00F941DA">
        <w:rPr>
          <w:color w:val="auto"/>
          <w:lang w:val="ro-RO"/>
        </w:rPr>
        <w:t>Prima apariţie a oricărui EA de grad 4</w:t>
      </w:r>
    </w:p>
    <w:p w14:paraId="1E260877" w14:textId="77777777" w:rsidR="00A827C3" w:rsidRPr="00F941DA" w:rsidRDefault="00A827C3" w:rsidP="00D11DF1">
      <w:pPr>
        <w:pStyle w:val="BodyA"/>
        <w:numPr>
          <w:ilvl w:val="0"/>
          <w:numId w:val="301"/>
        </w:numPr>
        <w:jc w:val="both"/>
        <w:rPr>
          <w:color w:val="auto"/>
          <w:lang w:val="ro-RO"/>
        </w:rPr>
      </w:pPr>
      <w:r w:rsidRPr="00F941DA">
        <w:rPr>
          <w:color w:val="auto"/>
          <w:lang w:val="ro-RO"/>
        </w:rPr>
        <w:t>Întrerupeţi permanent sau temporar tratamentul cu vemurafenib până la gradul 0 - 1. Reluaţi administrarea cu doza de 480 mg de două ori pe zi (sau întrerupeţi permanent dacă doza a fost deja scăzută la 480 mg de două ori pe zi).</w:t>
      </w:r>
    </w:p>
    <w:p w14:paraId="341F6CA9" w14:textId="6F7FE66D" w:rsidR="00A827C3" w:rsidRPr="00F941DA" w:rsidRDefault="00A827C3" w:rsidP="00D11DF1">
      <w:pPr>
        <w:pStyle w:val="BodyA"/>
        <w:numPr>
          <w:ilvl w:val="0"/>
          <w:numId w:val="301"/>
        </w:numPr>
        <w:jc w:val="both"/>
        <w:rPr>
          <w:color w:val="auto"/>
          <w:lang w:val="ro-RO"/>
        </w:rPr>
      </w:pPr>
      <w:r w:rsidRPr="00F941DA">
        <w:rPr>
          <w:color w:val="auto"/>
          <w:lang w:val="ro-RO"/>
        </w:rPr>
        <w:t>A 2-a apariţie a oricărui EA de grad 4 sau persistenţa oricărui EA de grad 4 după prima reducere a dozei</w:t>
      </w:r>
    </w:p>
    <w:p w14:paraId="34986869" w14:textId="77777777" w:rsidR="00A827C3" w:rsidRPr="00F941DA" w:rsidRDefault="00A827C3" w:rsidP="00D11DF1">
      <w:pPr>
        <w:pStyle w:val="BodyA"/>
        <w:numPr>
          <w:ilvl w:val="0"/>
          <w:numId w:val="301"/>
        </w:numPr>
        <w:jc w:val="both"/>
        <w:rPr>
          <w:color w:val="auto"/>
          <w:lang w:val="ro-RO"/>
        </w:rPr>
      </w:pPr>
      <w:r w:rsidRPr="00F941DA">
        <w:rPr>
          <w:color w:val="auto"/>
          <w:lang w:val="ro-RO"/>
        </w:rPr>
        <w:t>Întrerupeţi permanent.</w:t>
      </w:r>
    </w:p>
    <w:p w14:paraId="55EA55E4" w14:textId="77777777" w:rsidR="00A827C3" w:rsidRPr="00F941DA" w:rsidRDefault="00A827C3" w:rsidP="00A827C3">
      <w:pPr>
        <w:pStyle w:val="BodyA"/>
        <w:jc w:val="both"/>
        <w:rPr>
          <w:b/>
          <w:bCs/>
          <w:color w:val="auto"/>
          <w:lang w:val="ro-RO"/>
        </w:rPr>
      </w:pPr>
      <w:r w:rsidRPr="00F941DA">
        <w:rPr>
          <w:b/>
          <w:bCs/>
          <w:color w:val="auto"/>
          <w:lang w:val="ro-RO"/>
        </w:rPr>
        <w:t xml:space="preserve">    </w:t>
      </w:r>
    </w:p>
    <w:p w14:paraId="19EDEC30" w14:textId="77777777" w:rsidR="00A827C3" w:rsidRPr="00F941DA" w:rsidRDefault="00A827C3" w:rsidP="00A827C3">
      <w:pPr>
        <w:pStyle w:val="BodyA"/>
        <w:jc w:val="both"/>
        <w:rPr>
          <w:b/>
          <w:bCs/>
          <w:color w:val="auto"/>
          <w:lang w:val="ro-RO"/>
        </w:rPr>
      </w:pPr>
      <w:r w:rsidRPr="00F941DA">
        <w:rPr>
          <w:b/>
          <w:bCs/>
          <w:color w:val="auto"/>
          <w:lang w:val="ro-RO"/>
        </w:rPr>
        <w:t>Observaţii:</w:t>
      </w:r>
    </w:p>
    <w:p w14:paraId="578AB78A" w14:textId="77777777" w:rsidR="00A827C3" w:rsidRPr="00F941DA" w:rsidRDefault="00A827C3" w:rsidP="00D11DF1">
      <w:pPr>
        <w:pStyle w:val="BodyA"/>
        <w:numPr>
          <w:ilvl w:val="0"/>
          <w:numId w:val="302"/>
        </w:numPr>
        <w:jc w:val="both"/>
        <w:rPr>
          <w:color w:val="auto"/>
          <w:lang w:val="ro-RO"/>
        </w:rPr>
      </w:pPr>
      <w:r w:rsidRPr="00F941DA">
        <w:rPr>
          <w:color w:val="auto"/>
          <w:lang w:val="ro-RO"/>
        </w:rPr>
        <w:t>Prelungirea intervalului QTc poate necesita scăderea dozei, întreruperea temporară şi/sau oprirea tratamentului (prelungirea QTc dependentă de expunere a fost observată într-un studiu clinic de faza II)</w:t>
      </w:r>
    </w:p>
    <w:p w14:paraId="7FB01B9F" w14:textId="77777777" w:rsidR="00A827C3" w:rsidRPr="00F941DA" w:rsidRDefault="00A827C3" w:rsidP="00D11DF1">
      <w:pPr>
        <w:pStyle w:val="BodyA"/>
        <w:numPr>
          <w:ilvl w:val="0"/>
          <w:numId w:val="302"/>
        </w:numPr>
        <w:jc w:val="both"/>
        <w:rPr>
          <w:color w:val="auto"/>
          <w:lang w:val="ro-RO"/>
        </w:rPr>
      </w:pPr>
      <w:r w:rsidRPr="00F941DA">
        <w:rPr>
          <w:color w:val="auto"/>
          <w:lang w:val="ro-RO"/>
        </w:rPr>
        <w:t>Nu se recomandă ajustări ale dozei rezultând o doză mai mică de 480 mg de două ori pe zi.</w:t>
      </w:r>
    </w:p>
    <w:p w14:paraId="22209195" w14:textId="77777777" w:rsidR="00A827C3" w:rsidRPr="00F941DA" w:rsidRDefault="00A827C3" w:rsidP="00D11DF1">
      <w:pPr>
        <w:pStyle w:val="BodyA"/>
        <w:numPr>
          <w:ilvl w:val="0"/>
          <w:numId w:val="302"/>
        </w:numPr>
        <w:jc w:val="both"/>
        <w:rPr>
          <w:color w:val="auto"/>
          <w:lang w:val="ro-RO"/>
        </w:rPr>
      </w:pPr>
      <w:r w:rsidRPr="00F941DA">
        <w:rPr>
          <w:color w:val="auto"/>
          <w:lang w:val="ro-RO"/>
        </w:rPr>
        <w:t>În cazul în care pacientul prezintă carcinom spinocelular (CSC), se recomandă continuarea tratamentului fără modificarea dozei de vemurafenib</w:t>
      </w:r>
    </w:p>
    <w:p w14:paraId="567DCD7B" w14:textId="77777777" w:rsidR="00A827C3" w:rsidRPr="00F941DA" w:rsidRDefault="00A827C3" w:rsidP="00A827C3">
      <w:pPr>
        <w:pStyle w:val="BodyA"/>
        <w:jc w:val="both"/>
        <w:rPr>
          <w:b/>
          <w:bCs/>
          <w:color w:val="auto"/>
          <w:lang w:val="ro-RO"/>
        </w:rPr>
      </w:pPr>
      <w:r w:rsidRPr="00F941DA">
        <w:rPr>
          <w:b/>
          <w:bCs/>
          <w:color w:val="auto"/>
          <w:lang w:val="ro-RO"/>
        </w:rPr>
        <w:t xml:space="preserve">    </w:t>
      </w:r>
    </w:p>
    <w:p w14:paraId="3340C50C" w14:textId="77777777" w:rsidR="00A827C3" w:rsidRPr="00F941DA" w:rsidRDefault="00A827C3" w:rsidP="00A827C3">
      <w:pPr>
        <w:pStyle w:val="BodyA"/>
        <w:jc w:val="both"/>
        <w:rPr>
          <w:b/>
          <w:bCs/>
          <w:color w:val="auto"/>
          <w:lang w:val="ro-RO"/>
        </w:rPr>
      </w:pPr>
      <w:r w:rsidRPr="00F941DA">
        <w:rPr>
          <w:b/>
          <w:bCs/>
          <w:color w:val="auto"/>
          <w:lang w:val="ro-RO"/>
        </w:rPr>
        <w:t>V. Monitorizarea tratamentului:</w:t>
      </w:r>
    </w:p>
    <w:p w14:paraId="56D41D46" w14:textId="77777777" w:rsidR="00A827C3" w:rsidRPr="00F941DA" w:rsidRDefault="00A827C3" w:rsidP="00D11DF1">
      <w:pPr>
        <w:pStyle w:val="BodyA"/>
        <w:numPr>
          <w:ilvl w:val="0"/>
          <w:numId w:val="303"/>
        </w:numPr>
        <w:jc w:val="both"/>
        <w:rPr>
          <w:color w:val="auto"/>
          <w:lang w:val="ro-RO"/>
        </w:rPr>
      </w:pPr>
      <w:r w:rsidRPr="00F941DA">
        <w:rPr>
          <w:color w:val="auto"/>
          <w:lang w:val="ro-RO"/>
        </w:rPr>
        <w:t>Examen imagistic - examen CT efectuat regulat pentru monitorizarea răspunsului la tratament (la interval de 8 - 12 săptămâni) şi/sau alte investigaţii paraclinice în funcţie de decizia medicului (RMN, scintigrafie osoasă, PET-CT).</w:t>
      </w:r>
    </w:p>
    <w:p w14:paraId="2273DDF3" w14:textId="77777777" w:rsidR="00A827C3" w:rsidRPr="00F941DA" w:rsidRDefault="00A827C3" w:rsidP="00D11DF1">
      <w:pPr>
        <w:pStyle w:val="BodyA"/>
        <w:numPr>
          <w:ilvl w:val="0"/>
          <w:numId w:val="303"/>
        </w:numPr>
        <w:jc w:val="both"/>
        <w:rPr>
          <w:color w:val="auto"/>
          <w:lang w:val="ro-RO"/>
        </w:rPr>
      </w:pPr>
      <w:r w:rsidRPr="00F941DA">
        <w:rPr>
          <w:color w:val="auto"/>
          <w:lang w:val="ro-RO"/>
        </w:rPr>
        <w:t>Examen ORL periodic (alături de evaluarea imagistică pentru surprinderea precoce a unui eventual al 2-lea cancer); în acelaşi scop, examen ginecologic şi urologic, la iniţierea tratamentului, la finalizarea acestuia sau ori de câte ori se impune din punct de vedere clinic</w:t>
      </w:r>
    </w:p>
    <w:p w14:paraId="52166CBF" w14:textId="77777777" w:rsidR="00A827C3" w:rsidRPr="00F941DA" w:rsidRDefault="00A827C3" w:rsidP="00D11DF1">
      <w:pPr>
        <w:pStyle w:val="BodyA"/>
        <w:numPr>
          <w:ilvl w:val="0"/>
          <w:numId w:val="303"/>
        </w:numPr>
        <w:jc w:val="both"/>
        <w:rPr>
          <w:color w:val="auto"/>
          <w:lang w:val="ro-RO"/>
        </w:rPr>
      </w:pPr>
      <w:r w:rsidRPr="00F941DA">
        <w:rPr>
          <w:color w:val="auto"/>
          <w:lang w:val="ro-RO"/>
        </w:rPr>
        <w:t>Pacienţii trebuie monitorizaţi timp de minim 6 luni după finalizarea tratamentului, deoarece o a 2-a neoplazie malignă poate apărea atât în timpul cât şi după oprirea terapiei.</w:t>
      </w:r>
    </w:p>
    <w:p w14:paraId="4156C170" w14:textId="77777777" w:rsidR="00A827C3" w:rsidRPr="00F941DA" w:rsidRDefault="00A827C3" w:rsidP="00D11DF1">
      <w:pPr>
        <w:pStyle w:val="BodyA"/>
        <w:numPr>
          <w:ilvl w:val="0"/>
          <w:numId w:val="303"/>
        </w:numPr>
        <w:jc w:val="both"/>
        <w:rPr>
          <w:color w:val="auto"/>
          <w:lang w:val="ro-RO"/>
        </w:rPr>
      </w:pPr>
      <w:r w:rsidRPr="00F941DA">
        <w:rPr>
          <w:color w:val="auto"/>
          <w:lang w:val="ro-RO"/>
        </w:rPr>
        <w:t>Examen dermatologic periodic, ce va fi continuat încă 6 luni după finalizarea tratamentului cu vemurafenib</w:t>
      </w:r>
    </w:p>
    <w:p w14:paraId="3847CEAA" w14:textId="77777777" w:rsidR="00A827C3" w:rsidRPr="00F941DA" w:rsidRDefault="00A827C3" w:rsidP="00D11DF1">
      <w:pPr>
        <w:pStyle w:val="BodyA"/>
        <w:numPr>
          <w:ilvl w:val="0"/>
          <w:numId w:val="303"/>
        </w:numPr>
        <w:jc w:val="both"/>
        <w:rPr>
          <w:color w:val="auto"/>
          <w:lang w:val="ro-RO"/>
        </w:rPr>
      </w:pPr>
      <w:r w:rsidRPr="00F941DA">
        <w:rPr>
          <w:color w:val="auto"/>
          <w:lang w:val="ro-RO"/>
        </w:rPr>
        <w:t>EKG, ionograma serică şi examen cardiologic pentru excluderea riscului de apariţie a prelungirii intervalului QT.</w:t>
      </w:r>
    </w:p>
    <w:p w14:paraId="35D01598" w14:textId="77777777" w:rsidR="00A827C3" w:rsidRPr="00F941DA" w:rsidRDefault="00A827C3" w:rsidP="00D11DF1">
      <w:pPr>
        <w:pStyle w:val="BodyA"/>
        <w:numPr>
          <w:ilvl w:val="0"/>
          <w:numId w:val="303"/>
        </w:numPr>
        <w:jc w:val="both"/>
        <w:rPr>
          <w:color w:val="auto"/>
          <w:lang w:val="ro-RO"/>
        </w:rPr>
      </w:pPr>
      <w:r w:rsidRPr="00F941DA">
        <w:rPr>
          <w:color w:val="auto"/>
          <w:lang w:val="ro-RO"/>
        </w:rPr>
        <w:lastRenderedPageBreak/>
        <w:t>Examen oftalmologic pentru surprinderea precoce a toxicităţilor oftalmologice</w:t>
      </w:r>
    </w:p>
    <w:p w14:paraId="0AD926CA" w14:textId="77777777" w:rsidR="00A827C3" w:rsidRPr="00F941DA" w:rsidRDefault="00A827C3" w:rsidP="00D11DF1">
      <w:pPr>
        <w:pStyle w:val="BodyA"/>
        <w:numPr>
          <w:ilvl w:val="0"/>
          <w:numId w:val="303"/>
        </w:numPr>
        <w:jc w:val="both"/>
        <w:rPr>
          <w:color w:val="auto"/>
          <w:lang w:val="ro-RO"/>
        </w:rPr>
      </w:pPr>
      <w:r w:rsidRPr="00F941DA">
        <w:rPr>
          <w:color w:val="auto"/>
          <w:lang w:val="ro-RO"/>
        </w:rPr>
        <w:t>Transaminaze, bilirubina totală, fosfataza alcalină periodic</w:t>
      </w:r>
    </w:p>
    <w:p w14:paraId="47B1BA32" w14:textId="77777777" w:rsidR="00A827C3" w:rsidRPr="00F941DA" w:rsidRDefault="00A827C3" w:rsidP="00A827C3">
      <w:pPr>
        <w:pStyle w:val="BodyA"/>
        <w:jc w:val="both"/>
        <w:rPr>
          <w:color w:val="auto"/>
          <w:lang w:val="ro-RO"/>
        </w:rPr>
      </w:pPr>
      <w:r w:rsidRPr="00F941DA">
        <w:rPr>
          <w:color w:val="auto"/>
          <w:lang w:val="ro-RO"/>
        </w:rPr>
        <w:t xml:space="preserve">    </w:t>
      </w:r>
    </w:p>
    <w:p w14:paraId="0840ED74" w14:textId="77777777" w:rsidR="00A827C3" w:rsidRPr="00F941DA" w:rsidRDefault="00A827C3" w:rsidP="00A827C3">
      <w:pPr>
        <w:pStyle w:val="BodyA"/>
        <w:jc w:val="both"/>
        <w:rPr>
          <w:color w:val="auto"/>
          <w:lang w:val="ro-RO"/>
        </w:rPr>
      </w:pPr>
      <w:r w:rsidRPr="00F941DA">
        <w:rPr>
          <w:b/>
          <w:bCs/>
          <w:color w:val="auto"/>
          <w:lang w:val="ro-RO"/>
        </w:rPr>
        <w:t xml:space="preserve">VI. Efecte secundare </w:t>
      </w:r>
      <w:r w:rsidRPr="00F941DA">
        <w:rPr>
          <w:color w:val="auto"/>
          <w:lang w:val="ro-RO"/>
        </w:rPr>
        <w:t>care impun întreruperea temporară sau definitivă a tratamentului şi/sau modificarea dozelor</w:t>
      </w:r>
    </w:p>
    <w:p w14:paraId="3DE23416" w14:textId="77777777" w:rsidR="00A827C3" w:rsidRPr="00F941DA" w:rsidRDefault="00A827C3" w:rsidP="00A827C3">
      <w:pPr>
        <w:pStyle w:val="BodyA"/>
        <w:jc w:val="both"/>
        <w:rPr>
          <w:color w:val="auto"/>
          <w:lang w:val="ro-RO"/>
        </w:rPr>
      </w:pPr>
      <w:r w:rsidRPr="00F941DA">
        <w:rPr>
          <w:color w:val="auto"/>
          <w:lang w:val="ro-RO"/>
        </w:rPr>
        <w:t xml:space="preserve">    </w:t>
      </w:r>
    </w:p>
    <w:p w14:paraId="29F50BA2" w14:textId="77777777" w:rsidR="00A827C3" w:rsidRPr="00F941DA" w:rsidRDefault="00A827C3" w:rsidP="00A827C3">
      <w:pPr>
        <w:pStyle w:val="BodyA"/>
        <w:jc w:val="both"/>
        <w:rPr>
          <w:color w:val="auto"/>
          <w:lang w:val="ro-RO"/>
        </w:rPr>
      </w:pPr>
      <w:r w:rsidRPr="00F941DA">
        <w:rPr>
          <w:color w:val="auto"/>
          <w:lang w:val="ro-RO"/>
        </w:rPr>
        <w:t>Reacţie de hipersensibilitate - au fost raportate reacţii grave de hipersensibilitate, incluzând anafilaxie, în timpul tratamentului cu vemurafenib. Reacţiile severe de hipersensibilitate pot include sindromul Stevens-Johnson, erupţie cutanată tranzitorie generalizată, eritem sau hipotensiune arterială. La pacienţii care prezintă reacţii severe de hipersensibilitate, tratamentul cu vemurafenib trebuie întrerupt permanent.</w:t>
      </w:r>
    </w:p>
    <w:p w14:paraId="38CBFEF3" w14:textId="77777777" w:rsidR="00A827C3" w:rsidRPr="00F941DA" w:rsidRDefault="00A827C3" w:rsidP="00A827C3">
      <w:pPr>
        <w:pStyle w:val="BodyA"/>
        <w:jc w:val="both"/>
        <w:rPr>
          <w:color w:val="auto"/>
          <w:lang w:val="ro-RO"/>
        </w:rPr>
      </w:pPr>
      <w:r w:rsidRPr="00F941DA">
        <w:rPr>
          <w:color w:val="auto"/>
          <w:lang w:val="ro-RO"/>
        </w:rPr>
        <w:t xml:space="preserve">    </w:t>
      </w:r>
    </w:p>
    <w:p w14:paraId="0500737E" w14:textId="77777777" w:rsidR="00A827C3" w:rsidRPr="00F941DA" w:rsidRDefault="00A827C3" w:rsidP="00A827C3">
      <w:pPr>
        <w:pStyle w:val="BodyA"/>
        <w:jc w:val="both"/>
        <w:rPr>
          <w:color w:val="auto"/>
          <w:lang w:val="ro-RO"/>
        </w:rPr>
      </w:pPr>
      <w:r w:rsidRPr="00F941DA">
        <w:rPr>
          <w:color w:val="auto"/>
          <w:lang w:val="ro-RO"/>
        </w:rPr>
        <w:t>Reacţii dermatologice - au fost raportate reacţii dermatologice severe, incluzând cazuri rare de sindrom Stevens-Johnson şi necroliză epidermică toxică. În perioada ulterioară punerii pe piaţă a medicamentului a fost raportată, în asociere cu tratamentul cu vemurafenib reacţia adversă la medicament însoţită de eozinofilie şi simptome sistemice (DRESS). La pacienţii care prezintă o reacţie dermatologică severă, tratamentul cu vemurafenib trebuie întrerupt permanent.</w:t>
      </w:r>
    </w:p>
    <w:p w14:paraId="7D5B59A0" w14:textId="77777777" w:rsidR="00A827C3" w:rsidRPr="00F941DA" w:rsidRDefault="00A827C3" w:rsidP="00A827C3">
      <w:pPr>
        <w:pStyle w:val="BodyA"/>
        <w:jc w:val="both"/>
        <w:rPr>
          <w:color w:val="auto"/>
          <w:lang w:val="ro-RO"/>
        </w:rPr>
      </w:pPr>
      <w:r w:rsidRPr="00F941DA">
        <w:rPr>
          <w:color w:val="auto"/>
          <w:lang w:val="ro-RO"/>
        </w:rPr>
        <w:t xml:space="preserve">    </w:t>
      </w:r>
    </w:p>
    <w:p w14:paraId="348A3973" w14:textId="77777777" w:rsidR="00A827C3" w:rsidRPr="00F941DA" w:rsidRDefault="00A827C3" w:rsidP="00A827C3">
      <w:pPr>
        <w:pStyle w:val="BodyA"/>
        <w:jc w:val="both"/>
        <w:rPr>
          <w:color w:val="auto"/>
          <w:lang w:val="ro-RO"/>
        </w:rPr>
      </w:pPr>
      <w:r w:rsidRPr="00F941DA">
        <w:rPr>
          <w:color w:val="auto"/>
          <w:lang w:val="ro-RO"/>
        </w:rPr>
        <w:t>Potenţarea toxicităţii determinate de iradiere - s-a raportat reapariţia leziunilor post-iradiere sau de sensibilizare la iradiere la pacienţii trataţi cu radioterapie anterior, în timpul sau după tratamentul cu vemurafenib. Majoritatea cazurilor au reprezentat leziuni la nivel cutanat, dar anumite cazuri, care au implicat leziuni la nivelul organelor viscerale, au condus la deces. Vemurafenib trebuie utilizat cu precauţie atunci când este administrat concomitent sau ulterior radioterapiei.</w:t>
      </w:r>
    </w:p>
    <w:p w14:paraId="35CAC107" w14:textId="77777777" w:rsidR="00A827C3" w:rsidRPr="00F941DA" w:rsidRDefault="00A827C3" w:rsidP="00A827C3">
      <w:pPr>
        <w:pStyle w:val="BodyA"/>
        <w:jc w:val="both"/>
        <w:rPr>
          <w:color w:val="auto"/>
          <w:lang w:val="ro-RO"/>
        </w:rPr>
      </w:pPr>
      <w:r w:rsidRPr="00F941DA">
        <w:rPr>
          <w:color w:val="auto"/>
          <w:lang w:val="ro-RO"/>
        </w:rPr>
        <w:t xml:space="preserve">    </w:t>
      </w:r>
    </w:p>
    <w:p w14:paraId="3E5BF1A0" w14:textId="77777777" w:rsidR="00A827C3" w:rsidRPr="00F941DA" w:rsidRDefault="00A827C3" w:rsidP="00A827C3">
      <w:pPr>
        <w:pStyle w:val="BodyA"/>
        <w:jc w:val="both"/>
        <w:rPr>
          <w:color w:val="auto"/>
          <w:lang w:val="ro-RO"/>
        </w:rPr>
      </w:pPr>
      <w:r w:rsidRPr="00F941DA">
        <w:rPr>
          <w:color w:val="auto"/>
          <w:lang w:val="ro-RO"/>
        </w:rPr>
        <w:t>Prelungirea intervalului QT - a fost observată prelungirea intervalului QT dependentă de expunere.</w:t>
      </w:r>
    </w:p>
    <w:p w14:paraId="685156EC" w14:textId="77777777" w:rsidR="00A827C3" w:rsidRPr="00F941DA" w:rsidRDefault="00A827C3" w:rsidP="00A827C3">
      <w:pPr>
        <w:pStyle w:val="BodyA"/>
        <w:jc w:val="both"/>
        <w:rPr>
          <w:color w:val="auto"/>
          <w:lang w:val="ro-RO"/>
        </w:rPr>
      </w:pPr>
      <w:r w:rsidRPr="00F941DA">
        <w:rPr>
          <w:color w:val="auto"/>
          <w:lang w:val="ro-RO"/>
        </w:rPr>
        <w:t>Prelungirea intervalului QT poate determina un risc crescut de aritmii ventriculare, incluzând torsada vârfurilor. Tratamentul cu vemurafenib nu este recomandat la pacienţii cu tulburări electrolitice care nu pot fi corectate (incluzând magneziul), sindrom de QT prelungit sau care utilizează medicamente despre care se cunoaşte că prelungesc intervalul QT. Trebuie monitorizate electrocardiograma (ECG) şi valorile electroliţilor (ionograma serică incluzând magneziul) pentru toţi pacienţii înainte de începerea tratamentului cu vemurafenib, după o lună de tratament şi după modificarea dozei. Se recomandă monitorizarea ulterioară în special la pacienţii cu insuficienţă hepatică moderată sau severă lunar, în primele 3 luni de tratament, apoi la fiecare 3 luni sau mai des, aşa cum este indicat din punct de vedere clinic. Iniţierea tratamentului cu vemurafenib nu este recomandată la pacienţii cu QTc &gt; 500 milisecunde (ms). Dacă în timpul tratamentului valoarea QTc depăşeşte 500 ms, tratamentul cu vemurafenib trebuie întrerupt temporar, tulburările electrolitice (incluzând magneziul) trebuie corectate şi factorii de risc cardiologici pentru prelungirea intervalului QT (de exemplu insuficienţă cardiacă congestivă, bradiaritmii) trebuie monitorizaţi. Reluarea tratamentului trebuie să aibă loc atunci când valoarea QTc scade sub 500 ms şi utilizând o doză mai mică. Dacă creşterea QTc atinge atât o valoare &gt; 500 ms, cât şi o modificare faţă de valoarea pretratament &gt; 60 ms, se recomandă întreruperea permanentă a tratamentului cu vemurafenib.</w:t>
      </w:r>
    </w:p>
    <w:p w14:paraId="138086BC" w14:textId="77777777" w:rsidR="00A827C3" w:rsidRPr="00F941DA" w:rsidRDefault="00A827C3" w:rsidP="00A827C3">
      <w:pPr>
        <w:pStyle w:val="BodyA"/>
        <w:jc w:val="both"/>
        <w:rPr>
          <w:color w:val="auto"/>
          <w:lang w:val="ro-RO"/>
        </w:rPr>
      </w:pPr>
      <w:r w:rsidRPr="00F941DA">
        <w:rPr>
          <w:color w:val="auto"/>
          <w:lang w:val="ro-RO"/>
        </w:rPr>
        <w:t xml:space="preserve">    </w:t>
      </w:r>
    </w:p>
    <w:p w14:paraId="44BD9C75" w14:textId="77777777" w:rsidR="00A827C3" w:rsidRPr="00F941DA" w:rsidRDefault="00A827C3" w:rsidP="00A827C3">
      <w:pPr>
        <w:pStyle w:val="BodyA"/>
        <w:jc w:val="both"/>
        <w:rPr>
          <w:color w:val="auto"/>
          <w:lang w:val="ro-RO"/>
        </w:rPr>
      </w:pPr>
      <w:r w:rsidRPr="00F941DA">
        <w:rPr>
          <w:color w:val="auto"/>
          <w:lang w:val="ro-RO"/>
        </w:rPr>
        <w:t>Carcinom cutanat cu celule scuamoase (cuSCC) - soluţia terapeutică este excizia dermatologică şi continuarea tratamentului cu vemurafenib, fără ajustarea dozei.</w:t>
      </w:r>
    </w:p>
    <w:p w14:paraId="39281D41" w14:textId="77777777" w:rsidR="00A827C3" w:rsidRPr="00F941DA" w:rsidRDefault="00A827C3" w:rsidP="00A827C3">
      <w:pPr>
        <w:pStyle w:val="BodyA"/>
        <w:jc w:val="both"/>
        <w:rPr>
          <w:color w:val="auto"/>
          <w:lang w:val="ro-RO"/>
        </w:rPr>
      </w:pPr>
      <w:r w:rsidRPr="00F941DA">
        <w:rPr>
          <w:color w:val="auto"/>
          <w:lang w:val="ro-RO"/>
        </w:rPr>
        <w:t xml:space="preserve">    </w:t>
      </w:r>
    </w:p>
    <w:p w14:paraId="52F71DE7" w14:textId="77777777" w:rsidR="00A827C3" w:rsidRPr="00F941DA" w:rsidRDefault="00A827C3" w:rsidP="00A827C3">
      <w:pPr>
        <w:pStyle w:val="BodyA"/>
        <w:jc w:val="both"/>
        <w:rPr>
          <w:color w:val="auto"/>
          <w:lang w:val="ro-RO"/>
        </w:rPr>
      </w:pPr>
      <w:r w:rsidRPr="00F941DA">
        <w:rPr>
          <w:color w:val="auto"/>
          <w:lang w:val="ro-RO"/>
        </w:rPr>
        <w:t>Carcinom non-spinocelular (non-CSC) - au fost raportate cazuri de non-CSC în cadrul studiilor clinice la pacienţii trataţi cu vemurafenib. Pacienţii trebuie supuşi unei examinări a capului şi gâtului, constând cel puţin din inspecţia vizuală a mucoasei orale şi palparea ganglionilor limfatici, înaintea iniţierii tratamentului şi la fiecare 3 luni în timpul tratamentului (examen ORL). În plus, pacienţii trebuie supuşi unei tomografii computerizate (CT) a toracelui înaintea tratamentului şi la fiecare 6 luni în timpul tratamentului. Înaintea şi la finalul tratamentului sau atunci când este indicat din punct de vedere clinic, se recomandă efectuarea unor examinări urologice şi ginecologice (pentru femei). Monitorizarea pentru non-CSC, descrisă mai sus, trebuie să continue timp de până la 6 luni sau până la iniţierea altei terapii antineoplazice. Rezultatele anormale trebuie tratate conform practicilor clinice curente.</w:t>
      </w:r>
    </w:p>
    <w:p w14:paraId="6D431835" w14:textId="77777777" w:rsidR="00A827C3" w:rsidRPr="00F941DA" w:rsidRDefault="00A827C3" w:rsidP="00A827C3">
      <w:pPr>
        <w:pStyle w:val="BodyA"/>
        <w:jc w:val="both"/>
        <w:rPr>
          <w:color w:val="auto"/>
          <w:lang w:val="ro-RO"/>
        </w:rPr>
      </w:pPr>
      <w:r w:rsidRPr="00F941DA">
        <w:rPr>
          <w:color w:val="auto"/>
          <w:lang w:val="ro-RO"/>
        </w:rPr>
        <w:t xml:space="preserve">    </w:t>
      </w:r>
    </w:p>
    <w:p w14:paraId="42049BAB" w14:textId="77777777" w:rsidR="00A827C3" w:rsidRPr="00F941DA" w:rsidRDefault="00A827C3" w:rsidP="00A827C3">
      <w:pPr>
        <w:pStyle w:val="BodyA"/>
        <w:jc w:val="both"/>
        <w:rPr>
          <w:color w:val="auto"/>
          <w:lang w:val="ro-RO"/>
        </w:rPr>
      </w:pPr>
      <w:r w:rsidRPr="00F941DA">
        <w:rPr>
          <w:color w:val="auto"/>
          <w:lang w:val="ro-RO"/>
        </w:rPr>
        <w:lastRenderedPageBreak/>
        <w:t>Melanom primar, nou apărut - aceste cazuri pot fi tratate prin excizie şi nu necesită modificarea tratamentului.</w:t>
      </w:r>
    </w:p>
    <w:p w14:paraId="45D4D70C" w14:textId="77777777" w:rsidR="00A827C3" w:rsidRPr="00F941DA" w:rsidRDefault="00A827C3" w:rsidP="00A827C3">
      <w:pPr>
        <w:pStyle w:val="BodyA"/>
        <w:jc w:val="both"/>
        <w:rPr>
          <w:color w:val="auto"/>
          <w:lang w:val="ro-RO"/>
        </w:rPr>
      </w:pPr>
      <w:r w:rsidRPr="00F941DA">
        <w:rPr>
          <w:color w:val="auto"/>
          <w:lang w:val="ro-RO"/>
        </w:rPr>
        <w:t xml:space="preserve">    </w:t>
      </w:r>
    </w:p>
    <w:p w14:paraId="114ABEBB" w14:textId="77777777" w:rsidR="00A827C3" w:rsidRPr="00F941DA" w:rsidRDefault="00A827C3" w:rsidP="00A827C3">
      <w:pPr>
        <w:pStyle w:val="BodyA"/>
        <w:jc w:val="both"/>
        <w:rPr>
          <w:color w:val="auto"/>
          <w:lang w:val="ro-RO"/>
        </w:rPr>
      </w:pPr>
      <w:r w:rsidRPr="00F941DA">
        <w:rPr>
          <w:color w:val="auto"/>
          <w:lang w:val="ro-RO"/>
        </w:rPr>
        <w:t>Alte afecţiuni maligne - datorită mecanismului de acţiune, vemurafenib poate determina progresia afecţiunilor maligne asociate cu mutaţii RAS. Trebuie cântărite cu atenţie beneficiile şi riscurile înainte de administrarea vemurafenib la pacienţii cu o afecţiune malignă anterioară sau concomitentă asociată cu mutaţia genei RAS.</w:t>
      </w:r>
    </w:p>
    <w:p w14:paraId="7B83B777" w14:textId="77777777" w:rsidR="00A827C3" w:rsidRPr="00F941DA" w:rsidRDefault="00A827C3" w:rsidP="00A827C3">
      <w:pPr>
        <w:pStyle w:val="BodyA"/>
        <w:jc w:val="both"/>
        <w:rPr>
          <w:color w:val="auto"/>
          <w:lang w:val="ro-RO"/>
        </w:rPr>
      </w:pPr>
      <w:r w:rsidRPr="00F941DA">
        <w:rPr>
          <w:color w:val="auto"/>
          <w:lang w:val="ro-RO"/>
        </w:rPr>
        <w:t xml:space="preserve">    </w:t>
      </w:r>
    </w:p>
    <w:p w14:paraId="07223E87" w14:textId="77777777" w:rsidR="00A827C3" w:rsidRPr="00F941DA" w:rsidRDefault="00A827C3" w:rsidP="00A827C3">
      <w:pPr>
        <w:pStyle w:val="BodyA"/>
        <w:jc w:val="both"/>
        <w:rPr>
          <w:color w:val="auto"/>
          <w:lang w:val="ro-RO"/>
        </w:rPr>
      </w:pPr>
      <w:r w:rsidRPr="00F941DA">
        <w:rPr>
          <w:color w:val="auto"/>
          <w:lang w:val="ro-RO"/>
        </w:rPr>
        <w:t>Afectare vizuală - uveită, irită şi ocluzie a venei retiniene la pacienţii trataţi cu vemurafenib. Pacienţii trebuie monitorizaţi oftalmologic cu atenţie.</w:t>
      </w:r>
    </w:p>
    <w:p w14:paraId="47C582E8" w14:textId="77777777" w:rsidR="00A827C3" w:rsidRPr="00F941DA" w:rsidRDefault="00A827C3" w:rsidP="00A827C3">
      <w:pPr>
        <w:pStyle w:val="BodyA"/>
        <w:jc w:val="both"/>
        <w:rPr>
          <w:color w:val="auto"/>
          <w:lang w:val="ro-RO"/>
        </w:rPr>
      </w:pPr>
      <w:r w:rsidRPr="00F941DA">
        <w:rPr>
          <w:color w:val="auto"/>
          <w:lang w:val="ro-RO"/>
        </w:rPr>
        <w:t xml:space="preserve">    </w:t>
      </w:r>
    </w:p>
    <w:p w14:paraId="7F3BCB27" w14:textId="77777777" w:rsidR="00A827C3" w:rsidRPr="00F941DA" w:rsidRDefault="00A827C3" w:rsidP="00A827C3">
      <w:pPr>
        <w:pStyle w:val="BodyA"/>
        <w:jc w:val="both"/>
        <w:rPr>
          <w:color w:val="auto"/>
          <w:lang w:val="ro-RO"/>
        </w:rPr>
      </w:pPr>
      <w:r w:rsidRPr="00F941DA">
        <w:rPr>
          <w:color w:val="auto"/>
          <w:lang w:val="ro-RO"/>
        </w:rPr>
        <w:t>Pancreatită - au fost raportate cazuri de pancreatită la pacienţii trataţi cu vemurafenib. În cazul unor dureri abdominale inexplicabile, acestea trebuie să fie investigate imediat prin evaluarea amilazei şi a lipazei serice precum şi prin teste imagistice. Pacienţii trebuie atent monitorizaţi după reluarea tratamentului cu vemurafenib în urma unui episod de pancreatită.</w:t>
      </w:r>
    </w:p>
    <w:p w14:paraId="33EDA54F" w14:textId="77777777" w:rsidR="00A827C3" w:rsidRPr="00F941DA" w:rsidRDefault="00A827C3" w:rsidP="00A827C3">
      <w:pPr>
        <w:pStyle w:val="BodyA"/>
        <w:jc w:val="both"/>
        <w:rPr>
          <w:color w:val="auto"/>
          <w:lang w:val="ro-RO"/>
        </w:rPr>
      </w:pPr>
      <w:r w:rsidRPr="00F941DA">
        <w:rPr>
          <w:color w:val="auto"/>
          <w:lang w:val="ro-RO"/>
        </w:rPr>
        <w:t xml:space="preserve">    </w:t>
      </w:r>
    </w:p>
    <w:p w14:paraId="3EEB9134" w14:textId="77777777" w:rsidR="00A827C3" w:rsidRPr="00F941DA" w:rsidRDefault="00A827C3" w:rsidP="00A827C3">
      <w:pPr>
        <w:pStyle w:val="BodyA"/>
        <w:jc w:val="both"/>
        <w:rPr>
          <w:color w:val="auto"/>
          <w:lang w:val="ro-RO"/>
        </w:rPr>
      </w:pPr>
      <w:r w:rsidRPr="00F941DA">
        <w:rPr>
          <w:color w:val="auto"/>
          <w:lang w:val="ro-RO"/>
        </w:rPr>
        <w:t>Leziuni hepatice - S-au raportat cazuri de leziuni hepatice, inclusiv leziuni hepatice severe, asociate tratamentului cu vemurafenib. Valorile enzimelor hepatice (transaminazele şi fosfataza alcalină) şi ale bilirubinei trebuie măsurate înaintea iniţierii tratamentului şi monitorizate lunar în timpul tratamentului, sau aşa cum este indicat din punct de vedere clinic. Valorile anormale ale testelor de laborator trebuie corectate prin scăderea dozei, întreruperea tratamentului sau oprirea tratamentului</w:t>
      </w:r>
    </w:p>
    <w:p w14:paraId="6E2E58FF" w14:textId="77777777" w:rsidR="00A827C3" w:rsidRPr="00F941DA" w:rsidRDefault="00A827C3" w:rsidP="00A827C3">
      <w:pPr>
        <w:pStyle w:val="BodyA"/>
        <w:jc w:val="both"/>
        <w:rPr>
          <w:color w:val="auto"/>
          <w:lang w:val="ro-RO"/>
        </w:rPr>
      </w:pPr>
      <w:r w:rsidRPr="00F941DA">
        <w:rPr>
          <w:color w:val="auto"/>
          <w:lang w:val="ro-RO"/>
        </w:rPr>
        <w:t xml:space="preserve">    </w:t>
      </w:r>
    </w:p>
    <w:p w14:paraId="03191811" w14:textId="77777777" w:rsidR="00A827C3" w:rsidRPr="00F941DA" w:rsidRDefault="00A827C3" w:rsidP="00A827C3">
      <w:pPr>
        <w:pStyle w:val="BodyA"/>
        <w:jc w:val="both"/>
        <w:rPr>
          <w:color w:val="auto"/>
          <w:lang w:val="ro-RO"/>
        </w:rPr>
      </w:pPr>
      <w:r w:rsidRPr="00F941DA">
        <w:rPr>
          <w:color w:val="auto"/>
          <w:lang w:val="ro-RO"/>
        </w:rPr>
        <w:t>Toxicitate renală - au fost raportate cazuri de toxicitate renală asociată tratamentului cu vemurafenib, aceasta variind de la creşterea creatininei serice la nefrită interstiţială acută şi necroză tubulară acută.</w:t>
      </w:r>
    </w:p>
    <w:p w14:paraId="74BCE72A" w14:textId="77777777" w:rsidR="00A827C3" w:rsidRPr="00F941DA" w:rsidRDefault="00A827C3" w:rsidP="00A827C3">
      <w:pPr>
        <w:pStyle w:val="BodyA"/>
        <w:jc w:val="both"/>
        <w:rPr>
          <w:color w:val="auto"/>
          <w:lang w:val="ro-RO"/>
        </w:rPr>
      </w:pPr>
      <w:r w:rsidRPr="00F941DA">
        <w:rPr>
          <w:color w:val="auto"/>
          <w:lang w:val="ro-RO"/>
        </w:rPr>
        <w:t xml:space="preserve">    </w:t>
      </w:r>
    </w:p>
    <w:p w14:paraId="0DFD2FCC" w14:textId="77777777" w:rsidR="00A827C3" w:rsidRPr="00F941DA" w:rsidRDefault="00A827C3" w:rsidP="00A827C3">
      <w:pPr>
        <w:pStyle w:val="BodyA"/>
        <w:jc w:val="both"/>
        <w:rPr>
          <w:color w:val="auto"/>
          <w:lang w:val="ro-RO"/>
        </w:rPr>
      </w:pPr>
      <w:r w:rsidRPr="00F941DA">
        <w:rPr>
          <w:color w:val="auto"/>
          <w:lang w:val="ro-RO"/>
        </w:rPr>
        <w:t>Valoarea creatininei serice trebuie măsurată înainte de începerea tratamentului şi monitorizată în timpul tratamentului, aşa cum este indicat din punct de vedere clinic.</w:t>
      </w:r>
    </w:p>
    <w:p w14:paraId="451F6121" w14:textId="77777777" w:rsidR="00A827C3" w:rsidRPr="00F941DA" w:rsidRDefault="00A827C3" w:rsidP="00A827C3">
      <w:pPr>
        <w:pStyle w:val="BodyA"/>
        <w:jc w:val="both"/>
        <w:rPr>
          <w:color w:val="auto"/>
          <w:lang w:val="ro-RO"/>
        </w:rPr>
      </w:pPr>
      <w:r w:rsidRPr="00F941DA">
        <w:rPr>
          <w:color w:val="auto"/>
          <w:lang w:val="ro-RO"/>
        </w:rPr>
        <w:t xml:space="preserve">    </w:t>
      </w:r>
    </w:p>
    <w:p w14:paraId="5FDDF56B" w14:textId="77777777" w:rsidR="00A827C3" w:rsidRPr="00F941DA" w:rsidRDefault="00A827C3" w:rsidP="00A827C3">
      <w:pPr>
        <w:pStyle w:val="BodyA"/>
        <w:jc w:val="both"/>
        <w:rPr>
          <w:color w:val="auto"/>
          <w:lang w:val="ro-RO"/>
        </w:rPr>
      </w:pPr>
      <w:r w:rsidRPr="00F941DA">
        <w:rPr>
          <w:color w:val="auto"/>
          <w:lang w:val="ro-RO"/>
        </w:rPr>
        <w:t>Fotosensibilitate - la pacienţii cărora li s-a administrat vemurafenib a fost raportată fotosensibilitate uşoară până la severă. Toţi pacienţii trebuie sfătuiţi să evite expunerea la soare în timpul tratamentului cu vemurafenib. În timpul tratamentului, atunci când sunt în aer liber, pacienţii trebuie sfătuiţi să poarte haine protectoare şi să utilizeze creme cu factor de protecţie mare împotriva razelor ultraviolete A (UVA)/ultraviolete B (UVB) şi balsam de buze (factor de protecţie solară ≥ 30), pentru a fi protejaţi împotriva arsurilor solare. Pentru fotosensibilitate de grad 2 (intolerabilă) sau mai mare, se recomandă modificarea dozei</w:t>
      </w:r>
    </w:p>
    <w:p w14:paraId="611D002E" w14:textId="77777777" w:rsidR="00A827C3" w:rsidRPr="00F941DA" w:rsidRDefault="00A827C3" w:rsidP="00A827C3">
      <w:pPr>
        <w:pStyle w:val="BodyA"/>
        <w:jc w:val="both"/>
        <w:rPr>
          <w:b/>
          <w:bCs/>
          <w:color w:val="auto"/>
          <w:lang w:val="ro-RO"/>
        </w:rPr>
      </w:pPr>
      <w:r w:rsidRPr="00F941DA">
        <w:rPr>
          <w:b/>
          <w:bCs/>
          <w:color w:val="auto"/>
          <w:lang w:val="ro-RO"/>
        </w:rPr>
        <w:t xml:space="preserve">    </w:t>
      </w:r>
    </w:p>
    <w:p w14:paraId="309CDDA5" w14:textId="77777777" w:rsidR="00A827C3" w:rsidRPr="00F941DA" w:rsidRDefault="00A827C3" w:rsidP="00A827C3">
      <w:pPr>
        <w:pStyle w:val="BodyA"/>
        <w:jc w:val="both"/>
        <w:rPr>
          <w:b/>
          <w:bCs/>
          <w:color w:val="auto"/>
          <w:lang w:val="ro-RO"/>
        </w:rPr>
      </w:pPr>
      <w:r w:rsidRPr="00F941DA">
        <w:rPr>
          <w:b/>
          <w:bCs/>
          <w:color w:val="auto"/>
          <w:lang w:val="ro-RO"/>
        </w:rPr>
        <w:t>VII. Criterii de întrerupere a tratamentului</w:t>
      </w:r>
    </w:p>
    <w:p w14:paraId="4AEEBFE8" w14:textId="77777777" w:rsidR="00A827C3" w:rsidRPr="00F941DA" w:rsidRDefault="00A827C3" w:rsidP="00D11DF1">
      <w:pPr>
        <w:pStyle w:val="BodyA"/>
        <w:numPr>
          <w:ilvl w:val="0"/>
          <w:numId w:val="296"/>
        </w:numPr>
        <w:jc w:val="both"/>
        <w:rPr>
          <w:color w:val="auto"/>
          <w:lang w:val="ro-RO"/>
        </w:rPr>
      </w:pPr>
      <w:r w:rsidRPr="00F941DA">
        <w:rPr>
          <w:color w:val="auto"/>
          <w:lang w:val="ro-RO"/>
        </w:rPr>
        <w:t>Progresia obiectivă a bolii (examene imagistice şi clinice) în absenţa beneficiului clinic.</w:t>
      </w:r>
    </w:p>
    <w:p w14:paraId="34C37B5D" w14:textId="77777777" w:rsidR="00A827C3" w:rsidRPr="00F941DA" w:rsidRDefault="00A827C3" w:rsidP="00D11DF1">
      <w:pPr>
        <w:pStyle w:val="BodyA"/>
        <w:numPr>
          <w:ilvl w:val="0"/>
          <w:numId w:val="296"/>
        </w:numPr>
        <w:jc w:val="both"/>
        <w:rPr>
          <w:color w:val="auto"/>
          <w:lang w:val="ro-RO"/>
        </w:rPr>
      </w:pPr>
      <w:r w:rsidRPr="00F941DA">
        <w:rPr>
          <w:color w:val="auto"/>
          <w:lang w:val="ro-RO"/>
        </w:rPr>
        <w:t>Toxicitate semnificativă care impune întreruperea definitivă a tratamentului cu vemurafenib.</w:t>
      </w:r>
    </w:p>
    <w:p w14:paraId="41082081" w14:textId="4A60782D" w:rsidR="00A827C3" w:rsidRPr="00F941DA" w:rsidRDefault="00A827C3" w:rsidP="00D11DF1">
      <w:pPr>
        <w:pStyle w:val="BodyA"/>
        <w:numPr>
          <w:ilvl w:val="0"/>
          <w:numId w:val="296"/>
        </w:numPr>
        <w:jc w:val="both"/>
        <w:rPr>
          <w:color w:val="auto"/>
          <w:lang w:val="ro-RO"/>
        </w:rPr>
      </w:pPr>
      <w:r w:rsidRPr="00F941DA">
        <w:rPr>
          <w:color w:val="auto"/>
          <w:lang w:val="ro-RO"/>
        </w:rPr>
        <w:t>Decizia medicului sau a pacientului</w:t>
      </w:r>
    </w:p>
    <w:p w14:paraId="6FD3BCF1" w14:textId="77777777" w:rsidR="00A827C3" w:rsidRPr="00F941DA" w:rsidRDefault="00A827C3" w:rsidP="00A827C3">
      <w:pPr>
        <w:pStyle w:val="BodyA"/>
        <w:jc w:val="both"/>
        <w:rPr>
          <w:b/>
          <w:bCs/>
          <w:color w:val="auto"/>
          <w:lang w:val="ro-RO"/>
        </w:rPr>
      </w:pPr>
      <w:r w:rsidRPr="00F941DA">
        <w:rPr>
          <w:b/>
          <w:bCs/>
          <w:color w:val="auto"/>
          <w:lang w:val="ro-RO"/>
        </w:rPr>
        <w:t xml:space="preserve">    </w:t>
      </w:r>
    </w:p>
    <w:p w14:paraId="29045FB7" w14:textId="77777777" w:rsidR="00A827C3" w:rsidRPr="00F941DA" w:rsidRDefault="00A827C3" w:rsidP="00A827C3">
      <w:pPr>
        <w:pStyle w:val="BodyA"/>
        <w:jc w:val="both"/>
        <w:rPr>
          <w:b/>
          <w:bCs/>
          <w:color w:val="auto"/>
          <w:lang w:val="ro-RO"/>
        </w:rPr>
      </w:pPr>
      <w:r w:rsidRPr="00F941DA">
        <w:rPr>
          <w:b/>
          <w:bCs/>
          <w:color w:val="auto"/>
          <w:lang w:val="ro-RO"/>
        </w:rPr>
        <w:t>VIII. Prescriptori</w:t>
      </w:r>
    </w:p>
    <w:p w14:paraId="27D8B431" w14:textId="49DF074E" w:rsidR="00A827C3" w:rsidRPr="00F941DA" w:rsidRDefault="00A827C3" w:rsidP="00A827C3">
      <w:pPr>
        <w:pStyle w:val="BodyA"/>
        <w:jc w:val="both"/>
        <w:rPr>
          <w:color w:val="auto"/>
          <w:lang w:val="ro-RO"/>
        </w:rPr>
      </w:pPr>
      <w:r w:rsidRPr="00F941DA">
        <w:rPr>
          <w:color w:val="auto"/>
          <w:lang w:val="ro-RO"/>
        </w:rPr>
        <w:t>Iniţierea se face de către medicii din specialitatea oncologie medicală. Continuarea tratamentului se face de către medicul oncolog sau pe baza scrisorii medicale de către medicii de familie desemnaţi.”</w:t>
      </w:r>
    </w:p>
    <w:p w14:paraId="034EB6D2" w14:textId="77777777" w:rsidR="00C5117B" w:rsidRPr="00F941DA" w:rsidRDefault="00C5117B" w:rsidP="00CA4F71">
      <w:pPr>
        <w:rPr>
          <w:rFonts w:eastAsia="Arial"/>
          <w:b/>
          <w:bCs/>
          <w:lang w:val="en-US"/>
        </w:rPr>
      </w:pPr>
    </w:p>
    <w:p w14:paraId="71EF2492" w14:textId="77777777" w:rsidR="00A827C3" w:rsidRPr="00F941DA" w:rsidRDefault="00A827C3" w:rsidP="00CA4F71">
      <w:pPr>
        <w:rPr>
          <w:rFonts w:eastAsia="Arial"/>
          <w:b/>
          <w:bCs/>
          <w:lang w:val="en-US"/>
        </w:rPr>
      </w:pPr>
    </w:p>
    <w:p w14:paraId="5604FCAA" w14:textId="77777777" w:rsidR="00A827C3" w:rsidRPr="00F941DA" w:rsidRDefault="00A827C3" w:rsidP="00CA4F71">
      <w:pPr>
        <w:rPr>
          <w:rFonts w:eastAsia="Arial"/>
          <w:b/>
          <w:bCs/>
          <w:lang w:val="en-US"/>
        </w:rPr>
      </w:pPr>
    </w:p>
    <w:p w14:paraId="185DDB2E" w14:textId="77777777" w:rsidR="00A827C3" w:rsidRPr="00F941DA" w:rsidRDefault="00A827C3" w:rsidP="00CA4F71">
      <w:pPr>
        <w:rPr>
          <w:rFonts w:eastAsia="Arial"/>
          <w:b/>
          <w:bCs/>
          <w:lang w:val="en-US"/>
        </w:rPr>
      </w:pPr>
    </w:p>
    <w:p w14:paraId="63AE29E2" w14:textId="77777777" w:rsidR="00A827C3" w:rsidRPr="00F941DA" w:rsidRDefault="00A827C3" w:rsidP="00CA4F71">
      <w:pPr>
        <w:rPr>
          <w:rFonts w:eastAsia="Arial"/>
          <w:b/>
          <w:bCs/>
          <w:lang w:val="en-US"/>
        </w:rPr>
      </w:pPr>
    </w:p>
    <w:p w14:paraId="2B89A975" w14:textId="77777777" w:rsidR="00A827C3" w:rsidRPr="00F941DA" w:rsidRDefault="00A827C3" w:rsidP="00CA4F71">
      <w:pPr>
        <w:rPr>
          <w:rFonts w:eastAsia="Arial"/>
          <w:b/>
          <w:bCs/>
          <w:lang w:val="en-US"/>
        </w:rPr>
      </w:pPr>
    </w:p>
    <w:p w14:paraId="03BD7369" w14:textId="0F939A24" w:rsidR="00A827C3" w:rsidRPr="00F941DA" w:rsidRDefault="00A827C3" w:rsidP="00A827C3">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La anexa nr. 1, protocolul terapeutic corespunzător poziţiei nr. 172, cod (L01XE23-25): DCI DABRAFENIBUM + DCI TRAMETINIBUM se modifică și se înlocuiește cu următorul protocol:</w:t>
      </w:r>
    </w:p>
    <w:p w14:paraId="16014443" w14:textId="77777777" w:rsidR="00A827C3" w:rsidRPr="00F941DA" w:rsidRDefault="00A827C3" w:rsidP="00A827C3">
      <w:pPr>
        <w:tabs>
          <w:tab w:val="left" w:pos="426"/>
        </w:tabs>
        <w:jc w:val="both"/>
        <w:rPr>
          <w:rFonts w:ascii="Times New Roman" w:eastAsia="Arial" w:hAnsi="Times New Roman" w:cs="Times New Roman"/>
          <w:b/>
          <w:bCs/>
          <w:sz w:val="24"/>
          <w:szCs w:val="24"/>
          <w:lang w:val="en-US"/>
        </w:rPr>
      </w:pPr>
    </w:p>
    <w:p w14:paraId="49A46BE5" w14:textId="106C48E4" w:rsidR="00A827C3" w:rsidRPr="00F941DA" w:rsidRDefault="00A827C3" w:rsidP="00A827C3">
      <w:pPr>
        <w:tabs>
          <w:tab w:val="left" w:pos="426"/>
        </w:tabs>
        <w:jc w:val="both"/>
        <w:rPr>
          <w:rFonts w:eastAsia="Arial"/>
          <w:b/>
          <w:bCs/>
          <w:lang w:val="en-US"/>
        </w:rPr>
      </w:pPr>
      <w:r w:rsidRPr="00F941DA">
        <w:rPr>
          <w:rFonts w:ascii="Times New Roman" w:eastAsia="Arial" w:hAnsi="Times New Roman" w:cs="Times New Roman"/>
          <w:b/>
          <w:bCs/>
          <w:sz w:val="24"/>
          <w:szCs w:val="24"/>
          <w:lang w:val="en-US"/>
        </w:rPr>
        <w:t>”Protocol terapeutic corespunzător poziţiei nr. 172, cod (L01XE23-25): DCI DABRAFENIBUM + DCI TRAMETINIBUM</w:t>
      </w:r>
    </w:p>
    <w:p w14:paraId="7E5AE727" w14:textId="77777777" w:rsidR="00A827C3" w:rsidRPr="00F941DA" w:rsidRDefault="00A827C3" w:rsidP="00CA4F71">
      <w:pPr>
        <w:rPr>
          <w:rFonts w:eastAsia="Arial"/>
          <w:b/>
          <w:bCs/>
          <w:lang w:val="en-US"/>
        </w:rPr>
      </w:pPr>
    </w:p>
    <w:p w14:paraId="174A794E" w14:textId="25351135" w:rsidR="00A827C3" w:rsidRPr="00F941DA" w:rsidRDefault="00A827C3" w:rsidP="00A827C3">
      <w:pPr>
        <w:pStyle w:val="Body"/>
        <w:jc w:val="both"/>
        <w:rPr>
          <w:b/>
          <w:bCs/>
          <w:color w:val="auto"/>
          <w:lang w:val="ro-RO"/>
        </w:rPr>
      </w:pPr>
    </w:p>
    <w:p w14:paraId="1F1C6ACC" w14:textId="77777777" w:rsidR="00A827C3" w:rsidRPr="00F941DA" w:rsidRDefault="00A827C3" w:rsidP="00A827C3">
      <w:pPr>
        <w:pStyle w:val="Body"/>
        <w:jc w:val="both"/>
        <w:rPr>
          <w:b/>
          <w:bCs/>
          <w:color w:val="auto"/>
          <w:lang w:val="ro-RO"/>
        </w:rPr>
      </w:pPr>
      <w:r w:rsidRPr="00F941DA">
        <w:rPr>
          <w:b/>
          <w:bCs/>
          <w:color w:val="auto"/>
          <w:lang w:val="ro-RO"/>
        </w:rPr>
        <w:t>Indicaţie: Melanomul malign</w:t>
      </w:r>
    </w:p>
    <w:p w14:paraId="2039D633" w14:textId="77777777" w:rsidR="00A827C3" w:rsidRPr="00F941DA" w:rsidRDefault="00A827C3" w:rsidP="00A827C3">
      <w:pPr>
        <w:pStyle w:val="Body"/>
        <w:jc w:val="both"/>
        <w:rPr>
          <w:b/>
          <w:bCs/>
          <w:color w:val="auto"/>
          <w:lang w:val="ro-RO"/>
        </w:rPr>
      </w:pPr>
      <w:r w:rsidRPr="00F941DA">
        <w:rPr>
          <w:b/>
          <w:bCs/>
          <w:color w:val="auto"/>
          <w:lang w:val="ro-RO"/>
        </w:rPr>
        <w:t xml:space="preserve">    </w:t>
      </w:r>
    </w:p>
    <w:p w14:paraId="65DB1DF2" w14:textId="77777777" w:rsidR="00A827C3" w:rsidRPr="00F941DA" w:rsidRDefault="00A827C3" w:rsidP="00A827C3">
      <w:pPr>
        <w:pStyle w:val="Body"/>
        <w:jc w:val="both"/>
        <w:rPr>
          <w:b/>
          <w:bCs/>
          <w:color w:val="auto"/>
          <w:lang w:val="ro-RO"/>
        </w:rPr>
      </w:pPr>
      <w:r w:rsidRPr="00F941DA">
        <w:rPr>
          <w:b/>
          <w:bCs/>
          <w:color w:val="auto"/>
          <w:lang w:val="ro-RO"/>
        </w:rPr>
        <w:t>I. Indicaţii:</w:t>
      </w:r>
    </w:p>
    <w:p w14:paraId="2218A854" w14:textId="77777777" w:rsidR="00A827C3" w:rsidRPr="00F941DA" w:rsidRDefault="00A827C3" w:rsidP="00D11DF1">
      <w:pPr>
        <w:pStyle w:val="Body"/>
        <w:numPr>
          <w:ilvl w:val="1"/>
          <w:numId w:val="304"/>
        </w:numPr>
        <w:spacing w:after="160" w:line="259" w:lineRule="auto"/>
        <w:ind w:left="426" w:hanging="284"/>
        <w:jc w:val="both"/>
        <w:rPr>
          <w:color w:val="auto"/>
          <w:lang w:val="ro-RO"/>
        </w:rPr>
      </w:pPr>
      <w:r w:rsidRPr="00F941DA">
        <w:rPr>
          <w:color w:val="auto"/>
          <w:lang w:val="ro-RO"/>
        </w:rPr>
        <w:t>Dabrafenib, administrat în asociere cu trametinib, este indicat în tratamentul pacienţilor adulţi cu melanom inoperabil sau metastatic, cu mutaţia BRAF V600 prezentă.</w:t>
      </w:r>
    </w:p>
    <w:p w14:paraId="26FE6912" w14:textId="77777777" w:rsidR="00A827C3" w:rsidRPr="00F941DA" w:rsidRDefault="00A827C3" w:rsidP="00D11DF1">
      <w:pPr>
        <w:pStyle w:val="Body"/>
        <w:numPr>
          <w:ilvl w:val="1"/>
          <w:numId w:val="304"/>
        </w:numPr>
        <w:spacing w:after="160" w:line="259" w:lineRule="auto"/>
        <w:ind w:left="426" w:hanging="284"/>
        <w:jc w:val="both"/>
        <w:rPr>
          <w:color w:val="auto"/>
          <w:lang w:val="ro-RO"/>
        </w:rPr>
      </w:pPr>
      <w:r w:rsidRPr="00F941DA">
        <w:rPr>
          <w:color w:val="auto"/>
          <w:lang w:val="ro-RO"/>
        </w:rPr>
        <w:t>Dabrafenib în asociere cu trametinib este indicat în tratamentul adjuvant al pacienţilor adulţi cu melanom de stadiul III, cu mutaţie BRAF V600, după rezecţie completă.</w:t>
      </w:r>
    </w:p>
    <w:p w14:paraId="0911A71E" w14:textId="77777777" w:rsidR="00A827C3" w:rsidRPr="00F941DA" w:rsidRDefault="00A827C3" w:rsidP="00A827C3">
      <w:pPr>
        <w:pStyle w:val="Body"/>
        <w:jc w:val="both"/>
        <w:rPr>
          <w:color w:val="auto"/>
          <w:lang w:val="ro-RO"/>
        </w:rPr>
      </w:pPr>
      <w:r w:rsidRPr="00F941DA">
        <w:rPr>
          <w:color w:val="auto"/>
          <w:lang w:val="ro-RO"/>
        </w:rPr>
        <w:t xml:space="preserve">    </w:t>
      </w:r>
    </w:p>
    <w:p w14:paraId="0544D9A2" w14:textId="77777777" w:rsidR="00A827C3" w:rsidRPr="00F941DA" w:rsidRDefault="00A827C3" w:rsidP="00A827C3">
      <w:pPr>
        <w:pStyle w:val="Body"/>
        <w:jc w:val="both"/>
        <w:rPr>
          <w:b/>
          <w:bCs/>
          <w:color w:val="auto"/>
          <w:lang w:val="ro-RO"/>
        </w:rPr>
      </w:pPr>
      <w:r w:rsidRPr="00F941DA">
        <w:rPr>
          <w:b/>
          <w:bCs/>
          <w:color w:val="auto"/>
          <w:lang w:val="ro-RO"/>
        </w:rPr>
        <w:t>II. Criterii de includere</w:t>
      </w:r>
    </w:p>
    <w:p w14:paraId="3D5DC403" w14:textId="77777777" w:rsidR="00A827C3" w:rsidRPr="00F941DA" w:rsidRDefault="00A827C3" w:rsidP="00D11DF1">
      <w:pPr>
        <w:pStyle w:val="Body"/>
        <w:numPr>
          <w:ilvl w:val="0"/>
          <w:numId w:val="308"/>
        </w:numPr>
        <w:spacing w:line="259" w:lineRule="auto"/>
        <w:jc w:val="both"/>
        <w:rPr>
          <w:color w:val="auto"/>
          <w:lang w:val="ro-RO"/>
        </w:rPr>
      </w:pPr>
      <w:r w:rsidRPr="00F941DA">
        <w:rPr>
          <w:color w:val="auto"/>
          <w:lang w:val="ro-RO"/>
        </w:rPr>
        <w:t>Pacienţi cu vârsta mai mare de 18 ani</w:t>
      </w:r>
    </w:p>
    <w:p w14:paraId="398E73F4" w14:textId="77777777" w:rsidR="00A827C3" w:rsidRPr="00F941DA" w:rsidRDefault="00A827C3" w:rsidP="00D11DF1">
      <w:pPr>
        <w:pStyle w:val="Body"/>
        <w:numPr>
          <w:ilvl w:val="0"/>
          <w:numId w:val="308"/>
        </w:numPr>
        <w:spacing w:line="259" w:lineRule="auto"/>
        <w:jc w:val="both"/>
        <w:rPr>
          <w:b/>
          <w:bCs/>
          <w:color w:val="auto"/>
          <w:lang w:val="ro-RO"/>
        </w:rPr>
      </w:pPr>
      <w:r w:rsidRPr="00F941DA">
        <w:rPr>
          <w:color w:val="auto"/>
          <w:lang w:val="ro-RO"/>
        </w:rPr>
        <w:t xml:space="preserve">Melanom malign avansat local şi/sau regional, inoperabil, sau metastazat, confirmat histologic    (pentru indicaţia de tratament paliativ, pentru stadii avansate de boală), </w:t>
      </w:r>
    </w:p>
    <w:p w14:paraId="327AEBFD" w14:textId="290324D2" w:rsidR="00A827C3" w:rsidRPr="00F941DA" w:rsidRDefault="00A827C3" w:rsidP="00A827C3">
      <w:pPr>
        <w:pStyle w:val="Body"/>
        <w:spacing w:line="259" w:lineRule="auto"/>
        <w:ind w:left="720"/>
        <w:jc w:val="both"/>
        <w:rPr>
          <w:b/>
          <w:bCs/>
          <w:color w:val="auto"/>
          <w:lang w:val="ro-RO"/>
        </w:rPr>
      </w:pPr>
      <w:r w:rsidRPr="00F941DA">
        <w:rPr>
          <w:b/>
          <w:bCs/>
          <w:color w:val="auto"/>
          <w:lang w:val="ro-RO"/>
        </w:rPr>
        <w:t>sau</w:t>
      </w:r>
    </w:p>
    <w:p w14:paraId="0EB0E457" w14:textId="30BC0EBF" w:rsidR="00A827C3" w:rsidRPr="00F941DA" w:rsidRDefault="00A827C3" w:rsidP="00D11DF1">
      <w:pPr>
        <w:pStyle w:val="Body"/>
        <w:numPr>
          <w:ilvl w:val="0"/>
          <w:numId w:val="308"/>
        </w:numPr>
        <w:spacing w:line="259" w:lineRule="auto"/>
        <w:jc w:val="both"/>
        <w:rPr>
          <w:b/>
          <w:bCs/>
          <w:color w:val="auto"/>
          <w:lang w:val="ro-RO"/>
        </w:rPr>
      </w:pPr>
      <w:r w:rsidRPr="00F941DA">
        <w:rPr>
          <w:color w:val="auto"/>
          <w:lang w:val="ro-RO"/>
        </w:rPr>
        <w:t>Melanom malign stadiul III (stabilit în urma tratamentului chirurgical), după rezecţia completă a tuturor leziunilor existente (pentru indicaţia de tratament adjuvant, pentru stadiile III de boală)</w:t>
      </w:r>
    </w:p>
    <w:p w14:paraId="333499A0" w14:textId="77777777" w:rsidR="00A827C3" w:rsidRPr="00F941DA" w:rsidRDefault="00A827C3" w:rsidP="00D11DF1">
      <w:pPr>
        <w:pStyle w:val="Body"/>
        <w:numPr>
          <w:ilvl w:val="0"/>
          <w:numId w:val="308"/>
        </w:numPr>
        <w:spacing w:line="259" w:lineRule="auto"/>
        <w:jc w:val="both"/>
        <w:rPr>
          <w:color w:val="auto"/>
          <w:lang w:val="ro-RO"/>
        </w:rPr>
      </w:pPr>
      <w:r w:rsidRPr="00F941DA">
        <w:rPr>
          <w:color w:val="auto"/>
          <w:lang w:val="ro-RO"/>
        </w:rPr>
        <w:t>Prezenta mutaţiei BRAF V600 (pentru ambele indicaţii)</w:t>
      </w:r>
    </w:p>
    <w:p w14:paraId="03F65590" w14:textId="77777777" w:rsidR="00A827C3" w:rsidRPr="00F941DA" w:rsidRDefault="00A827C3" w:rsidP="00D11DF1">
      <w:pPr>
        <w:pStyle w:val="Body"/>
        <w:numPr>
          <w:ilvl w:val="0"/>
          <w:numId w:val="308"/>
        </w:numPr>
        <w:spacing w:line="259" w:lineRule="auto"/>
        <w:jc w:val="both"/>
        <w:rPr>
          <w:color w:val="auto"/>
          <w:lang w:val="ro-RO"/>
        </w:rPr>
      </w:pPr>
      <w:r w:rsidRPr="00F941DA">
        <w:rPr>
          <w:color w:val="auto"/>
          <w:lang w:val="ro-RO"/>
        </w:rPr>
        <w:t>Pacienţi cu determinări secundare cerebrale stabile din punct de vedere neurologic (determinări secundare cerebrale asimptomatice la momentul iniţierii tratamentului cu dabrafenib şi trametinib) - criteriu valabil doar pentru indicaţia de tratament paliativ, pentru stadiile avansate de boală.</w:t>
      </w:r>
    </w:p>
    <w:p w14:paraId="1C3D1EE6" w14:textId="77777777" w:rsidR="00A827C3" w:rsidRPr="00F941DA" w:rsidRDefault="00A827C3" w:rsidP="00A827C3">
      <w:pPr>
        <w:pStyle w:val="Body"/>
        <w:jc w:val="both"/>
        <w:rPr>
          <w:color w:val="auto"/>
          <w:lang w:val="ro-RO"/>
        </w:rPr>
      </w:pPr>
      <w:r w:rsidRPr="00F941DA">
        <w:rPr>
          <w:color w:val="auto"/>
          <w:lang w:val="ro-RO"/>
        </w:rPr>
        <w:t xml:space="preserve">    </w:t>
      </w:r>
    </w:p>
    <w:p w14:paraId="6FD73020" w14:textId="77777777" w:rsidR="00A827C3" w:rsidRPr="00F941DA" w:rsidRDefault="00A827C3" w:rsidP="00A827C3">
      <w:pPr>
        <w:pStyle w:val="Body"/>
        <w:jc w:val="both"/>
        <w:rPr>
          <w:b/>
          <w:bCs/>
          <w:color w:val="auto"/>
          <w:lang w:val="ro-RO"/>
        </w:rPr>
      </w:pPr>
      <w:r w:rsidRPr="00F941DA">
        <w:rPr>
          <w:b/>
          <w:bCs/>
          <w:color w:val="auto"/>
          <w:lang w:val="ro-RO"/>
        </w:rPr>
        <w:t>III. Criterii de excludere</w:t>
      </w:r>
    </w:p>
    <w:p w14:paraId="2D5E1BE9" w14:textId="77777777" w:rsidR="00A827C3" w:rsidRPr="00F941DA" w:rsidRDefault="00A827C3" w:rsidP="00D11DF1">
      <w:pPr>
        <w:pStyle w:val="Body"/>
        <w:numPr>
          <w:ilvl w:val="0"/>
          <w:numId w:val="309"/>
        </w:numPr>
        <w:spacing w:line="259" w:lineRule="auto"/>
        <w:ind w:left="709" w:hanging="283"/>
        <w:jc w:val="both"/>
        <w:rPr>
          <w:color w:val="auto"/>
          <w:lang w:val="ro-RO"/>
        </w:rPr>
      </w:pPr>
      <w:r w:rsidRPr="00F941DA">
        <w:rPr>
          <w:color w:val="auto"/>
          <w:lang w:val="ro-RO"/>
        </w:rPr>
        <w:t>Hipersensibilitate la substanţă activă sau la oricare dintre excipienţi</w:t>
      </w:r>
    </w:p>
    <w:p w14:paraId="0E617CDC" w14:textId="77777777" w:rsidR="00A827C3" w:rsidRPr="00F941DA" w:rsidRDefault="00A827C3" w:rsidP="00D11DF1">
      <w:pPr>
        <w:pStyle w:val="Body"/>
        <w:numPr>
          <w:ilvl w:val="0"/>
          <w:numId w:val="309"/>
        </w:numPr>
        <w:spacing w:line="259" w:lineRule="auto"/>
        <w:ind w:left="709" w:hanging="283"/>
        <w:jc w:val="both"/>
        <w:rPr>
          <w:color w:val="auto"/>
          <w:lang w:val="ro-RO"/>
        </w:rPr>
      </w:pPr>
      <w:r w:rsidRPr="00F941DA">
        <w:rPr>
          <w:color w:val="auto"/>
          <w:lang w:val="ro-RO"/>
        </w:rPr>
        <w:t>Alăptarea</w:t>
      </w:r>
    </w:p>
    <w:p w14:paraId="4CFFB4C6" w14:textId="77777777" w:rsidR="00A827C3" w:rsidRPr="00F941DA" w:rsidRDefault="00A827C3" w:rsidP="00D11DF1">
      <w:pPr>
        <w:pStyle w:val="Body"/>
        <w:numPr>
          <w:ilvl w:val="0"/>
          <w:numId w:val="309"/>
        </w:numPr>
        <w:spacing w:line="259" w:lineRule="auto"/>
        <w:ind w:left="709" w:hanging="283"/>
        <w:jc w:val="both"/>
        <w:rPr>
          <w:color w:val="auto"/>
          <w:lang w:val="ro-RO"/>
        </w:rPr>
      </w:pPr>
      <w:r w:rsidRPr="00F941DA">
        <w:rPr>
          <w:color w:val="auto"/>
          <w:lang w:val="ro-RO"/>
        </w:rPr>
        <w:t>interval QTc &gt; 480 ms (la latitudinea medicului curant)</w:t>
      </w:r>
    </w:p>
    <w:p w14:paraId="08C6FA42" w14:textId="77777777" w:rsidR="00A827C3" w:rsidRPr="00F941DA" w:rsidRDefault="00A827C3" w:rsidP="00D11DF1">
      <w:pPr>
        <w:pStyle w:val="Body"/>
        <w:numPr>
          <w:ilvl w:val="0"/>
          <w:numId w:val="309"/>
        </w:numPr>
        <w:spacing w:line="259" w:lineRule="auto"/>
        <w:ind w:left="709" w:hanging="283"/>
        <w:jc w:val="both"/>
        <w:rPr>
          <w:color w:val="auto"/>
          <w:lang w:val="ro-RO"/>
        </w:rPr>
      </w:pPr>
      <w:r w:rsidRPr="00F941DA">
        <w:rPr>
          <w:color w:val="auto"/>
          <w:lang w:val="ro-RO"/>
        </w:rPr>
        <w:t>FEVS &lt; 40% (la latitudinea medicului curant)</w:t>
      </w:r>
    </w:p>
    <w:p w14:paraId="547B5FC9" w14:textId="77777777" w:rsidR="00A827C3" w:rsidRPr="00F941DA" w:rsidRDefault="00A827C3" w:rsidP="00D11DF1">
      <w:pPr>
        <w:pStyle w:val="Default"/>
        <w:numPr>
          <w:ilvl w:val="0"/>
          <w:numId w:val="309"/>
        </w:numPr>
        <w:pBdr>
          <w:top w:val="nil"/>
          <w:left w:val="nil"/>
          <w:bottom w:val="nil"/>
          <w:right w:val="nil"/>
          <w:between w:val="nil"/>
          <w:bar w:val="nil"/>
        </w:pBdr>
        <w:autoSpaceDE/>
        <w:autoSpaceDN/>
        <w:adjustRightInd/>
        <w:ind w:left="709" w:hanging="283"/>
        <w:jc w:val="both"/>
        <w:rPr>
          <w:rFonts w:ascii="Times New Roman" w:hAnsi="Times New Roman"/>
          <w:color w:val="auto"/>
          <w:lang w:val="ro-RO"/>
          <w14:textOutline w14:w="12700" w14:cap="flat" w14:cmpd="sng" w14:algn="ctr">
            <w14:noFill/>
            <w14:prstDash w14:val="solid"/>
            <w14:miter w14:lim="400000"/>
          </w14:textOutline>
        </w:rPr>
      </w:pPr>
      <w:r w:rsidRPr="00F941DA">
        <w:rPr>
          <w:rFonts w:ascii="Times New Roman" w:hAnsi="Times New Roman"/>
          <w:color w:val="auto"/>
          <w:lang w:val="ro-RO"/>
          <w14:textOutline w14:w="12700" w14:cap="flat" w14:cmpd="sng" w14:algn="ctr">
            <w14:noFill/>
            <w14:prstDash w14:val="solid"/>
            <w14:miter w14:lim="400000"/>
          </w14:textOutline>
        </w:rPr>
        <w:t>Tratament anterior cu alţi inhibitori BRAF*</w:t>
      </w:r>
    </w:p>
    <w:p w14:paraId="3D8AFEC5" w14:textId="77777777" w:rsidR="00A827C3" w:rsidRPr="00F941DA" w:rsidRDefault="00A827C3" w:rsidP="00A827C3">
      <w:pPr>
        <w:pStyle w:val="Body"/>
        <w:jc w:val="both"/>
        <w:rPr>
          <w:color w:val="auto"/>
          <w:lang w:val="ro-RO"/>
        </w:rPr>
      </w:pPr>
    </w:p>
    <w:p w14:paraId="1C16897F" w14:textId="3EBEECB0" w:rsidR="00A827C3" w:rsidRPr="00F941DA" w:rsidRDefault="00A827C3" w:rsidP="00A827C3">
      <w:pPr>
        <w:pStyle w:val="Body"/>
        <w:jc w:val="both"/>
        <w:rPr>
          <w:color w:val="auto"/>
          <w:sz w:val="20"/>
          <w:szCs w:val="20"/>
          <w:lang w:val="ro-RO"/>
        </w:rPr>
      </w:pPr>
      <w:r w:rsidRPr="00F941DA">
        <w:rPr>
          <w:color w:val="auto"/>
          <w:sz w:val="20"/>
          <w:szCs w:val="20"/>
          <w:u w:color="FF2600"/>
          <w:lang w:val="ro-RO"/>
        </w:rPr>
        <w:t>*Nota: Pacientii cu tratament anterior cu inhibitori BRAF care au urmat si alte linii de tratament pot fi retratati cu terapie antiBRAF daca medicucl curant considera raportul beneficiu/riscuri favorabil acestui tratatment. Aceasta recomandare este prezenta in ghidurile internationale utilizate pe scara larga (ESMO, NCCN)</w:t>
      </w:r>
    </w:p>
    <w:p w14:paraId="27A5A10F" w14:textId="77777777" w:rsidR="00A827C3" w:rsidRPr="00F941DA" w:rsidRDefault="00A827C3" w:rsidP="00A827C3">
      <w:pPr>
        <w:pStyle w:val="Body"/>
        <w:jc w:val="both"/>
        <w:rPr>
          <w:color w:val="auto"/>
          <w:lang w:val="ro-RO"/>
        </w:rPr>
      </w:pPr>
    </w:p>
    <w:p w14:paraId="182080B6" w14:textId="77777777" w:rsidR="00A827C3" w:rsidRPr="00F941DA" w:rsidRDefault="00A827C3" w:rsidP="00A827C3">
      <w:pPr>
        <w:pStyle w:val="Body"/>
        <w:jc w:val="both"/>
        <w:rPr>
          <w:b/>
          <w:bCs/>
          <w:color w:val="auto"/>
          <w:lang w:val="ro-RO"/>
        </w:rPr>
      </w:pPr>
      <w:r w:rsidRPr="00F941DA">
        <w:rPr>
          <w:b/>
          <w:bCs/>
          <w:color w:val="auto"/>
          <w:lang w:val="ro-RO"/>
        </w:rPr>
        <w:t>IV. Posologie</w:t>
      </w:r>
      <w:r w:rsidRPr="00F941DA">
        <w:rPr>
          <w:color w:val="auto"/>
          <w:lang w:val="ro-RO"/>
        </w:rPr>
        <w:t xml:space="preserve">  </w:t>
      </w:r>
    </w:p>
    <w:p w14:paraId="31F68BCD" w14:textId="77777777" w:rsidR="00A827C3" w:rsidRPr="00F941DA" w:rsidRDefault="00A827C3" w:rsidP="00A827C3">
      <w:pPr>
        <w:pStyle w:val="Body"/>
        <w:jc w:val="both"/>
        <w:rPr>
          <w:color w:val="auto"/>
          <w:lang w:val="ro-RO"/>
        </w:rPr>
      </w:pPr>
      <w:r w:rsidRPr="00F941DA">
        <w:rPr>
          <w:color w:val="auto"/>
          <w:lang w:val="ro-RO"/>
        </w:rPr>
        <w:t xml:space="preserve">Doza recomandată de </w:t>
      </w:r>
      <w:r w:rsidRPr="00F941DA">
        <w:rPr>
          <w:b/>
          <w:bCs/>
          <w:color w:val="auto"/>
          <w:lang w:val="ro-RO"/>
        </w:rPr>
        <w:t>dabrafenib</w:t>
      </w:r>
      <w:r w:rsidRPr="00F941DA">
        <w:rPr>
          <w:color w:val="auto"/>
          <w:lang w:val="ro-RO"/>
        </w:rPr>
        <w:t>, administrat în asociere cu trametinib, este de 150 mg (două capsule de 75 mg) de două ori pe zi (echivalentul unei doze zilnice totale de 300 mg).</w:t>
      </w:r>
    </w:p>
    <w:p w14:paraId="5A5E0E77" w14:textId="77777777" w:rsidR="00A827C3" w:rsidRPr="00F941DA" w:rsidRDefault="00A827C3" w:rsidP="00A827C3">
      <w:pPr>
        <w:pStyle w:val="Body"/>
        <w:jc w:val="both"/>
        <w:rPr>
          <w:color w:val="auto"/>
          <w:lang w:val="ro-RO"/>
        </w:rPr>
      </w:pPr>
      <w:r w:rsidRPr="00F941DA">
        <w:rPr>
          <w:color w:val="auto"/>
          <w:lang w:val="ro-RO"/>
        </w:rPr>
        <w:t xml:space="preserve">Doza recomandată de </w:t>
      </w:r>
      <w:r w:rsidRPr="00F941DA">
        <w:rPr>
          <w:b/>
          <w:bCs/>
          <w:color w:val="auto"/>
          <w:lang w:val="ro-RO"/>
        </w:rPr>
        <w:t>trametinib</w:t>
      </w:r>
      <w:r w:rsidRPr="00F941DA">
        <w:rPr>
          <w:color w:val="auto"/>
          <w:lang w:val="ro-RO"/>
        </w:rPr>
        <w:t>, administrat în asociere cu dabrafenib, este de 2 mg o dată pe zi.</w:t>
      </w:r>
    </w:p>
    <w:p w14:paraId="655DC0A6" w14:textId="77777777" w:rsidR="00A827C3" w:rsidRPr="00F941DA" w:rsidRDefault="00A827C3" w:rsidP="00A827C3">
      <w:pPr>
        <w:pStyle w:val="Body"/>
        <w:jc w:val="both"/>
        <w:rPr>
          <w:color w:val="auto"/>
          <w:lang w:val="ro-RO"/>
        </w:rPr>
      </w:pPr>
      <w:r w:rsidRPr="00F941DA">
        <w:rPr>
          <w:color w:val="auto"/>
          <w:lang w:val="ro-RO"/>
        </w:rPr>
        <w:t>Tratamentul cu dabrafenib + trametinib trebuie continuat atât timp cât se observă beneficii clinice sau până când nu mai sunt tolerate de pacient pentru indicaţia de tratament paliativ, pentru stadii avansate de boală.</w:t>
      </w:r>
    </w:p>
    <w:p w14:paraId="58B47CD7" w14:textId="77777777" w:rsidR="00A827C3" w:rsidRPr="00F941DA" w:rsidRDefault="00A827C3" w:rsidP="00A827C3">
      <w:pPr>
        <w:pStyle w:val="Body"/>
        <w:jc w:val="both"/>
        <w:rPr>
          <w:color w:val="auto"/>
          <w:lang w:val="ro-RO"/>
        </w:rPr>
      </w:pPr>
      <w:r w:rsidRPr="00F941DA">
        <w:rPr>
          <w:color w:val="auto"/>
          <w:lang w:val="ro-RO"/>
        </w:rPr>
        <w:t>Pentru indicaţia de tratament adjuvant, tratamentul va fi administrat pentru o perioadă de 12 luni dacă nu apare recurenta (recidiva) de boală sau efecte secundare inacceptabile.</w:t>
      </w:r>
    </w:p>
    <w:p w14:paraId="1F262A76" w14:textId="77777777" w:rsidR="00A827C3" w:rsidRPr="00F941DA" w:rsidRDefault="00A827C3" w:rsidP="00A827C3">
      <w:pPr>
        <w:pStyle w:val="Body"/>
        <w:jc w:val="both"/>
        <w:rPr>
          <w:color w:val="auto"/>
          <w:lang w:val="ro-RO"/>
        </w:rPr>
      </w:pPr>
      <w:r w:rsidRPr="00F941DA">
        <w:rPr>
          <w:color w:val="auto"/>
          <w:lang w:val="ro-RO"/>
        </w:rPr>
        <w:t xml:space="preserve"> </w:t>
      </w:r>
    </w:p>
    <w:p w14:paraId="1637A8FE" w14:textId="77777777" w:rsidR="00A827C3" w:rsidRPr="00F941DA" w:rsidRDefault="00A827C3" w:rsidP="00A827C3">
      <w:pPr>
        <w:pStyle w:val="Body"/>
        <w:jc w:val="both"/>
        <w:rPr>
          <w:color w:val="auto"/>
          <w:lang w:val="ro-RO"/>
        </w:rPr>
      </w:pPr>
      <w:r w:rsidRPr="00F941DA">
        <w:rPr>
          <w:color w:val="auto"/>
          <w:lang w:val="ro-RO"/>
        </w:rPr>
        <w:lastRenderedPageBreak/>
        <w:t>Doze omise</w:t>
      </w:r>
    </w:p>
    <w:p w14:paraId="705ACD9F" w14:textId="77777777" w:rsidR="00A827C3" w:rsidRPr="00F941DA" w:rsidRDefault="00A827C3" w:rsidP="00A827C3">
      <w:pPr>
        <w:pStyle w:val="Body"/>
        <w:jc w:val="both"/>
        <w:rPr>
          <w:color w:val="auto"/>
          <w:lang w:val="ro-RO"/>
        </w:rPr>
      </w:pPr>
      <w:r w:rsidRPr="00F941DA">
        <w:rPr>
          <w:color w:val="auto"/>
          <w:lang w:val="ro-RO"/>
        </w:rPr>
        <w:t xml:space="preserve">În cazul omiterii unei doze de </w:t>
      </w:r>
      <w:r w:rsidRPr="00F941DA">
        <w:rPr>
          <w:b/>
          <w:bCs/>
          <w:color w:val="auto"/>
          <w:lang w:val="ro-RO"/>
        </w:rPr>
        <w:t>dabrafenib</w:t>
      </w:r>
      <w:r w:rsidRPr="00F941DA">
        <w:rPr>
          <w:color w:val="auto"/>
          <w:lang w:val="ro-RO"/>
        </w:rPr>
        <w:t>, aceasta nu trebuie să fie administrată dacă intervalul de timp până la următoarea doză programată este mai mic de 6 ore.</w:t>
      </w:r>
    </w:p>
    <w:p w14:paraId="668F3330" w14:textId="77777777" w:rsidR="00A827C3" w:rsidRPr="00F941DA" w:rsidRDefault="00A827C3" w:rsidP="00A827C3">
      <w:pPr>
        <w:pStyle w:val="Body"/>
        <w:jc w:val="both"/>
        <w:rPr>
          <w:color w:val="auto"/>
          <w:lang w:val="ro-RO"/>
        </w:rPr>
      </w:pPr>
      <w:r w:rsidRPr="00F941DA">
        <w:rPr>
          <w:color w:val="auto"/>
          <w:lang w:val="ro-RO"/>
        </w:rPr>
        <w:t xml:space="preserve">Dacă este omisă o doză de </w:t>
      </w:r>
      <w:r w:rsidRPr="00F941DA">
        <w:rPr>
          <w:b/>
          <w:bCs/>
          <w:color w:val="auto"/>
          <w:lang w:val="ro-RO"/>
        </w:rPr>
        <w:t>trametinib</w:t>
      </w:r>
      <w:r w:rsidRPr="00F941DA">
        <w:rPr>
          <w:color w:val="auto"/>
          <w:lang w:val="ro-RO"/>
        </w:rPr>
        <w:t>, când dabrafenib este administrat în asociere cu trametinib, se administrează doza de trametinib numai dacă mai sunt peste 12 ore până la următoarea doză.</w:t>
      </w:r>
    </w:p>
    <w:p w14:paraId="38D7EB4A" w14:textId="065951B9" w:rsidR="00A827C3" w:rsidRPr="00F941DA" w:rsidRDefault="00A827C3" w:rsidP="00A827C3">
      <w:pPr>
        <w:pStyle w:val="Body"/>
        <w:jc w:val="both"/>
        <w:rPr>
          <w:color w:val="auto"/>
          <w:lang w:val="ro-RO"/>
        </w:rPr>
      </w:pPr>
      <w:r w:rsidRPr="00F941DA">
        <w:rPr>
          <w:color w:val="auto"/>
          <w:lang w:val="ro-RO"/>
        </w:rPr>
        <w:t xml:space="preserve">    </w:t>
      </w:r>
    </w:p>
    <w:p w14:paraId="4E6A5890" w14:textId="77777777" w:rsidR="00A827C3" w:rsidRPr="00F941DA" w:rsidRDefault="00A827C3" w:rsidP="00A827C3">
      <w:pPr>
        <w:pStyle w:val="Body"/>
        <w:jc w:val="both"/>
        <w:rPr>
          <w:b/>
          <w:bCs/>
          <w:color w:val="auto"/>
          <w:lang w:val="ro-RO"/>
        </w:rPr>
      </w:pPr>
      <w:r w:rsidRPr="00F941DA">
        <w:rPr>
          <w:b/>
          <w:bCs/>
          <w:color w:val="auto"/>
          <w:lang w:val="ro-RO"/>
        </w:rPr>
        <w:t>Mod de administrare</w:t>
      </w:r>
    </w:p>
    <w:p w14:paraId="60D46E9E" w14:textId="77777777" w:rsidR="00A827C3" w:rsidRPr="00F941DA" w:rsidRDefault="00A827C3" w:rsidP="00A827C3">
      <w:pPr>
        <w:pStyle w:val="Body"/>
        <w:jc w:val="both"/>
        <w:rPr>
          <w:color w:val="auto"/>
          <w:lang w:val="ro-RO"/>
        </w:rPr>
      </w:pPr>
      <w:r w:rsidRPr="00F941DA">
        <w:rPr>
          <w:color w:val="auto"/>
          <w:lang w:val="ro-RO"/>
        </w:rPr>
        <w:t>Capsulele de dabrafenib trebuie înghiţite întregi cu apă. Capsulele nu trebuie mestecate sau deschise şi nici amestecate cu alimente sau lichide din cauza instabilităţii chimice a dabrafenib. Dabrafenib trebuie luat cu minimum o oră înaintea unei mese sau la minimum două ore după masă. Dacă pacientul vomită după administrarea dabrafenib, nu trebuie să ia doza din nou, ci doza următoare programată.</w:t>
      </w:r>
    </w:p>
    <w:p w14:paraId="50A4893A" w14:textId="77777777" w:rsidR="00A827C3" w:rsidRPr="00F941DA" w:rsidRDefault="00A827C3" w:rsidP="00A827C3">
      <w:pPr>
        <w:pStyle w:val="Body"/>
        <w:jc w:val="both"/>
        <w:rPr>
          <w:color w:val="auto"/>
          <w:lang w:val="ro-RO"/>
        </w:rPr>
      </w:pPr>
      <w:r w:rsidRPr="00F941DA">
        <w:rPr>
          <w:color w:val="auto"/>
          <w:lang w:val="ro-RO"/>
        </w:rPr>
        <w:t>Se recomandă ca dozele de dabrafenib să fie luate la aceleaşi ore în fiecare zi, cu un interval de aproximativ 12 ore între doze. Când dabrafenib şi trametinib sunt administrate concomitent, doza zilnică de trametinib trebuie administrată la aceeaşi oră în fiecare zi, fie cu doza de dimineaţă, fie cu doza de seară de dabrafenib.</w:t>
      </w:r>
    </w:p>
    <w:p w14:paraId="53314A24" w14:textId="77777777" w:rsidR="00A827C3" w:rsidRPr="00F941DA" w:rsidRDefault="00A827C3" w:rsidP="00A827C3">
      <w:pPr>
        <w:pStyle w:val="Body"/>
        <w:jc w:val="both"/>
        <w:rPr>
          <w:b/>
          <w:bCs/>
          <w:color w:val="auto"/>
          <w:lang w:val="ro-RO"/>
        </w:rPr>
      </w:pPr>
      <w:r w:rsidRPr="00F941DA">
        <w:rPr>
          <w:b/>
          <w:bCs/>
          <w:color w:val="auto"/>
          <w:lang w:val="ro-RO"/>
        </w:rPr>
        <w:t xml:space="preserve">    </w:t>
      </w:r>
    </w:p>
    <w:p w14:paraId="24F61947" w14:textId="77777777" w:rsidR="00A827C3" w:rsidRPr="00F941DA" w:rsidRDefault="00A827C3" w:rsidP="00A827C3">
      <w:pPr>
        <w:pStyle w:val="Body"/>
        <w:jc w:val="both"/>
        <w:rPr>
          <w:b/>
          <w:bCs/>
          <w:color w:val="auto"/>
          <w:lang w:val="ro-RO"/>
        </w:rPr>
      </w:pPr>
      <w:r w:rsidRPr="00F941DA">
        <w:rPr>
          <w:b/>
          <w:bCs/>
          <w:color w:val="auto"/>
          <w:lang w:val="ro-RO"/>
        </w:rPr>
        <w:t>Grupe speciale de pacienţi:</w:t>
      </w:r>
      <w:r w:rsidRPr="00F941DA">
        <w:rPr>
          <w:color w:val="auto"/>
          <w:lang w:val="ro-RO"/>
        </w:rPr>
        <w:t xml:space="preserve">   </w:t>
      </w:r>
    </w:p>
    <w:p w14:paraId="1034763D" w14:textId="77777777" w:rsidR="00A827C3" w:rsidRPr="00F941DA" w:rsidRDefault="00A827C3" w:rsidP="00A827C3">
      <w:pPr>
        <w:pStyle w:val="Body"/>
        <w:jc w:val="both"/>
        <w:rPr>
          <w:color w:val="auto"/>
          <w:lang w:val="ro-RO"/>
        </w:rPr>
      </w:pPr>
      <w:r w:rsidRPr="00F941DA">
        <w:rPr>
          <w:color w:val="auto"/>
          <w:lang w:val="ro-RO"/>
        </w:rPr>
        <w:t>Copii şi adolescenţi - Siguranţa şi eficacitatea dabrafenib la copii şi adolescenţi (&lt; 18 ani) nu au fost încă stabilite. Nu sunt disponibile date clinice. Studiile pe animale tinere au indicat reacţii adverse ale dabrafenib care nu au fost observate şi la animalele adulte. Nu există date disponibile din trialurile clinice de înregistrare.</w:t>
      </w:r>
    </w:p>
    <w:p w14:paraId="47A8B38A" w14:textId="77777777" w:rsidR="00A827C3" w:rsidRPr="00F941DA" w:rsidRDefault="00A827C3" w:rsidP="00A827C3">
      <w:pPr>
        <w:pStyle w:val="Body"/>
        <w:jc w:val="both"/>
        <w:rPr>
          <w:color w:val="auto"/>
          <w:lang w:val="ro-RO"/>
        </w:rPr>
      </w:pPr>
      <w:r w:rsidRPr="00F941DA">
        <w:rPr>
          <w:color w:val="auto"/>
          <w:lang w:val="ro-RO"/>
        </w:rPr>
        <w:t xml:space="preserve">    </w:t>
      </w:r>
    </w:p>
    <w:p w14:paraId="2DFC8382" w14:textId="77777777" w:rsidR="00A827C3" w:rsidRPr="00F941DA" w:rsidRDefault="00A827C3" w:rsidP="00A827C3">
      <w:pPr>
        <w:pStyle w:val="Body"/>
        <w:jc w:val="both"/>
        <w:rPr>
          <w:color w:val="auto"/>
          <w:lang w:val="ro-RO"/>
        </w:rPr>
      </w:pPr>
      <w:r w:rsidRPr="00F941DA">
        <w:rPr>
          <w:color w:val="auto"/>
          <w:lang w:val="ro-RO"/>
        </w:rPr>
        <w:t xml:space="preserve">Pacienţi vârstnici - nu este necesară ajustarea dozelor la pacienţii vârstnici (≥ 65 de ani).  </w:t>
      </w:r>
    </w:p>
    <w:p w14:paraId="4B4DEBEA" w14:textId="77777777" w:rsidR="00A827C3" w:rsidRPr="00F941DA" w:rsidRDefault="00A827C3" w:rsidP="00A827C3">
      <w:pPr>
        <w:pStyle w:val="Body"/>
        <w:jc w:val="both"/>
        <w:rPr>
          <w:color w:val="auto"/>
          <w:lang w:val="ro-RO"/>
        </w:rPr>
      </w:pPr>
      <w:r w:rsidRPr="00F941DA">
        <w:rPr>
          <w:color w:val="auto"/>
          <w:lang w:val="ro-RO"/>
        </w:rPr>
        <w:t>Insuficienţă renală - Nu este necesară o ajustare a dozei la pacienţii cu insuficienţă renală uşoară sau moderată. Nu sunt disponibile date clinice pentru pacienţii cu insuficienţă renală severă, astfel încât nu poate fi stabilită o eventuală necesitate de modificare a dozei. Dabrafenib trebuie administrat cu precauţie la pacienţii cu insuficienţă renală severă când este administrat în monoterapie sau în asociere cu trametinib.</w:t>
      </w:r>
    </w:p>
    <w:p w14:paraId="07605A1C" w14:textId="77777777" w:rsidR="00A827C3" w:rsidRPr="00F941DA" w:rsidRDefault="00A827C3" w:rsidP="00A827C3">
      <w:pPr>
        <w:pStyle w:val="Body"/>
        <w:jc w:val="both"/>
        <w:rPr>
          <w:color w:val="auto"/>
          <w:lang w:val="ro-RO"/>
        </w:rPr>
      </w:pPr>
      <w:r w:rsidRPr="00F941DA">
        <w:rPr>
          <w:color w:val="auto"/>
          <w:lang w:val="ro-RO"/>
        </w:rPr>
        <w:t xml:space="preserve">    </w:t>
      </w:r>
    </w:p>
    <w:p w14:paraId="166D9F71" w14:textId="77777777" w:rsidR="00A827C3" w:rsidRPr="00F941DA" w:rsidRDefault="00A827C3" w:rsidP="00A827C3">
      <w:pPr>
        <w:pStyle w:val="Body"/>
        <w:jc w:val="both"/>
        <w:rPr>
          <w:color w:val="auto"/>
          <w:lang w:val="ro-RO"/>
        </w:rPr>
      </w:pPr>
      <w:r w:rsidRPr="00F941DA">
        <w:rPr>
          <w:color w:val="auto"/>
          <w:lang w:val="ro-RO"/>
        </w:rPr>
        <w:t>Insuficienţă hepatică - Nu este necesară o ajustare a dozei la pacienţii cu insuficienţă hepatică uşoară. Nu sunt disponibile date clinice pentru pacienţii cu insuficienţă hepatică moderată şi severă, astfel încât nu poate fi stabilită o eventuală necesitate de modificare a dozei. Metabolizarea hepatică şi secreţia biliară constituie principalele căi de eliminare a dabrafenib şi a metaboliţilor săi, astfel încât pacienţii cu insuficienţă hepatică moderată şi severă pot prezenta expunere crescută. Dabrafenib trebuie să fie administrat cu precauţie la pacienţii cu insuficienţă hepatică moderată şi severă când este administrat în monoterapie sau în asociere cu trametinib.</w:t>
      </w:r>
    </w:p>
    <w:p w14:paraId="068A7F88" w14:textId="77777777" w:rsidR="00A827C3" w:rsidRPr="00F941DA" w:rsidRDefault="00A827C3" w:rsidP="00A827C3">
      <w:pPr>
        <w:pStyle w:val="Body"/>
        <w:jc w:val="both"/>
        <w:rPr>
          <w:color w:val="auto"/>
          <w:lang w:val="ro-RO"/>
        </w:rPr>
      </w:pPr>
      <w:r w:rsidRPr="00F941DA">
        <w:rPr>
          <w:color w:val="auto"/>
          <w:lang w:val="ro-RO"/>
        </w:rPr>
        <w:t xml:space="preserve">    </w:t>
      </w:r>
    </w:p>
    <w:p w14:paraId="0A4B30D8" w14:textId="77777777" w:rsidR="00A827C3" w:rsidRPr="00F941DA" w:rsidRDefault="00A827C3" w:rsidP="00A827C3">
      <w:pPr>
        <w:pStyle w:val="Body"/>
        <w:jc w:val="both"/>
        <w:rPr>
          <w:color w:val="auto"/>
          <w:lang w:val="ro-RO"/>
        </w:rPr>
      </w:pPr>
      <w:r w:rsidRPr="00F941DA">
        <w:rPr>
          <w:color w:val="auto"/>
          <w:lang w:val="ro-RO"/>
        </w:rPr>
        <w:t>Pacienţi cu metastaze cerebrale - condiţia necesară pentru iniţierea tratamentului cu dabrafenib şi trametinib la aceşti pacienţi este ca aceştia să fie asimptomatici din punct de vedere al metastazelor cerebrale (fără manifestări neurologice, doza fixă de corticoterapie, fără nevoie de tratament depletiv). Pacienţii trebuie să prezinte un interval de minim 4 săptămâni de stabilitate din punct de vedere neurologic. Pot urma tratament cu anticonvulsivante dacă acesta a fost iniţiat cu mai mult de 4 săptămâni anterior şi nu a mai prezentat stări convulsivante în ultimele 4 săptămâni.</w:t>
      </w:r>
    </w:p>
    <w:p w14:paraId="019D76EF" w14:textId="77777777" w:rsidR="00A827C3" w:rsidRPr="00F941DA" w:rsidRDefault="00A827C3" w:rsidP="00A827C3">
      <w:pPr>
        <w:pStyle w:val="Body"/>
        <w:jc w:val="both"/>
        <w:rPr>
          <w:color w:val="auto"/>
          <w:lang w:val="ro-RO"/>
        </w:rPr>
      </w:pPr>
      <w:r w:rsidRPr="00F941DA">
        <w:rPr>
          <w:color w:val="auto"/>
          <w:lang w:val="ro-RO"/>
        </w:rPr>
        <w:t xml:space="preserve">    </w:t>
      </w:r>
    </w:p>
    <w:p w14:paraId="10E8659A" w14:textId="77777777" w:rsidR="00A827C3" w:rsidRPr="00F941DA" w:rsidRDefault="00A827C3" w:rsidP="00A827C3">
      <w:pPr>
        <w:pStyle w:val="Body"/>
        <w:jc w:val="both"/>
        <w:rPr>
          <w:color w:val="auto"/>
          <w:lang w:val="ro-RO"/>
        </w:rPr>
      </w:pPr>
      <w:r w:rsidRPr="00F941DA">
        <w:rPr>
          <w:color w:val="auto"/>
          <w:lang w:val="ro-RO"/>
        </w:rPr>
        <w:t>Sarcina - Dabrafenib nu trebuie administrat femeilor gravide decât dacă beneficiul posibil pentru mamă depăşeşte riscul posibil pentru făt. În cazul în care pacienta rămâne însărcinată în timpul tratamentului cu dabrafenib, aceasta trebuie să fie informată cu privire la riscurile potenţiale pentru făt.</w:t>
      </w:r>
    </w:p>
    <w:p w14:paraId="3E8E6FF5" w14:textId="77777777" w:rsidR="00A827C3" w:rsidRPr="00F941DA" w:rsidRDefault="00A827C3" w:rsidP="00A827C3">
      <w:pPr>
        <w:pStyle w:val="Body"/>
        <w:jc w:val="both"/>
        <w:rPr>
          <w:color w:val="auto"/>
          <w:lang w:val="ro-RO"/>
        </w:rPr>
      </w:pPr>
      <w:r w:rsidRPr="00F941DA">
        <w:rPr>
          <w:color w:val="auto"/>
          <w:lang w:val="ro-RO"/>
        </w:rPr>
        <w:t xml:space="preserve">    </w:t>
      </w:r>
    </w:p>
    <w:p w14:paraId="7969D305" w14:textId="77777777" w:rsidR="00A827C3" w:rsidRPr="00F941DA" w:rsidRDefault="00A827C3" w:rsidP="00A827C3">
      <w:pPr>
        <w:pStyle w:val="Body"/>
        <w:jc w:val="both"/>
        <w:rPr>
          <w:color w:val="auto"/>
          <w:lang w:val="ro-RO"/>
        </w:rPr>
      </w:pPr>
      <w:r w:rsidRPr="00F941DA">
        <w:rPr>
          <w:color w:val="auto"/>
          <w:lang w:val="ro-RO"/>
        </w:rPr>
        <w:t>Asocierea cu alte medicamente:</w:t>
      </w:r>
    </w:p>
    <w:p w14:paraId="6BD15436" w14:textId="77777777" w:rsidR="00A827C3" w:rsidRPr="00F941DA" w:rsidRDefault="00A827C3" w:rsidP="00D11DF1">
      <w:pPr>
        <w:pStyle w:val="Body"/>
        <w:numPr>
          <w:ilvl w:val="0"/>
          <w:numId w:val="306"/>
        </w:numPr>
        <w:spacing w:after="160" w:line="259" w:lineRule="auto"/>
        <w:jc w:val="both"/>
        <w:rPr>
          <w:color w:val="auto"/>
          <w:lang w:val="ro-RO"/>
        </w:rPr>
      </w:pPr>
      <w:r w:rsidRPr="00F941DA">
        <w:rPr>
          <w:color w:val="auto"/>
          <w:lang w:val="ro-RO"/>
        </w:rPr>
        <w:t>Interacţiunile medicamentoase sunt prezentate în RCP-ul produsului.</w:t>
      </w:r>
    </w:p>
    <w:p w14:paraId="58987CF3" w14:textId="77777777" w:rsidR="00A827C3" w:rsidRPr="00F941DA" w:rsidRDefault="00A827C3" w:rsidP="00A827C3">
      <w:pPr>
        <w:pStyle w:val="Body"/>
        <w:jc w:val="both"/>
        <w:rPr>
          <w:color w:val="auto"/>
          <w:lang w:val="ro-RO"/>
        </w:rPr>
      </w:pPr>
      <w:r w:rsidRPr="00F941DA">
        <w:rPr>
          <w:color w:val="auto"/>
          <w:lang w:val="ro-RO"/>
        </w:rPr>
        <w:t xml:space="preserve">    </w:t>
      </w:r>
    </w:p>
    <w:p w14:paraId="6CFE4E51" w14:textId="77777777" w:rsidR="00A827C3" w:rsidRPr="00F941DA" w:rsidRDefault="00A827C3" w:rsidP="00A827C3">
      <w:pPr>
        <w:pStyle w:val="Body"/>
        <w:jc w:val="both"/>
        <w:rPr>
          <w:b/>
          <w:bCs/>
          <w:color w:val="auto"/>
          <w:lang w:val="ro-RO"/>
        </w:rPr>
      </w:pPr>
    </w:p>
    <w:p w14:paraId="730F63AC" w14:textId="77777777" w:rsidR="00A827C3" w:rsidRPr="00F941DA" w:rsidRDefault="00A827C3" w:rsidP="00A827C3">
      <w:pPr>
        <w:pStyle w:val="Body"/>
        <w:jc w:val="both"/>
        <w:rPr>
          <w:b/>
          <w:bCs/>
          <w:color w:val="auto"/>
          <w:lang w:val="ro-RO"/>
        </w:rPr>
      </w:pPr>
    </w:p>
    <w:p w14:paraId="306FAD34" w14:textId="77777777" w:rsidR="00A827C3" w:rsidRPr="00F941DA" w:rsidRDefault="00A827C3" w:rsidP="00A827C3">
      <w:pPr>
        <w:pStyle w:val="Body"/>
        <w:jc w:val="both"/>
        <w:rPr>
          <w:b/>
          <w:bCs/>
          <w:color w:val="auto"/>
          <w:lang w:val="ro-RO"/>
        </w:rPr>
      </w:pPr>
    </w:p>
    <w:p w14:paraId="47547723" w14:textId="77777777" w:rsidR="00A827C3" w:rsidRPr="00F941DA" w:rsidRDefault="00A827C3" w:rsidP="00A827C3">
      <w:pPr>
        <w:pStyle w:val="Body"/>
        <w:jc w:val="both"/>
        <w:rPr>
          <w:b/>
          <w:bCs/>
          <w:color w:val="auto"/>
          <w:lang w:val="ro-RO"/>
        </w:rPr>
      </w:pPr>
    </w:p>
    <w:p w14:paraId="0E6B4BFD" w14:textId="77777777" w:rsidR="00A827C3" w:rsidRPr="00F941DA" w:rsidRDefault="00A827C3" w:rsidP="00A827C3">
      <w:pPr>
        <w:pStyle w:val="Body"/>
        <w:jc w:val="both"/>
        <w:rPr>
          <w:b/>
          <w:bCs/>
          <w:color w:val="auto"/>
          <w:lang w:val="ro-RO"/>
        </w:rPr>
      </w:pPr>
    </w:p>
    <w:p w14:paraId="454EED52" w14:textId="77777777" w:rsidR="00A827C3" w:rsidRPr="00F941DA" w:rsidRDefault="00A827C3" w:rsidP="00A827C3">
      <w:pPr>
        <w:pStyle w:val="Body"/>
        <w:jc w:val="both"/>
        <w:rPr>
          <w:b/>
          <w:bCs/>
          <w:color w:val="auto"/>
          <w:lang w:val="ro-RO"/>
        </w:rPr>
      </w:pPr>
      <w:r w:rsidRPr="00F941DA">
        <w:rPr>
          <w:b/>
          <w:bCs/>
          <w:color w:val="auto"/>
          <w:lang w:val="ro-RO"/>
        </w:rPr>
        <w:t>Modificarea dozei:</w:t>
      </w:r>
    </w:p>
    <w:p w14:paraId="7FF33668" w14:textId="77777777" w:rsidR="00A827C3" w:rsidRPr="00F941DA" w:rsidRDefault="00A827C3" w:rsidP="00A827C3">
      <w:pPr>
        <w:pStyle w:val="Body"/>
        <w:jc w:val="both"/>
        <w:rPr>
          <w:color w:val="auto"/>
          <w:lang w:val="ro-RO"/>
        </w:rPr>
      </w:pPr>
      <w:r w:rsidRPr="00F941DA">
        <w:rPr>
          <w:color w:val="auto"/>
          <w:lang w:val="ro-RO"/>
        </w:rPr>
        <w:t xml:space="preserve">Reguli generale pentru </w:t>
      </w:r>
      <w:r w:rsidRPr="00F941DA">
        <w:rPr>
          <w:b/>
          <w:bCs/>
          <w:color w:val="auto"/>
          <w:lang w:val="ro-RO"/>
        </w:rPr>
        <w:t>modificări ale dozelor în funcţie de intensitatea evenimentelor adverse</w:t>
      </w:r>
      <w:r w:rsidRPr="00F941DA">
        <w:rPr>
          <w:color w:val="auto"/>
          <w:lang w:val="ro-RO"/>
        </w:rPr>
        <w:t xml:space="preserve"> - Grad (CTC-AE)* pentru dabrafenib administrat în monoterapie sau în asociere cu trametinib:</w:t>
      </w:r>
    </w:p>
    <w:p w14:paraId="307B28E5" w14:textId="77777777" w:rsidR="00A827C3" w:rsidRPr="00F941DA" w:rsidRDefault="00A827C3" w:rsidP="00D11DF1">
      <w:pPr>
        <w:pStyle w:val="Body"/>
        <w:numPr>
          <w:ilvl w:val="0"/>
          <w:numId w:val="307"/>
        </w:numPr>
        <w:spacing w:line="259" w:lineRule="auto"/>
        <w:jc w:val="both"/>
        <w:rPr>
          <w:color w:val="auto"/>
          <w:lang w:val="ro-RO"/>
        </w:rPr>
      </w:pPr>
      <w:r w:rsidRPr="00F941DA">
        <w:rPr>
          <w:color w:val="auto"/>
          <w:lang w:val="ro-RO"/>
        </w:rPr>
        <w:t>Grad 1 sau grad 2 (tolerabil) - Continuaţi şi monitorizaţi tratamentul conform indicaţiilor clinice.</w:t>
      </w:r>
    </w:p>
    <w:p w14:paraId="7FDCAF6E" w14:textId="77777777" w:rsidR="00A827C3" w:rsidRPr="00F941DA" w:rsidRDefault="00A827C3" w:rsidP="00D11DF1">
      <w:pPr>
        <w:pStyle w:val="Body"/>
        <w:numPr>
          <w:ilvl w:val="0"/>
          <w:numId w:val="307"/>
        </w:numPr>
        <w:spacing w:line="259" w:lineRule="auto"/>
        <w:jc w:val="both"/>
        <w:rPr>
          <w:color w:val="auto"/>
          <w:lang w:val="ro-RO"/>
        </w:rPr>
      </w:pPr>
      <w:r w:rsidRPr="00F941DA">
        <w:rPr>
          <w:color w:val="auto"/>
          <w:lang w:val="ro-RO"/>
        </w:rPr>
        <w:t>Grad 2 (intolerabil) sau grad 3 - Întrerupeţi tratamentul până la gradul de toxicitate 0 - 1 şi reduceţi cu un nivel doza la reluarea acestuia.</w:t>
      </w:r>
    </w:p>
    <w:p w14:paraId="504311C9" w14:textId="77777777" w:rsidR="00A827C3" w:rsidRPr="00F941DA" w:rsidRDefault="00A827C3" w:rsidP="00D11DF1">
      <w:pPr>
        <w:pStyle w:val="Body"/>
        <w:numPr>
          <w:ilvl w:val="0"/>
          <w:numId w:val="307"/>
        </w:numPr>
        <w:spacing w:line="259" w:lineRule="auto"/>
        <w:jc w:val="both"/>
        <w:rPr>
          <w:color w:val="auto"/>
          <w:lang w:val="ro-RO"/>
        </w:rPr>
      </w:pPr>
      <w:r w:rsidRPr="00F941DA">
        <w:rPr>
          <w:color w:val="auto"/>
          <w:lang w:val="ro-RO"/>
        </w:rPr>
        <w:t>Grad 4 - Opriţi definitiv sau întrerupeţi terapia până gradul de toxicitate ajunge la 0 - 1 şi reduceţi doza cu un nivel la reluarea acestuia.</w:t>
      </w:r>
    </w:p>
    <w:p w14:paraId="380E2B8E" w14:textId="77777777" w:rsidR="00A827C3" w:rsidRPr="00F941DA" w:rsidRDefault="00A827C3" w:rsidP="00A827C3">
      <w:pPr>
        <w:pStyle w:val="Body"/>
        <w:jc w:val="both"/>
        <w:rPr>
          <w:color w:val="auto"/>
          <w:lang w:val="ro-RO"/>
        </w:rPr>
      </w:pPr>
      <w:r w:rsidRPr="00F941DA">
        <w:rPr>
          <w:color w:val="auto"/>
          <w:lang w:val="ro-RO"/>
        </w:rPr>
        <w:t xml:space="preserve">    </w:t>
      </w:r>
    </w:p>
    <w:p w14:paraId="12A9B0C5" w14:textId="77777777" w:rsidR="00A827C3" w:rsidRPr="00F941DA" w:rsidRDefault="00A827C3" w:rsidP="00A827C3">
      <w:pPr>
        <w:pStyle w:val="Body"/>
        <w:jc w:val="both"/>
        <w:rPr>
          <w:b/>
          <w:bCs/>
          <w:color w:val="auto"/>
          <w:lang w:val="ro-RO"/>
        </w:rPr>
      </w:pPr>
      <w:r w:rsidRPr="00F941DA">
        <w:rPr>
          <w:b/>
          <w:bCs/>
          <w:color w:val="auto"/>
          <w:lang w:val="ro-RO"/>
        </w:rPr>
        <w:t>Reducerea dozei de dabrafenib administrat în monoterapie sau în asociere cu trametinib:</w:t>
      </w:r>
    </w:p>
    <w:p w14:paraId="12EF224D" w14:textId="77777777" w:rsidR="00A827C3" w:rsidRPr="00F941DA" w:rsidRDefault="00A827C3" w:rsidP="00D11DF1">
      <w:pPr>
        <w:pStyle w:val="Body"/>
        <w:numPr>
          <w:ilvl w:val="0"/>
          <w:numId w:val="310"/>
        </w:numPr>
        <w:spacing w:line="259" w:lineRule="auto"/>
        <w:jc w:val="both"/>
        <w:rPr>
          <w:color w:val="auto"/>
          <w:lang w:val="ro-RO"/>
        </w:rPr>
      </w:pPr>
      <w:r w:rsidRPr="00F941DA">
        <w:rPr>
          <w:color w:val="auto"/>
          <w:lang w:val="ro-RO"/>
        </w:rPr>
        <w:t>Doza iniţială - 150 mg de două ori pe zi</w:t>
      </w:r>
    </w:p>
    <w:p w14:paraId="7B03A84E" w14:textId="77777777" w:rsidR="00A827C3" w:rsidRPr="00F941DA" w:rsidRDefault="00A827C3" w:rsidP="00D11DF1">
      <w:pPr>
        <w:pStyle w:val="Body"/>
        <w:numPr>
          <w:ilvl w:val="0"/>
          <w:numId w:val="310"/>
        </w:numPr>
        <w:spacing w:line="259" w:lineRule="auto"/>
        <w:jc w:val="both"/>
        <w:rPr>
          <w:color w:val="auto"/>
          <w:lang w:val="ro-RO"/>
        </w:rPr>
      </w:pPr>
      <w:r w:rsidRPr="00F941DA">
        <w:rPr>
          <w:color w:val="auto"/>
          <w:lang w:val="ro-RO"/>
        </w:rPr>
        <w:t>Prima reducere a dozei - 100 mg de două ori pe zi</w:t>
      </w:r>
    </w:p>
    <w:p w14:paraId="565CAB5A" w14:textId="77777777" w:rsidR="00A827C3" w:rsidRPr="00F941DA" w:rsidRDefault="00A827C3" w:rsidP="00D11DF1">
      <w:pPr>
        <w:pStyle w:val="Body"/>
        <w:numPr>
          <w:ilvl w:val="0"/>
          <w:numId w:val="310"/>
        </w:numPr>
        <w:spacing w:line="259" w:lineRule="auto"/>
        <w:jc w:val="both"/>
        <w:rPr>
          <w:color w:val="auto"/>
          <w:lang w:val="ro-RO"/>
        </w:rPr>
      </w:pPr>
      <w:r w:rsidRPr="00F941DA">
        <w:rPr>
          <w:color w:val="auto"/>
          <w:lang w:val="ro-RO"/>
        </w:rPr>
        <w:t>A doua reducere a dozei - 75 mg de două ori pe zi</w:t>
      </w:r>
    </w:p>
    <w:p w14:paraId="3C266EA4" w14:textId="77777777" w:rsidR="00A827C3" w:rsidRPr="00F941DA" w:rsidRDefault="00A827C3" w:rsidP="00D11DF1">
      <w:pPr>
        <w:pStyle w:val="Body"/>
        <w:numPr>
          <w:ilvl w:val="0"/>
          <w:numId w:val="310"/>
        </w:numPr>
        <w:spacing w:line="259" w:lineRule="auto"/>
        <w:jc w:val="both"/>
        <w:rPr>
          <w:color w:val="auto"/>
          <w:lang w:val="ro-RO"/>
        </w:rPr>
      </w:pPr>
      <w:r w:rsidRPr="00F941DA">
        <w:rPr>
          <w:color w:val="auto"/>
          <w:lang w:val="ro-RO"/>
        </w:rPr>
        <w:t>A treia reducere a dozei - 50 mg de două ori pe zi</w:t>
      </w:r>
    </w:p>
    <w:p w14:paraId="296F6657" w14:textId="77777777" w:rsidR="00A827C3" w:rsidRPr="00F941DA" w:rsidRDefault="00A827C3" w:rsidP="00A827C3">
      <w:pPr>
        <w:pStyle w:val="Body"/>
        <w:jc w:val="both"/>
        <w:rPr>
          <w:color w:val="auto"/>
          <w:lang w:val="ro-RO"/>
        </w:rPr>
      </w:pPr>
      <w:r w:rsidRPr="00F941DA">
        <w:rPr>
          <w:color w:val="auto"/>
          <w:lang w:val="ro-RO"/>
        </w:rPr>
        <w:t xml:space="preserve">    </w:t>
      </w:r>
    </w:p>
    <w:p w14:paraId="31B5EC80" w14:textId="77777777" w:rsidR="00A827C3" w:rsidRPr="00F941DA" w:rsidRDefault="00A827C3" w:rsidP="00A827C3">
      <w:pPr>
        <w:pStyle w:val="Body"/>
        <w:jc w:val="both"/>
        <w:rPr>
          <w:b/>
          <w:bCs/>
          <w:color w:val="auto"/>
          <w:lang w:val="ro-RO"/>
        </w:rPr>
      </w:pPr>
      <w:r w:rsidRPr="00F941DA">
        <w:rPr>
          <w:b/>
          <w:bCs/>
          <w:color w:val="auto"/>
          <w:lang w:val="ro-RO"/>
        </w:rPr>
        <w:t>Reducerea dozei de trametinib administrat în asociere cu dabrafenib:</w:t>
      </w:r>
    </w:p>
    <w:p w14:paraId="2B3EBC9F" w14:textId="77777777" w:rsidR="00A827C3" w:rsidRPr="00F941DA" w:rsidRDefault="00A827C3" w:rsidP="00D11DF1">
      <w:pPr>
        <w:pStyle w:val="Body"/>
        <w:numPr>
          <w:ilvl w:val="0"/>
          <w:numId w:val="311"/>
        </w:numPr>
        <w:spacing w:line="259" w:lineRule="auto"/>
        <w:jc w:val="both"/>
        <w:rPr>
          <w:color w:val="auto"/>
          <w:lang w:val="ro-RO"/>
        </w:rPr>
      </w:pPr>
      <w:r w:rsidRPr="00F941DA">
        <w:rPr>
          <w:color w:val="auto"/>
          <w:lang w:val="ro-RO"/>
        </w:rPr>
        <w:t>Doza iniţială - 2 mg o dată pe zi</w:t>
      </w:r>
    </w:p>
    <w:p w14:paraId="20D6FC9A" w14:textId="77777777" w:rsidR="00A827C3" w:rsidRPr="00F941DA" w:rsidRDefault="00A827C3" w:rsidP="00D11DF1">
      <w:pPr>
        <w:pStyle w:val="Body"/>
        <w:numPr>
          <w:ilvl w:val="0"/>
          <w:numId w:val="311"/>
        </w:numPr>
        <w:spacing w:line="259" w:lineRule="auto"/>
        <w:jc w:val="both"/>
        <w:rPr>
          <w:color w:val="auto"/>
          <w:lang w:val="ro-RO"/>
        </w:rPr>
      </w:pPr>
      <w:r w:rsidRPr="00F941DA">
        <w:rPr>
          <w:color w:val="auto"/>
          <w:lang w:val="ro-RO"/>
        </w:rPr>
        <w:t>Prima reducere a dozei - 1.5 mg o dată pe zi</w:t>
      </w:r>
    </w:p>
    <w:p w14:paraId="72A55571" w14:textId="77777777" w:rsidR="00A827C3" w:rsidRPr="00F941DA" w:rsidRDefault="00A827C3" w:rsidP="00D11DF1">
      <w:pPr>
        <w:pStyle w:val="Body"/>
        <w:numPr>
          <w:ilvl w:val="0"/>
          <w:numId w:val="311"/>
        </w:numPr>
        <w:spacing w:line="259" w:lineRule="auto"/>
        <w:jc w:val="both"/>
        <w:rPr>
          <w:color w:val="auto"/>
          <w:lang w:val="ro-RO"/>
        </w:rPr>
      </w:pPr>
      <w:r w:rsidRPr="00F941DA">
        <w:rPr>
          <w:color w:val="auto"/>
          <w:lang w:val="ro-RO"/>
        </w:rPr>
        <w:t>A doua reducere a dozei - 1 mg o dată pe zi</w:t>
      </w:r>
    </w:p>
    <w:p w14:paraId="4BCBC46A" w14:textId="77777777" w:rsidR="00A827C3" w:rsidRPr="00F941DA" w:rsidRDefault="00A827C3" w:rsidP="00D11DF1">
      <w:pPr>
        <w:pStyle w:val="Body"/>
        <w:numPr>
          <w:ilvl w:val="0"/>
          <w:numId w:val="311"/>
        </w:numPr>
        <w:spacing w:line="259" w:lineRule="auto"/>
        <w:jc w:val="both"/>
        <w:rPr>
          <w:color w:val="auto"/>
          <w:lang w:val="ro-RO"/>
        </w:rPr>
      </w:pPr>
      <w:r w:rsidRPr="00F941DA">
        <w:rPr>
          <w:color w:val="auto"/>
          <w:lang w:val="ro-RO"/>
        </w:rPr>
        <w:t>A treia reducere a dozei - 1 mg o dată pe zi</w:t>
      </w:r>
    </w:p>
    <w:p w14:paraId="633AF3CB" w14:textId="77777777" w:rsidR="00A827C3" w:rsidRPr="00F941DA" w:rsidRDefault="00A827C3" w:rsidP="00A827C3">
      <w:pPr>
        <w:pStyle w:val="Body"/>
        <w:jc w:val="both"/>
        <w:rPr>
          <w:color w:val="auto"/>
          <w:lang w:val="ro-RO"/>
        </w:rPr>
      </w:pPr>
      <w:r w:rsidRPr="00F941DA">
        <w:rPr>
          <w:color w:val="auto"/>
          <w:lang w:val="ro-RO"/>
        </w:rPr>
        <w:t xml:space="preserve">    </w:t>
      </w:r>
    </w:p>
    <w:p w14:paraId="67A7920E" w14:textId="77777777" w:rsidR="00A827C3" w:rsidRPr="00F941DA" w:rsidRDefault="00A827C3" w:rsidP="00A827C3">
      <w:pPr>
        <w:pStyle w:val="Body"/>
        <w:jc w:val="both"/>
        <w:rPr>
          <w:b/>
          <w:bCs/>
          <w:color w:val="auto"/>
          <w:lang w:val="ro-RO"/>
        </w:rPr>
      </w:pPr>
      <w:r w:rsidRPr="00F941DA">
        <w:rPr>
          <w:b/>
          <w:bCs/>
          <w:color w:val="auto"/>
          <w:lang w:val="ro-RO"/>
        </w:rPr>
        <w:t>V. Monitorizarea tratamentului.</w:t>
      </w:r>
    </w:p>
    <w:p w14:paraId="229AFEBA" w14:textId="77777777" w:rsidR="00A827C3" w:rsidRPr="00F941DA" w:rsidRDefault="00A827C3" w:rsidP="00A827C3">
      <w:pPr>
        <w:pStyle w:val="Body"/>
        <w:jc w:val="both"/>
        <w:rPr>
          <w:color w:val="auto"/>
          <w:lang w:val="ro-RO"/>
        </w:rPr>
      </w:pPr>
      <w:r w:rsidRPr="00F941DA">
        <w:rPr>
          <w:color w:val="auto"/>
          <w:lang w:val="ro-RO"/>
        </w:rPr>
        <w:t xml:space="preserve">    </w:t>
      </w:r>
    </w:p>
    <w:p w14:paraId="2F2ADEAB" w14:textId="77777777" w:rsidR="00A827C3" w:rsidRPr="00F941DA" w:rsidRDefault="00A827C3" w:rsidP="00A827C3">
      <w:pPr>
        <w:pStyle w:val="Body"/>
        <w:jc w:val="both"/>
        <w:rPr>
          <w:b/>
          <w:bCs/>
          <w:color w:val="auto"/>
          <w:lang w:val="ro-RO"/>
        </w:rPr>
      </w:pPr>
      <w:r w:rsidRPr="00F941DA">
        <w:rPr>
          <w:b/>
          <w:bCs/>
          <w:color w:val="auto"/>
          <w:lang w:val="ro-RO"/>
        </w:rPr>
        <w:t>Evaluare pre-terapeutică:</w:t>
      </w:r>
    </w:p>
    <w:p w14:paraId="1AAD0956" w14:textId="77777777" w:rsidR="00A827C3" w:rsidRPr="00F941DA" w:rsidRDefault="00A827C3" w:rsidP="00D11DF1">
      <w:pPr>
        <w:pStyle w:val="Body"/>
        <w:numPr>
          <w:ilvl w:val="0"/>
          <w:numId w:val="312"/>
        </w:numPr>
        <w:spacing w:line="259" w:lineRule="auto"/>
        <w:jc w:val="both"/>
        <w:rPr>
          <w:color w:val="auto"/>
          <w:lang w:val="ro-RO"/>
        </w:rPr>
      </w:pPr>
      <w:r w:rsidRPr="00F941DA">
        <w:rPr>
          <w:color w:val="auto"/>
          <w:lang w:val="ro-RO"/>
        </w:rPr>
        <w:t>Evaluare clinică şi imagistică pentru demonstrarea stadiului de boală (inoperabil sau metastatic, respectiv stadiul III de boală)</w:t>
      </w:r>
    </w:p>
    <w:p w14:paraId="7B4BD918" w14:textId="77777777" w:rsidR="00A827C3" w:rsidRPr="00F941DA" w:rsidRDefault="00A827C3" w:rsidP="00D11DF1">
      <w:pPr>
        <w:pStyle w:val="Body"/>
        <w:numPr>
          <w:ilvl w:val="0"/>
          <w:numId w:val="312"/>
        </w:numPr>
        <w:spacing w:line="259" w:lineRule="auto"/>
        <w:jc w:val="both"/>
        <w:rPr>
          <w:color w:val="auto"/>
          <w:lang w:val="ro-RO"/>
        </w:rPr>
      </w:pPr>
      <w:r w:rsidRPr="00F941DA">
        <w:rPr>
          <w:color w:val="auto"/>
          <w:lang w:val="ro-RO"/>
        </w:rPr>
        <w:t>Confirmarea histologică a diagnosticului</w:t>
      </w:r>
    </w:p>
    <w:p w14:paraId="27D4580B" w14:textId="77777777" w:rsidR="00A827C3" w:rsidRPr="00F941DA" w:rsidRDefault="00A827C3" w:rsidP="00D11DF1">
      <w:pPr>
        <w:pStyle w:val="Body"/>
        <w:numPr>
          <w:ilvl w:val="0"/>
          <w:numId w:val="312"/>
        </w:numPr>
        <w:spacing w:line="259" w:lineRule="auto"/>
        <w:jc w:val="both"/>
        <w:rPr>
          <w:color w:val="auto"/>
          <w:lang w:val="ro-RO"/>
        </w:rPr>
      </w:pPr>
      <w:r w:rsidRPr="00F941DA">
        <w:rPr>
          <w:color w:val="auto"/>
          <w:lang w:val="ro-RO"/>
        </w:rPr>
        <w:t>Statusul mutant al BRAF V600</w:t>
      </w:r>
    </w:p>
    <w:p w14:paraId="18426E3F" w14:textId="77777777" w:rsidR="00A827C3" w:rsidRPr="00F941DA" w:rsidRDefault="00A827C3" w:rsidP="00D11DF1">
      <w:pPr>
        <w:pStyle w:val="Body"/>
        <w:numPr>
          <w:ilvl w:val="0"/>
          <w:numId w:val="312"/>
        </w:numPr>
        <w:spacing w:line="259" w:lineRule="auto"/>
        <w:jc w:val="both"/>
        <w:rPr>
          <w:color w:val="auto"/>
          <w:lang w:val="ro-RO"/>
        </w:rPr>
      </w:pPr>
      <w:r w:rsidRPr="00F941DA">
        <w:rPr>
          <w:color w:val="auto"/>
          <w:lang w:val="ro-RO"/>
        </w:rPr>
        <w:t>Examen ORL (dacă medicul curant consideră necesar)</w:t>
      </w:r>
    </w:p>
    <w:p w14:paraId="478C2EF8" w14:textId="77777777" w:rsidR="00A827C3" w:rsidRPr="00F941DA" w:rsidRDefault="00A827C3" w:rsidP="00D11DF1">
      <w:pPr>
        <w:pStyle w:val="Body"/>
        <w:numPr>
          <w:ilvl w:val="0"/>
          <w:numId w:val="312"/>
        </w:numPr>
        <w:spacing w:line="259" w:lineRule="auto"/>
        <w:jc w:val="both"/>
        <w:rPr>
          <w:color w:val="auto"/>
          <w:lang w:val="ro-RO"/>
        </w:rPr>
      </w:pPr>
      <w:r w:rsidRPr="00F941DA">
        <w:rPr>
          <w:color w:val="auto"/>
          <w:lang w:val="ro-RO"/>
        </w:rPr>
        <w:t>Examen ginecologic şi urologic (dacă medicul curant consideră necesar)</w:t>
      </w:r>
    </w:p>
    <w:p w14:paraId="67F2AFE4" w14:textId="77777777" w:rsidR="00A827C3" w:rsidRPr="00F941DA" w:rsidRDefault="00A827C3" w:rsidP="00D11DF1">
      <w:pPr>
        <w:pStyle w:val="Body"/>
        <w:numPr>
          <w:ilvl w:val="0"/>
          <w:numId w:val="312"/>
        </w:numPr>
        <w:spacing w:line="259" w:lineRule="auto"/>
        <w:jc w:val="both"/>
        <w:rPr>
          <w:color w:val="auto"/>
          <w:lang w:val="ro-RO"/>
        </w:rPr>
      </w:pPr>
      <w:r w:rsidRPr="00F941DA">
        <w:rPr>
          <w:color w:val="auto"/>
          <w:lang w:val="ro-RO"/>
        </w:rPr>
        <w:t>Evaluare cardiologică (datorită riscului de apariţie a insuficienţei ventriculare stângi, a scăderii FEVS sau a evenimentelor trombo-embolice) (dacă medicul curant consideră necesar)</w:t>
      </w:r>
    </w:p>
    <w:p w14:paraId="6452A8D3" w14:textId="77777777" w:rsidR="00A827C3" w:rsidRPr="00F941DA" w:rsidRDefault="00A827C3" w:rsidP="00D11DF1">
      <w:pPr>
        <w:pStyle w:val="Body"/>
        <w:numPr>
          <w:ilvl w:val="0"/>
          <w:numId w:val="312"/>
        </w:numPr>
        <w:spacing w:line="259" w:lineRule="auto"/>
        <w:jc w:val="both"/>
        <w:rPr>
          <w:color w:val="auto"/>
          <w:lang w:val="ro-RO"/>
        </w:rPr>
      </w:pPr>
      <w:r w:rsidRPr="00F941DA">
        <w:rPr>
          <w:color w:val="auto"/>
          <w:lang w:val="ro-RO"/>
        </w:rPr>
        <w:t>Evaluare biologică a cărei complexitate o stabileşte medicul curant de la caz la caz</w:t>
      </w:r>
    </w:p>
    <w:p w14:paraId="52238F2D" w14:textId="77777777" w:rsidR="00A827C3" w:rsidRPr="00F941DA" w:rsidRDefault="00A827C3" w:rsidP="00A827C3">
      <w:pPr>
        <w:pStyle w:val="Body"/>
        <w:jc w:val="both"/>
        <w:rPr>
          <w:color w:val="auto"/>
          <w:lang w:val="ro-RO"/>
        </w:rPr>
      </w:pPr>
      <w:r w:rsidRPr="00F941DA">
        <w:rPr>
          <w:color w:val="auto"/>
          <w:lang w:val="ro-RO"/>
        </w:rPr>
        <w:t xml:space="preserve">    </w:t>
      </w:r>
    </w:p>
    <w:p w14:paraId="39389A19" w14:textId="77777777" w:rsidR="00A827C3" w:rsidRPr="00F941DA" w:rsidRDefault="00A827C3" w:rsidP="00A827C3">
      <w:pPr>
        <w:pStyle w:val="Body"/>
        <w:jc w:val="both"/>
        <w:rPr>
          <w:color w:val="auto"/>
          <w:lang w:val="ro-RO"/>
        </w:rPr>
      </w:pPr>
      <w:r w:rsidRPr="00F941DA">
        <w:rPr>
          <w:color w:val="auto"/>
          <w:lang w:val="ro-RO"/>
        </w:rPr>
        <w:t>Evaluare periodică:</w:t>
      </w:r>
    </w:p>
    <w:p w14:paraId="4B7C8860" w14:textId="77777777" w:rsidR="00A827C3" w:rsidRPr="00F941DA" w:rsidRDefault="00A827C3" w:rsidP="00D11DF1">
      <w:pPr>
        <w:pStyle w:val="Body"/>
        <w:numPr>
          <w:ilvl w:val="2"/>
          <w:numId w:val="313"/>
        </w:numPr>
        <w:spacing w:line="259" w:lineRule="auto"/>
        <w:jc w:val="both"/>
        <w:rPr>
          <w:color w:val="auto"/>
          <w:lang w:val="ro-RO"/>
        </w:rPr>
      </w:pPr>
      <w:r w:rsidRPr="00F941DA">
        <w:rPr>
          <w:color w:val="auto"/>
          <w:lang w:val="ro-RO"/>
        </w:rPr>
        <w:t>Examen imagistic - examen CT efectuat regulat pentru monitorizarea răspunsului la tratament (la interval de 8 - 12 săptămâni) şi/sau alte investigaţii paraclinice în funcţie de decizia medicului (RMN, scintigrafie osoasă, PET-CT).</w:t>
      </w:r>
    </w:p>
    <w:p w14:paraId="038895CF" w14:textId="77777777" w:rsidR="00A827C3" w:rsidRPr="00F941DA" w:rsidRDefault="00A827C3" w:rsidP="00D11DF1">
      <w:pPr>
        <w:pStyle w:val="Body"/>
        <w:numPr>
          <w:ilvl w:val="2"/>
          <w:numId w:val="313"/>
        </w:numPr>
        <w:spacing w:line="259" w:lineRule="auto"/>
        <w:jc w:val="both"/>
        <w:rPr>
          <w:color w:val="auto"/>
          <w:lang w:val="ro-RO"/>
        </w:rPr>
      </w:pPr>
      <w:r w:rsidRPr="00F941DA">
        <w:rPr>
          <w:color w:val="auto"/>
          <w:lang w:val="ro-RO"/>
        </w:rPr>
        <w:t>Examen ORL periodic (alături de evaluarea imagistică pentru surprinderea precoce a unui eventual al 2-lea cancer); în acelaşi scop, examen ginecologic şi urologic, la iniţierea tratamentului, la finalizarea acestuia sau ori de câte ori se impune din punct de vedere clinic.</w:t>
      </w:r>
    </w:p>
    <w:p w14:paraId="29E7CBE4" w14:textId="77777777" w:rsidR="00A827C3" w:rsidRPr="00F941DA" w:rsidRDefault="00A827C3" w:rsidP="00D11DF1">
      <w:pPr>
        <w:pStyle w:val="Body"/>
        <w:numPr>
          <w:ilvl w:val="2"/>
          <w:numId w:val="313"/>
        </w:numPr>
        <w:spacing w:line="259" w:lineRule="auto"/>
        <w:jc w:val="both"/>
        <w:rPr>
          <w:color w:val="auto"/>
          <w:lang w:val="ro-RO"/>
        </w:rPr>
      </w:pPr>
      <w:r w:rsidRPr="00F941DA">
        <w:rPr>
          <w:color w:val="auto"/>
          <w:lang w:val="ro-RO"/>
        </w:rPr>
        <w:t>Pacienţii trebuie monitorizaţi timp de minim 6 luni după finalizarea tratamentului, deoarece o a 2-a neoplazie malignă poate apărea atât în timpul cât şi după oprirea terapiei.</w:t>
      </w:r>
    </w:p>
    <w:p w14:paraId="3C85AB51" w14:textId="77777777" w:rsidR="00A827C3" w:rsidRPr="00F941DA" w:rsidRDefault="00A827C3" w:rsidP="00A827C3">
      <w:pPr>
        <w:pStyle w:val="Body"/>
        <w:jc w:val="both"/>
        <w:rPr>
          <w:color w:val="auto"/>
          <w:lang w:val="ro-RO"/>
        </w:rPr>
      </w:pPr>
      <w:r w:rsidRPr="00F941DA">
        <w:rPr>
          <w:color w:val="auto"/>
          <w:lang w:val="ro-RO"/>
        </w:rPr>
        <w:t xml:space="preserve">    </w:t>
      </w:r>
    </w:p>
    <w:p w14:paraId="6F0A12D2" w14:textId="77777777" w:rsidR="00A827C3" w:rsidRPr="00F941DA" w:rsidRDefault="00A827C3" w:rsidP="00A827C3">
      <w:pPr>
        <w:pStyle w:val="Body"/>
        <w:jc w:val="both"/>
        <w:rPr>
          <w:b/>
          <w:bCs/>
          <w:color w:val="auto"/>
          <w:lang w:val="ro-RO"/>
        </w:rPr>
      </w:pPr>
      <w:r w:rsidRPr="00F941DA">
        <w:rPr>
          <w:b/>
          <w:bCs/>
          <w:color w:val="auto"/>
          <w:lang w:val="ro-RO"/>
        </w:rPr>
        <w:t>VI. CRITERII DE ÎNTRERUPERE A TRATAMENTULUI</w:t>
      </w:r>
    </w:p>
    <w:p w14:paraId="7080FEAB" w14:textId="77777777" w:rsidR="00A827C3" w:rsidRPr="00F941DA" w:rsidRDefault="00A827C3" w:rsidP="00A827C3">
      <w:pPr>
        <w:pStyle w:val="Body"/>
        <w:jc w:val="both"/>
        <w:rPr>
          <w:color w:val="auto"/>
          <w:lang w:val="ro-RO"/>
        </w:rPr>
      </w:pPr>
      <w:r w:rsidRPr="00F941DA">
        <w:rPr>
          <w:color w:val="auto"/>
          <w:lang w:val="ro-RO"/>
        </w:rPr>
        <w:t xml:space="preserve">    </w:t>
      </w:r>
    </w:p>
    <w:p w14:paraId="1FB6D40B" w14:textId="77777777" w:rsidR="00A827C3" w:rsidRPr="00F941DA" w:rsidRDefault="00A827C3" w:rsidP="00A827C3">
      <w:pPr>
        <w:pStyle w:val="Body"/>
        <w:jc w:val="both"/>
        <w:rPr>
          <w:b/>
          <w:bCs/>
          <w:color w:val="auto"/>
          <w:u w:val="single"/>
          <w:lang w:val="ro-RO"/>
        </w:rPr>
      </w:pPr>
      <w:r w:rsidRPr="00F941DA">
        <w:rPr>
          <w:b/>
          <w:bCs/>
          <w:color w:val="auto"/>
          <w:u w:val="single"/>
          <w:lang w:val="ro-RO"/>
        </w:rPr>
        <w:t>Efecte secundare care impun întreruperea temporară sau definitivă a tratamentului şi/sau modificarea dozelor:</w:t>
      </w:r>
      <w:r w:rsidRPr="00F941DA">
        <w:rPr>
          <w:color w:val="auto"/>
          <w:lang w:val="ro-RO"/>
        </w:rPr>
        <w:t xml:space="preserve"> </w:t>
      </w:r>
    </w:p>
    <w:p w14:paraId="43F16F74" w14:textId="77777777" w:rsidR="00A827C3" w:rsidRPr="00F941DA" w:rsidRDefault="00A827C3" w:rsidP="00A827C3">
      <w:pPr>
        <w:pStyle w:val="Body"/>
        <w:jc w:val="both"/>
        <w:rPr>
          <w:color w:val="auto"/>
          <w:lang w:val="ro-RO"/>
        </w:rPr>
      </w:pPr>
      <w:r w:rsidRPr="00F941DA">
        <w:rPr>
          <w:b/>
          <w:bCs/>
          <w:color w:val="auto"/>
          <w:lang w:val="ro-RO"/>
        </w:rPr>
        <w:t>Carcinom cutanat cu celule scuamoase (cu SCC)</w:t>
      </w:r>
      <w:r w:rsidRPr="00F941DA">
        <w:rPr>
          <w:color w:val="auto"/>
          <w:lang w:val="ro-RO"/>
        </w:rPr>
        <w:t xml:space="preserve"> - soluţia terapeutică este excizia dermatologică şi continuarea tratamentului cu dabrafenib cu/fără trametinib, fără ajustarea dozei.</w:t>
      </w:r>
    </w:p>
    <w:p w14:paraId="204D9D98" w14:textId="77777777" w:rsidR="00A827C3" w:rsidRPr="00F941DA" w:rsidRDefault="00A827C3" w:rsidP="00A827C3">
      <w:pPr>
        <w:pStyle w:val="Body"/>
        <w:jc w:val="both"/>
        <w:rPr>
          <w:color w:val="auto"/>
          <w:lang w:val="ro-RO"/>
        </w:rPr>
      </w:pPr>
      <w:r w:rsidRPr="00F941DA">
        <w:rPr>
          <w:color w:val="auto"/>
          <w:lang w:val="ro-RO"/>
        </w:rPr>
        <w:lastRenderedPageBreak/>
        <w:t xml:space="preserve">    </w:t>
      </w:r>
    </w:p>
    <w:p w14:paraId="5CA38BA3" w14:textId="77777777" w:rsidR="00A827C3" w:rsidRPr="00F941DA" w:rsidRDefault="00A827C3" w:rsidP="00A827C3">
      <w:pPr>
        <w:pStyle w:val="Body"/>
        <w:jc w:val="both"/>
        <w:rPr>
          <w:color w:val="auto"/>
          <w:lang w:val="ro-RO"/>
        </w:rPr>
      </w:pPr>
      <w:r w:rsidRPr="00F941DA">
        <w:rPr>
          <w:b/>
          <w:bCs/>
          <w:color w:val="auto"/>
          <w:lang w:val="ro-RO"/>
        </w:rPr>
        <w:t>Melanom primar, nou apărut</w:t>
      </w:r>
      <w:r w:rsidRPr="00F941DA">
        <w:rPr>
          <w:color w:val="auto"/>
          <w:lang w:val="ro-RO"/>
        </w:rPr>
        <w:t xml:space="preserve"> - aceste cazuri pot fi tratate prin excizie şi nu necesită modificarea tratamentului. </w:t>
      </w:r>
    </w:p>
    <w:p w14:paraId="0930C7A2" w14:textId="77777777" w:rsidR="00A827C3" w:rsidRPr="00F941DA" w:rsidRDefault="00A827C3" w:rsidP="00A827C3">
      <w:pPr>
        <w:pStyle w:val="Body"/>
        <w:jc w:val="both"/>
        <w:rPr>
          <w:color w:val="auto"/>
          <w:lang w:val="ro-RO"/>
        </w:rPr>
      </w:pPr>
      <w:r w:rsidRPr="00F941DA">
        <w:rPr>
          <w:b/>
          <w:bCs/>
          <w:color w:val="auto"/>
          <w:lang w:val="ro-RO"/>
        </w:rPr>
        <w:t>O altă neoplazie malignă/recurentă non-cutanată</w:t>
      </w:r>
      <w:r w:rsidRPr="00F941DA">
        <w:rPr>
          <w:color w:val="auto"/>
          <w:lang w:val="ro-RO"/>
        </w:rPr>
        <w:t xml:space="preserve"> - pe parcursul tratamentului cu inhibitori BRAF poate să apară o a 2-a neoplazie: leucemie mielomonocitară cronică sau SCC non-cutanat al capului şi al gâtului; în timpul tratamentului cu dabrafenib în monoterapie pot să apară: adenocarcinom pancreatic, adenocarcinom al căilor biliare; în timpul tratamentului cu dabrafenib asociat cu trametinib pot să apară: cancer colorectal, cancer pancreatic. Datorită acestor riscuri este necesară o evaluare atentă, periodică, prin examen ORL, examen CT al toracelui şi abdomenului. Examen urologic sau ginecologic trebuie efectuate la iniţierea şi la finalizarea tratamentului sau atunci când este indicat clinic. Diagnosticarea unei a 2-a neoplazii cu mutaţie BRAF, impune întreruperea dabrafenib. Nu este necesară modificarea dozei de trametinib când acesta este administrat în asociere cu dabrafenib.</w:t>
      </w:r>
    </w:p>
    <w:p w14:paraId="2F67360B" w14:textId="77777777" w:rsidR="00A827C3" w:rsidRPr="00F941DA" w:rsidRDefault="00A827C3" w:rsidP="00A827C3">
      <w:pPr>
        <w:pStyle w:val="Body"/>
        <w:jc w:val="both"/>
        <w:rPr>
          <w:color w:val="auto"/>
          <w:lang w:val="ro-RO"/>
        </w:rPr>
      </w:pPr>
      <w:r w:rsidRPr="00F941DA">
        <w:rPr>
          <w:color w:val="auto"/>
          <w:lang w:val="ro-RO"/>
        </w:rPr>
        <w:t xml:space="preserve">    </w:t>
      </w:r>
    </w:p>
    <w:p w14:paraId="25911392" w14:textId="77777777" w:rsidR="00A827C3" w:rsidRPr="00F941DA" w:rsidRDefault="00A827C3" w:rsidP="00A827C3">
      <w:pPr>
        <w:pStyle w:val="Body"/>
        <w:jc w:val="both"/>
        <w:rPr>
          <w:color w:val="auto"/>
          <w:lang w:val="ro-RO"/>
        </w:rPr>
      </w:pPr>
      <w:r w:rsidRPr="00F941DA">
        <w:rPr>
          <w:b/>
          <w:bCs/>
          <w:color w:val="auto"/>
          <w:lang w:val="ro-RO"/>
        </w:rPr>
        <w:t>Hemoragie</w:t>
      </w:r>
      <w:r w:rsidRPr="00F941DA">
        <w:rPr>
          <w:color w:val="auto"/>
          <w:lang w:val="ro-RO"/>
        </w:rPr>
        <w:t xml:space="preserve"> - evenimente hemoragice, inclusiv evenimente hemoragice majore şi hemoragii letale, au avut loc la pacienţii cărora li s-a administrat asocierea de dabrafenib cu trametinib.</w:t>
      </w:r>
    </w:p>
    <w:p w14:paraId="49A89E22" w14:textId="77777777" w:rsidR="00A827C3" w:rsidRPr="00F941DA" w:rsidRDefault="00A827C3" w:rsidP="00A827C3">
      <w:pPr>
        <w:pStyle w:val="Body"/>
        <w:jc w:val="both"/>
        <w:rPr>
          <w:color w:val="auto"/>
          <w:lang w:val="ro-RO"/>
        </w:rPr>
      </w:pPr>
      <w:r w:rsidRPr="00F941DA">
        <w:rPr>
          <w:color w:val="auto"/>
          <w:lang w:val="ro-RO"/>
        </w:rPr>
        <w:t xml:space="preserve">    </w:t>
      </w:r>
    </w:p>
    <w:p w14:paraId="64C74CE0" w14:textId="77777777" w:rsidR="00A827C3" w:rsidRPr="00F941DA" w:rsidRDefault="00A827C3" w:rsidP="00A827C3">
      <w:pPr>
        <w:pStyle w:val="Body"/>
        <w:jc w:val="both"/>
        <w:rPr>
          <w:color w:val="auto"/>
          <w:lang w:val="ro-RO"/>
        </w:rPr>
      </w:pPr>
      <w:r w:rsidRPr="00F941DA">
        <w:rPr>
          <w:b/>
          <w:bCs/>
          <w:color w:val="auto"/>
          <w:lang w:val="ro-RO"/>
        </w:rPr>
        <w:t>Afectare vizuală</w:t>
      </w:r>
      <w:r w:rsidRPr="00F941DA">
        <w:rPr>
          <w:color w:val="auto"/>
          <w:lang w:val="ro-RO"/>
        </w:rPr>
        <w:t xml:space="preserve"> - uveită, iridociclită şi irită la pacienţii trataţi cu dabrafenib în monoterapie şi în asociere cu trametinib. Nu sunt necesare modificări ale dozei atâta timp cât terapiile locale eficace pot controla inflamaţia oftalmică. Dacă uveita nu răspunde terapiei locale oftalmice, se întrerupe administrarea dabrafenib până la rezolvarea inflamaţiei oftalmice, apoi se reia administrarea dabrafenib la o doză redusă cu un nivel. Nu este necesară modificarea dozei de trametinib când acesta este administrat în asociere cu dabrafenib după stabilirea diagnosticului de uveită.</w:t>
      </w:r>
    </w:p>
    <w:p w14:paraId="4CDD1500" w14:textId="77777777" w:rsidR="00A827C3" w:rsidRPr="00F941DA" w:rsidRDefault="00A827C3" w:rsidP="00A827C3">
      <w:pPr>
        <w:pStyle w:val="Body"/>
        <w:jc w:val="both"/>
        <w:rPr>
          <w:color w:val="auto"/>
          <w:lang w:val="ro-RO"/>
        </w:rPr>
      </w:pPr>
      <w:r w:rsidRPr="00F941DA">
        <w:rPr>
          <w:color w:val="auto"/>
          <w:lang w:val="ro-RO"/>
        </w:rPr>
        <w:t xml:space="preserve">    </w:t>
      </w:r>
    </w:p>
    <w:p w14:paraId="587B82DB" w14:textId="77777777" w:rsidR="00A827C3" w:rsidRPr="00F941DA" w:rsidRDefault="00A827C3" w:rsidP="00A827C3">
      <w:pPr>
        <w:pStyle w:val="Body"/>
        <w:jc w:val="both"/>
        <w:rPr>
          <w:color w:val="auto"/>
          <w:lang w:val="ro-RO"/>
        </w:rPr>
      </w:pPr>
      <w:r w:rsidRPr="00F941DA">
        <w:rPr>
          <w:b/>
          <w:bCs/>
          <w:color w:val="auto"/>
          <w:lang w:val="ro-RO"/>
        </w:rPr>
        <w:t>Pirexie</w:t>
      </w:r>
      <w:r w:rsidRPr="00F941DA">
        <w:rPr>
          <w:color w:val="auto"/>
          <w:lang w:val="ro-RO"/>
        </w:rPr>
        <w:t xml:space="preserve"> - a fost raportată febră în studiile clinice efectuate cu dabrafenib administrat în monoterapie şi în asociere cu trametinib. Pacienţii cu evenimente febrile neinfecţioase grave au răspuns bine la întreruperea dozei şi/sau scăderea dozei şi la tratamentul de susţinere. Nu este necesară modificarea dozei de trametinib când acesta este administrat în asociere cu dabrafenib.</w:t>
      </w:r>
    </w:p>
    <w:p w14:paraId="1557EDF1" w14:textId="77777777" w:rsidR="00A827C3" w:rsidRPr="00F941DA" w:rsidRDefault="00A827C3" w:rsidP="00A827C3">
      <w:pPr>
        <w:pStyle w:val="Body"/>
        <w:jc w:val="both"/>
        <w:rPr>
          <w:color w:val="auto"/>
          <w:lang w:val="ro-RO"/>
        </w:rPr>
      </w:pPr>
      <w:r w:rsidRPr="00F941DA">
        <w:rPr>
          <w:color w:val="auto"/>
          <w:lang w:val="ro-RO"/>
        </w:rPr>
        <w:t xml:space="preserve">    </w:t>
      </w:r>
    </w:p>
    <w:p w14:paraId="694FFCFB" w14:textId="77777777" w:rsidR="00A827C3" w:rsidRPr="00F941DA" w:rsidRDefault="00A827C3" w:rsidP="00A827C3">
      <w:pPr>
        <w:pStyle w:val="Body"/>
        <w:jc w:val="both"/>
        <w:rPr>
          <w:color w:val="auto"/>
          <w:lang w:val="ro-RO"/>
        </w:rPr>
      </w:pPr>
      <w:r w:rsidRPr="00F941DA">
        <w:rPr>
          <w:b/>
          <w:bCs/>
          <w:color w:val="auto"/>
          <w:lang w:val="ro-RO"/>
        </w:rPr>
        <w:t>Scădere FEVS/Insuficienţă ventriculară stângă</w:t>
      </w:r>
      <w:r w:rsidRPr="00F941DA">
        <w:rPr>
          <w:color w:val="auto"/>
          <w:lang w:val="ro-RO"/>
        </w:rPr>
        <w:t xml:space="preserve"> - s-a raportat că dabrafenib în asociere cu trametinib scade FEVS. Este un efect secundar cauzat de trametinib exclusiv. Nu este necesară modificarea dozei de dabrafenib când acesta este administrat în asociere cu trametinib.</w:t>
      </w:r>
    </w:p>
    <w:p w14:paraId="3CA91F7F" w14:textId="77777777" w:rsidR="00A827C3" w:rsidRPr="00F941DA" w:rsidRDefault="00A827C3" w:rsidP="00A827C3">
      <w:pPr>
        <w:pStyle w:val="Body"/>
        <w:jc w:val="both"/>
        <w:rPr>
          <w:color w:val="auto"/>
          <w:lang w:val="ro-RO"/>
        </w:rPr>
      </w:pPr>
      <w:r w:rsidRPr="00F941DA">
        <w:rPr>
          <w:color w:val="auto"/>
          <w:lang w:val="ro-RO"/>
        </w:rPr>
        <w:t xml:space="preserve">    </w:t>
      </w:r>
    </w:p>
    <w:p w14:paraId="3F2A1DB5" w14:textId="77777777" w:rsidR="00A827C3" w:rsidRPr="00F941DA" w:rsidRDefault="00A827C3" w:rsidP="00A827C3">
      <w:pPr>
        <w:pStyle w:val="Body"/>
        <w:jc w:val="both"/>
        <w:rPr>
          <w:color w:val="auto"/>
          <w:lang w:val="ro-RO"/>
        </w:rPr>
      </w:pPr>
      <w:r w:rsidRPr="00F941DA">
        <w:rPr>
          <w:b/>
          <w:bCs/>
          <w:color w:val="auto"/>
          <w:lang w:val="ro-RO"/>
        </w:rPr>
        <w:t>Insuficienţă renală</w:t>
      </w:r>
      <w:r w:rsidRPr="00F941DA">
        <w:rPr>
          <w:color w:val="auto"/>
          <w:lang w:val="ro-RO"/>
        </w:rPr>
        <w:t xml:space="preserve"> - dacă creatinina este crescută, tratamentul cu dabrafenib trebuie să fie întrerupt după caz. Dabrafenib nu a fost studiat la pacienţii cu insuficienţă renală (creatinină &gt; 1,5 x LSN), prin urmare, se recomandă prudenţă în acest context.    </w:t>
      </w:r>
      <w:r w:rsidRPr="00F941DA">
        <w:rPr>
          <w:b/>
          <w:bCs/>
          <w:color w:val="auto"/>
          <w:lang w:val="ro-RO"/>
        </w:rPr>
        <w:t>Evenimente hepatice</w:t>
      </w:r>
      <w:r w:rsidRPr="00F941DA">
        <w:rPr>
          <w:color w:val="auto"/>
          <w:lang w:val="ro-RO"/>
        </w:rPr>
        <w:t xml:space="preserve"> - se recomandă ca pacienţilor care primesc tratamentul cu trametinib să li se monitorizeze funcţiile hepatice la fiecare patru săptămâni timp de 6 luni după începerea tratamentului cu trametinib.</w:t>
      </w:r>
    </w:p>
    <w:p w14:paraId="4DC28909" w14:textId="77777777" w:rsidR="00A827C3" w:rsidRPr="00F941DA" w:rsidRDefault="00A827C3" w:rsidP="00A827C3">
      <w:pPr>
        <w:pStyle w:val="Body"/>
        <w:jc w:val="both"/>
        <w:rPr>
          <w:color w:val="auto"/>
          <w:lang w:val="ro-RO"/>
        </w:rPr>
      </w:pPr>
      <w:r w:rsidRPr="00F941DA">
        <w:rPr>
          <w:color w:val="auto"/>
          <w:lang w:val="ro-RO"/>
        </w:rPr>
        <w:t xml:space="preserve">    </w:t>
      </w:r>
    </w:p>
    <w:p w14:paraId="3B1007C5" w14:textId="77777777" w:rsidR="00A827C3" w:rsidRPr="00F941DA" w:rsidRDefault="00A827C3" w:rsidP="00A827C3">
      <w:pPr>
        <w:pStyle w:val="Body"/>
        <w:jc w:val="both"/>
        <w:rPr>
          <w:color w:val="auto"/>
          <w:lang w:val="ro-RO"/>
        </w:rPr>
      </w:pPr>
      <w:r w:rsidRPr="00F941DA">
        <w:rPr>
          <w:b/>
          <w:bCs/>
          <w:color w:val="auto"/>
          <w:lang w:val="ro-RO"/>
        </w:rPr>
        <w:t>Boală pulmonară interstiţială (BPI)/Pneumonită</w:t>
      </w:r>
      <w:r w:rsidRPr="00F941DA">
        <w:rPr>
          <w:color w:val="auto"/>
          <w:lang w:val="ro-RO"/>
        </w:rPr>
        <w:t xml:space="preserve"> - dacă este administrat în asociere cu trametinib atunci tratamentul cu dabrafenib poate fi continuat la aceeaşi doză.</w:t>
      </w:r>
    </w:p>
    <w:p w14:paraId="7106E0D0" w14:textId="77777777" w:rsidR="00A827C3" w:rsidRPr="00F941DA" w:rsidRDefault="00A827C3" w:rsidP="00A827C3">
      <w:pPr>
        <w:pStyle w:val="Body"/>
        <w:jc w:val="both"/>
        <w:rPr>
          <w:color w:val="auto"/>
          <w:lang w:val="ro-RO"/>
        </w:rPr>
      </w:pPr>
      <w:r w:rsidRPr="00F941DA">
        <w:rPr>
          <w:color w:val="auto"/>
          <w:lang w:val="ro-RO"/>
        </w:rPr>
        <w:t xml:space="preserve">    </w:t>
      </w:r>
    </w:p>
    <w:p w14:paraId="2FEB7A02" w14:textId="77777777" w:rsidR="00A827C3" w:rsidRPr="00F941DA" w:rsidRDefault="00A827C3" w:rsidP="00A827C3">
      <w:pPr>
        <w:pStyle w:val="Body"/>
        <w:jc w:val="both"/>
        <w:rPr>
          <w:color w:val="auto"/>
          <w:lang w:val="ro-RO"/>
        </w:rPr>
      </w:pPr>
      <w:r w:rsidRPr="00F941DA">
        <w:rPr>
          <w:b/>
          <w:bCs/>
          <w:color w:val="auto"/>
          <w:lang w:val="ro-RO"/>
        </w:rPr>
        <w:t>Erupţii cutanate tranzitorii</w:t>
      </w:r>
      <w:r w:rsidRPr="00F941DA">
        <w:rPr>
          <w:color w:val="auto"/>
          <w:lang w:val="ro-RO"/>
        </w:rPr>
        <w:t xml:space="preserve"> - nu este necesară modificarea dozei de dabrafenib sau trametinib.</w:t>
      </w:r>
    </w:p>
    <w:p w14:paraId="77B46EAC" w14:textId="77777777" w:rsidR="00A827C3" w:rsidRPr="00F941DA" w:rsidRDefault="00A827C3" w:rsidP="00A827C3">
      <w:pPr>
        <w:pStyle w:val="Body"/>
        <w:jc w:val="both"/>
        <w:rPr>
          <w:color w:val="auto"/>
          <w:lang w:val="ro-RO"/>
        </w:rPr>
      </w:pPr>
      <w:r w:rsidRPr="00F941DA">
        <w:rPr>
          <w:color w:val="auto"/>
          <w:lang w:val="ro-RO"/>
        </w:rPr>
        <w:t xml:space="preserve">    </w:t>
      </w:r>
    </w:p>
    <w:p w14:paraId="6006B56B" w14:textId="77777777" w:rsidR="00A827C3" w:rsidRPr="00F941DA" w:rsidRDefault="00A827C3" w:rsidP="00A827C3">
      <w:pPr>
        <w:pStyle w:val="Body"/>
        <w:jc w:val="both"/>
        <w:rPr>
          <w:color w:val="auto"/>
          <w:lang w:val="ro-RO"/>
        </w:rPr>
      </w:pPr>
      <w:r w:rsidRPr="00F941DA">
        <w:rPr>
          <w:b/>
          <w:bCs/>
          <w:color w:val="auto"/>
          <w:lang w:val="ro-RO"/>
        </w:rPr>
        <w:t>Rabdomioliză</w:t>
      </w:r>
      <w:r w:rsidRPr="00F941DA">
        <w:rPr>
          <w:color w:val="auto"/>
          <w:lang w:val="ro-RO"/>
        </w:rPr>
        <w:t xml:space="preserve"> - nu este necesară modificarea dozei de dabrafenib.</w:t>
      </w:r>
    </w:p>
    <w:p w14:paraId="7C6AAA4D" w14:textId="77777777" w:rsidR="00A827C3" w:rsidRPr="00F941DA" w:rsidRDefault="00A827C3" w:rsidP="00A827C3">
      <w:pPr>
        <w:pStyle w:val="Body"/>
        <w:jc w:val="both"/>
        <w:rPr>
          <w:color w:val="auto"/>
          <w:lang w:val="ro-RO"/>
        </w:rPr>
      </w:pPr>
      <w:r w:rsidRPr="00F941DA">
        <w:rPr>
          <w:color w:val="auto"/>
          <w:lang w:val="ro-RO"/>
        </w:rPr>
        <w:t xml:space="preserve">    </w:t>
      </w:r>
    </w:p>
    <w:p w14:paraId="23144369" w14:textId="77777777" w:rsidR="00A827C3" w:rsidRPr="00F941DA" w:rsidRDefault="00A827C3" w:rsidP="00A827C3">
      <w:pPr>
        <w:pStyle w:val="Body"/>
        <w:jc w:val="both"/>
        <w:rPr>
          <w:color w:val="auto"/>
          <w:lang w:val="ro-RO"/>
        </w:rPr>
      </w:pPr>
      <w:r w:rsidRPr="00F941DA">
        <w:rPr>
          <w:b/>
          <w:bCs/>
          <w:color w:val="auto"/>
          <w:lang w:val="ro-RO"/>
        </w:rPr>
        <w:t>Pancreatită</w:t>
      </w:r>
      <w:r w:rsidRPr="00F941DA">
        <w:rPr>
          <w:color w:val="auto"/>
          <w:lang w:val="ro-RO"/>
        </w:rPr>
        <w:t xml:space="preserve"> - pancreatita a fost raportată la un procent mai mic de 1% din subiecţii trataţi cu dabrafenib în monoterapie şi în asociere cu trametinib. În cazul unor dureri abdominale inexplicabile, acestea trebuie să fie investigate imediat prin teste care să includă măsurarea amilazei şi a lipazei serice. Pacienţii trebuie atent monitorizaţi după reluarea tratamentului cu dabrafenib în urma unui episod de pancreatită. </w:t>
      </w:r>
    </w:p>
    <w:p w14:paraId="5B6ADB4D" w14:textId="77777777" w:rsidR="00A827C3" w:rsidRPr="00F941DA" w:rsidRDefault="00A827C3" w:rsidP="00A827C3">
      <w:pPr>
        <w:pStyle w:val="Body"/>
        <w:jc w:val="both"/>
        <w:rPr>
          <w:color w:val="auto"/>
          <w:lang w:val="ro-RO"/>
        </w:rPr>
      </w:pPr>
      <w:r w:rsidRPr="00F941DA">
        <w:rPr>
          <w:b/>
          <w:bCs/>
          <w:color w:val="auto"/>
          <w:lang w:val="ro-RO"/>
        </w:rPr>
        <w:t>Tromboză venoasă profundă (TVP)/Embolie pulmonară (EP)</w:t>
      </w:r>
      <w:r w:rsidRPr="00F941DA">
        <w:rPr>
          <w:color w:val="auto"/>
          <w:lang w:val="ro-RO"/>
        </w:rPr>
        <w:t xml:space="preserve"> - dacă pacienţii prezintă simptome ale emboliei pulmonare sau tromboză venoasă profundă (dispnee, durere toracică sau umflare a braţelor sau picioarelor), trebuie să solicite imediat asistenţă medicală. Se va întrerupe definitiv administrarea trametinib şi dabrafenib în cazul apariţiei emboliei pulmonare care poate fi letală.   </w:t>
      </w:r>
    </w:p>
    <w:p w14:paraId="2D6BEFBE" w14:textId="77777777" w:rsidR="00A827C3" w:rsidRPr="00F941DA" w:rsidRDefault="00A827C3" w:rsidP="00A827C3">
      <w:pPr>
        <w:pStyle w:val="Body"/>
        <w:jc w:val="both"/>
        <w:rPr>
          <w:b/>
          <w:bCs/>
          <w:color w:val="auto"/>
          <w:u w:val="single"/>
          <w:lang w:val="ro-RO"/>
        </w:rPr>
      </w:pPr>
    </w:p>
    <w:p w14:paraId="20D90C8A" w14:textId="77777777" w:rsidR="00A827C3" w:rsidRPr="00F941DA" w:rsidRDefault="00A827C3" w:rsidP="00A827C3">
      <w:pPr>
        <w:pStyle w:val="Body"/>
        <w:jc w:val="both"/>
        <w:rPr>
          <w:b/>
          <w:bCs/>
          <w:color w:val="auto"/>
          <w:u w:val="single"/>
          <w:lang w:val="ro-RO"/>
        </w:rPr>
      </w:pPr>
      <w:r w:rsidRPr="00F941DA">
        <w:rPr>
          <w:b/>
          <w:bCs/>
          <w:color w:val="auto"/>
          <w:u w:val="single"/>
          <w:lang w:val="ro-RO"/>
        </w:rPr>
        <w:lastRenderedPageBreak/>
        <w:t>Criterii de întrerupere definitivă a tratamentului</w:t>
      </w:r>
    </w:p>
    <w:p w14:paraId="41C2CCAB" w14:textId="77777777" w:rsidR="00A827C3" w:rsidRPr="00F941DA" w:rsidRDefault="00A827C3" w:rsidP="00D11DF1">
      <w:pPr>
        <w:pStyle w:val="Body"/>
        <w:numPr>
          <w:ilvl w:val="1"/>
          <w:numId w:val="314"/>
        </w:numPr>
        <w:spacing w:line="259" w:lineRule="auto"/>
        <w:ind w:left="851" w:hanging="425"/>
        <w:jc w:val="both"/>
        <w:rPr>
          <w:b/>
          <w:bCs/>
          <w:color w:val="auto"/>
          <w:lang w:val="ro-RO"/>
        </w:rPr>
      </w:pPr>
      <w:r w:rsidRPr="00F941DA">
        <w:rPr>
          <w:b/>
          <w:bCs/>
          <w:color w:val="auto"/>
          <w:lang w:val="ro-RO"/>
        </w:rPr>
        <w:t>Decesul pacientului</w:t>
      </w:r>
    </w:p>
    <w:p w14:paraId="6932A159" w14:textId="77777777" w:rsidR="00A827C3" w:rsidRPr="00F941DA" w:rsidRDefault="00A827C3" w:rsidP="00D11DF1">
      <w:pPr>
        <w:pStyle w:val="Body"/>
        <w:numPr>
          <w:ilvl w:val="1"/>
          <w:numId w:val="314"/>
        </w:numPr>
        <w:spacing w:line="259" w:lineRule="auto"/>
        <w:ind w:left="851" w:hanging="425"/>
        <w:jc w:val="both"/>
        <w:rPr>
          <w:b/>
          <w:bCs/>
          <w:color w:val="auto"/>
          <w:lang w:val="ro-RO"/>
        </w:rPr>
      </w:pPr>
      <w:r w:rsidRPr="00F941DA">
        <w:rPr>
          <w:b/>
          <w:bCs/>
          <w:color w:val="auto"/>
          <w:lang w:val="ro-RO"/>
        </w:rPr>
        <w:t>Progresia obiectivă a bolii (examene imagistice şi clinice) în absenţa beneficiului clinic.</w:t>
      </w:r>
    </w:p>
    <w:p w14:paraId="5664BC61" w14:textId="77777777" w:rsidR="00A827C3" w:rsidRPr="00F941DA" w:rsidRDefault="00A827C3" w:rsidP="00D11DF1">
      <w:pPr>
        <w:pStyle w:val="Body"/>
        <w:numPr>
          <w:ilvl w:val="1"/>
          <w:numId w:val="314"/>
        </w:numPr>
        <w:spacing w:line="259" w:lineRule="auto"/>
        <w:ind w:left="851" w:hanging="425"/>
        <w:jc w:val="both"/>
        <w:rPr>
          <w:color w:val="auto"/>
          <w:lang w:val="ro-RO"/>
        </w:rPr>
      </w:pPr>
      <w:r w:rsidRPr="00F941DA">
        <w:rPr>
          <w:b/>
          <w:bCs/>
          <w:color w:val="auto"/>
          <w:lang w:val="ro-RO"/>
        </w:rPr>
        <w:t>Toxicitate semnificativă</w:t>
      </w:r>
      <w:r w:rsidRPr="00F941DA">
        <w:rPr>
          <w:color w:val="auto"/>
          <w:lang w:val="ro-RO"/>
        </w:rPr>
        <w:t xml:space="preserve"> care impune întreruperea definitivă a tratamentului cu dabrafenib asociat sau nu cu trametinib.</w:t>
      </w:r>
    </w:p>
    <w:p w14:paraId="719BC866" w14:textId="77777777" w:rsidR="00A827C3" w:rsidRPr="00F941DA" w:rsidRDefault="00A827C3" w:rsidP="00D11DF1">
      <w:pPr>
        <w:pStyle w:val="Body"/>
        <w:numPr>
          <w:ilvl w:val="1"/>
          <w:numId w:val="314"/>
        </w:numPr>
        <w:spacing w:line="259" w:lineRule="auto"/>
        <w:ind w:left="851" w:hanging="425"/>
        <w:jc w:val="both"/>
        <w:rPr>
          <w:color w:val="auto"/>
          <w:lang w:val="ro-RO"/>
        </w:rPr>
      </w:pPr>
      <w:r w:rsidRPr="00F941DA">
        <w:rPr>
          <w:b/>
          <w:bCs/>
          <w:color w:val="auto"/>
          <w:lang w:val="ro-RO"/>
        </w:rPr>
        <w:t>Decizia</w:t>
      </w:r>
      <w:r w:rsidRPr="00F941DA">
        <w:rPr>
          <w:color w:val="auto"/>
          <w:lang w:val="ro-RO"/>
        </w:rPr>
        <w:t xml:space="preserve"> medicului sau a pacientului</w:t>
      </w:r>
    </w:p>
    <w:p w14:paraId="0063F83B" w14:textId="77777777" w:rsidR="00A827C3" w:rsidRPr="00F941DA" w:rsidRDefault="00A827C3" w:rsidP="00A827C3">
      <w:pPr>
        <w:pStyle w:val="Body"/>
        <w:jc w:val="both"/>
        <w:rPr>
          <w:color w:val="auto"/>
          <w:lang w:val="ro-RO"/>
        </w:rPr>
      </w:pPr>
      <w:r w:rsidRPr="00F941DA">
        <w:rPr>
          <w:color w:val="auto"/>
          <w:lang w:val="ro-RO"/>
        </w:rPr>
        <w:t xml:space="preserve">    </w:t>
      </w:r>
    </w:p>
    <w:p w14:paraId="163696A0" w14:textId="77777777" w:rsidR="00A827C3" w:rsidRPr="00F941DA" w:rsidRDefault="00A827C3" w:rsidP="00A827C3">
      <w:pPr>
        <w:pStyle w:val="Body"/>
        <w:jc w:val="both"/>
        <w:rPr>
          <w:b/>
          <w:bCs/>
          <w:color w:val="auto"/>
          <w:lang w:val="ro-RO"/>
        </w:rPr>
      </w:pPr>
      <w:r w:rsidRPr="00F941DA">
        <w:rPr>
          <w:b/>
          <w:bCs/>
          <w:color w:val="auto"/>
          <w:lang w:val="ro-RO"/>
        </w:rPr>
        <w:t>VIII. Prescriptori</w:t>
      </w:r>
    </w:p>
    <w:p w14:paraId="473D2B87" w14:textId="77777777" w:rsidR="00A827C3" w:rsidRPr="00F941DA" w:rsidRDefault="00A827C3" w:rsidP="00A827C3">
      <w:pPr>
        <w:pStyle w:val="Body"/>
        <w:jc w:val="both"/>
        <w:rPr>
          <w:color w:val="auto"/>
          <w:lang w:val="ro-RO"/>
        </w:rPr>
      </w:pPr>
      <w:r w:rsidRPr="00F941DA">
        <w:rPr>
          <w:color w:val="auto"/>
          <w:lang w:val="ro-RO"/>
        </w:rPr>
        <w:t>Iniţierea se face de către medicii din specialitatea oncologie medicală.</w:t>
      </w:r>
    </w:p>
    <w:p w14:paraId="10BBB31E" w14:textId="42ED7836" w:rsidR="00A827C3" w:rsidRPr="00F941DA" w:rsidRDefault="00A827C3" w:rsidP="00A827C3">
      <w:pPr>
        <w:pStyle w:val="Body"/>
        <w:jc w:val="both"/>
        <w:rPr>
          <w:color w:val="auto"/>
          <w:lang w:val="ro-RO"/>
        </w:rPr>
      </w:pPr>
      <w:r w:rsidRPr="00F941DA">
        <w:rPr>
          <w:color w:val="auto"/>
          <w:lang w:val="ro-RO"/>
        </w:rPr>
        <w:t>Continuarea tratamentului se face de către medicul oncolog sau pe baza scrisorii medicale de către medicii de familie desemnaţi.”</w:t>
      </w:r>
    </w:p>
    <w:p w14:paraId="0BD3401F" w14:textId="77777777" w:rsidR="00A827C3" w:rsidRPr="00F941DA" w:rsidRDefault="00A827C3" w:rsidP="00A827C3">
      <w:pPr>
        <w:pStyle w:val="Body"/>
        <w:rPr>
          <w:b/>
          <w:bCs/>
          <w:color w:val="auto"/>
          <w:lang w:val="ro-RO"/>
        </w:rPr>
      </w:pPr>
    </w:p>
    <w:p w14:paraId="424F9DE8" w14:textId="77777777" w:rsidR="00A827C3" w:rsidRPr="00F941DA" w:rsidRDefault="00A827C3" w:rsidP="00A827C3">
      <w:pPr>
        <w:pStyle w:val="Body"/>
        <w:jc w:val="center"/>
        <w:rPr>
          <w:b/>
          <w:bCs/>
          <w:color w:val="auto"/>
          <w:lang w:val="ro-RO"/>
        </w:rPr>
      </w:pPr>
    </w:p>
    <w:p w14:paraId="0369B36A" w14:textId="77777777" w:rsidR="00A827C3" w:rsidRPr="00F941DA" w:rsidRDefault="00A827C3" w:rsidP="00A827C3">
      <w:pPr>
        <w:pStyle w:val="Body"/>
        <w:jc w:val="center"/>
        <w:rPr>
          <w:b/>
          <w:bCs/>
          <w:color w:val="auto"/>
          <w:lang w:val="ro-RO"/>
        </w:rPr>
      </w:pPr>
    </w:p>
    <w:p w14:paraId="09148CBA" w14:textId="77777777" w:rsidR="00A827C3" w:rsidRPr="00F941DA" w:rsidRDefault="00A827C3" w:rsidP="00A827C3">
      <w:pPr>
        <w:pStyle w:val="Body"/>
        <w:jc w:val="center"/>
        <w:rPr>
          <w:b/>
          <w:bCs/>
          <w:color w:val="auto"/>
          <w:lang w:val="ro-RO"/>
        </w:rPr>
      </w:pPr>
    </w:p>
    <w:p w14:paraId="74677D48" w14:textId="77777777" w:rsidR="00A827C3" w:rsidRPr="00F941DA" w:rsidRDefault="00A827C3" w:rsidP="00A827C3">
      <w:pPr>
        <w:pStyle w:val="Body"/>
        <w:jc w:val="center"/>
        <w:rPr>
          <w:b/>
          <w:bCs/>
          <w:color w:val="auto"/>
          <w:lang w:val="ro-RO"/>
        </w:rPr>
      </w:pPr>
    </w:p>
    <w:p w14:paraId="413E1876" w14:textId="77777777" w:rsidR="00A827C3" w:rsidRPr="00F941DA" w:rsidRDefault="00A827C3" w:rsidP="00A827C3">
      <w:pPr>
        <w:pStyle w:val="Body"/>
        <w:jc w:val="center"/>
        <w:rPr>
          <w:b/>
          <w:bCs/>
          <w:color w:val="auto"/>
          <w:lang w:val="ro-RO"/>
        </w:rPr>
      </w:pPr>
    </w:p>
    <w:p w14:paraId="063D3087" w14:textId="77777777" w:rsidR="00A827C3" w:rsidRPr="00F941DA" w:rsidRDefault="00A827C3" w:rsidP="00A827C3">
      <w:pPr>
        <w:pStyle w:val="Body"/>
        <w:jc w:val="center"/>
        <w:rPr>
          <w:b/>
          <w:bCs/>
          <w:color w:val="auto"/>
          <w:lang w:val="ro-RO"/>
        </w:rPr>
      </w:pPr>
    </w:p>
    <w:p w14:paraId="747B4D5B" w14:textId="77777777" w:rsidR="00A827C3" w:rsidRPr="00F941DA" w:rsidRDefault="00A827C3" w:rsidP="00A827C3">
      <w:pPr>
        <w:pStyle w:val="Body"/>
        <w:jc w:val="center"/>
        <w:rPr>
          <w:b/>
          <w:bCs/>
          <w:color w:val="auto"/>
          <w:lang w:val="ro-RO"/>
        </w:rPr>
      </w:pPr>
    </w:p>
    <w:p w14:paraId="3953A39B" w14:textId="77777777" w:rsidR="00A827C3" w:rsidRPr="00F941DA" w:rsidRDefault="00A827C3" w:rsidP="00A827C3">
      <w:pPr>
        <w:pStyle w:val="Body"/>
        <w:jc w:val="center"/>
        <w:rPr>
          <w:color w:val="auto"/>
          <w:lang w:val="ro-RO"/>
        </w:rPr>
      </w:pPr>
    </w:p>
    <w:p w14:paraId="0062B596" w14:textId="77777777" w:rsidR="00A827C3" w:rsidRPr="00F941DA" w:rsidRDefault="00A827C3" w:rsidP="00CA4F71">
      <w:pPr>
        <w:rPr>
          <w:rFonts w:eastAsia="Arial"/>
          <w:b/>
          <w:bCs/>
          <w:lang w:val="en-US"/>
        </w:rPr>
      </w:pPr>
    </w:p>
    <w:p w14:paraId="65DCFD0D" w14:textId="77777777" w:rsidR="00A827C3" w:rsidRPr="00F941DA" w:rsidRDefault="00A827C3" w:rsidP="00CA4F71">
      <w:pPr>
        <w:rPr>
          <w:rFonts w:eastAsia="Arial"/>
          <w:b/>
          <w:bCs/>
          <w:lang w:val="en-US"/>
        </w:rPr>
      </w:pPr>
    </w:p>
    <w:p w14:paraId="5B36A5A0" w14:textId="77777777" w:rsidR="00A827C3" w:rsidRPr="00F941DA" w:rsidRDefault="00A827C3" w:rsidP="00CA4F71">
      <w:pPr>
        <w:rPr>
          <w:rFonts w:eastAsia="Arial"/>
          <w:b/>
          <w:bCs/>
          <w:lang w:val="en-US"/>
        </w:rPr>
      </w:pPr>
    </w:p>
    <w:p w14:paraId="5A7CC6D6" w14:textId="77777777" w:rsidR="00A827C3" w:rsidRPr="00F941DA" w:rsidRDefault="00A827C3" w:rsidP="00CA4F71">
      <w:pPr>
        <w:rPr>
          <w:rFonts w:eastAsia="Arial"/>
          <w:b/>
          <w:bCs/>
          <w:lang w:val="en-US"/>
        </w:rPr>
      </w:pPr>
    </w:p>
    <w:p w14:paraId="7FE4E62A" w14:textId="77777777" w:rsidR="00A827C3" w:rsidRPr="00F941DA" w:rsidRDefault="00A827C3" w:rsidP="00CA4F71">
      <w:pPr>
        <w:rPr>
          <w:rFonts w:eastAsia="Arial"/>
          <w:b/>
          <w:bCs/>
          <w:lang w:val="en-US"/>
        </w:rPr>
      </w:pPr>
    </w:p>
    <w:p w14:paraId="0B5EE514" w14:textId="77777777" w:rsidR="00A827C3" w:rsidRPr="00F941DA" w:rsidRDefault="00A827C3" w:rsidP="00CA4F71">
      <w:pPr>
        <w:rPr>
          <w:rFonts w:eastAsia="Arial"/>
          <w:b/>
          <w:bCs/>
          <w:lang w:val="en-US"/>
        </w:rPr>
      </w:pPr>
    </w:p>
    <w:p w14:paraId="2B297B12" w14:textId="77777777" w:rsidR="00A827C3" w:rsidRPr="00F941DA" w:rsidRDefault="00A827C3" w:rsidP="00CA4F71">
      <w:pPr>
        <w:rPr>
          <w:rFonts w:eastAsia="Arial"/>
          <w:b/>
          <w:bCs/>
          <w:lang w:val="en-US"/>
        </w:rPr>
      </w:pPr>
    </w:p>
    <w:p w14:paraId="71633801" w14:textId="77777777" w:rsidR="00A827C3" w:rsidRPr="00F941DA" w:rsidRDefault="00A827C3" w:rsidP="00CA4F71">
      <w:pPr>
        <w:rPr>
          <w:rFonts w:eastAsia="Arial"/>
          <w:b/>
          <w:bCs/>
          <w:lang w:val="en-US"/>
        </w:rPr>
      </w:pPr>
    </w:p>
    <w:p w14:paraId="06686FBC" w14:textId="77777777" w:rsidR="00A827C3" w:rsidRPr="00F941DA" w:rsidRDefault="00A827C3" w:rsidP="00CA4F71">
      <w:pPr>
        <w:rPr>
          <w:rFonts w:eastAsia="Arial"/>
          <w:b/>
          <w:bCs/>
          <w:lang w:val="en-US"/>
        </w:rPr>
      </w:pPr>
    </w:p>
    <w:p w14:paraId="6F932C07" w14:textId="77777777" w:rsidR="00A827C3" w:rsidRPr="00F941DA" w:rsidRDefault="00A827C3" w:rsidP="00CA4F71">
      <w:pPr>
        <w:rPr>
          <w:rFonts w:eastAsia="Arial"/>
          <w:b/>
          <w:bCs/>
          <w:lang w:val="en-US"/>
        </w:rPr>
      </w:pPr>
    </w:p>
    <w:p w14:paraId="7C0CF33D" w14:textId="77777777" w:rsidR="00A827C3" w:rsidRPr="00F941DA" w:rsidRDefault="00A827C3" w:rsidP="00CA4F71">
      <w:pPr>
        <w:rPr>
          <w:rFonts w:eastAsia="Arial"/>
          <w:b/>
          <w:bCs/>
          <w:lang w:val="en-US"/>
        </w:rPr>
      </w:pPr>
    </w:p>
    <w:p w14:paraId="17DC5E2E" w14:textId="77777777" w:rsidR="00A827C3" w:rsidRPr="00F941DA" w:rsidRDefault="00A827C3" w:rsidP="00CA4F71">
      <w:pPr>
        <w:rPr>
          <w:rFonts w:eastAsia="Arial"/>
          <w:b/>
          <w:bCs/>
          <w:lang w:val="en-US"/>
        </w:rPr>
      </w:pPr>
    </w:p>
    <w:p w14:paraId="7C15B74A" w14:textId="77777777" w:rsidR="00A827C3" w:rsidRPr="00F941DA" w:rsidRDefault="00A827C3" w:rsidP="00CA4F71">
      <w:pPr>
        <w:rPr>
          <w:rFonts w:eastAsia="Arial"/>
          <w:b/>
          <w:bCs/>
          <w:lang w:val="en-US"/>
        </w:rPr>
      </w:pPr>
    </w:p>
    <w:p w14:paraId="68259501" w14:textId="77777777" w:rsidR="00A827C3" w:rsidRPr="00F941DA" w:rsidRDefault="00A827C3" w:rsidP="00CA4F71">
      <w:pPr>
        <w:rPr>
          <w:rFonts w:eastAsia="Arial"/>
          <w:b/>
          <w:bCs/>
          <w:lang w:val="en-US"/>
        </w:rPr>
      </w:pPr>
    </w:p>
    <w:p w14:paraId="04D242C6" w14:textId="77777777" w:rsidR="00A827C3" w:rsidRPr="00F941DA" w:rsidRDefault="00A827C3" w:rsidP="00CA4F71">
      <w:pPr>
        <w:rPr>
          <w:rFonts w:eastAsia="Arial"/>
          <w:b/>
          <w:bCs/>
          <w:lang w:val="en-US"/>
        </w:rPr>
      </w:pPr>
    </w:p>
    <w:p w14:paraId="2BA0DC75" w14:textId="77777777" w:rsidR="00A827C3" w:rsidRPr="00F941DA" w:rsidRDefault="00A827C3" w:rsidP="00CA4F71">
      <w:pPr>
        <w:rPr>
          <w:rFonts w:eastAsia="Arial"/>
          <w:b/>
          <w:bCs/>
          <w:lang w:val="en-US"/>
        </w:rPr>
      </w:pPr>
    </w:p>
    <w:p w14:paraId="1C93F83C" w14:textId="77777777" w:rsidR="00A827C3" w:rsidRPr="00F941DA" w:rsidRDefault="00A827C3" w:rsidP="00CA4F71">
      <w:pPr>
        <w:rPr>
          <w:rFonts w:eastAsia="Arial"/>
          <w:b/>
          <w:bCs/>
          <w:lang w:val="en-US"/>
        </w:rPr>
      </w:pPr>
    </w:p>
    <w:p w14:paraId="11585FA1" w14:textId="77777777" w:rsidR="00A827C3" w:rsidRPr="00F941DA" w:rsidRDefault="00A827C3" w:rsidP="00CA4F71">
      <w:pPr>
        <w:rPr>
          <w:rFonts w:eastAsia="Arial"/>
          <w:b/>
          <w:bCs/>
          <w:lang w:val="en-US"/>
        </w:rPr>
      </w:pPr>
    </w:p>
    <w:p w14:paraId="5286E1A4" w14:textId="77777777" w:rsidR="00A827C3" w:rsidRPr="00F941DA" w:rsidRDefault="00A827C3" w:rsidP="00CA4F71">
      <w:pPr>
        <w:rPr>
          <w:rFonts w:eastAsia="Arial"/>
          <w:b/>
          <w:bCs/>
          <w:lang w:val="en-US"/>
        </w:rPr>
      </w:pPr>
    </w:p>
    <w:p w14:paraId="69E4D974" w14:textId="77777777" w:rsidR="00A827C3" w:rsidRPr="00F941DA" w:rsidRDefault="00A827C3" w:rsidP="00CA4F71">
      <w:pPr>
        <w:rPr>
          <w:rFonts w:eastAsia="Arial"/>
          <w:b/>
          <w:bCs/>
          <w:lang w:val="en-US"/>
        </w:rPr>
      </w:pPr>
    </w:p>
    <w:p w14:paraId="21F38515" w14:textId="77777777" w:rsidR="00CA4F71" w:rsidRPr="00F941DA" w:rsidRDefault="00CA4F71" w:rsidP="00C5117B">
      <w:pPr>
        <w:rPr>
          <w:rFonts w:eastAsia="Arial"/>
          <w:b/>
          <w:bCs/>
          <w:lang w:val="en-US"/>
        </w:rPr>
      </w:pPr>
    </w:p>
    <w:p w14:paraId="3E65A68D" w14:textId="136F9790" w:rsidR="007B60B7" w:rsidRPr="00F941DA" w:rsidRDefault="007B60B7" w:rsidP="00A827C3">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 xml:space="preserve">La anexa nr. 1, protocolul terapeutic corespunzător poziţiei nr. </w:t>
      </w:r>
      <w:r w:rsidR="00CA4F71" w:rsidRPr="00F941DA">
        <w:rPr>
          <w:rFonts w:eastAsia="Arial"/>
          <w:b/>
          <w:bCs/>
          <w:color w:val="auto"/>
          <w:lang w:val="en-US"/>
        </w:rPr>
        <w:t>189</w:t>
      </w:r>
      <w:r w:rsidRPr="00F941DA">
        <w:rPr>
          <w:rFonts w:eastAsia="Arial"/>
          <w:b/>
          <w:bCs/>
          <w:color w:val="auto"/>
          <w:lang w:val="en-US"/>
        </w:rPr>
        <w:t xml:space="preserve"> cod (</w:t>
      </w:r>
      <w:r w:rsidR="00CA4F71" w:rsidRPr="00F941DA">
        <w:rPr>
          <w:rFonts w:eastAsia="Arial"/>
          <w:b/>
          <w:bCs/>
          <w:color w:val="auto"/>
          <w:lang w:val="en-US"/>
        </w:rPr>
        <w:t>L01XX46</w:t>
      </w:r>
      <w:r w:rsidRPr="00F941DA">
        <w:rPr>
          <w:rFonts w:eastAsia="Arial"/>
          <w:b/>
          <w:bCs/>
          <w:color w:val="auto"/>
          <w:lang w:val="en-US"/>
        </w:rPr>
        <w:t xml:space="preserve">): DCI </w:t>
      </w:r>
      <w:r w:rsidR="00CA4F71" w:rsidRPr="00F941DA">
        <w:rPr>
          <w:rFonts w:eastAsia="Arial"/>
          <w:b/>
          <w:bCs/>
          <w:color w:val="auto"/>
          <w:lang w:val="en-US"/>
        </w:rPr>
        <w:t>OLAPARIBUM</w:t>
      </w:r>
      <w:r w:rsidRPr="00F941DA">
        <w:rPr>
          <w:rFonts w:eastAsia="Arial"/>
          <w:b/>
          <w:bCs/>
          <w:color w:val="auto"/>
          <w:lang w:val="en-US"/>
        </w:rPr>
        <w:t xml:space="preserve"> se modifică și se înlocuiește cu următorul protocol:</w:t>
      </w:r>
    </w:p>
    <w:p w14:paraId="5CB349E2" w14:textId="77777777" w:rsidR="007B60B7" w:rsidRPr="00F941DA" w:rsidRDefault="007B60B7" w:rsidP="007B60B7">
      <w:pPr>
        <w:tabs>
          <w:tab w:val="left" w:pos="426"/>
        </w:tabs>
        <w:jc w:val="both"/>
        <w:rPr>
          <w:rFonts w:ascii="Times New Roman" w:eastAsia="Arial" w:hAnsi="Times New Roman" w:cs="Times New Roman"/>
          <w:b/>
          <w:bCs/>
          <w:sz w:val="24"/>
          <w:szCs w:val="24"/>
          <w:lang w:val="en-US"/>
        </w:rPr>
      </w:pPr>
    </w:p>
    <w:p w14:paraId="2001988F" w14:textId="7E8341B6" w:rsidR="007B60B7" w:rsidRPr="00F941DA" w:rsidRDefault="007B60B7" w:rsidP="00CA4F71">
      <w:pPr>
        <w:tabs>
          <w:tab w:val="left" w:pos="426"/>
        </w:tabs>
        <w:jc w:val="both"/>
        <w:rPr>
          <w:rFonts w:eastAsia="Arial"/>
          <w:b/>
          <w:bCs/>
          <w:lang w:val="en-US"/>
        </w:rPr>
      </w:pPr>
      <w:r w:rsidRPr="00F941DA">
        <w:rPr>
          <w:rFonts w:ascii="Times New Roman" w:eastAsia="Arial" w:hAnsi="Times New Roman" w:cs="Times New Roman"/>
          <w:b/>
          <w:bCs/>
          <w:sz w:val="24"/>
          <w:szCs w:val="24"/>
          <w:lang w:val="en-US"/>
        </w:rPr>
        <w:t xml:space="preserve">”Protocol terapeutic corespunzător poziţiei nr. </w:t>
      </w:r>
      <w:r w:rsidR="00CA4F71" w:rsidRPr="00F941DA">
        <w:rPr>
          <w:rFonts w:ascii="Times New Roman" w:eastAsia="Arial" w:hAnsi="Times New Roman" w:cs="Times New Roman"/>
          <w:b/>
          <w:bCs/>
          <w:sz w:val="24"/>
          <w:szCs w:val="24"/>
          <w:lang w:val="en-US"/>
        </w:rPr>
        <w:t>189 cod (L01XX46): DCI OLAPARIBUM</w:t>
      </w:r>
    </w:p>
    <w:p w14:paraId="78465F1E" w14:textId="77777777" w:rsidR="007B60B7" w:rsidRPr="00F941DA" w:rsidRDefault="007B60B7" w:rsidP="00984957">
      <w:pPr>
        <w:pStyle w:val="ListParagraph"/>
        <w:rPr>
          <w:rFonts w:eastAsia="Arial"/>
          <w:b/>
          <w:bCs/>
          <w:color w:val="auto"/>
          <w:lang w:val="en-US"/>
        </w:rPr>
      </w:pPr>
    </w:p>
    <w:p w14:paraId="78FC753C" w14:textId="77777777" w:rsidR="00C5117B" w:rsidRPr="00F941DA" w:rsidRDefault="00C5117B" w:rsidP="00984957">
      <w:pPr>
        <w:pStyle w:val="ListParagraph"/>
        <w:rPr>
          <w:rFonts w:eastAsia="Arial"/>
          <w:b/>
          <w:bCs/>
          <w:color w:val="auto"/>
          <w:lang w:val="en-US"/>
        </w:rPr>
      </w:pPr>
    </w:p>
    <w:p w14:paraId="1C060501" w14:textId="1FFD24BD" w:rsidR="00C5117B" w:rsidRPr="00F941DA" w:rsidRDefault="00C5117B" w:rsidP="00C5117B">
      <w:pPr>
        <w:pStyle w:val="Body"/>
        <w:spacing w:line="276" w:lineRule="auto"/>
        <w:jc w:val="both"/>
        <w:rPr>
          <w:b/>
          <w:bCs/>
          <w:color w:val="auto"/>
          <w:lang w:val="ro-RO"/>
        </w:rPr>
      </w:pPr>
      <w:r w:rsidRPr="00F941DA">
        <w:rPr>
          <w:b/>
          <w:bCs/>
          <w:color w:val="auto"/>
          <w:lang w:val="ro-RO"/>
        </w:rPr>
        <w:t xml:space="preserve">1. </w:t>
      </w:r>
      <w:r w:rsidRPr="00F941DA">
        <w:rPr>
          <w:b/>
          <w:bCs/>
          <w:color w:val="auto"/>
          <w:u w:val="single"/>
          <w:lang w:val="ro-RO"/>
        </w:rPr>
        <w:t>Carcinom ovarian</w:t>
      </w:r>
    </w:p>
    <w:p w14:paraId="2DFAC60A" w14:textId="77777777" w:rsidR="00C5117B" w:rsidRPr="00F941DA" w:rsidRDefault="00C5117B" w:rsidP="00C5117B">
      <w:pPr>
        <w:pStyle w:val="Body"/>
        <w:spacing w:line="276" w:lineRule="auto"/>
        <w:jc w:val="both"/>
        <w:rPr>
          <w:color w:val="auto"/>
          <w:lang w:val="ro-RO"/>
        </w:rPr>
      </w:pPr>
      <w:r w:rsidRPr="00F941DA">
        <w:rPr>
          <w:b/>
          <w:bCs/>
          <w:color w:val="auto"/>
          <w:u w:val="single"/>
          <w:lang w:val="ro-RO"/>
        </w:rPr>
        <w:t>1.</w:t>
      </w:r>
      <w:r w:rsidRPr="00F941DA">
        <w:rPr>
          <w:color w:val="auto"/>
          <w:lang w:val="ro-RO"/>
        </w:rPr>
        <w:t xml:space="preserve"> in monoterapie ca tratament de întreținere la paciente adulte cu carcinom ovarian</w:t>
      </w:r>
      <w:r w:rsidRPr="00F941DA">
        <w:rPr>
          <w:b/>
          <w:bCs/>
          <w:color w:val="auto"/>
          <w:lang w:val="ro-RO"/>
        </w:rPr>
        <w:t xml:space="preserve"> </w:t>
      </w:r>
      <w:r w:rsidRPr="00F941DA">
        <w:rPr>
          <w:color w:val="auto"/>
          <w:lang w:val="ro-RO"/>
        </w:rPr>
        <w:t>epitelial de grad înalt, recidivat cu neoplazie de trompă uterină sau neoplazie peritoneală primară recidivată, sensibile la medicamente pe bază de platină, cu răspuns (complet sau parțial) la chimioterapie pe bază de platină.</w:t>
      </w:r>
    </w:p>
    <w:p w14:paraId="088C3CD6" w14:textId="77777777" w:rsidR="00C5117B" w:rsidRPr="00F941DA" w:rsidRDefault="00C5117B" w:rsidP="00C5117B">
      <w:pPr>
        <w:pStyle w:val="Body"/>
        <w:spacing w:line="276" w:lineRule="auto"/>
        <w:jc w:val="both"/>
        <w:rPr>
          <w:color w:val="auto"/>
          <w:lang w:val="ro-RO"/>
        </w:rPr>
      </w:pPr>
      <w:r w:rsidRPr="00F941DA">
        <w:rPr>
          <w:b/>
          <w:bCs/>
          <w:color w:val="auto"/>
          <w:u w:val="single"/>
          <w:lang w:val="ro-RO"/>
        </w:rPr>
        <w:t>2.a.</w:t>
      </w:r>
      <w:r w:rsidRPr="00F941DA">
        <w:rPr>
          <w:color w:val="auto"/>
          <w:lang w:val="ro-RO"/>
        </w:rPr>
        <w:t xml:space="preserve"> tratament de întreținere (monoterapie) la paciente adulte cu carcinom ovarian epitelial de grad</w:t>
      </w:r>
    </w:p>
    <w:p w14:paraId="070690FF" w14:textId="77777777" w:rsidR="00C5117B" w:rsidRPr="00F941DA" w:rsidRDefault="00C5117B" w:rsidP="00C5117B">
      <w:pPr>
        <w:pStyle w:val="Body"/>
        <w:spacing w:line="276" w:lineRule="auto"/>
        <w:jc w:val="both"/>
        <w:rPr>
          <w:color w:val="auto"/>
          <w:lang w:val="ro-RO"/>
        </w:rPr>
      </w:pPr>
      <w:r w:rsidRPr="00F941DA">
        <w:rPr>
          <w:color w:val="auto"/>
          <w:lang w:val="ro-RO"/>
        </w:rPr>
        <w:t>înalt, neoplazie de trompă uterină sau neoplazie peritoneală primară în stadiu avansat (stadiile FIGO III și IV) cu mutație BRCA1/2 (germinală și/sau somatică), care prezintă răspuns (complet sau parțial) după finalizarea chimioterapiei pe bază de platină în prima linie.</w:t>
      </w:r>
    </w:p>
    <w:p w14:paraId="21F54368" w14:textId="77777777" w:rsidR="00C5117B" w:rsidRPr="00F941DA" w:rsidRDefault="00C5117B" w:rsidP="00C5117B">
      <w:pPr>
        <w:pStyle w:val="Body"/>
        <w:spacing w:line="276" w:lineRule="auto"/>
        <w:jc w:val="both"/>
        <w:rPr>
          <w:color w:val="auto"/>
          <w:lang w:val="ro-RO"/>
        </w:rPr>
      </w:pPr>
      <w:r w:rsidRPr="00F941DA">
        <w:rPr>
          <w:b/>
          <w:bCs/>
          <w:color w:val="auto"/>
          <w:u w:val="single"/>
          <w:lang w:val="ro-RO"/>
        </w:rPr>
        <w:t>2.b.</w:t>
      </w:r>
      <w:r w:rsidRPr="00F941DA">
        <w:rPr>
          <w:color w:val="auto"/>
          <w:lang w:val="ro-RO"/>
        </w:rPr>
        <w:t xml:space="preserve"> în asociere cu bevacizumab ca tratament de întreținere la pacientele adulte cu carcinom ovarian epitelial de grad înalt în stadiu avansat (stadiile III și IV FIGO), neoplazie de trompă uterină sau neoplazie peritoneală primară, care prezintă răspuns (complet sau parțial) după finalizarea primei linii de tratament cu chimioterapie pe bază de platină în combinație cu bevacizumab și tumori cu status pozitiv pentru deficitul de recombinare omologă (DRO), definit fie ca mutație BRCA1/2și/sau instabilitate genomică</w:t>
      </w:r>
    </w:p>
    <w:p w14:paraId="5927AC2B" w14:textId="77777777" w:rsidR="00C5117B" w:rsidRPr="00F941DA" w:rsidRDefault="00C5117B" w:rsidP="00C5117B">
      <w:pPr>
        <w:pStyle w:val="Body"/>
        <w:spacing w:line="276" w:lineRule="auto"/>
        <w:jc w:val="both"/>
        <w:rPr>
          <w:color w:val="auto"/>
          <w:lang w:val="ro-RO"/>
        </w:rPr>
      </w:pPr>
    </w:p>
    <w:p w14:paraId="6204E115" w14:textId="77777777" w:rsidR="00C5117B" w:rsidRPr="00F941DA" w:rsidRDefault="00C5117B" w:rsidP="00C5117B">
      <w:pPr>
        <w:pStyle w:val="Body"/>
        <w:spacing w:line="276" w:lineRule="auto"/>
        <w:jc w:val="both"/>
        <w:rPr>
          <w:b/>
          <w:bCs/>
          <w:color w:val="auto"/>
          <w:lang w:val="ro-RO"/>
        </w:rPr>
      </w:pPr>
      <w:r w:rsidRPr="00F941DA">
        <w:rPr>
          <w:b/>
          <w:bCs/>
          <w:color w:val="auto"/>
          <w:lang w:val="ro-RO"/>
        </w:rPr>
        <w:t>I. Criterii de includere:</w:t>
      </w:r>
    </w:p>
    <w:p w14:paraId="703BDF4F" w14:textId="22A4150A" w:rsidR="00C5117B" w:rsidRPr="00F941DA" w:rsidRDefault="00C5117B" w:rsidP="00D11DF1">
      <w:pPr>
        <w:pStyle w:val="Body"/>
        <w:numPr>
          <w:ilvl w:val="0"/>
          <w:numId w:val="252"/>
        </w:numPr>
        <w:spacing w:line="276" w:lineRule="auto"/>
        <w:ind w:left="567" w:hanging="283"/>
        <w:jc w:val="both"/>
        <w:rPr>
          <w:color w:val="auto"/>
          <w:lang w:val="ro-RO"/>
        </w:rPr>
      </w:pPr>
      <w:r w:rsidRPr="00F941DA">
        <w:rPr>
          <w:color w:val="auto"/>
          <w:lang w:val="ro-RO"/>
        </w:rPr>
        <w:t>vârstă peste 18 ani;</w:t>
      </w:r>
    </w:p>
    <w:p w14:paraId="43F2BD21" w14:textId="77777777" w:rsidR="00C5117B" w:rsidRPr="00F941DA" w:rsidRDefault="00C5117B" w:rsidP="00D11DF1">
      <w:pPr>
        <w:pStyle w:val="Body"/>
        <w:numPr>
          <w:ilvl w:val="1"/>
          <w:numId w:val="274"/>
        </w:numPr>
        <w:spacing w:line="276" w:lineRule="auto"/>
        <w:jc w:val="both"/>
        <w:rPr>
          <w:color w:val="auto"/>
          <w:lang w:val="ro-RO"/>
        </w:rPr>
      </w:pPr>
      <w:r w:rsidRPr="00F941DA">
        <w:rPr>
          <w:color w:val="auto"/>
          <w:lang w:val="ro-RO"/>
        </w:rPr>
        <w:t>ECOG 0-2; ECOG 2-4 pentru situaţiile particulare în care beneficiul depăşeşte riscul.</w:t>
      </w:r>
    </w:p>
    <w:p w14:paraId="524E7653" w14:textId="77777777" w:rsidR="00C5117B" w:rsidRPr="00F941DA" w:rsidRDefault="00C5117B" w:rsidP="00D11DF1">
      <w:pPr>
        <w:pStyle w:val="Body"/>
        <w:numPr>
          <w:ilvl w:val="1"/>
          <w:numId w:val="274"/>
        </w:numPr>
        <w:spacing w:line="276" w:lineRule="auto"/>
        <w:jc w:val="both"/>
        <w:rPr>
          <w:color w:val="auto"/>
          <w:lang w:val="ro-RO"/>
        </w:rPr>
      </w:pPr>
      <w:r w:rsidRPr="00F941DA">
        <w:rPr>
          <w:color w:val="auto"/>
          <w:lang w:val="ro-RO"/>
        </w:rPr>
        <w:t>diagnostic de carcinom ovarian epitelial de grad înalt inclusiv neoplazie de trompă uterină şi neoplazie peritoneală primară</w:t>
      </w:r>
    </w:p>
    <w:p w14:paraId="271E381A" w14:textId="77777777" w:rsidR="00C5117B" w:rsidRPr="00F941DA" w:rsidRDefault="00C5117B" w:rsidP="00D11DF1">
      <w:pPr>
        <w:pStyle w:val="Body"/>
        <w:numPr>
          <w:ilvl w:val="1"/>
          <w:numId w:val="274"/>
        </w:numPr>
        <w:spacing w:line="276" w:lineRule="auto"/>
        <w:jc w:val="both"/>
        <w:rPr>
          <w:color w:val="auto"/>
          <w:lang w:val="ro-RO"/>
        </w:rPr>
      </w:pPr>
      <w:r w:rsidRPr="00F941DA">
        <w:rPr>
          <w:color w:val="auto"/>
          <w:lang w:val="ro-RO"/>
        </w:rPr>
        <w:t>stadiile III sau IV de boală conform clasificării FIGO</w:t>
      </w:r>
    </w:p>
    <w:p w14:paraId="4D5B1124" w14:textId="77777777" w:rsidR="00C5117B" w:rsidRPr="00F941DA" w:rsidRDefault="00C5117B" w:rsidP="00D11DF1">
      <w:pPr>
        <w:pStyle w:val="Body"/>
        <w:numPr>
          <w:ilvl w:val="1"/>
          <w:numId w:val="274"/>
        </w:numPr>
        <w:spacing w:line="276" w:lineRule="auto"/>
        <w:jc w:val="both"/>
        <w:rPr>
          <w:b/>
          <w:bCs/>
          <w:color w:val="auto"/>
          <w:lang w:val="ro-RO"/>
        </w:rPr>
      </w:pPr>
      <w:r w:rsidRPr="00F941DA">
        <w:rPr>
          <w:color w:val="auto"/>
          <w:lang w:val="ro-RO"/>
        </w:rPr>
        <w:t xml:space="preserve">mutaţia BRCA (germinală şi/sau somatică) prezentă </w:t>
      </w:r>
      <w:r w:rsidRPr="00F941DA">
        <w:rPr>
          <w:b/>
          <w:bCs/>
          <w:color w:val="auto"/>
          <w:lang w:val="ro-RO"/>
        </w:rPr>
        <w:t>in cazul raspunsului (complet sau parțial) după finalizarea chimioterapiei pe bază de platină în prima linie. (indicatia 2a)</w:t>
      </w:r>
    </w:p>
    <w:p w14:paraId="39AD67CC" w14:textId="77777777" w:rsidR="00C5117B" w:rsidRPr="00F941DA" w:rsidRDefault="00C5117B" w:rsidP="00D11DF1">
      <w:pPr>
        <w:pStyle w:val="Body"/>
        <w:numPr>
          <w:ilvl w:val="1"/>
          <w:numId w:val="274"/>
        </w:numPr>
        <w:spacing w:line="276" w:lineRule="auto"/>
        <w:jc w:val="both"/>
        <w:rPr>
          <w:b/>
          <w:bCs/>
          <w:color w:val="auto"/>
          <w:lang w:val="ro-RO"/>
        </w:rPr>
      </w:pPr>
      <w:r w:rsidRPr="00F941DA">
        <w:rPr>
          <w:b/>
          <w:bCs/>
          <w:color w:val="auto"/>
          <w:lang w:val="ro-RO"/>
        </w:rPr>
        <w:t>confirmarea statusului DRO pozitiv, definit fie prin mutație patogenă sau potențial patogenă BRCA1/2 și/sau instabilitate genomică pentru tratamentul de intretinere in asociere cu bevacizumab (indicatia 2b)</w:t>
      </w:r>
    </w:p>
    <w:p w14:paraId="4C73CF28" w14:textId="77777777" w:rsidR="00C5117B" w:rsidRPr="00F941DA" w:rsidRDefault="00C5117B" w:rsidP="00D11DF1">
      <w:pPr>
        <w:pStyle w:val="Body"/>
        <w:numPr>
          <w:ilvl w:val="1"/>
          <w:numId w:val="274"/>
        </w:numPr>
        <w:spacing w:line="276" w:lineRule="auto"/>
        <w:jc w:val="both"/>
        <w:rPr>
          <w:color w:val="auto"/>
          <w:lang w:val="ro-RO"/>
        </w:rPr>
      </w:pPr>
      <w:r w:rsidRPr="00F941DA">
        <w:rPr>
          <w:color w:val="auto"/>
          <w:lang w:val="ro-RO"/>
        </w:rPr>
        <w:t xml:space="preserve">boală sensibilă la sărurile de platină-in caz de recidiva </w:t>
      </w:r>
      <w:r w:rsidRPr="00F941DA">
        <w:rPr>
          <w:b/>
          <w:bCs/>
          <w:color w:val="auto"/>
          <w:lang w:val="ro-RO"/>
        </w:rPr>
        <w:t>(indicatia 1)</w:t>
      </w:r>
    </w:p>
    <w:p w14:paraId="11DF0767" w14:textId="77777777" w:rsidR="00C5117B" w:rsidRPr="00F941DA" w:rsidRDefault="00C5117B" w:rsidP="00D11DF1">
      <w:pPr>
        <w:pStyle w:val="Body"/>
        <w:numPr>
          <w:ilvl w:val="1"/>
          <w:numId w:val="274"/>
        </w:numPr>
        <w:spacing w:line="276" w:lineRule="auto"/>
        <w:jc w:val="both"/>
        <w:rPr>
          <w:color w:val="auto"/>
          <w:lang w:val="ro-RO"/>
        </w:rPr>
      </w:pPr>
      <w:r w:rsidRPr="00F941DA">
        <w:rPr>
          <w:color w:val="auto"/>
          <w:lang w:val="ro-RO"/>
        </w:rPr>
        <w:t>obţinerea unui răspuns terapeutic (complet sau parţial) după administrarea regimului  chimioterapic pe bază de platina (</w:t>
      </w:r>
      <w:r w:rsidRPr="00F941DA">
        <w:rPr>
          <w:b/>
          <w:bCs/>
          <w:color w:val="auto"/>
          <w:lang w:val="ro-RO"/>
        </w:rPr>
        <w:t>indicatiile 1 si 2a)</w:t>
      </w:r>
      <w:r w:rsidRPr="00F941DA">
        <w:rPr>
          <w:color w:val="auto"/>
          <w:lang w:val="ro-RO"/>
        </w:rPr>
        <w:t xml:space="preserve"> - criterii RECIST sau GCIG (CA125) </w:t>
      </w:r>
    </w:p>
    <w:p w14:paraId="342BB40A" w14:textId="77777777" w:rsidR="00C5117B" w:rsidRPr="00F941DA" w:rsidRDefault="00C5117B" w:rsidP="00D11DF1">
      <w:pPr>
        <w:pStyle w:val="Body"/>
        <w:numPr>
          <w:ilvl w:val="1"/>
          <w:numId w:val="274"/>
        </w:numPr>
        <w:spacing w:line="276" w:lineRule="auto"/>
        <w:jc w:val="both"/>
        <w:rPr>
          <w:b/>
          <w:bCs/>
          <w:color w:val="auto"/>
          <w:lang w:val="ro-RO"/>
        </w:rPr>
      </w:pPr>
      <w:r w:rsidRPr="00F941DA">
        <w:rPr>
          <w:b/>
          <w:bCs/>
          <w:color w:val="auto"/>
          <w:lang w:val="ro-RO"/>
        </w:rPr>
        <w:t xml:space="preserve">obţinerea unui răspuns terapeutic (complet sau parţial) după administrarea regimului  chimioterapic pe bază de platina </w:t>
      </w:r>
      <w:bookmarkStart w:id="2" w:name="_Hlk86672350"/>
      <w:r w:rsidRPr="00F941DA">
        <w:rPr>
          <w:b/>
          <w:bCs/>
          <w:color w:val="auto"/>
          <w:lang w:val="ro-RO"/>
        </w:rPr>
        <w:t xml:space="preserve">în combinație cu bevacizumab </w:t>
      </w:r>
      <w:bookmarkEnd w:id="2"/>
      <w:r w:rsidRPr="00F941DA">
        <w:rPr>
          <w:b/>
          <w:bCs/>
          <w:color w:val="auto"/>
          <w:lang w:val="ro-RO"/>
        </w:rPr>
        <w:t xml:space="preserve">(indicatia 2b) - criterii RECIST sau GCIG (CA125) </w:t>
      </w:r>
    </w:p>
    <w:p w14:paraId="0BA6B143" w14:textId="650F13B8" w:rsidR="00C5117B" w:rsidRPr="00F941DA" w:rsidRDefault="009015CB" w:rsidP="00D11DF1">
      <w:pPr>
        <w:pStyle w:val="Body"/>
        <w:numPr>
          <w:ilvl w:val="1"/>
          <w:numId w:val="274"/>
        </w:numPr>
        <w:spacing w:line="276" w:lineRule="auto"/>
        <w:jc w:val="both"/>
        <w:rPr>
          <w:color w:val="auto"/>
          <w:lang w:val="ro-RO"/>
        </w:rPr>
      </w:pPr>
      <w:r w:rsidRPr="00F941DA">
        <w:rPr>
          <w:color w:val="auto"/>
          <w:lang w:val="ro-RO"/>
        </w:rPr>
        <w:t>p</w:t>
      </w:r>
      <w:r w:rsidR="00C5117B" w:rsidRPr="00F941DA">
        <w:rPr>
          <w:color w:val="auto"/>
          <w:lang w:val="ro-RO"/>
        </w:rPr>
        <w:t>robe biologice care să permită administrarea medicamentului în condiţii de siguranţă</w:t>
      </w:r>
    </w:p>
    <w:p w14:paraId="14EB11B6" w14:textId="77777777" w:rsidR="00C5117B" w:rsidRPr="00F941DA" w:rsidRDefault="00C5117B" w:rsidP="00C5117B">
      <w:pPr>
        <w:pStyle w:val="Body"/>
        <w:spacing w:line="276" w:lineRule="auto"/>
        <w:jc w:val="both"/>
        <w:rPr>
          <w:color w:val="auto"/>
          <w:lang w:val="ro-RO"/>
        </w:rPr>
      </w:pPr>
    </w:p>
    <w:p w14:paraId="191339B4" w14:textId="77777777" w:rsidR="00C5117B" w:rsidRPr="00F941DA" w:rsidRDefault="00C5117B" w:rsidP="00C5117B">
      <w:pPr>
        <w:pStyle w:val="Body"/>
        <w:spacing w:line="276" w:lineRule="auto"/>
        <w:jc w:val="both"/>
        <w:rPr>
          <w:b/>
          <w:bCs/>
          <w:color w:val="auto"/>
          <w:lang w:val="ro-RO"/>
        </w:rPr>
      </w:pPr>
      <w:r w:rsidRPr="00F941DA">
        <w:rPr>
          <w:b/>
          <w:bCs/>
          <w:color w:val="auto"/>
          <w:lang w:val="ro-RO"/>
        </w:rPr>
        <w:t>II. Criterii de excludere/întrerupere:</w:t>
      </w:r>
    </w:p>
    <w:p w14:paraId="119965EA" w14:textId="77777777" w:rsidR="00C5117B" w:rsidRPr="00F941DA" w:rsidRDefault="00C5117B" w:rsidP="00D11DF1">
      <w:pPr>
        <w:pStyle w:val="Body"/>
        <w:numPr>
          <w:ilvl w:val="1"/>
          <w:numId w:val="275"/>
        </w:numPr>
        <w:spacing w:line="276" w:lineRule="auto"/>
        <w:jc w:val="both"/>
        <w:rPr>
          <w:color w:val="auto"/>
          <w:lang w:val="ro-RO"/>
        </w:rPr>
      </w:pPr>
      <w:r w:rsidRPr="00F941DA">
        <w:rPr>
          <w:color w:val="auto"/>
          <w:lang w:val="ro-RO"/>
        </w:rPr>
        <w:t xml:space="preserve">persistenţa toxicităţilor de grad ≥ 2 CTCAE induse de administrarea precedentă a terapiei  antineoplazice (cu excepţia alopeciei </w:t>
      </w:r>
      <w:r w:rsidRPr="00F941DA">
        <w:rPr>
          <w:b/>
          <w:bCs/>
          <w:color w:val="auto"/>
          <w:lang w:val="ro-RO"/>
        </w:rPr>
        <w:t>sau a altor efecte secundare considerate a nu influenta calitatea de viață, prognosticul afecțiunii sau răspunsul la tratamentul cu olaparib</w:t>
      </w:r>
      <w:r w:rsidRPr="00F941DA">
        <w:rPr>
          <w:color w:val="auto"/>
          <w:lang w:val="ro-RO"/>
        </w:rPr>
        <w:t>)</w:t>
      </w:r>
    </w:p>
    <w:p w14:paraId="44E78C56" w14:textId="77777777" w:rsidR="00C5117B" w:rsidRPr="00F941DA" w:rsidRDefault="00C5117B" w:rsidP="00D11DF1">
      <w:pPr>
        <w:pStyle w:val="Body"/>
        <w:numPr>
          <w:ilvl w:val="1"/>
          <w:numId w:val="275"/>
        </w:numPr>
        <w:spacing w:line="276" w:lineRule="auto"/>
        <w:jc w:val="both"/>
        <w:rPr>
          <w:color w:val="auto"/>
          <w:lang w:val="ro-RO"/>
        </w:rPr>
      </w:pPr>
      <w:r w:rsidRPr="00F941DA">
        <w:rPr>
          <w:color w:val="auto"/>
          <w:lang w:val="ro-RO"/>
        </w:rPr>
        <w:t>sindrom mielodisplazic sau leucemie mieloidă acută</w:t>
      </w:r>
    </w:p>
    <w:p w14:paraId="01FFA047" w14:textId="77777777" w:rsidR="00C5117B" w:rsidRPr="00F941DA" w:rsidRDefault="00C5117B" w:rsidP="00D11DF1">
      <w:pPr>
        <w:pStyle w:val="Body"/>
        <w:numPr>
          <w:ilvl w:val="1"/>
          <w:numId w:val="275"/>
        </w:numPr>
        <w:spacing w:line="276" w:lineRule="auto"/>
        <w:jc w:val="both"/>
        <w:rPr>
          <w:color w:val="auto"/>
          <w:lang w:val="ro-RO"/>
        </w:rPr>
      </w:pPr>
      <w:r w:rsidRPr="00F941DA">
        <w:rPr>
          <w:color w:val="auto"/>
          <w:lang w:val="ro-RO"/>
        </w:rPr>
        <w:t>tratament anterior cu inhibitori PARP – daca s-a instalat lipsa de răspuns la aceștia</w:t>
      </w:r>
    </w:p>
    <w:p w14:paraId="46B47FE3" w14:textId="77777777" w:rsidR="00C5117B" w:rsidRPr="00F941DA" w:rsidRDefault="00C5117B" w:rsidP="00D11DF1">
      <w:pPr>
        <w:pStyle w:val="Body"/>
        <w:numPr>
          <w:ilvl w:val="1"/>
          <w:numId w:val="275"/>
        </w:numPr>
        <w:spacing w:line="276" w:lineRule="auto"/>
        <w:jc w:val="both"/>
        <w:rPr>
          <w:color w:val="auto"/>
          <w:lang w:val="ro-RO"/>
        </w:rPr>
      </w:pPr>
      <w:r w:rsidRPr="00F941DA">
        <w:rPr>
          <w:color w:val="auto"/>
          <w:lang w:val="ro-RO"/>
        </w:rPr>
        <w:t>efectuarea radioterapiei (cu excepţia celei efectuate în scop paleativ), în ultimele 2 săptămâni</w:t>
      </w:r>
    </w:p>
    <w:p w14:paraId="159AF4DF" w14:textId="77777777" w:rsidR="00C5117B" w:rsidRPr="00F941DA" w:rsidRDefault="00C5117B" w:rsidP="00D11DF1">
      <w:pPr>
        <w:pStyle w:val="Body"/>
        <w:numPr>
          <w:ilvl w:val="1"/>
          <w:numId w:val="275"/>
        </w:numPr>
        <w:spacing w:line="276" w:lineRule="auto"/>
        <w:jc w:val="both"/>
        <w:rPr>
          <w:color w:val="auto"/>
          <w:lang w:val="ro-RO"/>
        </w:rPr>
      </w:pPr>
      <w:r w:rsidRPr="00F941DA">
        <w:rPr>
          <w:color w:val="auto"/>
          <w:lang w:val="ro-RO"/>
        </w:rPr>
        <w:lastRenderedPageBreak/>
        <w:t>metastaze cerebrale necontrolate terapeutic (simptomatice)</w:t>
      </w:r>
    </w:p>
    <w:p w14:paraId="74B0CB7A" w14:textId="77777777" w:rsidR="00C5117B" w:rsidRPr="00F941DA" w:rsidRDefault="00C5117B" w:rsidP="00D11DF1">
      <w:pPr>
        <w:pStyle w:val="Body"/>
        <w:numPr>
          <w:ilvl w:val="1"/>
          <w:numId w:val="275"/>
        </w:numPr>
        <w:spacing w:line="276" w:lineRule="auto"/>
        <w:jc w:val="both"/>
        <w:rPr>
          <w:color w:val="auto"/>
          <w:lang w:val="ro-RO"/>
        </w:rPr>
      </w:pPr>
      <w:r w:rsidRPr="00F941DA">
        <w:rPr>
          <w:color w:val="auto"/>
          <w:lang w:val="ro-RO"/>
        </w:rPr>
        <w:t>intervenţie chirurgicală majoră în ultimele două săptămâni</w:t>
      </w:r>
    </w:p>
    <w:p w14:paraId="3D7AF790" w14:textId="77777777" w:rsidR="00C5117B" w:rsidRPr="00F941DA" w:rsidRDefault="00C5117B" w:rsidP="00D11DF1">
      <w:pPr>
        <w:pStyle w:val="Body"/>
        <w:numPr>
          <w:ilvl w:val="1"/>
          <w:numId w:val="275"/>
        </w:numPr>
        <w:spacing w:line="276" w:lineRule="auto"/>
        <w:jc w:val="both"/>
        <w:rPr>
          <w:color w:val="auto"/>
          <w:lang w:val="ro-RO"/>
        </w:rPr>
      </w:pPr>
      <w:r w:rsidRPr="00F941DA">
        <w:rPr>
          <w:color w:val="auto"/>
          <w:lang w:val="ro-RO"/>
        </w:rPr>
        <w:t>infarct miocardic acut, angină instabilă, aritmii ventriculare necontrolate, în ultimele 3 luni sau</w:t>
      </w:r>
    </w:p>
    <w:p w14:paraId="31782D0D" w14:textId="77777777" w:rsidR="00C5117B" w:rsidRPr="00F941DA" w:rsidRDefault="00C5117B" w:rsidP="00D11DF1">
      <w:pPr>
        <w:pStyle w:val="Body"/>
        <w:numPr>
          <w:ilvl w:val="0"/>
          <w:numId w:val="259"/>
        </w:numPr>
        <w:spacing w:line="276" w:lineRule="auto"/>
        <w:ind w:left="851" w:hanging="284"/>
        <w:jc w:val="both"/>
        <w:rPr>
          <w:color w:val="auto"/>
          <w:lang w:val="ro-RO"/>
        </w:rPr>
      </w:pPr>
      <w:r w:rsidRPr="00F941DA">
        <w:rPr>
          <w:color w:val="auto"/>
          <w:lang w:val="ro-RO"/>
        </w:rPr>
        <w:t>alte afecţiuni cardiace necontrolate</w:t>
      </w:r>
    </w:p>
    <w:p w14:paraId="6A65081D" w14:textId="77777777" w:rsidR="00C5117B" w:rsidRPr="00F941DA" w:rsidRDefault="00C5117B" w:rsidP="00D11DF1">
      <w:pPr>
        <w:pStyle w:val="Body"/>
        <w:numPr>
          <w:ilvl w:val="1"/>
          <w:numId w:val="259"/>
        </w:numPr>
        <w:spacing w:line="276" w:lineRule="auto"/>
        <w:ind w:left="851" w:hanging="284"/>
        <w:jc w:val="both"/>
        <w:rPr>
          <w:color w:val="auto"/>
          <w:lang w:val="ro-RO"/>
        </w:rPr>
      </w:pPr>
      <w:r w:rsidRPr="00F941DA">
        <w:rPr>
          <w:color w:val="auto"/>
          <w:lang w:val="ro-RO"/>
        </w:rPr>
        <w:t>hipersensibilitate cunoscută la substanţa activă sau la oricare din excipienţi</w:t>
      </w:r>
    </w:p>
    <w:p w14:paraId="40F529CF" w14:textId="77777777" w:rsidR="00C5117B" w:rsidRPr="00F941DA" w:rsidRDefault="00C5117B" w:rsidP="00D11DF1">
      <w:pPr>
        <w:pStyle w:val="Body"/>
        <w:numPr>
          <w:ilvl w:val="1"/>
          <w:numId w:val="259"/>
        </w:numPr>
        <w:spacing w:line="276" w:lineRule="auto"/>
        <w:ind w:left="851" w:hanging="284"/>
        <w:jc w:val="both"/>
        <w:rPr>
          <w:color w:val="auto"/>
          <w:lang w:val="ro-RO"/>
        </w:rPr>
      </w:pPr>
      <w:r w:rsidRPr="00F941DA">
        <w:rPr>
          <w:color w:val="auto"/>
          <w:lang w:val="ro-RO"/>
        </w:rPr>
        <w:t>sarcină sau alăptare</w:t>
      </w:r>
    </w:p>
    <w:p w14:paraId="1851CBE9" w14:textId="77777777" w:rsidR="00C5117B" w:rsidRPr="00F941DA" w:rsidRDefault="00C5117B" w:rsidP="00C5117B">
      <w:pPr>
        <w:pStyle w:val="Body"/>
        <w:spacing w:line="276" w:lineRule="auto"/>
        <w:jc w:val="both"/>
        <w:rPr>
          <w:color w:val="auto"/>
          <w:lang w:val="ro-RO"/>
        </w:rPr>
      </w:pPr>
    </w:p>
    <w:p w14:paraId="150857BA" w14:textId="77777777" w:rsidR="00C5117B" w:rsidRPr="00F941DA" w:rsidRDefault="00C5117B" w:rsidP="00C5117B">
      <w:pPr>
        <w:pStyle w:val="Body"/>
        <w:spacing w:line="276" w:lineRule="auto"/>
        <w:jc w:val="both"/>
        <w:rPr>
          <w:b/>
          <w:bCs/>
          <w:color w:val="auto"/>
          <w:lang w:val="ro-RO"/>
        </w:rPr>
      </w:pPr>
      <w:r w:rsidRPr="00F941DA">
        <w:rPr>
          <w:b/>
          <w:bCs/>
          <w:color w:val="auto"/>
          <w:lang w:val="ro-RO"/>
        </w:rPr>
        <w:t>III. Durata tratamentului:</w:t>
      </w:r>
    </w:p>
    <w:p w14:paraId="7C1A493E" w14:textId="77777777" w:rsidR="00C5117B" w:rsidRPr="00F941DA" w:rsidRDefault="00C5117B" w:rsidP="00C5117B">
      <w:pPr>
        <w:pStyle w:val="Body"/>
        <w:spacing w:line="276" w:lineRule="auto"/>
        <w:jc w:val="both"/>
        <w:rPr>
          <w:color w:val="auto"/>
          <w:lang w:val="ro-RO"/>
        </w:rPr>
      </w:pPr>
      <w:r w:rsidRPr="00F941DA">
        <w:rPr>
          <w:color w:val="auto"/>
          <w:lang w:val="ro-RO"/>
        </w:rPr>
        <w:t xml:space="preserve">Pentru indicația 1- până la progresia bolii de bază sau toxicitate inacceptabilă </w:t>
      </w:r>
    </w:p>
    <w:p w14:paraId="1778C517" w14:textId="77777777" w:rsidR="00C5117B" w:rsidRPr="00F941DA" w:rsidRDefault="00C5117B" w:rsidP="00C5117B">
      <w:pPr>
        <w:pStyle w:val="Body"/>
        <w:spacing w:line="276" w:lineRule="auto"/>
        <w:jc w:val="both"/>
        <w:rPr>
          <w:color w:val="auto"/>
          <w:lang w:val="ro-RO"/>
        </w:rPr>
      </w:pPr>
      <w:r w:rsidRPr="00F941DA">
        <w:rPr>
          <w:color w:val="auto"/>
          <w:lang w:val="ro-RO"/>
        </w:rPr>
        <w:t xml:space="preserve">Pentru indicațiile </w:t>
      </w:r>
      <w:r w:rsidRPr="00F941DA">
        <w:rPr>
          <w:b/>
          <w:bCs/>
          <w:color w:val="auto"/>
          <w:u w:val="single"/>
          <w:lang w:val="ro-RO"/>
        </w:rPr>
        <w:t>2a si 2b</w:t>
      </w:r>
      <w:r w:rsidRPr="00F941DA">
        <w:rPr>
          <w:b/>
          <w:bCs/>
          <w:color w:val="auto"/>
          <w:lang w:val="ro-RO"/>
        </w:rPr>
        <w:t xml:space="preserve"> </w:t>
      </w:r>
      <w:r w:rsidRPr="00F941DA">
        <w:rPr>
          <w:color w:val="auto"/>
          <w:lang w:val="ro-RO"/>
        </w:rPr>
        <w:t>până la progresia radiologică a bolii, toxicitate inacceptabilă sau până la 2 ani dacă nu există dovada radiologică a bolii. Pacientele cu dovezi ale bolii la 2 ani, care în opinia medicului curant pot beneficia de continuarea tratamentului, pot fi tratate mai mult de 2 ani.</w:t>
      </w:r>
    </w:p>
    <w:p w14:paraId="0F2DB6AF" w14:textId="77777777" w:rsidR="00C5117B" w:rsidRPr="00F941DA" w:rsidRDefault="00C5117B" w:rsidP="00C5117B">
      <w:pPr>
        <w:pStyle w:val="Body"/>
        <w:spacing w:line="276" w:lineRule="auto"/>
        <w:jc w:val="both"/>
        <w:rPr>
          <w:color w:val="auto"/>
          <w:lang w:val="ro-RO"/>
        </w:rPr>
      </w:pPr>
    </w:p>
    <w:p w14:paraId="67C61B4F" w14:textId="77777777" w:rsidR="00C5117B" w:rsidRPr="00F941DA" w:rsidRDefault="00C5117B" w:rsidP="00C5117B">
      <w:pPr>
        <w:pStyle w:val="Body"/>
        <w:spacing w:line="276" w:lineRule="auto"/>
        <w:jc w:val="both"/>
        <w:rPr>
          <w:b/>
          <w:bCs/>
          <w:color w:val="auto"/>
          <w:lang w:val="ro-RO"/>
        </w:rPr>
      </w:pPr>
      <w:r w:rsidRPr="00F941DA">
        <w:rPr>
          <w:b/>
          <w:bCs/>
          <w:color w:val="auto"/>
          <w:lang w:val="ro-RO"/>
        </w:rPr>
        <w:t>IV. Forma de administrare:</w:t>
      </w:r>
    </w:p>
    <w:p w14:paraId="36128755" w14:textId="77777777" w:rsidR="00C5117B" w:rsidRPr="00F941DA" w:rsidRDefault="00C5117B" w:rsidP="00C5117B">
      <w:pPr>
        <w:pStyle w:val="Body"/>
        <w:spacing w:line="276" w:lineRule="auto"/>
        <w:jc w:val="both"/>
        <w:rPr>
          <w:color w:val="auto"/>
          <w:lang w:val="ro-RO"/>
        </w:rPr>
      </w:pPr>
      <w:r w:rsidRPr="00F941DA">
        <w:rPr>
          <w:color w:val="auto"/>
          <w:lang w:val="ro-RO"/>
        </w:rPr>
        <w:t xml:space="preserve">Comprimate filmate de 100 si 150 mg. Doza recomandată de olaparib </w:t>
      </w:r>
    </w:p>
    <w:p w14:paraId="7FDE955A" w14:textId="77777777" w:rsidR="00C5117B" w:rsidRPr="00F941DA" w:rsidRDefault="00C5117B" w:rsidP="00D11DF1">
      <w:pPr>
        <w:pStyle w:val="Body"/>
        <w:numPr>
          <w:ilvl w:val="0"/>
          <w:numId w:val="260"/>
        </w:numPr>
        <w:spacing w:line="276" w:lineRule="auto"/>
        <w:jc w:val="both"/>
        <w:rPr>
          <w:b/>
          <w:bCs/>
          <w:color w:val="auto"/>
          <w:lang w:val="ro-RO"/>
        </w:rPr>
      </w:pPr>
      <w:r w:rsidRPr="00F941DA">
        <w:rPr>
          <w:b/>
          <w:bCs/>
          <w:color w:val="auto"/>
          <w:lang w:val="ro-RO"/>
        </w:rPr>
        <w:t xml:space="preserve">în monoterapie </w:t>
      </w:r>
    </w:p>
    <w:p w14:paraId="191496DB" w14:textId="77777777" w:rsidR="00C5117B" w:rsidRPr="00F941DA" w:rsidRDefault="00C5117B" w:rsidP="00D11DF1">
      <w:pPr>
        <w:pStyle w:val="Body"/>
        <w:numPr>
          <w:ilvl w:val="0"/>
          <w:numId w:val="260"/>
        </w:numPr>
        <w:spacing w:after="160" w:line="276" w:lineRule="auto"/>
        <w:jc w:val="both"/>
        <w:rPr>
          <w:b/>
          <w:bCs/>
          <w:color w:val="auto"/>
          <w:lang w:val="ro-RO"/>
        </w:rPr>
      </w:pPr>
      <w:r w:rsidRPr="00F941DA">
        <w:rPr>
          <w:b/>
          <w:bCs/>
          <w:color w:val="auto"/>
          <w:lang w:val="ro-RO"/>
        </w:rPr>
        <w:t>sau în asociere cu bevacizumab</w:t>
      </w:r>
    </w:p>
    <w:p w14:paraId="45EC1E75" w14:textId="77777777" w:rsidR="00C5117B" w:rsidRPr="00F941DA" w:rsidRDefault="00C5117B" w:rsidP="00C5117B">
      <w:pPr>
        <w:pStyle w:val="Body"/>
        <w:spacing w:line="276" w:lineRule="auto"/>
        <w:jc w:val="both"/>
        <w:rPr>
          <w:color w:val="auto"/>
          <w:lang w:val="ro-RO"/>
        </w:rPr>
      </w:pPr>
      <w:r w:rsidRPr="00F941DA">
        <w:rPr>
          <w:color w:val="auto"/>
          <w:lang w:val="ro-RO"/>
        </w:rPr>
        <w:t xml:space="preserve">este 300 mg (doua comprimate de 150 mg) de două ori pe zi, echivalentul unei doze zilnice totale de 600 mg. La nevoie doza se scade la 250 mg (un comprimat de 150 mg și un comprimat de 100 mg) de două ori pe zi (echivalent cu o doză zilnică totală de 500 mg) si ulterior la 200 mg (două comprimate de 100 mg) de două ori pe zi (echivalent cu o doză zilnică totală de 400 mg). </w:t>
      </w:r>
    </w:p>
    <w:p w14:paraId="0E59529D" w14:textId="77777777" w:rsidR="00C5117B" w:rsidRPr="00F941DA" w:rsidRDefault="00C5117B" w:rsidP="00C5117B">
      <w:pPr>
        <w:pStyle w:val="Body"/>
        <w:spacing w:line="276" w:lineRule="auto"/>
        <w:jc w:val="both"/>
        <w:rPr>
          <w:b/>
          <w:bCs/>
          <w:color w:val="auto"/>
          <w:lang w:val="ro-RO"/>
        </w:rPr>
      </w:pPr>
      <w:r w:rsidRPr="00F941DA">
        <w:rPr>
          <w:b/>
          <w:bCs/>
          <w:color w:val="auto"/>
          <w:lang w:val="ro-RO"/>
        </w:rPr>
        <w:t>Atunci cand Olaparibum este utilizat in asociere cu bevacizumab, doza de bevacizumab este 15 mg/kg la intervale de 3 săptămâni (pentru durata globală de tratament de maxim 15 luni, inclusiv perioadele în combinație cu chimioterapie sau ca tratament de întreținere).</w:t>
      </w:r>
    </w:p>
    <w:p w14:paraId="13C2F7ED" w14:textId="77777777" w:rsidR="00C5117B" w:rsidRPr="00F941DA" w:rsidRDefault="00C5117B" w:rsidP="00C5117B">
      <w:pPr>
        <w:pStyle w:val="Body"/>
        <w:spacing w:line="276" w:lineRule="auto"/>
        <w:jc w:val="both"/>
        <w:rPr>
          <w:color w:val="auto"/>
          <w:lang w:val="ro-RO"/>
        </w:rPr>
      </w:pPr>
    </w:p>
    <w:p w14:paraId="39ADFCFD" w14:textId="77777777" w:rsidR="00C5117B" w:rsidRPr="00F941DA" w:rsidRDefault="00C5117B" w:rsidP="00C5117B">
      <w:pPr>
        <w:pStyle w:val="Body"/>
        <w:spacing w:line="276" w:lineRule="auto"/>
        <w:jc w:val="both"/>
        <w:rPr>
          <w:b/>
          <w:bCs/>
          <w:color w:val="auto"/>
          <w:lang w:val="ro-RO"/>
        </w:rPr>
      </w:pPr>
      <w:r w:rsidRPr="00F941DA">
        <w:rPr>
          <w:b/>
          <w:bCs/>
          <w:color w:val="auto"/>
          <w:lang w:val="ro-RO"/>
        </w:rPr>
        <w:t>V. Monitorizare:</w:t>
      </w:r>
    </w:p>
    <w:p w14:paraId="43118324" w14:textId="77777777" w:rsidR="00C5117B" w:rsidRPr="00F941DA" w:rsidRDefault="00C5117B" w:rsidP="00D11DF1">
      <w:pPr>
        <w:pStyle w:val="Body"/>
        <w:numPr>
          <w:ilvl w:val="0"/>
          <w:numId w:val="276"/>
        </w:numPr>
        <w:spacing w:line="276" w:lineRule="auto"/>
        <w:jc w:val="both"/>
        <w:rPr>
          <w:color w:val="auto"/>
          <w:lang w:val="ro-RO"/>
        </w:rPr>
      </w:pPr>
      <w:r w:rsidRPr="00F941DA">
        <w:rPr>
          <w:color w:val="auto"/>
          <w:lang w:val="ro-RO"/>
        </w:rPr>
        <w:t>imagistic prin examen CT/RMN</w:t>
      </w:r>
    </w:p>
    <w:p w14:paraId="46670818" w14:textId="11E0CDC1" w:rsidR="00C5117B" w:rsidRPr="00F941DA" w:rsidRDefault="00C5117B" w:rsidP="00D11DF1">
      <w:pPr>
        <w:pStyle w:val="Body"/>
        <w:numPr>
          <w:ilvl w:val="0"/>
          <w:numId w:val="276"/>
        </w:numPr>
        <w:spacing w:line="276" w:lineRule="auto"/>
        <w:jc w:val="both"/>
        <w:rPr>
          <w:color w:val="auto"/>
          <w:lang w:val="ro-RO"/>
        </w:rPr>
      </w:pPr>
      <w:r w:rsidRPr="00F941DA">
        <w:rPr>
          <w:color w:val="auto"/>
          <w:lang w:val="ro-RO"/>
        </w:rPr>
        <w:t>hemoleucograma – lunar</w:t>
      </w:r>
    </w:p>
    <w:p w14:paraId="79AE5CA7" w14:textId="77777777" w:rsidR="00C5117B" w:rsidRPr="00F941DA" w:rsidRDefault="00C5117B" w:rsidP="00C5117B">
      <w:pPr>
        <w:pStyle w:val="Body"/>
        <w:spacing w:line="276" w:lineRule="auto"/>
        <w:jc w:val="both"/>
        <w:rPr>
          <w:color w:val="auto"/>
          <w:lang w:val="ro-RO"/>
        </w:rPr>
      </w:pPr>
    </w:p>
    <w:p w14:paraId="31256E00" w14:textId="77777777" w:rsidR="00C5117B" w:rsidRPr="00F941DA" w:rsidRDefault="00C5117B" w:rsidP="00C5117B">
      <w:pPr>
        <w:pStyle w:val="Body"/>
        <w:spacing w:line="276" w:lineRule="auto"/>
        <w:jc w:val="both"/>
        <w:rPr>
          <w:color w:val="auto"/>
          <w:lang w:val="ro-RO"/>
        </w:rPr>
      </w:pPr>
      <w:r w:rsidRPr="00F941DA">
        <w:rPr>
          <w:b/>
          <w:bCs/>
          <w:color w:val="auto"/>
          <w:lang w:val="ro-RO"/>
        </w:rPr>
        <w:t xml:space="preserve">VI. Situaţii particulare </w:t>
      </w:r>
      <w:r w:rsidRPr="00F941DA">
        <w:rPr>
          <w:color w:val="auto"/>
          <w:lang w:val="ro-RO"/>
        </w:rPr>
        <w:t>(analizate individual) în care beneficiul clinic al administrării medicamentului depășește riscul:</w:t>
      </w:r>
    </w:p>
    <w:p w14:paraId="03F9CF3E" w14:textId="77777777" w:rsidR="00C5117B" w:rsidRPr="00F941DA" w:rsidRDefault="00C5117B" w:rsidP="00D11DF1">
      <w:pPr>
        <w:pStyle w:val="Body"/>
        <w:numPr>
          <w:ilvl w:val="1"/>
          <w:numId w:val="262"/>
        </w:numPr>
        <w:spacing w:line="276" w:lineRule="auto"/>
        <w:ind w:left="709"/>
        <w:jc w:val="both"/>
        <w:rPr>
          <w:color w:val="auto"/>
          <w:lang w:val="ro-RO"/>
        </w:rPr>
      </w:pPr>
      <w:r w:rsidRPr="00F941DA">
        <w:rPr>
          <w:color w:val="auto"/>
          <w:lang w:val="ro-RO"/>
        </w:rPr>
        <w:t>utilizarea concomitentă a inhibitorilor puternici şi moderaţi ai izoenzimei CYP3A</w:t>
      </w:r>
    </w:p>
    <w:p w14:paraId="21903DD0" w14:textId="77777777" w:rsidR="00C5117B" w:rsidRPr="00F941DA" w:rsidRDefault="00C5117B" w:rsidP="00D11DF1">
      <w:pPr>
        <w:pStyle w:val="Body"/>
        <w:numPr>
          <w:ilvl w:val="1"/>
          <w:numId w:val="262"/>
        </w:numPr>
        <w:spacing w:line="276" w:lineRule="auto"/>
        <w:ind w:left="709"/>
        <w:jc w:val="both"/>
        <w:rPr>
          <w:color w:val="auto"/>
          <w:lang w:val="ro-RO"/>
        </w:rPr>
      </w:pPr>
      <w:r w:rsidRPr="00F941DA">
        <w:rPr>
          <w:color w:val="auto"/>
          <w:lang w:val="ro-RO"/>
        </w:rPr>
        <w:t>insuficienţă renală severă (clearance-ul creatininei&lt; 30 ml/min)</w:t>
      </w:r>
    </w:p>
    <w:p w14:paraId="35A0288F" w14:textId="77777777" w:rsidR="00C5117B" w:rsidRPr="00F941DA" w:rsidRDefault="00C5117B" w:rsidP="00D11DF1">
      <w:pPr>
        <w:pStyle w:val="Body"/>
        <w:numPr>
          <w:ilvl w:val="1"/>
          <w:numId w:val="262"/>
        </w:numPr>
        <w:spacing w:line="276" w:lineRule="auto"/>
        <w:ind w:left="709"/>
        <w:jc w:val="both"/>
        <w:rPr>
          <w:color w:val="auto"/>
          <w:lang w:val="ro-RO"/>
        </w:rPr>
      </w:pPr>
      <w:r w:rsidRPr="00F941DA">
        <w:rPr>
          <w:color w:val="auto"/>
          <w:lang w:val="ro-RO"/>
        </w:rPr>
        <w:t>status de performanţă ECOG 2-4</w:t>
      </w:r>
    </w:p>
    <w:p w14:paraId="5C40C12D" w14:textId="77777777" w:rsidR="00C5117B" w:rsidRPr="00F941DA" w:rsidRDefault="00C5117B" w:rsidP="00D11DF1">
      <w:pPr>
        <w:pStyle w:val="Body"/>
        <w:numPr>
          <w:ilvl w:val="1"/>
          <w:numId w:val="262"/>
        </w:numPr>
        <w:spacing w:line="276" w:lineRule="auto"/>
        <w:ind w:left="709"/>
        <w:jc w:val="both"/>
        <w:rPr>
          <w:color w:val="auto"/>
          <w:lang w:val="ro-RO"/>
        </w:rPr>
      </w:pPr>
      <w:r w:rsidRPr="00F941DA">
        <w:rPr>
          <w:color w:val="auto"/>
          <w:lang w:val="ro-RO"/>
        </w:rPr>
        <w:t>persistenţa toxicităţii hematologice cauzate de tratamentul citotoxic anterior (valorile hemoglobinei, trombocitelor şi neutrofilelor de grad &gt; 1 CTCAE)</w:t>
      </w:r>
    </w:p>
    <w:p w14:paraId="3B3FC346" w14:textId="77777777" w:rsidR="00C5117B" w:rsidRPr="00F941DA" w:rsidRDefault="00C5117B" w:rsidP="00C5117B">
      <w:pPr>
        <w:pStyle w:val="Body"/>
        <w:spacing w:line="276" w:lineRule="auto"/>
        <w:jc w:val="both"/>
        <w:rPr>
          <w:color w:val="auto"/>
          <w:lang w:val="ro-RO"/>
        </w:rPr>
      </w:pPr>
    </w:p>
    <w:p w14:paraId="18332BCD" w14:textId="77777777" w:rsidR="00C5117B" w:rsidRPr="00F941DA" w:rsidRDefault="00C5117B" w:rsidP="00C5117B">
      <w:pPr>
        <w:pStyle w:val="Body"/>
        <w:spacing w:line="276" w:lineRule="auto"/>
        <w:jc w:val="both"/>
        <w:rPr>
          <w:color w:val="auto"/>
          <w:lang w:val="ro-RO"/>
        </w:rPr>
      </w:pPr>
      <w:r w:rsidRPr="00F941DA">
        <w:rPr>
          <w:b/>
          <w:bCs/>
          <w:color w:val="auto"/>
          <w:lang w:val="ro-RO"/>
        </w:rPr>
        <w:t xml:space="preserve">VII. Prescriptori: </w:t>
      </w:r>
      <w:r w:rsidRPr="00F941DA">
        <w:rPr>
          <w:color w:val="auto"/>
          <w:lang w:val="ro-RO"/>
        </w:rPr>
        <w:t>Iniţierea se face de către medicii din specialitatea oncologie medicală. Continuarea tratamentului se face de către medicul oncolog sau pe baza scrisorii medicale de către medicii de familie desemnaţi.</w:t>
      </w:r>
    </w:p>
    <w:p w14:paraId="7E240301" w14:textId="77777777" w:rsidR="00C5117B" w:rsidRPr="00F941DA" w:rsidRDefault="00C5117B" w:rsidP="00C5117B">
      <w:pPr>
        <w:pStyle w:val="Body"/>
        <w:spacing w:line="276" w:lineRule="auto"/>
        <w:jc w:val="both"/>
        <w:rPr>
          <w:color w:val="auto"/>
          <w:lang w:val="ro-RO"/>
        </w:rPr>
      </w:pPr>
    </w:p>
    <w:p w14:paraId="46942BA8" w14:textId="77777777" w:rsidR="00C5117B" w:rsidRPr="00F941DA" w:rsidRDefault="00C5117B" w:rsidP="00C5117B">
      <w:pPr>
        <w:pStyle w:val="Body"/>
        <w:spacing w:line="276" w:lineRule="auto"/>
        <w:jc w:val="both"/>
        <w:rPr>
          <w:color w:val="auto"/>
          <w:lang w:val="ro-RO"/>
        </w:rPr>
      </w:pPr>
    </w:p>
    <w:p w14:paraId="3D5BB442" w14:textId="4D772021" w:rsidR="00C5117B" w:rsidRPr="00F941DA" w:rsidRDefault="00C5117B" w:rsidP="00C5117B">
      <w:pPr>
        <w:pStyle w:val="Body"/>
        <w:spacing w:line="276" w:lineRule="auto"/>
        <w:jc w:val="both"/>
        <w:rPr>
          <w:b/>
          <w:bCs/>
          <w:color w:val="auto"/>
          <w:lang w:val="ro-RO"/>
        </w:rPr>
      </w:pPr>
      <w:r w:rsidRPr="00F941DA">
        <w:rPr>
          <w:b/>
          <w:bCs/>
          <w:color w:val="auto"/>
          <w:lang w:val="ro-RO"/>
        </w:rPr>
        <w:t xml:space="preserve">2. </w:t>
      </w:r>
      <w:r w:rsidRPr="00F941DA">
        <w:rPr>
          <w:b/>
          <w:bCs/>
          <w:color w:val="auto"/>
          <w:u w:val="single"/>
          <w:lang w:val="ro-RO"/>
        </w:rPr>
        <w:t>Neoplasm mamar</w:t>
      </w:r>
      <w:r w:rsidRPr="00F941DA">
        <w:rPr>
          <w:b/>
          <w:bCs/>
          <w:color w:val="auto"/>
          <w:lang w:val="ro-RO"/>
        </w:rPr>
        <w:t xml:space="preserve"> (face obiectul unui contract cost-volum )  </w:t>
      </w:r>
    </w:p>
    <w:p w14:paraId="021F14DB" w14:textId="77777777" w:rsidR="00C5117B" w:rsidRPr="00F941DA" w:rsidRDefault="00C5117B" w:rsidP="00C5117B">
      <w:pPr>
        <w:pStyle w:val="Body"/>
        <w:spacing w:line="276" w:lineRule="auto"/>
        <w:jc w:val="both"/>
        <w:rPr>
          <w:b/>
          <w:bCs/>
          <w:i/>
          <w:iCs/>
          <w:color w:val="auto"/>
          <w:lang w:val="ro-RO"/>
        </w:rPr>
      </w:pPr>
      <w:r w:rsidRPr="00F941DA">
        <w:rPr>
          <w:color w:val="auto"/>
          <w:lang w:val="ro-RO"/>
        </w:rPr>
        <w:t xml:space="preserve">Olaparibum în monoterapie este indicat la pacienți adulți cu </w:t>
      </w:r>
      <w:r w:rsidRPr="00F941DA">
        <w:rPr>
          <w:b/>
          <w:bCs/>
          <w:i/>
          <w:iCs/>
          <w:color w:val="auto"/>
          <w:lang w:val="ro-RO"/>
        </w:rPr>
        <w:t xml:space="preserve">neoplasm mamar în stadiul local avansat </w:t>
      </w:r>
      <w:r w:rsidRPr="00F941DA">
        <w:rPr>
          <w:color w:val="auto"/>
          <w:lang w:val="ro-RO"/>
        </w:rPr>
        <w:t>sau</w:t>
      </w:r>
      <w:r w:rsidRPr="00F941DA">
        <w:rPr>
          <w:b/>
          <w:bCs/>
          <w:i/>
          <w:iCs/>
          <w:color w:val="auto"/>
          <w:lang w:val="ro-RO"/>
        </w:rPr>
        <w:t xml:space="preserve"> metastatic, cu mutații germinale ale genei BRCA1/2 și status triplu negativ (HR-/HER2-) la pacienții tratați anterior cu antraciclină și taxan în context (neo)adjuvant sau metastatic, cu excepția situației în care pacienții nu aveau indicație pentru aceste tratamente.</w:t>
      </w:r>
    </w:p>
    <w:p w14:paraId="7D6FD6F8" w14:textId="77777777" w:rsidR="00C5117B" w:rsidRPr="00F941DA" w:rsidRDefault="00C5117B" w:rsidP="00C5117B">
      <w:pPr>
        <w:pStyle w:val="Body"/>
        <w:spacing w:line="276" w:lineRule="auto"/>
        <w:jc w:val="both"/>
        <w:rPr>
          <w:b/>
          <w:bCs/>
          <w:i/>
          <w:iCs/>
          <w:color w:val="auto"/>
          <w:lang w:val="ro-RO"/>
        </w:rPr>
      </w:pPr>
    </w:p>
    <w:p w14:paraId="4696D7E4" w14:textId="77777777" w:rsidR="00C5117B" w:rsidRPr="00F941DA" w:rsidRDefault="00C5117B" w:rsidP="00C5117B">
      <w:pPr>
        <w:pStyle w:val="Body"/>
        <w:spacing w:line="276" w:lineRule="auto"/>
        <w:jc w:val="both"/>
        <w:rPr>
          <w:color w:val="auto"/>
          <w:lang w:val="ro-RO"/>
        </w:rPr>
      </w:pPr>
      <w:r w:rsidRPr="00F941DA">
        <w:rPr>
          <w:b/>
          <w:bCs/>
          <w:color w:val="auto"/>
          <w:lang w:val="ro-RO"/>
        </w:rPr>
        <w:t>Acesta indicație se codifică la prescriere prin codul 124 (conform clasificării internaționale a maladiilor revizia a 10-a, varianta 999 coduri de boală</w:t>
      </w:r>
      <w:r w:rsidRPr="00F941DA">
        <w:rPr>
          <w:color w:val="auto"/>
          <w:lang w:val="ro-RO"/>
        </w:rPr>
        <w:t>.</w:t>
      </w:r>
    </w:p>
    <w:p w14:paraId="23E510AF" w14:textId="77777777" w:rsidR="00C5117B" w:rsidRPr="00F941DA" w:rsidRDefault="00C5117B" w:rsidP="00C5117B">
      <w:pPr>
        <w:pStyle w:val="Body"/>
        <w:spacing w:line="276" w:lineRule="auto"/>
        <w:jc w:val="both"/>
        <w:rPr>
          <w:b/>
          <w:bCs/>
          <w:color w:val="auto"/>
          <w:lang w:val="ro-RO"/>
        </w:rPr>
      </w:pPr>
    </w:p>
    <w:p w14:paraId="25BDCEA9" w14:textId="77777777" w:rsidR="00C5117B" w:rsidRPr="00F941DA" w:rsidRDefault="00C5117B" w:rsidP="00C5117B">
      <w:pPr>
        <w:pStyle w:val="Body"/>
        <w:spacing w:line="276" w:lineRule="auto"/>
        <w:jc w:val="both"/>
        <w:rPr>
          <w:b/>
          <w:bCs/>
          <w:color w:val="auto"/>
          <w:lang w:val="ro-RO"/>
        </w:rPr>
      </w:pPr>
      <w:r w:rsidRPr="00F941DA">
        <w:rPr>
          <w:b/>
          <w:bCs/>
          <w:color w:val="auto"/>
          <w:lang w:val="ro-RO"/>
        </w:rPr>
        <w:t>I. Criterii de includere:</w:t>
      </w:r>
    </w:p>
    <w:p w14:paraId="0ED5C675" w14:textId="77777777" w:rsidR="009015CB" w:rsidRPr="00F941DA" w:rsidRDefault="009015CB" w:rsidP="00D11DF1">
      <w:pPr>
        <w:pStyle w:val="Body"/>
        <w:numPr>
          <w:ilvl w:val="0"/>
          <w:numId w:val="277"/>
        </w:numPr>
        <w:spacing w:line="276" w:lineRule="auto"/>
        <w:ind w:hanging="436"/>
        <w:jc w:val="both"/>
        <w:rPr>
          <w:color w:val="auto"/>
          <w:lang w:val="ro-RO"/>
        </w:rPr>
      </w:pPr>
      <w:r w:rsidRPr="00F941DA">
        <w:rPr>
          <w:color w:val="auto"/>
          <w:lang w:val="ro-RO"/>
        </w:rPr>
        <w:t>v</w:t>
      </w:r>
      <w:r w:rsidR="00C5117B" w:rsidRPr="00F941DA">
        <w:rPr>
          <w:color w:val="auto"/>
          <w:lang w:val="ro-RO"/>
        </w:rPr>
        <w:t>ârstă peste 18 ani;</w:t>
      </w:r>
    </w:p>
    <w:p w14:paraId="05867189" w14:textId="77777777" w:rsidR="009015CB" w:rsidRPr="00F941DA" w:rsidRDefault="00C5117B" w:rsidP="00D11DF1">
      <w:pPr>
        <w:pStyle w:val="Body"/>
        <w:numPr>
          <w:ilvl w:val="0"/>
          <w:numId w:val="277"/>
        </w:numPr>
        <w:spacing w:line="276" w:lineRule="auto"/>
        <w:ind w:hanging="436"/>
        <w:jc w:val="both"/>
        <w:rPr>
          <w:color w:val="auto"/>
          <w:lang w:val="ro-RO"/>
        </w:rPr>
      </w:pPr>
      <w:r w:rsidRPr="00F941DA">
        <w:rPr>
          <w:color w:val="auto"/>
          <w:lang w:val="ro-RO"/>
        </w:rPr>
        <w:t>ECOG 0-2; ECOG 2-4 pentru situațiile particulare în care beneficiul depăşeşte riscul.</w:t>
      </w:r>
    </w:p>
    <w:p w14:paraId="33746B9F" w14:textId="23CEA34E" w:rsidR="009015CB" w:rsidRPr="00F941DA" w:rsidRDefault="009015CB" w:rsidP="00D11DF1">
      <w:pPr>
        <w:pStyle w:val="Body"/>
        <w:numPr>
          <w:ilvl w:val="0"/>
          <w:numId w:val="277"/>
        </w:numPr>
        <w:spacing w:line="276" w:lineRule="auto"/>
        <w:ind w:hanging="436"/>
        <w:jc w:val="both"/>
        <w:rPr>
          <w:color w:val="auto"/>
          <w:lang w:val="ro-RO"/>
        </w:rPr>
      </w:pPr>
      <w:r w:rsidRPr="00F941DA">
        <w:rPr>
          <w:color w:val="auto"/>
          <w:lang w:val="ro-RO"/>
        </w:rPr>
        <w:t>n</w:t>
      </w:r>
      <w:r w:rsidR="00C5117B" w:rsidRPr="00F941DA">
        <w:rPr>
          <w:color w:val="auto"/>
          <w:lang w:val="ro-RO"/>
        </w:rPr>
        <w:t>eoplasm mamar la pacienții tratați anterior cu antraciclina și taxan în context (neo)adjuvant sau metastatic, cu excepția situației în care pacienții nu aveau indicație pentru aceste tratamente.</w:t>
      </w:r>
    </w:p>
    <w:p w14:paraId="39BB3F1F" w14:textId="0B211534" w:rsidR="009015CB" w:rsidRPr="00F941DA" w:rsidRDefault="009015CB" w:rsidP="00D11DF1">
      <w:pPr>
        <w:pStyle w:val="Body"/>
        <w:numPr>
          <w:ilvl w:val="0"/>
          <w:numId w:val="277"/>
        </w:numPr>
        <w:spacing w:line="276" w:lineRule="auto"/>
        <w:ind w:hanging="436"/>
        <w:jc w:val="both"/>
        <w:rPr>
          <w:color w:val="auto"/>
          <w:lang w:val="ro-RO"/>
        </w:rPr>
      </w:pPr>
      <w:r w:rsidRPr="00F941DA">
        <w:rPr>
          <w:color w:val="auto"/>
          <w:lang w:val="ro-RO"/>
        </w:rPr>
        <w:t>s</w:t>
      </w:r>
      <w:r w:rsidR="00C5117B" w:rsidRPr="00F941DA">
        <w:rPr>
          <w:color w:val="auto"/>
          <w:lang w:val="ro-RO"/>
        </w:rPr>
        <w:t>tadiu local avansat sau metastatic.</w:t>
      </w:r>
    </w:p>
    <w:p w14:paraId="400A6D58" w14:textId="4F5F5A78" w:rsidR="009015CB" w:rsidRPr="00F941DA" w:rsidRDefault="009015CB" w:rsidP="00D11DF1">
      <w:pPr>
        <w:pStyle w:val="Body"/>
        <w:numPr>
          <w:ilvl w:val="0"/>
          <w:numId w:val="277"/>
        </w:numPr>
        <w:spacing w:line="276" w:lineRule="auto"/>
        <w:ind w:hanging="436"/>
        <w:jc w:val="both"/>
        <w:rPr>
          <w:color w:val="auto"/>
          <w:lang w:val="ro-RO"/>
        </w:rPr>
      </w:pPr>
      <w:r w:rsidRPr="00F941DA">
        <w:rPr>
          <w:color w:val="auto"/>
          <w:lang w:val="ro-RO"/>
        </w:rPr>
        <w:t>s</w:t>
      </w:r>
      <w:r w:rsidR="00C5117B" w:rsidRPr="00F941DA">
        <w:rPr>
          <w:color w:val="auto"/>
          <w:lang w:val="ro-RO"/>
        </w:rPr>
        <w:t>tatus triplu negativ (HR-/HER2-).</w:t>
      </w:r>
    </w:p>
    <w:p w14:paraId="178BF6C2" w14:textId="662A5FE6" w:rsidR="009015CB" w:rsidRPr="00F941DA" w:rsidRDefault="009015CB" w:rsidP="00D11DF1">
      <w:pPr>
        <w:pStyle w:val="Body"/>
        <w:numPr>
          <w:ilvl w:val="0"/>
          <w:numId w:val="277"/>
        </w:numPr>
        <w:spacing w:line="276" w:lineRule="auto"/>
        <w:ind w:hanging="436"/>
        <w:jc w:val="both"/>
        <w:rPr>
          <w:color w:val="auto"/>
          <w:lang w:val="ro-RO"/>
        </w:rPr>
      </w:pPr>
      <w:r w:rsidRPr="00F941DA">
        <w:rPr>
          <w:color w:val="auto"/>
          <w:lang w:val="ro-RO"/>
        </w:rPr>
        <w:t>m</w:t>
      </w:r>
      <w:r w:rsidR="00C5117B" w:rsidRPr="00F941DA">
        <w:rPr>
          <w:color w:val="auto"/>
          <w:lang w:val="ro-RO"/>
        </w:rPr>
        <w:t>utație germinală a genei BRCA1/2, prezentă.</w:t>
      </w:r>
    </w:p>
    <w:p w14:paraId="02BB6F68" w14:textId="65FB6759" w:rsidR="00C5117B" w:rsidRPr="00F941DA" w:rsidRDefault="009015CB" w:rsidP="00D11DF1">
      <w:pPr>
        <w:pStyle w:val="Body"/>
        <w:numPr>
          <w:ilvl w:val="0"/>
          <w:numId w:val="277"/>
        </w:numPr>
        <w:spacing w:line="276" w:lineRule="auto"/>
        <w:ind w:hanging="436"/>
        <w:jc w:val="both"/>
        <w:rPr>
          <w:color w:val="auto"/>
          <w:lang w:val="ro-RO"/>
        </w:rPr>
      </w:pPr>
      <w:r w:rsidRPr="00F941DA">
        <w:rPr>
          <w:color w:val="auto"/>
          <w:lang w:val="ro-RO"/>
        </w:rPr>
        <w:t>p</w:t>
      </w:r>
      <w:r w:rsidR="00C5117B" w:rsidRPr="00F941DA">
        <w:rPr>
          <w:color w:val="auto"/>
          <w:lang w:val="ro-RO"/>
        </w:rPr>
        <w:t>robe biologice care să permită administrarea medicamentului în condiţii de siguranţă.</w:t>
      </w:r>
    </w:p>
    <w:p w14:paraId="6BAD9416" w14:textId="77777777" w:rsidR="00C5117B" w:rsidRPr="00F941DA" w:rsidRDefault="00C5117B" w:rsidP="00C5117B">
      <w:pPr>
        <w:pStyle w:val="Body"/>
        <w:spacing w:line="276" w:lineRule="auto"/>
        <w:ind w:left="567"/>
        <w:jc w:val="both"/>
        <w:rPr>
          <w:color w:val="auto"/>
          <w:lang w:val="ro-RO"/>
        </w:rPr>
      </w:pPr>
    </w:p>
    <w:p w14:paraId="7D170FBE" w14:textId="77777777" w:rsidR="00C5117B" w:rsidRPr="00F941DA" w:rsidRDefault="00C5117B" w:rsidP="00C5117B">
      <w:pPr>
        <w:pStyle w:val="Body"/>
        <w:spacing w:line="276" w:lineRule="auto"/>
        <w:jc w:val="both"/>
        <w:rPr>
          <w:color w:val="auto"/>
          <w:lang w:val="ro-RO"/>
        </w:rPr>
      </w:pPr>
      <w:r w:rsidRPr="00F941DA">
        <w:rPr>
          <w:b/>
          <w:bCs/>
          <w:i/>
          <w:iCs/>
          <w:color w:val="auto"/>
          <w:u w:val="single"/>
          <w:lang w:val="ro-RO"/>
        </w:rPr>
        <w:t>Nota</w:t>
      </w:r>
      <w:r w:rsidRPr="00F941DA">
        <w:rPr>
          <w:color w:val="auto"/>
          <w:lang w:val="ro-RO"/>
        </w:rPr>
        <w:t>: pot beneficia de olaparib pacienții cu aceasta indicație terapeutica care au primit anterior   olaparib, din surse de finanțare diferite de Programul National de Oncologie si nu au prezentat boala progresivă la medicamentul respectiv.</w:t>
      </w:r>
    </w:p>
    <w:p w14:paraId="78C3F79D" w14:textId="77777777" w:rsidR="00C5117B" w:rsidRPr="00F941DA" w:rsidRDefault="00C5117B" w:rsidP="00C5117B">
      <w:pPr>
        <w:pStyle w:val="Body"/>
        <w:spacing w:line="276" w:lineRule="auto"/>
        <w:jc w:val="both"/>
        <w:rPr>
          <w:b/>
          <w:bCs/>
          <w:color w:val="auto"/>
          <w:lang w:val="ro-RO"/>
        </w:rPr>
      </w:pPr>
    </w:p>
    <w:p w14:paraId="10FF2B2A" w14:textId="77777777" w:rsidR="00C5117B" w:rsidRPr="00F941DA" w:rsidRDefault="00C5117B" w:rsidP="00C5117B">
      <w:pPr>
        <w:pStyle w:val="Body"/>
        <w:spacing w:line="276" w:lineRule="auto"/>
        <w:jc w:val="both"/>
        <w:rPr>
          <w:b/>
          <w:bCs/>
          <w:color w:val="auto"/>
          <w:lang w:val="ro-RO"/>
        </w:rPr>
      </w:pPr>
      <w:r w:rsidRPr="00F941DA">
        <w:rPr>
          <w:b/>
          <w:bCs/>
          <w:color w:val="auto"/>
          <w:lang w:val="ro-RO"/>
        </w:rPr>
        <w:t>II. Criterii de excludere/întrerupere:</w:t>
      </w:r>
    </w:p>
    <w:p w14:paraId="323D40E2" w14:textId="21F1120F" w:rsidR="009015CB" w:rsidRPr="00F941DA" w:rsidRDefault="009015CB" w:rsidP="00D11DF1">
      <w:pPr>
        <w:pStyle w:val="Body"/>
        <w:numPr>
          <w:ilvl w:val="0"/>
          <w:numId w:val="278"/>
        </w:numPr>
        <w:spacing w:line="276" w:lineRule="auto"/>
        <w:jc w:val="both"/>
        <w:rPr>
          <w:color w:val="auto"/>
          <w:lang w:val="ro-RO"/>
        </w:rPr>
      </w:pPr>
      <w:r w:rsidRPr="00F941DA">
        <w:rPr>
          <w:color w:val="auto"/>
          <w:lang w:val="ro-RO"/>
        </w:rPr>
        <w:t>p</w:t>
      </w:r>
      <w:r w:rsidR="00C5117B" w:rsidRPr="00F941DA">
        <w:rPr>
          <w:color w:val="auto"/>
          <w:lang w:val="ro-RO"/>
        </w:rPr>
        <w:t>ersistenţa toxicităţilor de grad ≥ 2 CTCAE induse de administrarea precedentă a terapiei oncologice (cu excepţia alopeciei sau a altor efecte secundare considerate a nu influenta calitatea de viață, prognosticul afecțiunii sau răspunsul la tratamentul cu olaparib).</w:t>
      </w:r>
    </w:p>
    <w:p w14:paraId="18B001F0" w14:textId="22D6AFDD" w:rsidR="009015CB" w:rsidRPr="00F941DA" w:rsidRDefault="009015CB" w:rsidP="00D11DF1">
      <w:pPr>
        <w:pStyle w:val="Body"/>
        <w:numPr>
          <w:ilvl w:val="0"/>
          <w:numId w:val="278"/>
        </w:numPr>
        <w:spacing w:line="276" w:lineRule="auto"/>
        <w:jc w:val="both"/>
        <w:rPr>
          <w:color w:val="auto"/>
          <w:lang w:val="ro-RO"/>
        </w:rPr>
      </w:pPr>
      <w:r w:rsidRPr="00F941DA">
        <w:rPr>
          <w:color w:val="auto"/>
          <w:lang w:val="ro-RO"/>
        </w:rPr>
        <w:t xml:space="preserve">sindrom </w:t>
      </w:r>
      <w:r w:rsidR="00C5117B" w:rsidRPr="00F941DA">
        <w:rPr>
          <w:color w:val="auto"/>
          <w:lang w:val="ro-RO"/>
        </w:rPr>
        <w:t>mielodisplazic sau leucemie mieloidă acută.</w:t>
      </w:r>
    </w:p>
    <w:p w14:paraId="0B899B1F" w14:textId="2F13EF2C" w:rsidR="009015CB" w:rsidRPr="00F941DA" w:rsidRDefault="009015CB" w:rsidP="00D11DF1">
      <w:pPr>
        <w:pStyle w:val="Body"/>
        <w:numPr>
          <w:ilvl w:val="0"/>
          <w:numId w:val="278"/>
        </w:numPr>
        <w:spacing w:line="276" w:lineRule="auto"/>
        <w:jc w:val="both"/>
        <w:rPr>
          <w:color w:val="auto"/>
          <w:lang w:val="ro-RO"/>
        </w:rPr>
      </w:pPr>
      <w:r w:rsidRPr="00F941DA">
        <w:rPr>
          <w:color w:val="auto"/>
          <w:lang w:val="ro-RO"/>
        </w:rPr>
        <w:t xml:space="preserve">efectuarea </w:t>
      </w:r>
      <w:r w:rsidR="00C5117B" w:rsidRPr="00F941DA">
        <w:rPr>
          <w:color w:val="auto"/>
          <w:lang w:val="ro-RO"/>
        </w:rPr>
        <w:t>radioterapiei (cu excepţia celei efectuate în scop paleativ), în ultimele 2 săptămâni</w:t>
      </w:r>
    </w:p>
    <w:p w14:paraId="582E4FD6" w14:textId="77788199" w:rsidR="009015CB" w:rsidRPr="00F941DA" w:rsidRDefault="009015CB" w:rsidP="00D11DF1">
      <w:pPr>
        <w:pStyle w:val="Body"/>
        <w:numPr>
          <w:ilvl w:val="0"/>
          <w:numId w:val="278"/>
        </w:numPr>
        <w:spacing w:line="276" w:lineRule="auto"/>
        <w:jc w:val="both"/>
        <w:rPr>
          <w:color w:val="auto"/>
          <w:lang w:val="ro-RO"/>
        </w:rPr>
      </w:pPr>
      <w:r w:rsidRPr="00F941DA">
        <w:rPr>
          <w:color w:val="auto"/>
          <w:lang w:val="ro-RO"/>
        </w:rPr>
        <w:t xml:space="preserve">metastaze </w:t>
      </w:r>
      <w:r w:rsidR="00C5117B" w:rsidRPr="00F941DA">
        <w:rPr>
          <w:color w:val="auto"/>
          <w:lang w:val="ro-RO"/>
        </w:rPr>
        <w:t>cerebrale necontrolate terapeutic (simptomatice).</w:t>
      </w:r>
    </w:p>
    <w:p w14:paraId="16BF0167" w14:textId="317A7BC4" w:rsidR="009015CB" w:rsidRPr="00F941DA" w:rsidRDefault="009015CB" w:rsidP="00D11DF1">
      <w:pPr>
        <w:pStyle w:val="Body"/>
        <w:numPr>
          <w:ilvl w:val="0"/>
          <w:numId w:val="278"/>
        </w:numPr>
        <w:spacing w:line="276" w:lineRule="auto"/>
        <w:jc w:val="both"/>
        <w:rPr>
          <w:color w:val="auto"/>
          <w:lang w:val="ro-RO"/>
        </w:rPr>
      </w:pPr>
      <w:r w:rsidRPr="00F941DA">
        <w:rPr>
          <w:color w:val="auto"/>
          <w:lang w:val="ro-RO"/>
        </w:rPr>
        <w:t xml:space="preserve">intervenţie </w:t>
      </w:r>
      <w:r w:rsidR="00C5117B" w:rsidRPr="00F941DA">
        <w:rPr>
          <w:color w:val="auto"/>
          <w:lang w:val="ro-RO"/>
        </w:rPr>
        <w:t>chirurgicală majoră în ultimele două săptămâni.</w:t>
      </w:r>
    </w:p>
    <w:p w14:paraId="01E49020" w14:textId="307367F7" w:rsidR="009015CB" w:rsidRPr="00F941DA" w:rsidRDefault="009015CB" w:rsidP="00D11DF1">
      <w:pPr>
        <w:pStyle w:val="Body"/>
        <w:numPr>
          <w:ilvl w:val="0"/>
          <w:numId w:val="278"/>
        </w:numPr>
        <w:spacing w:line="276" w:lineRule="auto"/>
        <w:jc w:val="both"/>
        <w:rPr>
          <w:color w:val="auto"/>
          <w:lang w:val="ro-RO"/>
        </w:rPr>
      </w:pPr>
      <w:r w:rsidRPr="00F941DA">
        <w:rPr>
          <w:color w:val="auto"/>
          <w:lang w:val="ro-RO"/>
        </w:rPr>
        <w:t xml:space="preserve">infarct </w:t>
      </w:r>
      <w:r w:rsidR="00C5117B" w:rsidRPr="00F941DA">
        <w:rPr>
          <w:color w:val="auto"/>
          <w:lang w:val="ro-RO"/>
        </w:rPr>
        <w:t>miocardic acut, angină instabilă, aritmii ventriculare necontrolate, în ultimele 3 luni sau alte afecţiuni cardiace necontrolate.</w:t>
      </w:r>
    </w:p>
    <w:p w14:paraId="728E946F" w14:textId="0E73160D" w:rsidR="009015CB" w:rsidRPr="00F941DA" w:rsidRDefault="009015CB" w:rsidP="00D11DF1">
      <w:pPr>
        <w:pStyle w:val="Body"/>
        <w:numPr>
          <w:ilvl w:val="0"/>
          <w:numId w:val="278"/>
        </w:numPr>
        <w:spacing w:line="276" w:lineRule="auto"/>
        <w:jc w:val="both"/>
        <w:rPr>
          <w:color w:val="auto"/>
          <w:lang w:val="ro-RO"/>
        </w:rPr>
      </w:pPr>
      <w:r w:rsidRPr="00F941DA">
        <w:rPr>
          <w:color w:val="auto"/>
          <w:lang w:val="ro-RO"/>
        </w:rPr>
        <w:t xml:space="preserve">hipersensibilitate </w:t>
      </w:r>
      <w:r w:rsidR="00C5117B" w:rsidRPr="00F941DA">
        <w:rPr>
          <w:color w:val="auto"/>
          <w:lang w:val="ro-RO"/>
        </w:rPr>
        <w:t>cunoscută la substanţa activă sau la oricare din excipienţi.</w:t>
      </w:r>
    </w:p>
    <w:p w14:paraId="4C0F4132" w14:textId="130E1914" w:rsidR="00C5117B" w:rsidRPr="00F941DA" w:rsidRDefault="009015CB" w:rsidP="00D11DF1">
      <w:pPr>
        <w:pStyle w:val="Body"/>
        <w:numPr>
          <w:ilvl w:val="0"/>
          <w:numId w:val="278"/>
        </w:numPr>
        <w:spacing w:line="276" w:lineRule="auto"/>
        <w:jc w:val="both"/>
        <w:rPr>
          <w:color w:val="auto"/>
          <w:lang w:val="ro-RO"/>
        </w:rPr>
      </w:pPr>
      <w:r w:rsidRPr="00F941DA">
        <w:rPr>
          <w:color w:val="auto"/>
          <w:lang w:val="ro-RO"/>
        </w:rPr>
        <w:t xml:space="preserve">sarcină </w:t>
      </w:r>
      <w:r w:rsidR="00C5117B" w:rsidRPr="00F941DA">
        <w:rPr>
          <w:color w:val="auto"/>
          <w:lang w:val="ro-RO"/>
        </w:rPr>
        <w:t>sau alăptare.</w:t>
      </w:r>
    </w:p>
    <w:p w14:paraId="0045009F" w14:textId="77777777" w:rsidR="00C5117B" w:rsidRPr="00F941DA" w:rsidRDefault="00C5117B" w:rsidP="00C5117B">
      <w:pPr>
        <w:pStyle w:val="Body"/>
        <w:spacing w:line="276" w:lineRule="auto"/>
        <w:jc w:val="both"/>
        <w:rPr>
          <w:b/>
          <w:bCs/>
          <w:color w:val="auto"/>
          <w:lang w:val="ro-RO"/>
        </w:rPr>
      </w:pPr>
    </w:p>
    <w:p w14:paraId="723584FD" w14:textId="77777777" w:rsidR="00C5117B" w:rsidRPr="00F941DA" w:rsidRDefault="00C5117B" w:rsidP="00C5117B">
      <w:pPr>
        <w:pStyle w:val="Body"/>
        <w:spacing w:line="276" w:lineRule="auto"/>
        <w:jc w:val="both"/>
        <w:rPr>
          <w:b/>
          <w:bCs/>
          <w:color w:val="auto"/>
          <w:lang w:val="ro-RO"/>
        </w:rPr>
      </w:pPr>
      <w:r w:rsidRPr="00F941DA">
        <w:rPr>
          <w:b/>
          <w:bCs/>
          <w:color w:val="auto"/>
          <w:lang w:val="ro-RO"/>
        </w:rPr>
        <w:t>III. Durata tratamentului:</w:t>
      </w:r>
    </w:p>
    <w:p w14:paraId="0A3BC4B8" w14:textId="77777777" w:rsidR="00C5117B" w:rsidRPr="00F941DA" w:rsidRDefault="00C5117B" w:rsidP="00C5117B">
      <w:pPr>
        <w:pStyle w:val="Body"/>
        <w:spacing w:line="276" w:lineRule="auto"/>
        <w:jc w:val="both"/>
        <w:rPr>
          <w:color w:val="auto"/>
          <w:lang w:val="ro-RO"/>
        </w:rPr>
      </w:pPr>
      <w:r w:rsidRPr="00F941DA">
        <w:rPr>
          <w:color w:val="auto"/>
          <w:lang w:val="ro-RO"/>
        </w:rPr>
        <w:t>Se recomandă ca tratamentul să continue până la progresia bolii de bază sau toxicitate inacceptabilă.</w:t>
      </w:r>
    </w:p>
    <w:p w14:paraId="31F66A70" w14:textId="77777777" w:rsidR="00C5117B" w:rsidRPr="00F941DA" w:rsidRDefault="00C5117B" w:rsidP="00C5117B">
      <w:pPr>
        <w:pStyle w:val="Body"/>
        <w:spacing w:line="276" w:lineRule="auto"/>
        <w:jc w:val="both"/>
        <w:rPr>
          <w:b/>
          <w:bCs/>
          <w:color w:val="auto"/>
          <w:lang w:val="ro-RO"/>
        </w:rPr>
      </w:pPr>
    </w:p>
    <w:p w14:paraId="555E08E1" w14:textId="77777777" w:rsidR="00C5117B" w:rsidRPr="00F941DA" w:rsidRDefault="00C5117B" w:rsidP="00C5117B">
      <w:pPr>
        <w:pStyle w:val="Body"/>
        <w:spacing w:line="276" w:lineRule="auto"/>
        <w:jc w:val="both"/>
        <w:rPr>
          <w:b/>
          <w:bCs/>
          <w:color w:val="auto"/>
          <w:lang w:val="ro-RO"/>
        </w:rPr>
      </w:pPr>
      <w:r w:rsidRPr="00F941DA">
        <w:rPr>
          <w:b/>
          <w:bCs/>
          <w:color w:val="auto"/>
          <w:lang w:val="ro-RO"/>
        </w:rPr>
        <w:t>IV. Forma de administrare:</w:t>
      </w:r>
    </w:p>
    <w:p w14:paraId="4DF14437" w14:textId="0F87A810" w:rsidR="00C5117B" w:rsidRPr="00F941DA" w:rsidRDefault="00C5117B" w:rsidP="00C5117B">
      <w:pPr>
        <w:pStyle w:val="Body"/>
        <w:spacing w:line="276" w:lineRule="auto"/>
        <w:jc w:val="both"/>
        <w:rPr>
          <w:color w:val="auto"/>
          <w:lang w:val="ro-RO"/>
        </w:rPr>
      </w:pPr>
      <w:r w:rsidRPr="00F941DA">
        <w:rPr>
          <w:color w:val="auto"/>
          <w:lang w:val="ro-RO"/>
        </w:rPr>
        <w:t>Comprimate filmate de 100 și 150 mg. Doza recomandată de olaparib este 300 mg (două comprimate de 150 mg) de două ori pe zi, echivalentul unei doze zilnice totale de 600 mg. La nevoie</w:t>
      </w:r>
      <w:r w:rsidR="009015CB" w:rsidRPr="00F941DA">
        <w:rPr>
          <w:color w:val="auto"/>
          <w:lang w:val="ro-RO"/>
        </w:rPr>
        <w:t xml:space="preserve"> </w:t>
      </w:r>
      <w:r w:rsidRPr="00F941DA">
        <w:rPr>
          <w:color w:val="auto"/>
          <w:lang w:val="ro-RO"/>
        </w:rPr>
        <w:t>doza se scade la 250 mg (un comprimat de 150 mg și un comprimat de 100 mg) de două ori pe zi (echivalent cu o doză zilnică totală de 500 mg) si ulterior la 200 mg (două comprimate de 100 mg) de două ori pe zi (echivalent cu o doză zilnică totală de 400 mg).</w:t>
      </w:r>
    </w:p>
    <w:p w14:paraId="3BD2CF6B" w14:textId="77777777" w:rsidR="00C5117B" w:rsidRPr="00F941DA" w:rsidRDefault="00C5117B" w:rsidP="00C5117B">
      <w:pPr>
        <w:pStyle w:val="Body"/>
        <w:spacing w:line="276" w:lineRule="auto"/>
        <w:jc w:val="both"/>
        <w:rPr>
          <w:b/>
          <w:bCs/>
          <w:color w:val="auto"/>
          <w:lang w:val="ro-RO"/>
        </w:rPr>
      </w:pPr>
    </w:p>
    <w:p w14:paraId="216C02C1" w14:textId="77777777" w:rsidR="00C5117B" w:rsidRPr="00F941DA" w:rsidRDefault="00C5117B" w:rsidP="00C5117B">
      <w:pPr>
        <w:pStyle w:val="Body"/>
        <w:spacing w:line="276" w:lineRule="auto"/>
        <w:jc w:val="both"/>
        <w:rPr>
          <w:b/>
          <w:bCs/>
          <w:color w:val="auto"/>
          <w:lang w:val="ro-RO"/>
        </w:rPr>
      </w:pPr>
      <w:r w:rsidRPr="00F941DA">
        <w:rPr>
          <w:b/>
          <w:bCs/>
          <w:color w:val="auto"/>
          <w:lang w:val="ro-RO"/>
        </w:rPr>
        <w:t>V. Monitorizare:</w:t>
      </w:r>
    </w:p>
    <w:p w14:paraId="47B27982" w14:textId="77777777" w:rsidR="00C5117B" w:rsidRPr="00F941DA" w:rsidRDefault="00C5117B" w:rsidP="00D11DF1">
      <w:pPr>
        <w:pStyle w:val="Body"/>
        <w:numPr>
          <w:ilvl w:val="1"/>
          <w:numId w:val="266"/>
        </w:numPr>
        <w:spacing w:line="276" w:lineRule="auto"/>
        <w:jc w:val="both"/>
        <w:rPr>
          <w:color w:val="auto"/>
          <w:lang w:val="ro-RO"/>
        </w:rPr>
      </w:pPr>
      <w:r w:rsidRPr="00F941DA">
        <w:rPr>
          <w:color w:val="auto"/>
          <w:lang w:val="ro-RO"/>
        </w:rPr>
        <w:t>imagistic prin examen CT/RMN.</w:t>
      </w:r>
    </w:p>
    <w:p w14:paraId="24EC5070" w14:textId="77777777" w:rsidR="00C5117B" w:rsidRPr="00F941DA" w:rsidRDefault="00C5117B" w:rsidP="00D11DF1">
      <w:pPr>
        <w:pStyle w:val="Body"/>
        <w:numPr>
          <w:ilvl w:val="1"/>
          <w:numId w:val="266"/>
        </w:numPr>
        <w:spacing w:line="276" w:lineRule="auto"/>
        <w:jc w:val="both"/>
        <w:rPr>
          <w:color w:val="auto"/>
          <w:lang w:val="ro-RO"/>
        </w:rPr>
      </w:pPr>
      <w:r w:rsidRPr="00F941DA">
        <w:rPr>
          <w:color w:val="auto"/>
          <w:lang w:val="ro-RO"/>
        </w:rPr>
        <w:t>hemoleucograma – lunar.</w:t>
      </w:r>
    </w:p>
    <w:p w14:paraId="18D694DC" w14:textId="77777777" w:rsidR="00C5117B" w:rsidRPr="00F941DA" w:rsidRDefault="00C5117B" w:rsidP="00C5117B">
      <w:pPr>
        <w:pStyle w:val="Body"/>
        <w:spacing w:line="276" w:lineRule="auto"/>
        <w:jc w:val="both"/>
        <w:rPr>
          <w:b/>
          <w:bCs/>
          <w:color w:val="auto"/>
          <w:lang w:val="ro-RO"/>
        </w:rPr>
      </w:pPr>
    </w:p>
    <w:p w14:paraId="7B1969ED" w14:textId="77777777" w:rsidR="00C5117B" w:rsidRPr="00F941DA" w:rsidRDefault="00C5117B" w:rsidP="00C5117B">
      <w:pPr>
        <w:pStyle w:val="Body"/>
        <w:spacing w:line="276" w:lineRule="auto"/>
        <w:jc w:val="both"/>
        <w:rPr>
          <w:color w:val="auto"/>
          <w:lang w:val="ro-RO"/>
        </w:rPr>
      </w:pPr>
      <w:r w:rsidRPr="00F941DA">
        <w:rPr>
          <w:b/>
          <w:bCs/>
          <w:color w:val="auto"/>
          <w:lang w:val="ro-RO"/>
        </w:rPr>
        <w:t xml:space="preserve">VI. Situaţii particulare </w:t>
      </w:r>
      <w:r w:rsidRPr="00F941DA">
        <w:rPr>
          <w:color w:val="auto"/>
          <w:lang w:val="ro-RO"/>
        </w:rPr>
        <w:t>(analizate individual) în care beneficiul clinic al administrării medicamentului depășește riscul:</w:t>
      </w:r>
    </w:p>
    <w:p w14:paraId="1901972C" w14:textId="77777777" w:rsidR="00C5117B" w:rsidRPr="00F941DA" w:rsidRDefault="00C5117B" w:rsidP="00D11DF1">
      <w:pPr>
        <w:pStyle w:val="Body"/>
        <w:numPr>
          <w:ilvl w:val="0"/>
          <w:numId w:val="268"/>
        </w:numPr>
        <w:spacing w:line="276" w:lineRule="auto"/>
        <w:jc w:val="both"/>
        <w:rPr>
          <w:color w:val="auto"/>
          <w:lang w:val="ro-RO"/>
        </w:rPr>
      </w:pPr>
      <w:r w:rsidRPr="00F941DA">
        <w:rPr>
          <w:color w:val="auto"/>
          <w:lang w:val="ro-RO"/>
        </w:rPr>
        <w:lastRenderedPageBreak/>
        <w:t>Utilizarea concomitentă a inhibitorilor puternici şi moderaţi ai izoenzimei CYP3A.</w:t>
      </w:r>
    </w:p>
    <w:p w14:paraId="6D112004" w14:textId="77777777" w:rsidR="00C5117B" w:rsidRPr="00F941DA" w:rsidRDefault="00C5117B" w:rsidP="00D11DF1">
      <w:pPr>
        <w:pStyle w:val="Body"/>
        <w:numPr>
          <w:ilvl w:val="0"/>
          <w:numId w:val="268"/>
        </w:numPr>
        <w:spacing w:line="276" w:lineRule="auto"/>
        <w:jc w:val="both"/>
        <w:rPr>
          <w:color w:val="auto"/>
          <w:lang w:val="ro-RO"/>
        </w:rPr>
      </w:pPr>
      <w:r w:rsidRPr="00F941DA">
        <w:rPr>
          <w:color w:val="auto"/>
          <w:lang w:val="ro-RO"/>
        </w:rPr>
        <w:t>Insuficienţă renală severă (clearance-ul creatininei &lt; 30 ml/min).</w:t>
      </w:r>
    </w:p>
    <w:p w14:paraId="450619A9" w14:textId="77777777" w:rsidR="00C5117B" w:rsidRPr="00F941DA" w:rsidRDefault="00C5117B" w:rsidP="00D11DF1">
      <w:pPr>
        <w:pStyle w:val="Body"/>
        <w:numPr>
          <w:ilvl w:val="0"/>
          <w:numId w:val="268"/>
        </w:numPr>
        <w:spacing w:line="276" w:lineRule="auto"/>
        <w:jc w:val="both"/>
        <w:rPr>
          <w:color w:val="auto"/>
          <w:lang w:val="ro-RO"/>
        </w:rPr>
      </w:pPr>
      <w:r w:rsidRPr="00F941DA">
        <w:rPr>
          <w:color w:val="auto"/>
          <w:lang w:val="ro-RO"/>
        </w:rPr>
        <w:t>Status de performanţă ECOG 2-4.</w:t>
      </w:r>
    </w:p>
    <w:p w14:paraId="16134AEE" w14:textId="77777777" w:rsidR="00C5117B" w:rsidRPr="00F941DA" w:rsidRDefault="00C5117B" w:rsidP="00D11DF1">
      <w:pPr>
        <w:pStyle w:val="Body"/>
        <w:numPr>
          <w:ilvl w:val="0"/>
          <w:numId w:val="268"/>
        </w:numPr>
        <w:spacing w:line="276" w:lineRule="auto"/>
        <w:jc w:val="both"/>
        <w:rPr>
          <w:color w:val="auto"/>
          <w:lang w:val="ro-RO"/>
        </w:rPr>
      </w:pPr>
      <w:r w:rsidRPr="00F941DA">
        <w:rPr>
          <w:color w:val="auto"/>
          <w:lang w:val="ro-RO"/>
        </w:rPr>
        <w:t>Persistenţa toxicităţii hematologice cauzate de tratamentul citotoxic anterior (valorile hemoglobinei, trombocitelor şi neutrofilelor de grad &gt; 1 CTCAE).</w:t>
      </w:r>
    </w:p>
    <w:p w14:paraId="7D2E3A77" w14:textId="77777777" w:rsidR="00C5117B" w:rsidRPr="00F941DA" w:rsidRDefault="00C5117B" w:rsidP="00C5117B">
      <w:pPr>
        <w:pStyle w:val="Body"/>
        <w:spacing w:line="276" w:lineRule="auto"/>
        <w:jc w:val="both"/>
        <w:rPr>
          <w:b/>
          <w:bCs/>
          <w:color w:val="auto"/>
          <w:lang w:val="ro-RO"/>
        </w:rPr>
      </w:pPr>
    </w:p>
    <w:p w14:paraId="7185D54C" w14:textId="77777777" w:rsidR="00C5117B" w:rsidRPr="00F941DA" w:rsidRDefault="00C5117B" w:rsidP="00C5117B">
      <w:pPr>
        <w:pStyle w:val="Body"/>
        <w:spacing w:line="276" w:lineRule="auto"/>
        <w:jc w:val="both"/>
        <w:rPr>
          <w:color w:val="auto"/>
          <w:lang w:val="ro-RO"/>
        </w:rPr>
      </w:pPr>
      <w:r w:rsidRPr="00F941DA">
        <w:rPr>
          <w:b/>
          <w:bCs/>
          <w:color w:val="auto"/>
          <w:lang w:val="ro-RO"/>
        </w:rPr>
        <w:t xml:space="preserve">VII. Prescriptori: </w:t>
      </w:r>
      <w:r w:rsidRPr="00F941DA">
        <w:rPr>
          <w:color w:val="auto"/>
          <w:lang w:val="ro-RO"/>
        </w:rPr>
        <w:t>Iniţierea se face de către medicii din specialitatea oncologie medicală. Continuarea tratamentului se face de către medicul oncolog sau pe baza scrisorii medicale de către medicii de familie desemnaţi.”</w:t>
      </w:r>
    </w:p>
    <w:p w14:paraId="3654BE5E" w14:textId="77777777" w:rsidR="00C5117B" w:rsidRPr="00F941DA" w:rsidRDefault="00C5117B" w:rsidP="00C5117B">
      <w:pPr>
        <w:pStyle w:val="Body"/>
        <w:tabs>
          <w:tab w:val="left" w:pos="426"/>
        </w:tabs>
        <w:spacing w:line="276" w:lineRule="auto"/>
        <w:jc w:val="both"/>
        <w:rPr>
          <w:b/>
          <w:bCs/>
          <w:color w:val="auto"/>
          <w:lang w:val="ro-RO"/>
        </w:rPr>
      </w:pPr>
    </w:p>
    <w:p w14:paraId="6C17FC6E" w14:textId="1C9E2695" w:rsidR="00C5117B" w:rsidRPr="00F941DA" w:rsidRDefault="00C5117B" w:rsidP="00C5117B">
      <w:pPr>
        <w:pStyle w:val="Body"/>
        <w:spacing w:line="276" w:lineRule="auto"/>
        <w:jc w:val="both"/>
        <w:rPr>
          <w:b/>
          <w:bCs/>
          <w:color w:val="auto"/>
          <w:lang w:val="ro-RO"/>
        </w:rPr>
      </w:pPr>
      <w:r w:rsidRPr="00F941DA">
        <w:rPr>
          <w:b/>
          <w:bCs/>
          <w:color w:val="auto"/>
          <w:lang w:val="ro-RO"/>
        </w:rPr>
        <w:t xml:space="preserve">C. </w:t>
      </w:r>
      <w:r w:rsidR="009015CB" w:rsidRPr="00F941DA">
        <w:rPr>
          <w:b/>
          <w:bCs/>
          <w:color w:val="auto"/>
          <w:u w:val="single"/>
          <w:lang w:val="ro-RO"/>
        </w:rPr>
        <w:t>C</w:t>
      </w:r>
      <w:r w:rsidRPr="00F941DA">
        <w:rPr>
          <w:b/>
          <w:bCs/>
          <w:color w:val="auto"/>
          <w:u w:val="single"/>
          <w:lang w:val="ro-RO"/>
        </w:rPr>
        <w:t>ancer de prostată</w:t>
      </w:r>
      <w:r w:rsidRPr="00F941DA">
        <w:rPr>
          <w:b/>
          <w:bCs/>
          <w:color w:val="auto"/>
          <w:lang w:val="ro-RO"/>
        </w:rPr>
        <w:t xml:space="preserve"> </w:t>
      </w:r>
    </w:p>
    <w:p w14:paraId="6F3BF175" w14:textId="77777777" w:rsidR="00C5117B" w:rsidRPr="00F941DA" w:rsidRDefault="00C5117B" w:rsidP="00C5117B">
      <w:pPr>
        <w:pStyle w:val="Body"/>
        <w:spacing w:line="276" w:lineRule="auto"/>
        <w:jc w:val="both"/>
        <w:rPr>
          <w:color w:val="auto"/>
          <w:lang w:val="ro-RO"/>
        </w:rPr>
      </w:pPr>
      <w:r w:rsidRPr="00F941DA">
        <w:rPr>
          <w:b/>
          <w:bCs/>
          <w:color w:val="auto"/>
          <w:lang w:val="ro-RO"/>
        </w:rPr>
        <w:t>1.a.</w:t>
      </w:r>
      <w:r w:rsidRPr="00F941DA">
        <w:rPr>
          <w:color w:val="auto"/>
          <w:lang w:val="ro-RO"/>
        </w:rPr>
        <w:t xml:space="preserve"> Olaparibum este indicat în monoterapie la pacienți adulți cu cancer de prostată rezistent la castrare în stadiu metastatic și mutație BRCA1/2 (germinală și/sau somatică), care prezintă progresie după tratamentul anterior care a inclus un agent hormonal nou.</w:t>
      </w:r>
    </w:p>
    <w:p w14:paraId="69AB0C1D" w14:textId="77777777" w:rsidR="00C5117B" w:rsidRPr="00F941DA" w:rsidRDefault="00C5117B" w:rsidP="00C5117B">
      <w:pPr>
        <w:pStyle w:val="Body"/>
        <w:spacing w:line="276" w:lineRule="auto"/>
        <w:jc w:val="both"/>
        <w:rPr>
          <w:color w:val="auto"/>
          <w:lang w:val="ro-RO"/>
        </w:rPr>
      </w:pPr>
      <w:r w:rsidRPr="00F941DA">
        <w:rPr>
          <w:b/>
          <w:bCs/>
          <w:color w:val="auto"/>
          <w:lang w:val="ro-RO"/>
        </w:rPr>
        <w:t>1.b.</w:t>
      </w:r>
      <w:r w:rsidRPr="00F941DA">
        <w:rPr>
          <w:color w:val="auto"/>
          <w:lang w:val="ro-RO"/>
        </w:rPr>
        <w:t xml:space="preserve"> Olaparibum este indicat în asociere cu abirateronă și prednisolon pentru tratamentul pacienților cu cancer de prostată rezistent la castrare în stadiu metastatic la care chimioterapia nu este indicată clinic.</w:t>
      </w:r>
    </w:p>
    <w:p w14:paraId="61FCA30D" w14:textId="77777777" w:rsidR="00C5117B" w:rsidRPr="00F941DA" w:rsidRDefault="00C5117B" w:rsidP="00C5117B">
      <w:pPr>
        <w:pStyle w:val="Body"/>
        <w:rPr>
          <w:color w:val="auto"/>
          <w:lang w:val="ro-RO"/>
        </w:rPr>
      </w:pPr>
    </w:p>
    <w:p w14:paraId="340826DB" w14:textId="77777777" w:rsidR="00C5117B" w:rsidRPr="00F941DA" w:rsidRDefault="00C5117B" w:rsidP="00C5117B">
      <w:pPr>
        <w:pStyle w:val="Body"/>
        <w:spacing w:line="276" w:lineRule="auto"/>
        <w:jc w:val="both"/>
        <w:rPr>
          <w:b/>
          <w:bCs/>
          <w:color w:val="auto"/>
          <w:lang w:val="ro-RO"/>
        </w:rPr>
      </w:pPr>
      <w:r w:rsidRPr="00F941DA">
        <w:rPr>
          <w:b/>
          <w:bCs/>
          <w:color w:val="auto"/>
          <w:lang w:val="ro-RO"/>
        </w:rPr>
        <w:t>Aceste indicații se codifică la prescriere prin codul 134 (conform clasificării internaționale a maladiilor revizia a 10-a, varianta 999 coduri de boală)</w:t>
      </w:r>
    </w:p>
    <w:p w14:paraId="37C76013" w14:textId="77777777" w:rsidR="00C5117B" w:rsidRPr="00F941DA" w:rsidRDefault="00C5117B" w:rsidP="00C5117B">
      <w:pPr>
        <w:pStyle w:val="Body"/>
        <w:rPr>
          <w:color w:val="auto"/>
          <w:lang w:val="ro-RO"/>
        </w:rPr>
      </w:pPr>
    </w:p>
    <w:p w14:paraId="76BD7B70" w14:textId="77777777" w:rsidR="00C5117B" w:rsidRPr="00F941DA" w:rsidRDefault="00C5117B" w:rsidP="00D11DF1">
      <w:pPr>
        <w:pStyle w:val="Body"/>
        <w:numPr>
          <w:ilvl w:val="0"/>
          <w:numId w:val="273"/>
        </w:numPr>
        <w:spacing w:line="276" w:lineRule="auto"/>
        <w:ind w:left="284" w:hanging="284"/>
        <w:jc w:val="both"/>
        <w:rPr>
          <w:b/>
          <w:bCs/>
          <w:color w:val="auto"/>
          <w:lang w:val="ro-RO"/>
        </w:rPr>
      </w:pPr>
      <w:r w:rsidRPr="00F941DA">
        <w:rPr>
          <w:b/>
          <w:bCs/>
          <w:color w:val="auto"/>
          <w:lang w:val="ro-RO"/>
        </w:rPr>
        <w:t>Criterii de includere:</w:t>
      </w:r>
    </w:p>
    <w:p w14:paraId="728195CE" w14:textId="77777777" w:rsidR="009015CB" w:rsidRPr="00F941DA" w:rsidRDefault="009015CB" w:rsidP="009015CB">
      <w:pPr>
        <w:pStyle w:val="Body"/>
        <w:spacing w:line="276" w:lineRule="auto"/>
        <w:jc w:val="both"/>
        <w:rPr>
          <w:b/>
          <w:bCs/>
          <w:color w:val="auto"/>
          <w:lang w:val="ro-RO"/>
        </w:rPr>
      </w:pPr>
    </w:p>
    <w:p w14:paraId="5E355CEA" w14:textId="77777777" w:rsidR="00C5117B" w:rsidRPr="00F941DA" w:rsidRDefault="00C5117B" w:rsidP="009015CB">
      <w:pPr>
        <w:pStyle w:val="Body"/>
        <w:spacing w:line="276" w:lineRule="auto"/>
        <w:jc w:val="both"/>
        <w:rPr>
          <w:b/>
          <w:bCs/>
          <w:color w:val="auto"/>
          <w:lang w:val="ro-RO"/>
        </w:rPr>
      </w:pPr>
      <w:r w:rsidRPr="00F941DA">
        <w:rPr>
          <w:b/>
          <w:bCs/>
          <w:color w:val="auto"/>
          <w:lang w:val="ro-RO"/>
        </w:rPr>
        <w:t>Pentru indicatia prevazuta la pct 1.a</w:t>
      </w:r>
    </w:p>
    <w:p w14:paraId="6C751FBF" w14:textId="50F60A00" w:rsidR="009015CB" w:rsidRPr="00F941DA" w:rsidRDefault="009015CB" w:rsidP="00D11DF1">
      <w:pPr>
        <w:pStyle w:val="Body"/>
        <w:numPr>
          <w:ilvl w:val="0"/>
          <w:numId w:val="279"/>
        </w:numPr>
        <w:spacing w:line="276" w:lineRule="auto"/>
        <w:jc w:val="both"/>
        <w:rPr>
          <w:color w:val="auto"/>
          <w:lang w:val="ro-RO"/>
        </w:rPr>
      </w:pPr>
      <w:r w:rsidRPr="00F941DA">
        <w:rPr>
          <w:color w:val="auto"/>
          <w:lang w:val="ro-RO"/>
        </w:rPr>
        <w:t xml:space="preserve">vârstă </w:t>
      </w:r>
      <w:r w:rsidR="00C5117B" w:rsidRPr="00F941DA">
        <w:rPr>
          <w:color w:val="auto"/>
          <w:lang w:val="ro-RO"/>
        </w:rPr>
        <w:t>peste 18 ani;</w:t>
      </w:r>
    </w:p>
    <w:p w14:paraId="046F7ED6" w14:textId="77777777" w:rsidR="009015CB" w:rsidRPr="00F941DA" w:rsidRDefault="00C5117B" w:rsidP="00D11DF1">
      <w:pPr>
        <w:pStyle w:val="Body"/>
        <w:numPr>
          <w:ilvl w:val="0"/>
          <w:numId w:val="279"/>
        </w:numPr>
        <w:spacing w:line="276" w:lineRule="auto"/>
        <w:jc w:val="both"/>
        <w:rPr>
          <w:color w:val="auto"/>
          <w:lang w:val="ro-RO"/>
        </w:rPr>
      </w:pPr>
      <w:r w:rsidRPr="00F941DA">
        <w:rPr>
          <w:color w:val="auto"/>
          <w:lang w:val="ro-RO"/>
        </w:rPr>
        <w:t xml:space="preserve">ECOG 0-2; ECOG peste 2 în situații particulare în care beneficiul depășește riscul </w:t>
      </w:r>
    </w:p>
    <w:p w14:paraId="43C16D4B" w14:textId="77777777" w:rsidR="009015CB" w:rsidRPr="00F941DA" w:rsidRDefault="00C5117B" w:rsidP="00D11DF1">
      <w:pPr>
        <w:pStyle w:val="Body"/>
        <w:numPr>
          <w:ilvl w:val="0"/>
          <w:numId w:val="279"/>
        </w:numPr>
        <w:spacing w:line="276" w:lineRule="auto"/>
        <w:jc w:val="both"/>
        <w:rPr>
          <w:color w:val="auto"/>
          <w:lang w:val="ro-RO"/>
        </w:rPr>
      </w:pPr>
      <w:r w:rsidRPr="00F941DA">
        <w:rPr>
          <w:color w:val="auto"/>
          <w:lang w:val="ro-RO"/>
        </w:rPr>
        <w:t xml:space="preserve">cancer de prostată rezistent la castrare care prezintă progresie după tratamentul anterior, care a inclus un agent hormonal nou </w:t>
      </w:r>
    </w:p>
    <w:p w14:paraId="7871690B" w14:textId="1FE17249" w:rsidR="009015CB" w:rsidRPr="00F941DA" w:rsidRDefault="009015CB" w:rsidP="00D11DF1">
      <w:pPr>
        <w:pStyle w:val="Body"/>
        <w:numPr>
          <w:ilvl w:val="0"/>
          <w:numId w:val="279"/>
        </w:numPr>
        <w:spacing w:line="276" w:lineRule="auto"/>
        <w:jc w:val="both"/>
        <w:rPr>
          <w:color w:val="auto"/>
          <w:lang w:val="ro-RO"/>
        </w:rPr>
      </w:pPr>
      <w:r w:rsidRPr="00F941DA">
        <w:rPr>
          <w:color w:val="auto"/>
          <w:lang w:val="ro-RO"/>
        </w:rPr>
        <w:t xml:space="preserve">stadiu </w:t>
      </w:r>
      <w:r w:rsidR="00C5117B" w:rsidRPr="00F941DA">
        <w:rPr>
          <w:color w:val="auto"/>
          <w:lang w:val="ro-RO"/>
        </w:rPr>
        <w:t>metastatic.</w:t>
      </w:r>
    </w:p>
    <w:p w14:paraId="26C89834" w14:textId="7212E526" w:rsidR="009015CB" w:rsidRPr="00F941DA" w:rsidRDefault="009015CB" w:rsidP="00D11DF1">
      <w:pPr>
        <w:pStyle w:val="Body"/>
        <w:numPr>
          <w:ilvl w:val="0"/>
          <w:numId w:val="279"/>
        </w:numPr>
        <w:spacing w:line="276" w:lineRule="auto"/>
        <w:jc w:val="both"/>
        <w:rPr>
          <w:color w:val="auto"/>
          <w:lang w:val="ro-RO"/>
        </w:rPr>
      </w:pPr>
      <w:r w:rsidRPr="00F941DA">
        <w:rPr>
          <w:color w:val="auto"/>
          <w:lang w:val="ro-RO"/>
        </w:rPr>
        <w:t xml:space="preserve">mutație </w:t>
      </w:r>
      <w:r w:rsidR="00C5117B" w:rsidRPr="00F941DA">
        <w:rPr>
          <w:color w:val="auto"/>
          <w:lang w:val="ro-RO"/>
        </w:rPr>
        <w:t xml:space="preserve">BRCA1/2 germinală si/sau somatica prezentă </w:t>
      </w:r>
    </w:p>
    <w:p w14:paraId="7D2108CF" w14:textId="7BF91C57" w:rsidR="00C5117B" w:rsidRPr="00F941DA" w:rsidRDefault="009015CB" w:rsidP="00D11DF1">
      <w:pPr>
        <w:pStyle w:val="Body"/>
        <w:numPr>
          <w:ilvl w:val="0"/>
          <w:numId w:val="279"/>
        </w:numPr>
        <w:spacing w:line="276" w:lineRule="auto"/>
        <w:jc w:val="both"/>
        <w:rPr>
          <w:color w:val="auto"/>
          <w:lang w:val="ro-RO"/>
        </w:rPr>
      </w:pPr>
      <w:r w:rsidRPr="00F941DA">
        <w:rPr>
          <w:color w:val="auto"/>
          <w:lang w:val="ro-RO"/>
        </w:rPr>
        <w:t xml:space="preserve">probe </w:t>
      </w:r>
      <w:r w:rsidR="00C5117B" w:rsidRPr="00F941DA">
        <w:rPr>
          <w:color w:val="auto"/>
          <w:lang w:val="ro-RO"/>
        </w:rPr>
        <w:t>biologice care să permită administrarea medicamentului în condiții de siguranță, in opinia medicului curant.</w:t>
      </w:r>
    </w:p>
    <w:p w14:paraId="6A91B2B4" w14:textId="77777777" w:rsidR="009015CB" w:rsidRPr="00F941DA" w:rsidRDefault="009015CB" w:rsidP="009015CB">
      <w:pPr>
        <w:pStyle w:val="Body"/>
        <w:spacing w:line="276" w:lineRule="auto"/>
        <w:jc w:val="both"/>
        <w:rPr>
          <w:b/>
          <w:color w:val="auto"/>
          <w:lang w:val="ro-RO"/>
        </w:rPr>
      </w:pPr>
    </w:p>
    <w:p w14:paraId="775BF318" w14:textId="77777777" w:rsidR="00C5117B" w:rsidRPr="00F941DA" w:rsidRDefault="00C5117B" w:rsidP="009015CB">
      <w:pPr>
        <w:pStyle w:val="Body"/>
        <w:spacing w:line="276" w:lineRule="auto"/>
        <w:jc w:val="both"/>
        <w:rPr>
          <w:b/>
          <w:color w:val="auto"/>
          <w:lang w:val="ro-RO"/>
        </w:rPr>
      </w:pPr>
      <w:r w:rsidRPr="00F941DA">
        <w:rPr>
          <w:b/>
          <w:color w:val="auto"/>
          <w:lang w:val="ro-RO"/>
        </w:rPr>
        <w:t>Pentru indicatia prevăzută la pct. 1.b</w:t>
      </w:r>
    </w:p>
    <w:p w14:paraId="1B39CDFB" w14:textId="78F1F75A" w:rsidR="009015CB" w:rsidRPr="00F941DA" w:rsidRDefault="009015CB" w:rsidP="00D11DF1">
      <w:pPr>
        <w:pStyle w:val="Body"/>
        <w:numPr>
          <w:ilvl w:val="0"/>
          <w:numId w:val="280"/>
        </w:numPr>
        <w:spacing w:line="276" w:lineRule="auto"/>
        <w:jc w:val="both"/>
        <w:rPr>
          <w:color w:val="auto"/>
          <w:lang w:val="ro-RO"/>
        </w:rPr>
      </w:pPr>
      <w:r w:rsidRPr="00F941DA">
        <w:rPr>
          <w:color w:val="auto"/>
          <w:lang w:val="ro-RO"/>
        </w:rPr>
        <w:t xml:space="preserve">vârstă </w:t>
      </w:r>
      <w:r w:rsidR="00C5117B" w:rsidRPr="00F941DA">
        <w:rPr>
          <w:color w:val="auto"/>
          <w:lang w:val="ro-RO"/>
        </w:rPr>
        <w:t>peste 18 ani;</w:t>
      </w:r>
      <w:r w:rsidRPr="00F941DA">
        <w:rPr>
          <w:color w:val="auto"/>
          <w:lang w:val="ro-RO"/>
        </w:rPr>
        <w:t xml:space="preserve"> </w:t>
      </w:r>
    </w:p>
    <w:p w14:paraId="54C6D79A" w14:textId="77777777" w:rsidR="009015CB" w:rsidRPr="00F941DA" w:rsidRDefault="00C5117B" w:rsidP="00D11DF1">
      <w:pPr>
        <w:pStyle w:val="Body"/>
        <w:numPr>
          <w:ilvl w:val="0"/>
          <w:numId w:val="280"/>
        </w:numPr>
        <w:spacing w:line="276" w:lineRule="auto"/>
        <w:jc w:val="both"/>
        <w:rPr>
          <w:color w:val="auto"/>
          <w:lang w:val="ro-RO"/>
        </w:rPr>
      </w:pPr>
      <w:r w:rsidRPr="00F941DA">
        <w:rPr>
          <w:color w:val="auto"/>
          <w:lang w:val="ro-RO"/>
        </w:rPr>
        <w:t>ECOG 0-1 și o speranță de viață de minim 6 luni</w:t>
      </w:r>
    </w:p>
    <w:p w14:paraId="52DADF5B" w14:textId="77777777" w:rsidR="009015CB" w:rsidRPr="00F941DA" w:rsidRDefault="00C5117B" w:rsidP="00D11DF1">
      <w:pPr>
        <w:pStyle w:val="Body"/>
        <w:numPr>
          <w:ilvl w:val="0"/>
          <w:numId w:val="280"/>
        </w:numPr>
        <w:spacing w:line="276" w:lineRule="auto"/>
        <w:jc w:val="both"/>
        <w:rPr>
          <w:color w:val="auto"/>
          <w:lang w:val="ro-RO"/>
        </w:rPr>
      </w:pPr>
      <w:r w:rsidRPr="00F941DA">
        <w:rPr>
          <w:color w:val="auto"/>
        </w:rPr>
        <w:t xml:space="preserve">cancer de prostată rezistent la castrare care nu are indicație clinică pentru chimioterapie; </w:t>
      </w:r>
      <w:r w:rsidRPr="00F941DA">
        <w:rPr>
          <w:color w:val="auto"/>
          <w14:textOutline w14:w="0" w14:cap="flat" w14:cmpd="sng" w14:algn="ctr">
            <w14:noFill/>
            <w14:prstDash w14:val="solid"/>
            <w14:bevel/>
          </w14:textOutline>
        </w:rPr>
        <w:t>este permisă utilizarea anterioară a chimioterapiei sau a unui agent hormonal nou (altul decât abiraterona) în alte situații clinice (de exemplu nmCRPC sau mHSPC) cu condiția ca aceasta să fi fost întreruptă cu minim 12 luni înaintea inițierii terapiei cu olaparib plus abirateronă/prednison.</w:t>
      </w:r>
    </w:p>
    <w:p w14:paraId="6D94FF1E" w14:textId="05DD620A" w:rsidR="009015CB" w:rsidRPr="00F941DA" w:rsidRDefault="009015CB" w:rsidP="00D11DF1">
      <w:pPr>
        <w:pStyle w:val="Body"/>
        <w:numPr>
          <w:ilvl w:val="0"/>
          <w:numId w:val="280"/>
        </w:numPr>
        <w:spacing w:line="276" w:lineRule="auto"/>
        <w:jc w:val="both"/>
        <w:rPr>
          <w:color w:val="auto"/>
          <w:lang w:val="ro-RO"/>
        </w:rPr>
      </w:pPr>
      <w:r w:rsidRPr="00F941DA">
        <w:rPr>
          <w:color w:val="auto"/>
          <w:lang w:val="ro-RO"/>
        </w:rPr>
        <w:t xml:space="preserve">stadiu </w:t>
      </w:r>
      <w:r w:rsidR="00C5117B" w:rsidRPr="00F941DA">
        <w:rPr>
          <w:color w:val="auto"/>
          <w:lang w:val="ro-RO"/>
        </w:rPr>
        <w:t>metastatic</w:t>
      </w:r>
    </w:p>
    <w:p w14:paraId="6B1965D2" w14:textId="78312BC8" w:rsidR="00C5117B" w:rsidRPr="00F941DA" w:rsidRDefault="009015CB" w:rsidP="00D11DF1">
      <w:pPr>
        <w:pStyle w:val="Body"/>
        <w:numPr>
          <w:ilvl w:val="0"/>
          <w:numId w:val="280"/>
        </w:numPr>
        <w:spacing w:line="276" w:lineRule="auto"/>
        <w:jc w:val="both"/>
        <w:rPr>
          <w:color w:val="auto"/>
          <w:lang w:val="ro-RO"/>
        </w:rPr>
      </w:pPr>
      <w:r w:rsidRPr="00F941DA">
        <w:rPr>
          <w:color w:val="auto"/>
          <w:lang w:val="ro-RO"/>
        </w:rPr>
        <w:t xml:space="preserve">probe </w:t>
      </w:r>
      <w:r w:rsidR="00C5117B" w:rsidRPr="00F941DA">
        <w:rPr>
          <w:color w:val="auto"/>
          <w:lang w:val="ro-RO"/>
        </w:rPr>
        <w:t>biologice care să permită administrarea medicamentului în condiții de siguranță, in opinia medicului curant</w:t>
      </w:r>
    </w:p>
    <w:p w14:paraId="48640D52" w14:textId="77777777" w:rsidR="00C5117B" w:rsidRPr="00F941DA" w:rsidRDefault="00C5117B" w:rsidP="00C5117B">
      <w:pPr>
        <w:pStyle w:val="Body"/>
        <w:spacing w:line="276" w:lineRule="auto"/>
        <w:jc w:val="both"/>
        <w:rPr>
          <w:color w:val="auto"/>
          <w:lang w:val="ro-RO"/>
        </w:rPr>
      </w:pPr>
      <w:r w:rsidRPr="00F941DA">
        <w:rPr>
          <w:i/>
          <w:iCs/>
          <w:color w:val="auto"/>
          <w:u w:val="single"/>
          <w:lang w:val="ro-RO"/>
        </w:rPr>
        <w:t>Nota</w:t>
      </w:r>
      <w:r w:rsidRPr="00F941DA">
        <w:rPr>
          <w:color w:val="auto"/>
          <w:lang w:val="ro-RO"/>
        </w:rPr>
        <w:t>: pot beneficia de olaparib pacienții cu aceasta indicație terapeutica care au primit anterior   olaparib, din surse de finanțare diferite de Programul National de Oncologie si nu au prezentat boala progresivă la medicamentul respectiv.</w:t>
      </w:r>
    </w:p>
    <w:p w14:paraId="1A743C94" w14:textId="77777777" w:rsidR="009015CB" w:rsidRPr="00F941DA" w:rsidRDefault="009015CB" w:rsidP="00C5117B">
      <w:pPr>
        <w:pStyle w:val="Body"/>
        <w:spacing w:line="276" w:lineRule="auto"/>
        <w:jc w:val="both"/>
        <w:rPr>
          <w:color w:val="auto"/>
          <w:lang w:val="ro-RO"/>
        </w:rPr>
      </w:pPr>
    </w:p>
    <w:p w14:paraId="415FD4B0" w14:textId="77777777" w:rsidR="00C5117B" w:rsidRPr="00F941DA" w:rsidRDefault="00C5117B" w:rsidP="00C5117B">
      <w:pPr>
        <w:pStyle w:val="Body"/>
        <w:spacing w:line="276" w:lineRule="auto"/>
        <w:jc w:val="both"/>
        <w:rPr>
          <w:color w:val="auto"/>
          <w:lang w:val="ro-RO"/>
        </w:rPr>
      </w:pPr>
    </w:p>
    <w:p w14:paraId="146F2BDF" w14:textId="77777777" w:rsidR="00C5117B" w:rsidRPr="00F941DA" w:rsidRDefault="00C5117B" w:rsidP="00C5117B">
      <w:pPr>
        <w:pStyle w:val="Body"/>
        <w:spacing w:line="276" w:lineRule="auto"/>
        <w:jc w:val="both"/>
        <w:rPr>
          <w:b/>
          <w:bCs/>
          <w:color w:val="auto"/>
          <w:lang w:val="ro-RO"/>
        </w:rPr>
      </w:pPr>
      <w:r w:rsidRPr="00F941DA">
        <w:rPr>
          <w:b/>
          <w:bCs/>
          <w:color w:val="auto"/>
          <w:lang w:val="ro-RO"/>
        </w:rPr>
        <w:lastRenderedPageBreak/>
        <w:t>II. Criterii de excludere/întrerupere:</w:t>
      </w:r>
    </w:p>
    <w:p w14:paraId="07F2CBE1" w14:textId="77777777" w:rsidR="00C5117B" w:rsidRPr="00F941DA" w:rsidRDefault="00C5117B" w:rsidP="00D11DF1">
      <w:pPr>
        <w:pStyle w:val="Body"/>
        <w:numPr>
          <w:ilvl w:val="0"/>
          <w:numId w:val="270"/>
        </w:numPr>
        <w:spacing w:line="276" w:lineRule="auto"/>
        <w:jc w:val="both"/>
        <w:rPr>
          <w:color w:val="auto"/>
          <w:lang w:val="ro-RO"/>
        </w:rPr>
      </w:pPr>
      <w:r w:rsidRPr="00F941DA">
        <w:rPr>
          <w:color w:val="auto"/>
          <w:lang w:val="ro-RO"/>
        </w:rPr>
        <w:t>Persistenţa toxicităţilor de grad ≥ 2 CTCAE induse de administrarea precedentă a terapiei oncologice (cu excepţia alopeciei sau a altor efecte secundare considerate a nu influenta calitatea de viață, prognosticul afecțiunii sau răspunsul la tratamentul cu olaparib).</w:t>
      </w:r>
    </w:p>
    <w:p w14:paraId="08841D41" w14:textId="77777777" w:rsidR="00C5117B" w:rsidRPr="00F941DA" w:rsidRDefault="00C5117B" w:rsidP="00D11DF1">
      <w:pPr>
        <w:pStyle w:val="Body"/>
        <w:numPr>
          <w:ilvl w:val="0"/>
          <w:numId w:val="270"/>
        </w:numPr>
        <w:spacing w:line="276" w:lineRule="auto"/>
        <w:jc w:val="both"/>
        <w:rPr>
          <w:color w:val="auto"/>
          <w:lang w:val="ro-RO"/>
        </w:rPr>
      </w:pPr>
      <w:r w:rsidRPr="00F941DA">
        <w:rPr>
          <w:color w:val="auto"/>
          <w:lang w:val="ro-RO"/>
        </w:rPr>
        <w:t>Efectuarea radioterapiei (cu excepţia celei efectuate în scop paleativ), în ultimele 2 săptămâni*</w:t>
      </w:r>
    </w:p>
    <w:p w14:paraId="4F630806" w14:textId="77777777" w:rsidR="00C5117B" w:rsidRPr="00F941DA" w:rsidRDefault="00C5117B" w:rsidP="00D11DF1">
      <w:pPr>
        <w:pStyle w:val="Body"/>
        <w:numPr>
          <w:ilvl w:val="0"/>
          <w:numId w:val="270"/>
        </w:numPr>
        <w:spacing w:line="276" w:lineRule="auto"/>
        <w:jc w:val="both"/>
        <w:rPr>
          <w:color w:val="auto"/>
          <w:lang w:val="ro-RO"/>
        </w:rPr>
      </w:pPr>
      <w:r w:rsidRPr="00F941DA">
        <w:rPr>
          <w:color w:val="auto"/>
          <w:lang w:val="ro-RO"/>
        </w:rPr>
        <w:t>Metastaze cerebrale necontrolate terapeutic (simptomatice).</w:t>
      </w:r>
    </w:p>
    <w:p w14:paraId="2537BDFA" w14:textId="77777777" w:rsidR="00C5117B" w:rsidRPr="00F941DA" w:rsidRDefault="00C5117B" w:rsidP="00D11DF1">
      <w:pPr>
        <w:pStyle w:val="Body"/>
        <w:numPr>
          <w:ilvl w:val="0"/>
          <w:numId w:val="270"/>
        </w:numPr>
        <w:spacing w:line="276" w:lineRule="auto"/>
        <w:jc w:val="both"/>
        <w:rPr>
          <w:color w:val="auto"/>
          <w:lang w:val="ro-RO"/>
        </w:rPr>
      </w:pPr>
      <w:r w:rsidRPr="00F941DA">
        <w:rPr>
          <w:color w:val="auto"/>
          <w:lang w:val="ro-RO"/>
        </w:rPr>
        <w:t>Intervenţie chirurgicală majoră în ultimele două săptămâni*.</w:t>
      </w:r>
    </w:p>
    <w:p w14:paraId="667FD398" w14:textId="77777777" w:rsidR="00C5117B" w:rsidRPr="00F941DA" w:rsidRDefault="00C5117B" w:rsidP="00D11DF1">
      <w:pPr>
        <w:pStyle w:val="Body"/>
        <w:numPr>
          <w:ilvl w:val="0"/>
          <w:numId w:val="270"/>
        </w:numPr>
        <w:spacing w:line="276" w:lineRule="auto"/>
        <w:jc w:val="both"/>
        <w:rPr>
          <w:color w:val="auto"/>
          <w:lang w:val="ro-RO"/>
        </w:rPr>
      </w:pPr>
      <w:r w:rsidRPr="00F941DA">
        <w:rPr>
          <w:color w:val="auto"/>
          <w:lang w:val="ro-RO"/>
        </w:rPr>
        <w:t>Infarct miocardic acut, angină instabilă, aritmii ventriculare necontrolate, în ultimele 3 luni sau alte afecţiuni cardiace necontrolate.*</w:t>
      </w:r>
    </w:p>
    <w:p w14:paraId="50E55BC3" w14:textId="77777777" w:rsidR="00C5117B" w:rsidRPr="00F941DA" w:rsidRDefault="00C5117B" w:rsidP="00D11DF1">
      <w:pPr>
        <w:pStyle w:val="Body"/>
        <w:numPr>
          <w:ilvl w:val="0"/>
          <w:numId w:val="270"/>
        </w:numPr>
        <w:spacing w:line="276" w:lineRule="auto"/>
        <w:jc w:val="both"/>
        <w:rPr>
          <w:color w:val="auto"/>
          <w:lang w:val="ro-RO"/>
        </w:rPr>
      </w:pPr>
      <w:r w:rsidRPr="00F941DA">
        <w:rPr>
          <w:color w:val="auto"/>
          <w:lang w:val="ro-RO"/>
        </w:rPr>
        <w:t>Hipersensibilitate cunoscută la substanţa activă sau la oricare din excipienţi.</w:t>
      </w:r>
    </w:p>
    <w:p w14:paraId="09FE371D" w14:textId="77777777" w:rsidR="00C5117B" w:rsidRPr="00F941DA" w:rsidRDefault="00C5117B" w:rsidP="00C5117B">
      <w:pPr>
        <w:pStyle w:val="Body"/>
        <w:spacing w:line="276" w:lineRule="auto"/>
        <w:jc w:val="both"/>
        <w:rPr>
          <w:color w:val="auto"/>
          <w:sz w:val="20"/>
          <w:szCs w:val="20"/>
          <w:lang w:val="ro-RO"/>
        </w:rPr>
      </w:pPr>
      <w:r w:rsidRPr="00F941DA">
        <w:rPr>
          <w:color w:val="auto"/>
          <w:sz w:val="20"/>
          <w:szCs w:val="20"/>
          <w:lang w:val="ro-RO"/>
        </w:rPr>
        <w:t>* Medicamentul poate fi inițiat in condiții de siguranță după aceste intervale</w:t>
      </w:r>
    </w:p>
    <w:p w14:paraId="7894FCE4" w14:textId="77777777" w:rsidR="00C5117B" w:rsidRPr="00F941DA" w:rsidRDefault="00C5117B" w:rsidP="00C5117B">
      <w:pPr>
        <w:pStyle w:val="Body"/>
        <w:spacing w:line="276" w:lineRule="auto"/>
        <w:ind w:left="720"/>
        <w:jc w:val="both"/>
        <w:rPr>
          <w:color w:val="auto"/>
          <w:lang w:val="ro-RO"/>
        </w:rPr>
      </w:pPr>
    </w:p>
    <w:p w14:paraId="06B6C139" w14:textId="77777777" w:rsidR="00C5117B" w:rsidRPr="00F941DA" w:rsidRDefault="00C5117B" w:rsidP="00C5117B">
      <w:pPr>
        <w:pStyle w:val="Body"/>
        <w:spacing w:line="276" w:lineRule="auto"/>
        <w:jc w:val="both"/>
        <w:rPr>
          <w:b/>
          <w:bCs/>
          <w:color w:val="auto"/>
          <w:lang w:val="ro-RO"/>
        </w:rPr>
      </w:pPr>
    </w:p>
    <w:p w14:paraId="2C1F6E11" w14:textId="77777777" w:rsidR="00C5117B" w:rsidRPr="00F941DA" w:rsidRDefault="00C5117B" w:rsidP="00C5117B">
      <w:pPr>
        <w:pStyle w:val="Body"/>
        <w:spacing w:line="276" w:lineRule="auto"/>
        <w:jc w:val="both"/>
        <w:rPr>
          <w:b/>
          <w:bCs/>
          <w:color w:val="auto"/>
          <w:lang w:val="ro-RO"/>
        </w:rPr>
      </w:pPr>
      <w:r w:rsidRPr="00F941DA">
        <w:rPr>
          <w:b/>
          <w:bCs/>
          <w:color w:val="auto"/>
          <w:lang w:val="ro-RO"/>
        </w:rPr>
        <w:t>III. Durata tratamentului:</w:t>
      </w:r>
    </w:p>
    <w:p w14:paraId="4CCE4B28" w14:textId="77777777" w:rsidR="00C5117B" w:rsidRPr="00F941DA" w:rsidRDefault="00C5117B" w:rsidP="00C5117B">
      <w:pPr>
        <w:pStyle w:val="Body"/>
        <w:spacing w:line="276" w:lineRule="auto"/>
        <w:jc w:val="both"/>
        <w:rPr>
          <w:color w:val="auto"/>
          <w:lang w:val="ro-RO"/>
        </w:rPr>
      </w:pPr>
      <w:r w:rsidRPr="00F941DA">
        <w:rPr>
          <w:color w:val="auto"/>
          <w:lang w:val="ro-RO"/>
        </w:rPr>
        <w:t>Se recomandă ca tratamentul să continue până la progresia bolii de bază sau toxicitate inacceptabilă.</w:t>
      </w:r>
    </w:p>
    <w:p w14:paraId="2126143A" w14:textId="77777777" w:rsidR="00C5117B" w:rsidRPr="00F941DA" w:rsidRDefault="00C5117B" w:rsidP="00C5117B">
      <w:pPr>
        <w:pStyle w:val="Body"/>
        <w:spacing w:line="276" w:lineRule="auto"/>
        <w:jc w:val="both"/>
        <w:rPr>
          <w:color w:val="auto"/>
          <w:lang w:val="ro-RO"/>
        </w:rPr>
      </w:pPr>
    </w:p>
    <w:p w14:paraId="4CE2AE9D" w14:textId="77777777" w:rsidR="00C5117B" w:rsidRPr="00F941DA" w:rsidRDefault="00C5117B" w:rsidP="00C5117B">
      <w:pPr>
        <w:pStyle w:val="Body"/>
        <w:spacing w:line="276" w:lineRule="auto"/>
        <w:jc w:val="both"/>
        <w:rPr>
          <w:b/>
          <w:bCs/>
          <w:color w:val="auto"/>
          <w:lang w:val="ro-RO"/>
        </w:rPr>
      </w:pPr>
      <w:r w:rsidRPr="00F941DA">
        <w:rPr>
          <w:b/>
          <w:bCs/>
          <w:color w:val="auto"/>
          <w:lang w:val="ro-RO"/>
        </w:rPr>
        <w:t>IV. Forma de administrare:</w:t>
      </w:r>
    </w:p>
    <w:p w14:paraId="2F51AA0F" w14:textId="77777777" w:rsidR="00C5117B" w:rsidRPr="00F941DA" w:rsidRDefault="00C5117B" w:rsidP="00C5117B">
      <w:pPr>
        <w:pStyle w:val="Body"/>
        <w:spacing w:line="276" w:lineRule="auto"/>
        <w:jc w:val="both"/>
        <w:rPr>
          <w:color w:val="auto"/>
          <w:lang w:val="ro-RO"/>
        </w:rPr>
      </w:pPr>
      <w:r w:rsidRPr="00F941DA">
        <w:rPr>
          <w:color w:val="auto"/>
          <w:lang w:val="ro-RO"/>
        </w:rPr>
        <w:t xml:space="preserve">Comprimate filmate de 100 și 150 mg. Doza recomandată de olaparib este 300 mg (două comprimate de 150 mg) de două ori pe zi, echivalentul unei </w:t>
      </w:r>
      <w:r w:rsidRPr="00F941DA">
        <w:rPr>
          <w:b/>
          <w:bCs/>
          <w:i/>
          <w:iCs/>
          <w:color w:val="auto"/>
          <w:lang w:val="ro-RO"/>
        </w:rPr>
        <w:t>doze zilnice totale de 600 mg</w:t>
      </w:r>
      <w:r w:rsidRPr="00F941DA">
        <w:rPr>
          <w:color w:val="auto"/>
          <w:lang w:val="ro-RO"/>
        </w:rPr>
        <w:t xml:space="preserve">. </w:t>
      </w:r>
    </w:p>
    <w:p w14:paraId="6AF5BFF0" w14:textId="77777777" w:rsidR="00C5117B" w:rsidRPr="00F941DA" w:rsidRDefault="00C5117B" w:rsidP="00C5117B">
      <w:pPr>
        <w:pStyle w:val="Body"/>
        <w:spacing w:line="276" w:lineRule="auto"/>
        <w:jc w:val="both"/>
        <w:rPr>
          <w:color w:val="auto"/>
          <w:lang w:val="ro-RO"/>
        </w:rPr>
      </w:pPr>
      <w:r w:rsidRPr="00F941DA">
        <w:rPr>
          <w:color w:val="auto"/>
          <w:lang w:val="ro-RO"/>
        </w:rPr>
        <w:t>În caz de toxicitate, doza poate fi redusă la 250 mg (un comprimat de 150 mg și un comprimat de 100 mg) de două ori pe zi (echivalent cu o doză zilnică totală de 500 mg) si ulterior la 200 mg (două comprimate de 100 mg) de două ori pe zi (echivalent cu o doză zilnică totală de 400 mg).</w:t>
      </w:r>
    </w:p>
    <w:p w14:paraId="70D146C2" w14:textId="77777777" w:rsidR="00C5117B" w:rsidRPr="00F941DA" w:rsidRDefault="00C5117B" w:rsidP="00C5117B">
      <w:pPr>
        <w:pStyle w:val="Body"/>
        <w:spacing w:line="276" w:lineRule="auto"/>
        <w:jc w:val="both"/>
        <w:rPr>
          <w:color w:val="auto"/>
          <w:lang w:val="ro-RO"/>
        </w:rPr>
      </w:pPr>
      <w:r w:rsidRPr="00F941DA">
        <w:rPr>
          <w:color w:val="auto"/>
          <w:lang w:val="ro-RO"/>
        </w:rPr>
        <w:t xml:space="preserve">Pentru </w:t>
      </w:r>
      <w:r w:rsidRPr="00F941DA">
        <w:rPr>
          <w:b/>
          <w:bCs/>
          <w:color w:val="auto"/>
          <w:lang w:val="ro-RO"/>
        </w:rPr>
        <w:t>indicația 1.b</w:t>
      </w:r>
      <w:r w:rsidRPr="00F941DA">
        <w:rPr>
          <w:color w:val="auto"/>
          <w:lang w:val="ro-RO"/>
        </w:rPr>
        <w:t>, doza recomandată de abirateronă este de 1000 mg (4 comprimate de 250 mg sau 2 comprimate de 500 mg sau 1 comprimat de 1000 mg dela momentul includerii acestei concentrații în rambursare) administrată ca doză unică, o dată pe zi, pe stomacul gol. Se asociază cu prednison/prednisolon în doză de 10 mg zilnic.</w:t>
      </w:r>
    </w:p>
    <w:p w14:paraId="279461F6" w14:textId="77777777" w:rsidR="00C5117B" w:rsidRPr="00F941DA" w:rsidRDefault="00C5117B" w:rsidP="00C5117B">
      <w:pPr>
        <w:pStyle w:val="Body"/>
        <w:spacing w:line="276" w:lineRule="auto"/>
        <w:jc w:val="both"/>
        <w:rPr>
          <w:color w:val="auto"/>
          <w:lang w:val="ro-RO"/>
        </w:rPr>
      </w:pPr>
      <w:r w:rsidRPr="00F941DA">
        <w:rPr>
          <w:color w:val="auto"/>
          <w:lang w:val="ro-RO"/>
        </w:rPr>
        <w:t>Administrarea de analog LH-RH trebuie continuată pe toată durata tratamentului, cu excepția cazurilor în care s-a practicat anterior orhiectomia bilaterală.</w:t>
      </w:r>
    </w:p>
    <w:p w14:paraId="027ED9FC" w14:textId="77777777" w:rsidR="00C5117B" w:rsidRPr="00F941DA" w:rsidRDefault="00C5117B" w:rsidP="00C5117B">
      <w:pPr>
        <w:pStyle w:val="Body"/>
        <w:spacing w:line="276" w:lineRule="auto"/>
        <w:jc w:val="both"/>
        <w:rPr>
          <w:color w:val="auto"/>
          <w:lang w:val="ro-RO"/>
        </w:rPr>
      </w:pPr>
    </w:p>
    <w:p w14:paraId="577D5430" w14:textId="77777777" w:rsidR="00C5117B" w:rsidRPr="00F941DA" w:rsidRDefault="00C5117B" w:rsidP="00C5117B">
      <w:pPr>
        <w:pStyle w:val="Body"/>
        <w:spacing w:line="276" w:lineRule="auto"/>
        <w:jc w:val="both"/>
        <w:rPr>
          <w:color w:val="auto"/>
          <w:lang w:val="ro-RO"/>
        </w:rPr>
      </w:pPr>
      <w:r w:rsidRPr="00F941DA">
        <w:rPr>
          <w:b/>
          <w:bCs/>
          <w:color w:val="auto"/>
          <w:lang w:val="ro-RO"/>
        </w:rPr>
        <w:t>V.</w:t>
      </w:r>
      <w:r w:rsidRPr="00F941DA">
        <w:rPr>
          <w:color w:val="auto"/>
          <w:lang w:val="ro-RO"/>
        </w:rPr>
        <w:t xml:space="preserve"> </w:t>
      </w:r>
      <w:r w:rsidRPr="00F941DA">
        <w:rPr>
          <w:b/>
          <w:bCs/>
          <w:color w:val="auto"/>
          <w:lang w:val="ro-RO"/>
        </w:rPr>
        <w:t>Monitorizare</w:t>
      </w:r>
      <w:r w:rsidRPr="00F941DA">
        <w:rPr>
          <w:color w:val="auto"/>
          <w:lang w:val="ro-RO"/>
        </w:rPr>
        <w:t>:</w:t>
      </w:r>
    </w:p>
    <w:p w14:paraId="7E13A5C1" w14:textId="77777777" w:rsidR="00C5117B" w:rsidRPr="00F941DA" w:rsidRDefault="00C5117B" w:rsidP="00D11DF1">
      <w:pPr>
        <w:pStyle w:val="Body"/>
        <w:numPr>
          <w:ilvl w:val="0"/>
          <w:numId w:val="271"/>
        </w:numPr>
        <w:spacing w:line="276" w:lineRule="auto"/>
        <w:jc w:val="both"/>
        <w:rPr>
          <w:color w:val="auto"/>
          <w:lang w:val="ro-RO"/>
        </w:rPr>
      </w:pPr>
      <w:r w:rsidRPr="00F941DA">
        <w:rPr>
          <w:color w:val="auto"/>
          <w:lang w:val="ro-RO"/>
        </w:rPr>
        <w:t>imagistic prin examen CT/RMN, la intervale stabilite de către medicul curant.</w:t>
      </w:r>
    </w:p>
    <w:p w14:paraId="52CAD8AB" w14:textId="77777777" w:rsidR="00C5117B" w:rsidRPr="00F941DA" w:rsidRDefault="00C5117B" w:rsidP="00D11DF1">
      <w:pPr>
        <w:pStyle w:val="Body"/>
        <w:numPr>
          <w:ilvl w:val="0"/>
          <w:numId w:val="271"/>
        </w:numPr>
        <w:spacing w:line="276" w:lineRule="auto"/>
        <w:jc w:val="both"/>
        <w:rPr>
          <w:color w:val="auto"/>
          <w:lang w:val="ro-RO"/>
        </w:rPr>
      </w:pPr>
      <w:r w:rsidRPr="00F941DA">
        <w:rPr>
          <w:color w:val="auto"/>
          <w:lang w:val="ro-RO"/>
        </w:rPr>
        <w:t>hemoleucograma si alte analize considerate a fi oportune de către medicul curant– lunar.</w:t>
      </w:r>
    </w:p>
    <w:p w14:paraId="4AE70631" w14:textId="77777777" w:rsidR="00C5117B" w:rsidRPr="00F941DA" w:rsidRDefault="00C5117B" w:rsidP="00C5117B">
      <w:pPr>
        <w:pStyle w:val="Body"/>
        <w:spacing w:line="276" w:lineRule="auto"/>
        <w:jc w:val="both"/>
        <w:rPr>
          <w:color w:val="auto"/>
          <w:lang w:val="ro-RO"/>
        </w:rPr>
      </w:pPr>
    </w:p>
    <w:p w14:paraId="1BE55920" w14:textId="77777777" w:rsidR="00C5117B" w:rsidRPr="00F941DA" w:rsidRDefault="00C5117B" w:rsidP="00C5117B">
      <w:pPr>
        <w:pStyle w:val="Body"/>
        <w:spacing w:line="276" w:lineRule="auto"/>
        <w:jc w:val="both"/>
        <w:rPr>
          <w:color w:val="auto"/>
          <w:lang w:val="ro-RO"/>
        </w:rPr>
      </w:pPr>
      <w:r w:rsidRPr="00F941DA">
        <w:rPr>
          <w:i/>
          <w:iCs/>
          <w:color w:val="auto"/>
          <w:u w:val="single"/>
          <w:lang w:val="ro-RO"/>
        </w:rPr>
        <w:t>Nota</w:t>
      </w:r>
      <w:r w:rsidRPr="00F941DA">
        <w:rPr>
          <w:color w:val="auto"/>
          <w:lang w:val="ro-RO"/>
        </w:rPr>
        <w:t>: pentru indicația 1.b trebuie avute în vedere și indicațiile de monitorizare pentru abirateronă/prednison (conform Protocolului terapeutic L02BX03 pentru DCI Abirateronum)</w:t>
      </w:r>
    </w:p>
    <w:p w14:paraId="4898D380" w14:textId="77777777" w:rsidR="00C5117B" w:rsidRPr="00F941DA" w:rsidRDefault="00C5117B" w:rsidP="00C5117B">
      <w:pPr>
        <w:pStyle w:val="Body"/>
        <w:spacing w:line="276" w:lineRule="auto"/>
        <w:jc w:val="both"/>
        <w:rPr>
          <w:color w:val="auto"/>
          <w:lang w:val="ro-RO"/>
        </w:rPr>
      </w:pPr>
    </w:p>
    <w:p w14:paraId="29F6BC27" w14:textId="77777777" w:rsidR="00C5117B" w:rsidRPr="00F941DA" w:rsidRDefault="00C5117B" w:rsidP="00C5117B">
      <w:pPr>
        <w:pStyle w:val="Body"/>
        <w:spacing w:line="276" w:lineRule="auto"/>
        <w:jc w:val="both"/>
        <w:rPr>
          <w:color w:val="auto"/>
          <w:lang w:val="ro-RO"/>
        </w:rPr>
      </w:pPr>
      <w:r w:rsidRPr="00F941DA">
        <w:rPr>
          <w:b/>
          <w:bCs/>
          <w:color w:val="auto"/>
          <w:lang w:val="ro-RO"/>
        </w:rPr>
        <w:t>VI.</w:t>
      </w:r>
      <w:r w:rsidRPr="00F941DA">
        <w:rPr>
          <w:color w:val="auto"/>
          <w:lang w:val="ro-RO"/>
        </w:rPr>
        <w:t xml:space="preserve"> </w:t>
      </w:r>
      <w:r w:rsidRPr="00F941DA">
        <w:rPr>
          <w:b/>
          <w:bCs/>
          <w:color w:val="auto"/>
          <w:lang w:val="ro-RO"/>
        </w:rPr>
        <w:t>Situații particulare</w:t>
      </w:r>
      <w:r w:rsidRPr="00F941DA">
        <w:rPr>
          <w:color w:val="auto"/>
          <w:lang w:val="ro-RO"/>
        </w:rPr>
        <w:t xml:space="preserve"> (analizate individual) în care beneficiul clinic al administrării medicamentului depășește riscul:</w:t>
      </w:r>
    </w:p>
    <w:p w14:paraId="799CF829" w14:textId="77777777" w:rsidR="00C5117B" w:rsidRPr="00F941DA" w:rsidRDefault="00C5117B" w:rsidP="00D11DF1">
      <w:pPr>
        <w:pStyle w:val="Body"/>
        <w:numPr>
          <w:ilvl w:val="0"/>
          <w:numId w:val="272"/>
        </w:numPr>
        <w:spacing w:line="276" w:lineRule="auto"/>
        <w:jc w:val="both"/>
        <w:rPr>
          <w:color w:val="auto"/>
          <w:lang w:val="ro-RO"/>
        </w:rPr>
      </w:pPr>
      <w:r w:rsidRPr="00F941DA">
        <w:rPr>
          <w:color w:val="auto"/>
          <w:lang w:val="ro-RO"/>
        </w:rPr>
        <w:t>Utilizarea concomitentă a inhibitorilor puternici şi moderați ai izoenzimei CYP3A.</w:t>
      </w:r>
    </w:p>
    <w:p w14:paraId="15E92E7D" w14:textId="77777777" w:rsidR="00C5117B" w:rsidRPr="00F941DA" w:rsidRDefault="00C5117B" w:rsidP="00D11DF1">
      <w:pPr>
        <w:pStyle w:val="Body"/>
        <w:numPr>
          <w:ilvl w:val="0"/>
          <w:numId w:val="272"/>
        </w:numPr>
        <w:spacing w:line="276" w:lineRule="auto"/>
        <w:jc w:val="both"/>
        <w:rPr>
          <w:color w:val="auto"/>
          <w:lang w:val="ro-RO"/>
        </w:rPr>
      </w:pPr>
      <w:r w:rsidRPr="00F941DA">
        <w:rPr>
          <w:color w:val="auto"/>
          <w:lang w:val="ro-RO"/>
        </w:rPr>
        <w:t>Insuficiență renală severă (clearance-ul creatininei &lt; 30 ml/min).</w:t>
      </w:r>
    </w:p>
    <w:p w14:paraId="2DA932F9" w14:textId="77777777" w:rsidR="00C5117B" w:rsidRPr="00F941DA" w:rsidRDefault="00C5117B" w:rsidP="00D11DF1">
      <w:pPr>
        <w:pStyle w:val="Body"/>
        <w:numPr>
          <w:ilvl w:val="0"/>
          <w:numId w:val="272"/>
        </w:numPr>
        <w:spacing w:line="276" w:lineRule="auto"/>
        <w:jc w:val="both"/>
        <w:rPr>
          <w:color w:val="auto"/>
          <w:lang w:val="ro-RO"/>
        </w:rPr>
      </w:pPr>
      <w:r w:rsidRPr="00F941DA">
        <w:rPr>
          <w:color w:val="auto"/>
          <w:lang w:val="ro-RO"/>
        </w:rPr>
        <w:t>Status de performanță mai mare decât ECOG 2.</w:t>
      </w:r>
    </w:p>
    <w:p w14:paraId="4F1551D3" w14:textId="77777777" w:rsidR="00C5117B" w:rsidRPr="00F941DA" w:rsidRDefault="00C5117B" w:rsidP="00D11DF1">
      <w:pPr>
        <w:pStyle w:val="Body"/>
        <w:numPr>
          <w:ilvl w:val="0"/>
          <w:numId w:val="272"/>
        </w:numPr>
        <w:spacing w:line="276" w:lineRule="auto"/>
        <w:jc w:val="both"/>
        <w:rPr>
          <w:color w:val="auto"/>
          <w:lang w:val="ro-RO"/>
        </w:rPr>
      </w:pPr>
      <w:r w:rsidRPr="00F941DA">
        <w:rPr>
          <w:color w:val="auto"/>
          <w:lang w:val="ro-RO"/>
        </w:rPr>
        <w:t>Persistența toxicităţii hematologice cauzate de tratamentul citotoxic anterior (valorile hemoglobinei, trombocitelor şi neutrofilelor de grad &gt; 1 CTCAE).</w:t>
      </w:r>
    </w:p>
    <w:p w14:paraId="7FF0DD8C" w14:textId="77777777" w:rsidR="00C5117B" w:rsidRPr="00F941DA" w:rsidRDefault="00C5117B" w:rsidP="00C5117B">
      <w:pPr>
        <w:pStyle w:val="Body"/>
        <w:spacing w:line="276" w:lineRule="auto"/>
        <w:jc w:val="both"/>
        <w:rPr>
          <w:color w:val="auto"/>
          <w:lang w:val="ro-RO"/>
        </w:rPr>
      </w:pPr>
    </w:p>
    <w:p w14:paraId="56703227" w14:textId="77777777" w:rsidR="00C5117B" w:rsidRPr="00F941DA" w:rsidRDefault="00C5117B" w:rsidP="00C5117B">
      <w:pPr>
        <w:pStyle w:val="Body"/>
        <w:spacing w:line="276" w:lineRule="auto"/>
        <w:jc w:val="both"/>
        <w:rPr>
          <w:color w:val="auto"/>
          <w:lang w:val="ro-RO"/>
        </w:rPr>
      </w:pPr>
      <w:r w:rsidRPr="00F941DA">
        <w:rPr>
          <w:b/>
          <w:bCs/>
          <w:color w:val="auto"/>
          <w:lang w:val="ro-RO"/>
        </w:rPr>
        <w:t>VII.</w:t>
      </w:r>
      <w:r w:rsidRPr="00F941DA">
        <w:rPr>
          <w:color w:val="auto"/>
          <w:lang w:val="ro-RO"/>
        </w:rPr>
        <w:t xml:space="preserve"> </w:t>
      </w:r>
      <w:r w:rsidRPr="00F941DA">
        <w:rPr>
          <w:b/>
          <w:bCs/>
          <w:color w:val="auto"/>
          <w:lang w:val="ro-RO"/>
        </w:rPr>
        <w:t>Prescriptori</w:t>
      </w:r>
      <w:r w:rsidRPr="00F941DA">
        <w:rPr>
          <w:color w:val="auto"/>
          <w:lang w:val="ro-RO"/>
        </w:rPr>
        <w:t>: Iniţierea se face de către medicii din specialitatea oncologie medicală. Continuarea tratamentului se face de către medicul oncolog sau pe baza scrisorii medicale de către medicii de familie desemnaţi.”</w:t>
      </w:r>
    </w:p>
    <w:p w14:paraId="614E29E4" w14:textId="77777777" w:rsidR="00CA4F71" w:rsidRPr="00F941DA" w:rsidRDefault="00CA4F71" w:rsidP="009015CB">
      <w:pPr>
        <w:rPr>
          <w:rFonts w:eastAsia="Arial"/>
          <w:b/>
          <w:bCs/>
          <w:lang w:val="en-US"/>
        </w:rPr>
      </w:pPr>
    </w:p>
    <w:p w14:paraId="6401A5D1" w14:textId="18A4F156" w:rsidR="007B60B7" w:rsidRPr="00F941DA" w:rsidRDefault="007B60B7" w:rsidP="00A827C3">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 xml:space="preserve">La anexa nr. 1, protocolul terapeutic corespunzător poziţiei nr. </w:t>
      </w:r>
      <w:r w:rsidR="00CA4F71" w:rsidRPr="00F941DA">
        <w:rPr>
          <w:rFonts w:eastAsia="Arial"/>
          <w:b/>
          <w:bCs/>
          <w:color w:val="auto"/>
          <w:lang w:val="en-US"/>
        </w:rPr>
        <w:t>248</w:t>
      </w:r>
      <w:r w:rsidRPr="00F941DA">
        <w:rPr>
          <w:rFonts w:eastAsia="Arial"/>
          <w:b/>
          <w:bCs/>
          <w:color w:val="auto"/>
          <w:lang w:val="en-US"/>
        </w:rPr>
        <w:t xml:space="preserve"> cod (</w:t>
      </w:r>
      <w:r w:rsidR="00CA4F71" w:rsidRPr="00F941DA">
        <w:rPr>
          <w:rFonts w:eastAsia="Arial"/>
          <w:b/>
          <w:bCs/>
          <w:color w:val="auto"/>
          <w:lang w:val="en-US"/>
        </w:rPr>
        <w:t>N028F</w:t>
      </w:r>
      <w:r w:rsidRPr="00F941DA">
        <w:rPr>
          <w:rFonts w:eastAsia="Arial"/>
          <w:b/>
          <w:bCs/>
          <w:color w:val="auto"/>
          <w:lang w:val="en-US"/>
        </w:rPr>
        <w:t xml:space="preserve">): DCI </w:t>
      </w:r>
      <w:r w:rsidR="00E758C6" w:rsidRPr="00F941DA">
        <w:rPr>
          <w:rFonts w:eastAsia="Arial"/>
          <w:b/>
          <w:bCs/>
          <w:color w:val="auto"/>
          <w:lang w:val="en-US"/>
        </w:rPr>
        <w:t>PALIPERIDONUM</w:t>
      </w:r>
      <w:r w:rsidRPr="00F941DA">
        <w:rPr>
          <w:rFonts w:eastAsia="Arial"/>
          <w:b/>
          <w:bCs/>
          <w:color w:val="auto"/>
          <w:lang w:val="en-US"/>
        </w:rPr>
        <w:t xml:space="preserve"> se modifică și se înlocuiește cu următorul protocol:</w:t>
      </w:r>
    </w:p>
    <w:p w14:paraId="2E4338CA" w14:textId="77777777" w:rsidR="007B60B7" w:rsidRPr="00F941DA" w:rsidRDefault="007B60B7" w:rsidP="007B60B7">
      <w:pPr>
        <w:tabs>
          <w:tab w:val="left" w:pos="426"/>
        </w:tabs>
        <w:jc w:val="both"/>
        <w:rPr>
          <w:rFonts w:ascii="Times New Roman" w:eastAsia="Arial" w:hAnsi="Times New Roman" w:cs="Times New Roman"/>
          <w:b/>
          <w:bCs/>
          <w:sz w:val="24"/>
          <w:szCs w:val="24"/>
          <w:lang w:val="en-US"/>
        </w:rPr>
      </w:pPr>
    </w:p>
    <w:p w14:paraId="3EBBF271" w14:textId="3F800F2A" w:rsidR="007B60B7" w:rsidRPr="00F941DA" w:rsidRDefault="007B60B7" w:rsidP="00E758C6">
      <w:pPr>
        <w:tabs>
          <w:tab w:val="left" w:pos="426"/>
        </w:tabs>
        <w:jc w:val="both"/>
        <w:rPr>
          <w:rFonts w:eastAsia="Arial"/>
          <w:b/>
          <w:bCs/>
          <w:lang w:val="en-US"/>
        </w:rPr>
      </w:pPr>
      <w:r w:rsidRPr="00F941DA">
        <w:rPr>
          <w:rFonts w:ascii="Times New Roman" w:eastAsia="Arial" w:hAnsi="Times New Roman" w:cs="Times New Roman"/>
          <w:b/>
          <w:bCs/>
          <w:sz w:val="24"/>
          <w:szCs w:val="24"/>
          <w:lang w:val="en-US"/>
        </w:rPr>
        <w:t xml:space="preserve">”Protocol terapeutic corespunzător poziţiei nr. </w:t>
      </w:r>
      <w:r w:rsidR="00E758C6" w:rsidRPr="00F941DA">
        <w:rPr>
          <w:rFonts w:ascii="Times New Roman" w:eastAsia="Arial" w:hAnsi="Times New Roman" w:cs="Times New Roman"/>
          <w:b/>
          <w:bCs/>
          <w:sz w:val="24"/>
          <w:szCs w:val="24"/>
          <w:lang w:val="en-US"/>
        </w:rPr>
        <w:t>248 cod (N028F): DCI PALIPERIDONUM</w:t>
      </w:r>
    </w:p>
    <w:p w14:paraId="787EF8BE" w14:textId="77777777" w:rsidR="00CA4F71" w:rsidRPr="00F941DA" w:rsidRDefault="00CA4F71" w:rsidP="00984957">
      <w:pPr>
        <w:pStyle w:val="ListParagraph"/>
        <w:rPr>
          <w:rFonts w:eastAsia="Arial"/>
          <w:b/>
          <w:bCs/>
          <w:color w:val="auto"/>
          <w:lang w:val="en-US"/>
        </w:rPr>
      </w:pPr>
    </w:p>
    <w:p w14:paraId="4C36CA34"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b/>
          <w:bCs/>
          <w:sz w:val="24"/>
          <w:szCs w:val="24"/>
          <w:lang w:val="x-none"/>
        </w:rPr>
      </w:pPr>
      <w:r w:rsidRPr="00F941DA">
        <w:rPr>
          <w:rFonts w:ascii="Times New Roman" w:hAnsi="Times New Roman" w:cs="Times New Roman"/>
          <w:b/>
          <w:bCs/>
          <w:sz w:val="24"/>
          <w:szCs w:val="24"/>
          <w:lang w:val="x-none"/>
        </w:rPr>
        <w:t>I. Clasa de medicamente:</w:t>
      </w:r>
    </w:p>
    <w:p w14:paraId="6CF80F32"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Antipsihotice de generaţia a 2-a</w:t>
      </w:r>
    </w:p>
    <w:p w14:paraId="036BD6FF"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 xml:space="preserve">    </w:t>
      </w:r>
    </w:p>
    <w:p w14:paraId="5B23A26B"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b/>
          <w:bCs/>
          <w:sz w:val="24"/>
          <w:szCs w:val="24"/>
          <w:lang w:val="x-none"/>
        </w:rPr>
      </w:pPr>
      <w:r w:rsidRPr="00F941DA">
        <w:rPr>
          <w:rFonts w:ascii="Times New Roman" w:hAnsi="Times New Roman" w:cs="Times New Roman"/>
          <w:b/>
          <w:bCs/>
          <w:sz w:val="24"/>
          <w:szCs w:val="24"/>
          <w:lang w:val="x-none"/>
        </w:rPr>
        <w:t>II. Forme farmaceutice:</w:t>
      </w:r>
    </w:p>
    <w:p w14:paraId="011ABC0A"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Formă o</w:t>
      </w:r>
      <w:r w:rsidRPr="00F941DA">
        <w:rPr>
          <w:rFonts w:ascii="Times New Roman" w:hAnsi="Times New Roman" w:cs="Times New Roman"/>
          <w:sz w:val="24"/>
          <w:szCs w:val="24"/>
          <w:lang w:val="x-none"/>
        </w:rPr>
        <w:t>ral</w:t>
      </w:r>
      <w:r w:rsidRPr="00F941DA">
        <w:rPr>
          <w:rFonts w:ascii="Times New Roman" w:hAnsi="Times New Roman" w:cs="Times New Roman"/>
          <w:sz w:val="24"/>
          <w:szCs w:val="24"/>
        </w:rPr>
        <w:t>ă</w:t>
      </w:r>
      <w:r w:rsidRPr="00F941DA">
        <w:rPr>
          <w:rFonts w:ascii="Times New Roman" w:hAnsi="Times New Roman" w:cs="Times New Roman"/>
          <w:sz w:val="24"/>
          <w:szCs w:val="24"/>
          <w:lang w:val="x-none"/>
        </w:rPr>
        <w:t xml:space="preserve"> cu eliberare prelungită, formă parenterală cu eliberare prelungită cu administrare o dată pe lună, formă parenterală cu eliberare prelungită cu administrare o dată la trei luni</w:t>
      </w:r>
      <w:r w:rsidRPr="00F941DA">
        <w:rPr>
          <w:rFonts w:ascii="Times New Roman" w:hAnsi="Times New Roman" w:cs="Times New Roman"/>
          <w:sz w:val="24"/>
          <w:szCs w:val="24"/>
        </w:rPr>
        <w:t xml:space="preserve"> şi </w:t>
      </w:r>
      <w:r w:rsidRPr="00F941DA">
        <w:rPr>
          <w:rFonts w:ascii="Times New Roman" w:hAnsi="Times New Roman" w:cs="Times New Roman"/>
          <w:sz w:val="24"/>
          <w:szCs w:val="24"/>
          <w:lang w:val="x-none"/>
        </w:rPr>
        <w:t xml:space="preserve">formă parenterală cu eliberare prelungită cu administrare o dată la </w:t>
      </w:r>
      <w:r w:rsidRPr="00F941DA">
        <w:rPr>
          <w:rFonts w:ascii="Times New Roman" w:hAnsi="Times New Roman" w:cs="Times New Roman"/>
          <w:sz w:val="24"/>
          <w:szCs w:val="24"/>
        </w:rPr>
        <w:t>şase</w:t>
      </w:r>
      <w:r w:rsidRPr="00F941DA">
        <w:rPr>
          <w:rFonts w:ascii="Times New Roman" w:hAnsi="Times New Roman" w:cs="Times New Roman"/>
          <w:sz w:val="24"/>
          <w:szCs w:val="24"/>
          <w:lang w:val="x-none"/>
        </w:rPr>
        <w:t xml:space="preserve"> luni.</w:t>
      </w:r>
    </w:p>
    <w:p w14:paraId="79AC84F3"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 xml:space="preserve">    </w:t>
      </w:r>
    </w:p>
    <w:p w14:paraId="6A755CC1"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F941DA">
        <w:rPr>
          <w:rFonts w:ascii="Times New Roman" w:hAnsi="Times New Roman" w:cs="Times New Roman"/>
          <w:b/>
          <w:bCs/>
          <w:sz w:val="24"/>
          <w:szCs w:val="24"/>
          <w:lang w:val="x-none"/>
        </w:rPr>
        <w:t xml:space="preserve">III. Indicaţii </w:t>
      </w:r>
      <w:r w:rsidRPr="00F941DA">
        <w:rPr>
          <w:rFonts w:ascii="Times New Roman" w:hAnsi="Times New Roman" w:cs="Times New Roman"/>
          <w:sz w:val="24"/>
          <w:szCs w:val="24"/>
          <w:lang w:val="x-none"/>
        </w:rPr>
        <w:t>(</w:t>
      </w:r>
      <w:r w:rsidRPr="00F941DA">
        <w:rPr>
          <w:rFonts w:ascii="Times New Roman" w:hAnsi="Times New Roman" w:cs="Times New Roman"/>
          <w:b/>
          <w:bCs/>
          <w:sz w:val="24"/>
          <w:szCs w:val="24"/>
          <w:lang w:val="x-none"/>
        </w:rPr>
        <w:t>conform codurilor ICD-10</w:t>
      </w:r>
      <w:r w:rsidRPr="00F941DA">
        <w:rPr>
          <w:rFonts w:ascii="Times New Roman" w:hAnsi="Times New Roman" w:cs="Times New Roman"/>
          <w:sz w:val="24"/>
          <w:szCs w:val="24"/>
          <w:lang w:val="x-none"/>
        </w:rPr>
        <w:t>)</w:t>
      </w:r>
    </w:p>
    <w:p w14:paraId="337454DF" w14:textId="77777777" w:rsidR="009015CB" w:rsidRPr="00F941DA" w:rsidRDefault="009015CB" w:rsidP="00D11DF1">
      <w:pPr>
        <w:pStyle w:val="ListParagraph"/>
        <w:numPr>
          <w:ilvl w:val="0"/>
          <w:numId w:val="284"/>
        </w:numPr>
        <w:autoSpaceDE w:val="0"/>
        <w:autoSpaceDN w:val="0"/>
        <w:adjustRightInd w:val="0"/>
        <w:jc w:val="both"/>
        <w:rPr>
          <w:color w:val="auto"/>
          <w:lang w:val="x-none"/>
        </w:rPr>
      </w:pPr>
      <w:r w:rsidRPr="00F941DA">
        <w:rPr>
          <w:color w:val="auto"/>
          <w:lang w:val="x-none"/>
        </w:rPr>
        <w:t>Forma orală</w:t>
      </w:r>
    </w:p>
    <w:p w14:paraId="10E8B30D" w14:textId="77777777" w:rsidR="009015CB" w:rsidRPr="00F941DA" w:rsidRDefault="009015CB" w:rsidP="00D11DF1">
      <w:pPr>
        <w:numPr>
          <w:ilvl w:val="2"/>
          <w:numId w:val="281"/>
        </w:numPr>
        <w:autoSpaceDE w:val="0"/>
        <w:autoSpaceDN w:val="0"/>
        <w:adjustRightInd w:val="0"/>
        <w:spacing w:after="0" w:line="240" w:lineRule="auto"/>
        <w:ind w:left="0" w:firstLine="426"/>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Principale</w:t>
      </w:r>
    </w:p>
    <w:p w14:paraId="4A29AA80" w14:textId="77777777" w:rsidR="009015CB" w:rsidRPr="00F941DA" w:rsidRDefault="009015CB" w:rsidP="00D11DF1">
      <w:pPr>
        <w:numPr>
          <w:ilvl w:val="0"/>
          <w:numId w:val="282"/>
        </w:numPr>
        <w:autoSpaceDE w:val="0"/>
        <w:autoSpaceDN w:val="0"/>
        <w:adjustRightInd w:val="0"/>
        <w:spacing w:after="0" w:line="240" w:lineRule="auto"/>
        <w:ind w:left="993" w:hanging="284"/>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Tratamentul episodic şi de întreţinere din schizofrenie (</w:t>
      </w:r>
      <w:r w:rsidRPr="00F941DA">
        <w:rPr>
          <w:rFonts w:ascii="Times New Roman" w:hAnsi="Times New Roman" w:cs="Times New Roman"/>
          <w:b/>
          <w:bCs/>
          <w:sz w:val="24"/>
          <w:szCs w:val="24"/>
          <w:lang w:val="x-none"/>
        </w:rPr>
        <w:t>312</w:t>
      </w:r>
      <w:r w:rsidRPr="00F941DA">
        <w:rPr>
          <w:rFonts w:ascii="Times New Roman" w:hAnsi="Times New Roman" w:cs="Times New Roman"/>
          <w:sz w:val="24"/>
          <w:szCs w:val="24"/>
          <w:lang w:val="x-none"/>
        </w:rPr>
        <w:t>), tulburare schizo-afectivă (</w:t>
      </w:r>
      <w:r w:rsidRPr="00F941DA">
        <w:rPr>
          <w:rFonts w:ascii="Times New Roman" w:hAnsi="Times New Roman" w:cs="Times New Roman"/>
          <w:b/>
          <w:bCs/>
          <w:sz w:val="24"/>
          <w:szCs w:val="24"/>
          <w:lang w:val="x-none"/>
        </w:rPr>
        <w:t>317</w:t>
      </w:r>
      <w:r w:rsidRPr="00F941DA">
        <w:rPr>
          <w:rFonts w:ascii="Times New Roman" w:hAnsi="Times New Roman" w:cs="Times New Roman"/>
          <w:sz w:val="24"/>
          <w:szCs w:val="24"/>
          <w:lang w:val="x-none"/>
        </w:rPr>
        <w:t>)</w:t>
      </w:r>
    </w:p>
    <w:p w14:paraId="3B7ED3DB" w14:textId="77777777" w:rsidR="009015CB" w:rsidRPr="00F941DA" w:rsidRDefault="009015CB" w:rsidP="00D11DF1">
      <w:pPr>
        <w:numPr>
          <w:ilvl w:val="2"/>
          <w:numId w:val="281"/>
        </w:numPr>
        <w:autoSpaceDE w:val="0"/>
        <w:autoSpaceDN w:val="0"/>
        <w:adjustRightInd w:val="0"/>
        <w:spacing w:after="0" w:line="240" w:lineRule="auto"/>
        <w:ind w:left="709" w:hanging="283"/>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Secundare (de a doua sau a treia intenţie, dacă tratamentul de primă intenţie nu s-a dovedit eficace; ca tratament adjuvant sau de augmentare în condiţiile unei justificări clinice riguroase şi pe durată scurtă de timp)</w:t>
      </w:r>
    </w:p>
    <w:p w14:paraId="0B924CDB" w14:textId="77777777" w:rsidR="009015CB" w:rsidRPr="00F941DA" w:rsidRDefault="009015CB" w:rsidP="00D11DF1">
      <w:pPr>
        <w:numPr>
          <w:ilvl w:val="0"/>
          <w:numId w:val="282"/>
        </w:numPr>
        <w:autoSpaceDE w:val="0"/>
        <w:autoSpaceDN w:val="0"/>
        <w:adjustRightInd w:val="0"/>
        <w:spacing w:after="0" w:line="240" w:lineRule="auto"/>
        <w:ind w:left="993" w:hanging="284"/>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Tulburare afectivă bipolară - episodul maniacal şi episodul mixt</w:t>
      </w:r>
      <w:r w:rsidRPr="00F941DA">
        <w:rPr>
          <w:rFonts w:ascii="Times New Roman" w:hAnsi="Times New Roman" w:cs="Times New Roman"/>
          <w:b/>
          <w:bCs/>
          <w:sz w:val="24"/>
          <w:szCs w:val="24"/>
          <w:lang w:val="x-none"/>
        </w:rPr>
        <w:t xml:space="preserve"> </w:t>
      </w:r>
      <w:r w:rsidRPr="00F941DA">
        <w:rPr>
          <w:rFonts w:ascii="Times New Roman" w:hAnsi="Times New Roman" w:cs="Times New Roman"/>
          <w:b/>
          <w:bCs/>
          <w:sz w:val="24"/>
          <w:szCs w:val="24"/>
        </w:rPr>
        <w:t>(</w:t>
      </w:r>
      <w:r w:rsidRPr="00F941DA">
        <w:rPr>
          <w:rFonts w:ascii="Times New Roman" w:hAnsi="Times New Roman" w:cs="Times New Roman"/>
          <w:b/>
          <w:bCs/>
          <w:sz w:val="24"/>
          <w:szCs w:val="24"/>
          <w:lang w:val="x-none"/>
        </w:rPr>
        <w:t>319, 320</w:t>
      </w:r>
      <w:r w:rsidRPr="00F941DA">
        <w:rPr>
          <w:rFonts w:ascii="Times New Roman" w:hAnsi="Times New Roman" w:cs="Times New Roman"/>
          <w:b/>
          <w:bCs/>
          <w:sz w:val="24"/>
          <w:szCs w:val="24"/>
        </w:rPr>
        <w:t>)</w:t>
      </w:r>
      <w:r w:rsidRPr="00F941DA">
        <w:rPr>
          <w:rFonts w:ascii="Times New Roman" w:hAnsi="Times New Roman" w:cs="Times New Roman"/>
          <w:sz w:val="24"/>
          <w:szCs w:val="24"/>
          <w:lang w:val="x-none"/>
        </w:rPr>
        <w:t xml:space="preserve"> </w:t>
      </w:r>
    </w:p>
    <w:p w14:paraId="069B2E4D"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rPr>
      </w:pPr>
    </w:p>
    <w:p w14:paraId="0A4BF10E" w14:textId="77777777" w:rsidR="009015CB" w:rsidRPr="00F941DA" w:rsidRDefault="009015CB" w:rsidP="00D11DF1">
      <w:pPr>
        <w:pStyle w:val="ListParagraph"/>
        <w:numPr>
          <w:ilvl w:val="0"/>
          <w:numId w:val="284"/>
        </w:numPr>
        <w:autoSpaceDE w:val="0"/>
        <w:autoSpaceDN w:val="0"/>
        <w:adjustRightInd w:val="0"/>
        <w:jc w:val="both"/>
        <w:rPr>
          <w:color w:val="auto"/>
          <w:lang w:val="x-none"/>
        </w:rPr>
      </w:pPr>
      <w:r w:rsidRPr="00F941DA">
        <w:rPr>
          <w:color w:val="auto"/>
          <w:lang w:val="x-none"/>
        </w:rPr>
        <w:t>Forma parenterală cu eliberare prelungită cu administrare o dată pe lună</w:t>
      </w:r>
    </w:p>
    <w:p w14:paraId="1E6B5897" w14:textId="77777777" w:rsidR="009015CB" w:rsidRPr="00F941DA" w:rsidRDefault="009015CB" w:rsidP="00D11DF1">
      <w:pPr>
        <w:numPr>
          <w:ilvl w:val="0"/>
          <w:numId w:val="282"/>
        </w:numPr>
        <w:autoSpaceDE w:val="0"/>
        <w:autoSpaceDN w:val="0"/>
        <w:adjustRightInd w:val="0"/>
        <w:spacing w:after="0" w:line="240" w:lineRule="auto"/>
        <w:ind w:left="993" w:hanging="284"/>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Tratamentul de întreţinere din schizofrenie (</w:t>
      </w:r>
      <w:r w:rsidRPr="00F941DA">
        <w:rPr>
          <w:rFonts w:ascii="Times New Roman" w:hAnsi="Times New Roman" w:cs="Times New Roman"/>
          <w:b/>
          <w:bCs/>
          <w:sz w:val="24"/>
          <w:szCs w:val="24"/>
          <w:lang w:val="x-none"/>
        </w:rPr>
        <w:t>312</w:t>
      </w:r>
      <w:r w:rsidRPr="00F941DA">
        <w:rPr>
          <w:rFonts w:ascii="Times New Roman" w:hAnsi="Times New Roman" w:cs="Times New Roman"/>
          <w:sz w:val="24"/>
          <w:szCs w:val="24"/>
          <w:lang w:val="x-none"/>
        </w:rPr>
        <w:t>), tulburare schizo-afectivă (</w:t>
      </w:r>
      <w:r w:rsidRPr="00F941DA">
        <w:rPr>
          <w:rFonts w:ascii="Times New Roman" w:hAnsi="Times New Roman" w:cs="Times New Roman"/>
          <w:b/>
          <w:bCs/>
          <w:sz w:val="24"/>
          <w:szCs w:val="24"/>
          <w:lang w:val="x-none"/>
        </w:rPr>
        <w:t>317</w:t>
      </w:r>
      <w:r w:rsidRPr="00F941DA">
        <w:rPr>
          <w:rFonts w:ascii="Times New Roman" w:hAnsi="Times New Roman" w:cs="Times New Roman"/>
          <w:sz w:val="24"/>
          <w:szCs w:val="24"/>
          <w:lang w:val="x-none"/>
        </w:rPr>
        <w:t>) la adulţi.</w:t>
      </w:r>
    </w:p>
    <w:p w14:paraId="17325CAB"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rPr>
      </w:pPr>
    </w:p>
    <w:p w14:paraId="0219CE5D" w14:textId="77777777" w:rsidR="009015CB" w:rsidRPr="00F941DA" w:rsidRDefault="009015CB" w:rsidP="00D11DF1">
      <w:pPr>
        <w:pStyle w:val="ListParagraph"/>
        <w:numPr>
          <w:ilvl w:val="0"/>
          <w:numId w:val="284"/>
        </w:numPr>
        <w:autoSpaceDE w:val="0"/>
        <w:autoSpaceDN w:val="0"/>
        <w:adjustRightInd w:val="0"/>
        <w:jc w:val="both"/>
        <w:rPr>
          <w:color w:val="auto"/>
        </w:rPr>
      </w:pPr>
      <w:r w:rsidRPr="00F941DA">
        <w:rPr>
          <w:color w:val="auto"/>
          <w:lang w:val="x-none"/>
        </w:rPr>
        <w:t xml:space="preserve">Forma parenterală cu eliberare prelungită cu administrare o dată la </w:t>
      </w:r>
      <w:r w:rsidRPr="00F941DA">
        <w:rPr>
          <w:color w:val="auto"/>
        </w:rPr>
        <w:t>3</w:t>
      </w:r>
      <w:r w:rsidRPr="00F941DA">
        <w:rPr>
          <w:color w:val="auto"/>
          <w:lang w:val="x-none"/>
        </w:rPr>
        <w:t xml:space="preserve"> luni</w:t>
      </w:r>
      <w:r w:rsidRPr="00F941DA">
        <w:rPr>
          <w:color w:val="auto"/>
        </w:rPr>
        <w:t xml:space="preserve"> şi</w:t>
      </w:r>
      <w:r w:rsidRPr="00F941DA">
        <w:rPr>
          <w:color w:val="auto"/>
          <w:lang w:val="x-none"/>
        </w:rPr>
        <w:t xml:space="preserve"> form</w:t>
      </w:r>
      <w:r w:rsidRPr="00F941DA">
        <w:rPr>
          <w:color w:val="auto"/>
        </w:rPr>
        <w:t>a</w:t>
      </w:r>
      <w:r w:rsidRPr="00F941DA">
        <w:rPr>
          <w:color w:val="auto"/>
          <w:lang w:val="x-none"/>
        </w:rPr>
        <w:t xml:space="preserve"> parenterală cu eliberare prelungită cu administrare o dată la </w:t>
      </w:r>
      <w:r w:rsidRPr="00F941DA">
        <w:rPr>
          <w:color w:val="auto"/>
        </w:rPr>
        <w:t>6</w:t>
      </w:r>
      <w:r w:rsidRPr="00F941DA">
        <w:rPr>
          <w:color w:val="auto"/>
          <w:lang w:val="x-none"/>
        </w:rPr>
        <w:t xml:space="preserve"> luni.</w:t>
      </w:r>
    </w:p>
    <w:p w14:paraId="330E68C7" w14:textId="77777777" w:rsidR="009015CB" w:rsidRPr="00F941DA" w:rsidRDefault="009015CB" w:rsidP="00D11DF1">
      <w:pPr>
        <w:numPr>
          <w:ilvl w:val="0"/>
          <w:numId w:val="282"/>
        </w:numPr>
        <w:autoSpaceDE w:val="0"/>
        <w:autoSpaceDN w:val="0"/>
        <w:adjustRightInd w:val="0"/>
        <w:spacing w:after="0" w:line="240" w:lineRule="auto"/>
        <w:ind w:left="993" w:hanging="284"/>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Tratamentul de întreţinere din schizofrenie (</w:t>
      </w:r>
      <w:r w:rsidRPr="00F941DA">
        <w:rPr>
          <w:rFonts w:ascii="Times New Roman" w:hAnsi="Times New Roman" w:cs="Times New Roman"/>
          <w:b/>
          <w:bCs/>
          <w:sz w:val="24"/>
          <w:szCs w:val="24"/>
          <w:lang w:val="x-none"/>
        </w:rPr>
        <w:t>312</w:t>
      </w:r>
      <w:r w:rsidRPr="00F941DA">
        <w:rPr>
          <w:rFonts w:ascii="Times New Roman" w:hAnsi="Times New Roman" w:cs="Times New Roman"/>
          <w:sz w:val="24"/>
          <w:szCs w:val="24"/>
          <w:lang w:val="x-none"/>
        </w:rPr>
        <w:t>)</w:t>
      </w:r>
    </w:p>
    <w:p w14:paraId="4AD66D77"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 xml:space="preserve">   </w:t>
      </w:r>
    </w:p>
    <w:p w14:paraId="1F32508A"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b/>
          <w:bCs/>
          <w:sz w:val="24"/>
          <w:szCs w:val="24"/>
          <w:lang w:val="x-none"/>
        </w:rPr>
      </w:pPr>
      <w:r w:rsidRPr="00F941DA">
        <w:rPr>
          <w:rFonts w:ascii="Times New Roman" w:hAnsi="Times New Roman" w:cs="Times New Roman"/>
          <w:b/>
          <w:bCs/>
          <w:sz w:val="24"/>
          <w:szCs w:val="24"/>
          <w:lang w:val="x-none"/>
        </w:rPr>
        <w:t>IV. Tratament:</w:t>
      </w:r>
    </w:p>
    <w:p w14:paraId="68487D98" w14:textId="77777777" w:rsidR="009015CB" w:rsidRPr="00F941DA" w:rsidRDefault="009015CB" w:rsidP="00D11DF1">
      <w:pPr>
        <w:pStyle w:val="ListParagraph"/>
        <w:numPr>
          <w:ilvl w:val="0"/>
          <w:numId w:val="285"/>
        </w:numPr>
        <w:autoSpaceDE w:val="0"/>
        <w:autoSpaceDN w:val="0"/>
        <w:adjustRightInd w:val="0"/>
        <w:jc w:val="both"/>
        <w:rPr>
          <w:color w:val="auto"/>
          <w:lang w:val="x-none"/>
        </w:rPr>
      </w:pPr>
      <w:r w:rsidRPr="00F941DA">
        <w:rPr>
          <w:color w:val="auto"/>
        </w:rPr>
        <w:t>Doze recomandate</w:t>
      </w:r>
      <w:r w:rsidRPr="00F941DA">
        <w:rPr>
          <w:color w:val="auto"/>
          <w:lang w:val="x-none"/>
        </w:rPr>
        <w:t>:</w:t>
      </w:r>
    </w:p>
    <w:p w14:paraId="40072AA7" w14:textId="77777777" w:rsidR="009015CB" w:rsidRPr="00F941DA" w:rsidRDefault="009015CB" w:rsidP="00D11DF1">
      <w:pPr>
        <w:pStyle w:val="ListParagraph"/>
        <w:numPr>
          <w:ilvl w:val="1"/>
          <w:numId w:val="285"/>
        </w:numPr>
        <w:autoSpaceDE w:val="0"/>
        <w:autoSpaceDN w:val="0"/>
        <w:adjustRightInd w:val="0"/>
        <w:ind w:left="709" w:hanging="283"/>
        <w:jc w:val="both"/>
        <w:rPr>
          <w:color w:val="auto"/>
          <w:lang w:val="x-none"/>
        </w:rPr>
      </w:pPr>
      <w:r w:rsidRPr="00F941DA">
        <w:rPr>
          <w:color w:val="auto"/>
          <w:lang w:val="x-none"/>
        </w:rPr>
        <w:t>Forma orală</w:t>
      </w:r>
      <w:r w:rsidRPr="00F941DA">
        <w:rPr>
          <w:color w:val="auto"/>
        </w:rPr>
        <w:t xml:space="preserve">: </w:t>
      </w:r>
      <w:r w:rsidRPr="00F941DA">
        <w:rPr>
          <w:color w:val="auto"/>
          <w:lang w:val="x-none"/>
        </w:rPr>
        <w:t>6-9 mg/zi, maxim 12 mg/zi</w:t>
      </w:r>
    </w:p>
    <w:p w14:paraId="6DFC1ADD" w14:textId="77777777" w:rsidR="009015CB" w:rsidRPr="00F941DA" w:rsidRDefault="009015CB" w:rsidP="009015CB">
      <w:pPr>
        <w:pStyle w:val="ListParagraph"/>
        <w:autoSpaceDE w:val="0"/>
        <w:autoSpaceDN w:val="0"/>
        <w:adjustRightInd w:val="0"/>
        <w:ind w:left="709"/>
        <w:jc w:val="both"/>
        <w:rPr>
          <w:color w:val="auto"/>
        </w:rPr>
      </w:pPr>
    </w:p>
    <w:p w14:paraId="7B9F7416" w14:textId="77777777" w:rsidR="009015CB" w:rsidRPr="00F941DA" w:rsidRDefault="009015CB" w:rsidP="00D11DF1">
      <w:pPr>
        <w:pStyle w:val="ListParagraph"/>
        <w:numPr>
          <w:ilvl w:val="1"/>
          <w:numId w:val="285"/>
        </w:numPr>
        <w:autoSpaceDE w:val="0"/>
        <w:autoSpaceDN w:val="0"/>
        <w:adjustRightInd w:val="0"/>
        <w:ind w:left="709" w:hanging="283"/>
        <w:jc w:val="both"/>
        <w:rPr>
          <w:color w:val="auto"/>
        </w:rPr>
      </w:pPr>
      <w:r w:rsidRPr="00F941DA">
        <w:rPr>
          <w:color w:val="auto"/>
        </w:rPr>
        <w:t>F</w:t>
      </w:r>
      <w:r w:rsidRPr="00F941DA">
        <w:rPr>
          <w:color w:val="auto"/>
          <w:lang w:val="x-none"/>
        </w:rPr>
        <w:t>orma parenterală cu elib</w:t>
      </w:r>
      <w:r w:rsidRPr="00F941DA">
        <w:rPr>
          <w:color w:val="auto"/>
        </w:rPr>
        <w:t>.</w:t>
      </w:r>
      <w:r w:rsidRPr="00F941DA">
        <w:rPr>
          <w:color w:val="auto"/>
          <w:lang w:val="x-none"/>
        </w:rPr>
        <w:t xml:space="preserve"> </w:t>
      </w:r>
      <w:r w:rsidRPr="00F941DA">
        <w:rPr>
          <w:color w:val="auto"/>
        </w:rPr>
        <w:t>p</w:t>
      </w:r>
      <w:r w:rsidRPr="00F941DA">
        <w:rPr>
          <w:color w:val="auto"/>
          <w:lang w:val="x-none"/>
        </w:rPr>
        <w:t>rel</w:t>
      </w:r>
      <w:r w:rsidRPr="00F941DA">
        <w:rPr>
          <w:color w:val="auto"/>
        </w:rPr>
        <w:t>.</w:t>
      </w:r>
      <w:r w:rsidRPr="00F941DA">
        <w:rPr>
          <w:color w:val="auto"/>
          <w:lang w:val="x-none"/>
        </w:rPr>
        <w:t xml:space="preserve"> cu administrare o dată pe lună</w:t>
      </w:r>
      <w:r w:rsidRPr="00F941DA">
        <w:rPr>
          <w:color w:val="auto"/>
        </w:rPr>
        <w:t xml:space="preserve">: </w:t>
      </w:r>
      <w:r w:rsidRPr="00F941DA">
        <w:rPr>
          <w:color w:val="auto"/>
          <w:lang w:val="x-none"/>
        </w:rPr>
        <w:t>25-</w:t>
      </w:r>
      <w:r w:rsidRPr="00F941DA">
        <w:rPr>
          <w:color w:val="auto"/>
        </w:rPr>
        <w:t xml:space="preserve">100 </w:t>
      </w:r>
      <w:r w:rsidRPr="00F941DA">
        <w:rPr>
          <w:color w:val="auto"/>
          <w:lang w:val="x-none"/>
        </w:rPr>
        <w:t>mg/lună, maxim 150 mg/lună</w:t>
      </w:r>
    </w:p>
    <w:p w14:paraId="2F356E19"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lang w:val="x-none"/>
        </w:rPr>
        <w:t>Forma parenterală cu administrare lunară se poate iniţia</w:t>
      </w:r>
      <w:r w:rsidRPr="00F941DA">
        <w:rPr>
          <w:rFonts w:ascii="Times New Roman" w:hAnsi="Times New Roman" w:cs="Times New Roman"/>
          <w:sz w:val="24"/>
          <w:szCs w:val="24"/>
        </w:rPr>
        <w:t>, de preferinţă, pacienţilor stabilizaţi cu paliperidonă sau risperidonă oral, respectiv risperidonă injectabilă cu acţiune prelungită,</w:t>
      </w:r>
      <w:r w:rsidRPr="00F941DA">
        <w:rPr>
          <w:rFonts w:ascii="Times New Roman" w:hAnsi="Times New Roman" w:cs="Times New Roman"/>
          <w:sz w:val="24"/>
          <w:szCs w:val="24"/>
          <w:lang w:val="x-none"/>
        </w:rPr>
        <w:t xml:space="preserve"> conform schemelor de echivalenţă recomandate</w:t>
      </w:r>
      <w:r w:rsidRPr="00F941DA">
        <w:rPr>
          <w:rFonts w:ascii="Times New Roman" w:hAnsi="Times New Roman" w:cs="Times New Roman"/>
          <w:sz w:val="24"/>
          <w:szCs w:val="24"/>
        </w:rPr>
        <w:t>.</w:t>
      </w:r>
    </w:p>
    <w:p w14:paraId="2FCD8389" w14:textId="77777777" w:rsidR="009015CB" w:rsidRPr="00F941DA" w:rsidRDefault="009015CB" w:rsidP="009015CB">
      <w:pPr>
        <w:pStyle w:val="ListParagraph"/>
        <w:autoSpaceDE w:val="0"/>
        <w:autoSpaceDN w:val="0"/>
        <w:adjustRightInd w:val="0"/>
        <w:ind w:left="709"/>
        <w:jc w:val="both"/>
        <w:rPr>
          <w:color w:val="auto"/>
        </w:rPr>
      </w:pPr>
    </w:p>
    <w:p w14:paraId="7A3BD90F" w14:textId="77777777" w:rsidR="009015CB" w:rsidRPr="00F941DA" w:rsidRDefault="009015CB" w:rsidP="00D11DF1">
      <w:pPr>
        <w:pStyle w:val="ListParagraph"/>
        <w:numPr>
          <w:ilvl w:val="0"/>
          <w:numId w:val="286"/>
        </w:numPr>
        <w:autoSpaceDE w:val="0"/>
        <w:autoSpaceDN w:val="0"/>
        <w:adjustRightInd w:val="0"/>
        <w:ind w:left="709" w:hanging="283"/>
        <w:jc w:val="both"/>
        <w:rPr>
          <w:color w:val="auto"/>
        </w:rPr>
      </w:pPr>
      <w:r w:rsidRPr="00F941DA">
        <w:rPr>
          <w:color w:val="auto"/>
        </w:rPr>
        <w:t>F</w:t>
      </w:r>
      <w:r w:rsidRPr="00F941DA">
        <w:rPr>
          <w:color w:val="auto"/>
          <w:lang w:val="x-none"/>
        </w:rPr>
        <w:t>orma parenterală cu elib</w:t>
      </w:r>
      <w:r w:rsidRPr="00F941DA">
        <w:rPr>
          <w:color w:val="auto"/>
        </w:rPr>
        <w:t>.</w:t>
      </w:r>
      <w:r w:rsidRPr="00F941DA">
        <w:rPr>
          <w:color w:val="auto"/>
          <w:lang w:val="x-none"/>
        </w:rPr>
        <w:t xml:space="preserve"> </w:t>
      </w:r>
      <w:r w:rsidRPr="00F941DA">
        <w:rPr>
          <w:color w:val="auto"/>
        </w:rPr>
        <w:t>p</w:t>
      </w:r>
      <w:r w:rsidRPr="00F941DA">
        <w:rPr>
          <w:color w:val="auto"/>
          <w:lang w:val="x-none"/>
        </w:rPr>
        <w:t>rel</w:t>
      </w:r>
      <w:r w:rsidRPr="00F941DA">
        <w:rPr>
          <w:color w:val="auto"/>
        </w:rPr>
        <w:t>.</w:t>
      </w:r>
      <w:r w:rsidRPr="00F941DA">
        <w:rPr>
          <w:color w:val="auto"/>
          <w:lang w:val="x-none"/>
        </w:rPr>
        <w:t xml:space="preserve"> cu administrare o dată la </w:t>
      </w:r>
      <w:r w:rsidRPr="00F941DA">
        <w:rPr>
          <w:color w:val="auto"/>
        </w:rPr>
        <w:t>3</w:t>
      </w:r>
      <w:r w:rsidRPr="00F941DA">
        <w:rPr>
          <w:color w:val="auto"/>
          <w:lang w:val="x-none"/>
        </w:rPr>
        <w:t xml:space="preserve"> luni</w:t>
      </w:r>
      <w:r w:rsidRPr="00F941DA">
        <w:rPr>
          <w:color w:val="auto"/>
        </w:rPr>
        <w:t xml:space="preserve">: </w:t>
      </w:r>
      <w:r w:rsidRPr="00F941DA">
        <w:rPr>
          <w:color w:val="auto"/>
          <w:lang w:val="x-none"/>
        </w:rPr>
        <w:t>175-350 mg/</w:t>
      </w:r>
      <w:r w:rsidRPr="00F941DA">
        <w:rPr>
          <w:color w:val="auto"/>
        </w:rPr>
        <w:t xml:space="preserve">la 3 </w:t>
      </w:r>
      <w:r w:rsidRPr="00F941DA">
        <w:rPr>
          <w:color w:val="auto"/>
          <w:lang w:val="x-none"/>
        </w:rPr>
        <w:t>lun</w:t>
      </w:r>
      <w:r w:rsidRPr="00F941DA">
        <w:rPr>
          <w:color w:val="auto"/>
        </w:rPr>
        <w:t>i</w:t>
      </w:r>
      <w:r w:rsidRPr="00F941DA">
        <w:rPr>
          <w:color w:val="auto"/>
          <w:lang w:val="x-none"/>
        </w:rPr>
        <w:t>, maxim 525 mg/</w:t>
      </w:r>
      <w:r w:rsidRPr="00F941DA">
        <w:rPr>
          <w:color w:val="auto"/>
        </w:rPr>
        <w:t xml:space="preserve"> la 3 </w:t>
      </w:r>
      <w:r w:rsidRPr="00F941DA">
        <w:rPr>
          <w:color w:val="auto"/>
          <w:lang w:val="x-none"/>
        </w:rPr>
        <w:t>lun</w:t>
      </w:r>
      <w:r w:rsidRPr="00F941DA">
        <w:rPr>
          <w:color w:val="auto"/>
        </w:rPr>
        <w:t>i</w:t>
      </w:r>
    </w:p>
    <w:p w14:paraId="650320CA"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lang w:val="x-none"/>
        </w:rPr>
        <w:t>Forma parenterală cu administrare</w:t>
      </w:r>
      <w:r w:rsidRPr="00F941DA">
        <w:rPr>
          <w:rFonts w:ascii="Times New Roman" w:hAnsi="Times New Roman" w:cs="Times New Roman"/>
          <w:sz w:val="24"/>
          <w:szCs w:val="24"/>
        </w:rPr>
        <w:t xml:space="preserve"> o dată la 3 luni se poate iniţia doar pacienţilor la care s-a administrat</w:t>
      </w:r>
      <w:r w:rsidRPr="00F941DA">
        <w:rPr>
          <w:rFonts w:ascii="Times New Roman" w:hAnsi="Times New Roman" w:cs="Times New Roman"/>
          <w:sz w:val="24"/>
          <w:szCs w:val="24"/>
          <w:lang w:val="x-none"/>
        </w:rPr>
        <w:t xml:space="preserve"> tratament injectabil cu palmitat de paliperidonă cu administrare </w:t>
      </w:r>
      <w:r w:rsidRPr="00F941DA">
        <w:rPr>
          <w:rFonts w:ascii="Times New Roman" w:hAnsi="Times New Roman" w:cs="Times New Roman"/>
          <w:sz w:val="24"/>
          <w:szCs w:val="24"/>
        </w:rPr>
        <w:t>o dată pe lună (</w:t>
      </w:r>
      <w:r w:rsidRPr="00F941DA">
        <w:rPr>
          <w:rFonts w:ascii="Times New Roman" w:hAnsi="Times New Roman" w:cs="Times New Roman"/>
          <w:sz w:val="24"/>
          <w:szCs w:val="24"/>
          <w:lang w:val="x-none"/>
        </w:rPr>
        <w:t>minim 4 luni</w:t>
      </w:r>
      <w:r w:rsidRPr="00F941DA">
        <w:rPr>
          <w:rFonts w:ascii="Times New Roman" w:hAnsi="Times New Roman" w:cs="Times New Roman"/>
          <w:sz w:val="24"/>
          <w:szCs w:val="24"/>
        </w:rPr>
        <w:t xml:space="preserve"> şi care nu necesită ajustarea dozei), </w:t>
      </w:r>
      <w:r w:rsidRPr="00F941DA">
        <w:rPr>
          <w:rFonts w:ascii="Times New Roman" w:hAnsi="Times New Roman" w:cs="Times New Roman"/>
          <w:sz w:val="24"/>
          <w:szCs w:val="24"/>
          <w:lang w:val="x-none"/>
        </w:rPr>
        <w:t>conform schemelor de echivalenţă recomandate</w:t>
      </w:r>
      <w:r w:rsidRPr="00F941DA">
        <w:rPr>
          <w:rFonts w:ascii="Times New Roman" w:hAnsi="Times New Roman" w:cs="Times New Roman"/>
          <w:sz w:val="24"/>
          <w:szCs w:val="24"/>
        </w:rPr>
        <w:t>.</w:t>
      </w:r>
    </w:p>
    <w:p w14:paraId="440DC777"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rPr>
      </w:pPr>
    </w:p>
    <w:p w14:paraId="5FA9F127" w14:textId="77777777" w:rsidR="009015CB" w:rsidRPr="00F941DA" w:rsidRDefault="009015CB" w:rsidP="00D11DF1">
      <w:pPr>
        <w:pStyle w:val="ListParagraph"/>
        <w:numPr>
          <w:ilvl w:val="0"/>
          <w:numId w:val="286"/>
        </w:numPr>
        <w:autoSpaceDE w:val="0"/>
        <w:autoSpaceDN w:val="0"/>
        <w:adjustRightInd w:val="0"/>
        <w:ind w:left="709" w:hanging="283"/>
        <w:jc w:val="both"/>
        <w:rPr>
          <w:color w:val="auto"/>
        </w:rPr>
      </w:pPr>
      <w:r w:rsidRPr="00F941DA">
        <w:rPr>
          <w:color w:val="auto"/>
        </w:rPr>
        <w:t xml:space="preserve">Forma parenterală cu </w:t>
      </w:r>
      <w:r w:rsidRPr="00F941DA">
        <w:rPr>
          <w:color w:val="auto"/>
          <w:lang w:val="x-none"/>
        </w:rPr>
        <w:t>elib</w:t>
      </w:r>
      <w:r w:rsidRPr="00F941DA">
        <w:rPr>
          <w:color w:val="auto"/>
        </w:rPr>
        <w:t>.</w:t>
      </w:r>
      <w:r w:rsidRPr="00F941DA">
        <w:rPr>
          <w:color w:val="auto"/>
          <w:lang w:val="x-none"/>
        </w:rPr>
        <w:t xml:space="preserve"> </w:t>
      </w:r>
      <w:r w:rsidRPr="00F941DA">
        <w:rPr>
          <w:color w:val="auto"/>
        </w:rPr>
        <w:t>p</w:t>
      </w:r>
      <w:r w:rsidRPr="00F941DA">
        <w:rPr>
          <w:color w:val="auto"/>
          <w:lang w:val="x-none"/>
        </w:rPr>
        <w:t>rel</w:t>
      </w:r>
      <w:r w:rsidRPr="00F941DA">
        <w:rPr>
          <w:color w:val="auto"/>
        </w:rPr>
        <w:t>.</w:t>
      </w:r>
      <w:r w:rsidRPr="00F941DA">
        <w:rPr>
          <w:color w:val="auto"/>
          <w:lang w:val="x-none"/>
        </w:rPr>
        <w:t xml:space="preserve"> </w:t>
      </w:r>
      <w:r w:rsidRPr="00F941DA">
        <w:rPr>
          <w:color w:val="auto"/>
        </w:rPr>
        <w:t>cu administrare o dată la 6 luni): 700-1000 mg/ la 6 luni</w:t>
      </w:r>
    </w:p>
    <w:p w14:paraId="1595459B"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lang w:val="x-none"/>
        </w:rPr>
        <w:t xml:space="preserve">Forma parenterală cu administrare </w:t>
      </w:r>
      <w:r w:rsidRPr="00F941DA">
        <w:rPr>
          <w:rFonts w:ascii="Times New Roman" w:hAnsi="Times New Roman" w:cs="Times New Roman"/>
          <w:sz w:val="24"/>
          <w:szCs w:val="24"/>
        </w:rPr>
        <w:t xml:space="preserve">o dată la 6 </w:t>
      </w:r>
      <w:r w:rsidRPr="00F941DA">
        <w:rPr>
          <w:rFonts w:ascii="Times New Roman" w:hAnsi="Times New Roman" w:cs="Times New Roman"/>
          <w:sz w:val="24"/>
          <w:szCs w:val="24"/>
          <w:lang w:val="x-none"/>
        </w:rPr>
        <w:t>luni</w:t>
      </w:r>
      <w:r w:rsidRPr="00F941DA">
        <w:rPr>
          <w:rFonts w:ascii="Times New Roman" w:hAnsi="Times New Roman" w:cs="Times New Roman"/>
          <w:sz w:val="24"/>
          <w:szCs w:val="24"/>
        </w:rPr>
        <w:t xml:space="preserve"> </w:t>
      </w:r>
      <w:r w:rsidRPr="00F941DA">
        <w:rPr>
          <w:rFonts w:ascii="Times New Roman" w:hAnsi="Times New Roman" w:cs="Times New Roman"/>
          <w:sz w:val="24"/>
          <w:szCs w:val="24"/>
          <w:lang w:val="x-none"/>
        </w:rPr>
        <w:t>poate fi iniţiată doar pacienţilor la care s-a administrat tratament injectabil cu palmitat de paliperidonă cu administrare lunară</w:t>
      </w:r>
      <w:r w:rsidRPr="00F941DA">
        <w:rPr>
          <w:rFonts w:ascii="Times New Roman" w:hAnsi="Times New Roman" w:cs="Times New Roman"/>
          <w:sz w:val="24"/>
          <w:szCs w:val="24"/>
        </w:rPr>
        <w:t xml:space="preserve"> (</w:t>
      </w:r>
      <w:r w:rsidRPr="00F941DA">
        <w:rPr>
          <w:rFonts w:ascii="Times New Roman" w:hAnsi="Times New Roman" w:cs="Times New Roman"/>
          <w:sz w:val="24"/>
          <w:szCs w:val="24"/>
          <w:lang w:val="x-none"/>
        </w:rPr>
        <w:t>minim 4 luni</w:t>
      </w:r>
      <w:r w:rsidRPr="00F941DA">
        <w:rPr>
          <w:rFonts w:ascii="Times New Roman" w:hAnsi="Times New Roman" w:cs="Times New Roman"/>
          <w:sz w:val="24"/>
          <w:szCs w:val="24"/>
        </w:rPr>
        <w:t xml:space="preserve"> consecutive şi minim 2 luni fără modificări de doză) sau tratament injectabil cu </w:t>
      </w:r>
      <w:r w:rsidRPr="00F941DA">
        <w:rPr>
          <w:rFonts w:ascii="Times New Roman" w:hAnsi="Times New Roman" w:cs="Times New Roman"/>
          <w:sz w:val="24"/>
          <w:szCs w:val="24"/>
          <w:lang w:val="x-none"/>
        </w:rPr>
        <w:t>palmitat de paliperidonă cu administrare</w:t>
      </w:r>
      <w:r w:rsidRPr="00F941DA">
        <w:rPr>
          <w:rFonts w:ascii="Times New Roman" w:hAnsi="Times New Roman" w:cs="Times New Roman"/>
          <w:sz w:val="24"/>
          <w:szCs w:val="24"/>
        </w:rPr>
        <w:t xml:space="preserve"> la 3 luni (minim un ciclu de injecţii şi care nu necesită ajustarea dozei), </w:t>
      </w:r>
      <w:r w:rsidRPr="00F941DA">
        <w:rPr>
          <w:rFonts w:ascii="Times New Roman" w:hAnsi="Times New Roman" w:cs="Times New Roman"/>
          <w:sz w:val="24"/>
          <w:szCs w:val="24"/>
          <w:lang w:val="x-none"/>
        </w:rPr>
        <w:t>conform schemelor de echivalenţă recomandate</w:t>
      </w:r>
      <w:r w:rsidRPr="00F941DA">
        <w:rPr>
          <w:rFonts w:ascii="Times New Roman" w:hAnsi="Times New Roman" w:cs="Times New Roman"/>
          <w:sz w:val="24"/>
          <w:szCs w:val="24"/>
        </w:rPr>
        <w:t>.</w:t>
      </w:r>
    </w:p>
    <w:p w14:paraId="1A9BF605"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rPr>
      </w:pPr>
    </w:p>
    <w:p w14:paraId="7B650497"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p>
    <w:p w14:paraId="6D6E16C7"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p>
    <w:p w14:paraId="6C39E5D2"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lastRenderedPageBreak/>
        <w:t>Durată:</w:t>
      </w:r>
    </w:p>
    <w:p w14:paraId="0432987D"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În funcţie de forma, severitatea şi stadiul tulburării, pe baza argumentelor clinice şi a raportului risc-beneficiu.</w:t>
      </w:r>
    </w:p>
    <w:p w14:paraId="241095CE"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 xml:space="preserve">    </w:t>
      </w:r>
    </w:p>
    <w:p w14:paraId="2B4FC1A0"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b/>
          <w:bCs/>
          <w:sz w:val="24"/>
          <w:szCs w:val="24"/>
          <w:lang w:val="x-none"/>
        </w:rPr>
      </w:pPr>
      <w:r w:rsidRPr="00F941DA">
        <w:rPr>
          <w:rFonts w:ascii="Times New Roman" w:hAnsi="Times New Roman" w:cs="Times New Roman"/>
          <w:b/>
          <w:bCs/>
          <w:sz w:val="24"/>
          <w:szCs w:val="24"/>
          <w:lang w:val="x-none"/>
        </w:rPr>
        <w:t>V. Monitorizare:</w:t>
      </w:r>
    </w:p>
    <w:p w14:paraId="2DC3DD09"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Eficacitate, toleranţă, efecte extrapiramidale, tensiune arterială, greutate, glicemie, comorbidităţi, interacţiuni medicamentoase, contraindicaţii.</w:t>
      </w:r>
    </w:p>
    <w:p w14:paraId="4E0367CD"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 xml:space="preserve">    </w:t>
      </w:r>
    </w:p>
    <w:p w14:paraId="73B212E3"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b/>
          <w:bCs/>
          <w:sz w:val="24"/>
          <w:szCs w:val="24"/>
          <w:lang w:val="x-none"/>
        </w:rPr>
      </w:pPr>
      <w:r w:rsidRPr="00F941DA">
        <w:rPr>
          <w:rFonts w:ascii="Times New Roman" w:hAnsi="Times New Roman" w:cs="Times New Roman"/>
          <w:b/>
          <w:bCs/>
          <w:sz w:val="24"/>
          <w:szCs w:val="24"/>
          <w:lang w:val="x-none"/>
        </w:rPr>
        <w:t>VI. Evaluare:</w:t>
      </w:r>
    </w:p>
    <w:p w14:paraId="118B927E"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Tensiune arterială, BMI: la 3 luni; Greutate: iniţial, lunar, apoi la 3 luni; Glicemie: iniţial, la 3 luni şi apoi anual, ECG: la 6 luni.</w:t>
      </w:r>
    </w:p>
    <w:p w14:paraId="327FA159"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 xml:space="preserve">    </w:t>
      </w:r>
    </w:p>
    <w:p w14:paraId="655DA84C"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b/>
          <w:bCs/>
          <w:sz w:val="24"/>
          <w:szCs w:val="24"/>
          <w:lang w:val="x-none"/>
        </w:rPr>
      </w:pPr>
      <w:r w:rsidRPr="00F941DA">
        <w:rPr>
          <w:rFonts w:ascii="Times New Roman" w:hAnsi="Times New Roman" w:cs="Times New Roman"/>
          <w:b/>
          <w:bCs/>
          <w:sz w:val="24"/>
          <w:szCs w:val="24"/>
          <w:lang w:val="x-none"/>
        </w:rPr>
        <w:t>VII. Prescriptori:</w:t>
      </w:r>
    </w:p>
    <w:p w14:paraId="550E6B10"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Iniţiere: medic din specialitatea psihiatrie sau psihiatrie pediatrică (doar pentru formele orale).</w:t>
      </w:r>
    </w:p>
    <w:p w14:paraId="252E1D88" w14:textId="77777777" w:rsidR="009015CB" w:rsidRPr="00F941DA"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Continuare:</w:t>
      </w:r>
    </w:p>
    <w:p w14:paraId="752FA047" w14:textId="77777777" w:rsidR="009015CB" w:rsidRPr="00F941DA" w:rsidRDefault="009015CB" w:rsidP="00D11DF1">
      <w:pPr>
        <w:numPr>
          <w:ilvl w:val="0"/>
          <w:numId w:val="283"/>
        </w:numPr>
        <w:autoSpaceDE w:val="0"/>
        <w:autoSpaceDN w:val="0"/>
        <w:adjustRightInd w:val="0"/>
        <w:spacing w:after="0" w:line="240" w:lineRule="auto"/>
        <w:ind w:left="709" w:hanging="283"/>
        <w:jc w:val="both"/>
        <w:rPr>
          <w:rFonts w:ascii="Times New Roman" w:hAnsi="Times New Roman" w:cs="Times New Roman"/>
          <w:sz w:val="24"/>
          <w:szCs w:val="24"/>
          <w:lang w:val="x-none"/>
        </w:rPr>
      </w:pPr>
      <w:r w:rsidRPr="00F941DA">
        <w:rPr>
          <w:rFonts w:ascii="Times New Roman" w:hAnsi="Times New Roman" w:cs="Times New Roman"/>
          <w:sz w:val="24"/>
          <w:szCs w:val="24"/>
          <w:lang w:val="x-none"/>
        </w:rPr>
        <w:t>Pentru formele orale - medic din specialitatea psihiatrie, psihiatrie pediatrică sau medic de familie care poate continua prescrierea pe o perioadă de 3 - 6 luni, pe baza scrisorii medicale eliberate de medicul psihiatru.</w:t>
      </w:r>
    </w:p>
    <w:p w14:paraId="3F24B4A3" w14:textId="336CCF4C" w:rsidR="009015CB" w:rsidRPr="00F941DA" w:rsidRDefault="009015CB" w:rsidP="00D11DF1">
      <w:pPr>
        <w:numPr>
          <w:ilvl w:val="0"/>
          <w:numId w:val="283"/>
        </w:numPr>
        <w:autoSpaceDE w:val="0"/>
        <w:autoSpaceDN w:val="0"/>
        <w:adjustRightInd w:val="0"/>
        <w:spacing w:after="0" w:line="240" w:lineRule="auto"/>
        <w:ind w:left="0" w:firstLine="426"/>
        <w:jc w:val="both"/>
        <w:rPr>
          <w:rFonts w:ascii="Times New Roman" w:eastAsia="Arial" w:hAnsi="Times New Roman" w:cs="Times New Roman"/>
          <w:b/>
          <w:bCs/>
          <w:sz w:val="24"/>
          <w:szCs w:val="24"/>
          <w:lang w:val="en-GB"/>
        </w:rPr>
      </w:pPr>
      <w:r w:rsidRPr="00F941DA">
        <w:rPr>
          <w:rFonts w:ascii="Times New Roman" w:hAnsi="Times New Roman" w:cs="Times New Roman"/>
          <w:sz w:val="24"/>
          <w:szCs w:val="24"/>
          <w:lang w:val="x-none"/>
        </w:rPr>
        <w:t>Pentru formele injectabile - medic din specialitatea psihiatrie.</w:t>
      </w:r>
      <w:r w:rsidRPr="00F941DA">
        <w:rPr>
          <w:rFonts w:ascii="Times New Roman" w:hAnsi="Times New Roman" w:cs="Times New Roman"/>
          <w:sz w:val="24"/>
          <w:szCs w:val="24"/>
        </w:rPr>
        <w:t>”</w:t>
      </w:r>
    </w:p>
    <w:p w14:paraId="23238437" w14:textId="77777777" w:rsidR="004E0C6D" w:rsidRPr="00F941DA" w:rsidRDefault="004E0C6D" w:rsidP="00984957">
      <w:pPr>
        <w:pStyle w:val="ListParagraph"/>
        <w:rPr>
          <w:rFonts w:eastAsia="Arial"/>
          <w:b/>
          <w:bCs/>
          <w:color w:val="auto"/>
          <w:lang w:val="en-US"/>
        </w:rPr>
      </w:pPr>
    </w:p>
    <w:p w14:paraId="2493F93D" w14:textId="77777777" w:rsidR="004E0C6D" w:rsidRPr="00F941DA" w:rsidRDefault="004E0C6D" w:rsidP="00984957">
      <w:pPr>
        <w:pStyle w:val="ListParagraph"/>
        <w:rPr>
          <w:rFonts w:eastAsia="Arial"/>
          <w:b/>
          <w:bCs/>
          <w:color w:val="auto"/>
          <w:lang w:val="en-US"/>
        </w:rPr>
      </w:pPr>
    </w:p>
    <w:p w14:paraId="5BCD6908" w14:textId="77777777" w:rsidR="004E0C6D" w:rsidRPr="00F941DA" w:rsidRDefault="004E0C6D" w:rsidP="00984957">
      <w:pPr>
        <w:pStyle w:val="ListParagraph"/>
        <w:rPr>
          <w:rFonts w:eastAsia="Arial"/>
          <w:b/>
          <w:bCs/>
          <w:color w:val="auto"/>
          <w:lang w:val="en-US"/>
        </w:rPr>
      </w:pPr>
    </w:p>
    <w:p w14:paraId="724349DF" w14:textId="77777777" w:rsidR="004E0C6D" w:rsidRPr="00F941DA" w:rsidRDefault="004E0C6D" w:rsidP="00984957">
      <w:pPr>
        <w:pStyle w:val="ListParagraph"/>
        <w:rPr>
          <w:rFonts w:eastAsia="Arial"/>
          <w:b/>
          <w:bCs/>
          <w:color w:val="auto"/>
          <w:lang w:val="en-US"/>
        </w:rPr>
      </w:pPr>
    </w:p>
    <w:p w14:paraId="1A75D46B" w14:textId="77777777" w:rsidR="004E0C6D" w:rsidRPr="00F941DA" w:rsidRDefault="004E0C6D" w:rsidP="00984957">
      <w:pPr>
        <w:pStyle w:val="ListParagraph"/>
        <w:rPr>
          <w:rFonts w:eastAsia="Arial"/>
          <w:b/>
          <w:bCs/>
          <w:color w:val="auto"/>
          <w:lang w:val="en-US"/>
        </w:rPr>
      </w:pPr>
    </w:p>
    <w:p w14:paraId="3562CFA2" w14:textId="77777777" w:rsidR="004E0C6D" w:rsidRPr="00F941DA" w:rsidRDefault="004E0C6D" w:rsidP="00984957">
      <w:pPr>
        <w:pStyle w:val="ListParagraph"/>
        <w:rPr>
          <w:rFonts w:eastAsia="Arial"/>
          <w:b/>
          <w:bCs/>
          <w:color w:val="auto"/>
          <w:lang w:val="en-US"/>
        </w:rPr>
      </w:pPr>
    </w:p>
    <w:p w14:paraId="2AC44D9F" w14:textId="77777777" w:rsidR="004E0C6D" w:rsidRPr="00F941DA" w:rsidRDefault="004E0C6D" w:rsidP="00984957">
      <w:pPr>
        <w:pStyle w:val="ListParagraph"/>
        <w:rPr>
          <w:rFonts w:eastAsia="Arial"/>
          <w:b/>
          <w:bCs/>
          <w:color w:val="auto"/>
          <w:lang w:val="en-US"/>
        </w:rPr>
      </w:pPr>
    </w:p>
    <w:p w14:paraId="47E2A973" w14:textId="77777777" w:rsidR="004E0C6D" w:rsidRPr="00F941DA" w:rsidRDefault="004E0C6D" w:rsidP="00984957">
      <w:pPr>
        <w:pStyle w:val="ListParagraph"/>
        <w:rPr>
          <w:rFonts w:eastAsia="Arial"/>
          <w:b/>
          <w:bCs/>
          <w:color w:val="auto"/>
          <w:lang w:val="en-US"/>
        </w:rPr>
      </w:pPr>
    </w:p>
    <w:p w14:paraId="5D8B6EB4" w14:textId="77777777" w:rsidR="004E0C6D" w:rsidRPr="00F941DA" w:rsidRDefault="004E0C6D" w:rsidP="00984957">
      <w:pPr>
        <w:pStyle w:val="ListParagraph"/>
        <w:rPr>
          <w:rFonts w:eastAsia="Arial"/>
          <w:b/>
          <w:bCs/>
          <w:color w:val="auto"/>
          <w:lang w:val="en-US"/>
        </w:rPr>
      </w:pPr>
    </w:p>
    <w:p w14:paraId="4922C5A2" w14:textId="77777777" w:rsidR="004E0C6D" w:rsidRPr="00F941DA" w:rsidRDefault="004E0C6D" w:rsidP="00984957">
      <w:pPr>
        <w:pStyle w:val="ListParagraph"/>
        <w:rPr>
          <w:rFonts w:eastAsia="Arial"/>
          <w:b/>
          <w:bCs/>
          <w:color w:val="auto"/>
          <w:lang w:val="en-US"/>
        </w:rPr>
      </w:pPr>
    </w:p>
    <w:p w14:paraId="5604B450" w14:textId="77777777" w:rsidR="004E0C6D" w:rsidRPr="00F941DA" w:rsidRDefault="004E0C6D" w:rsidP="00984957">
      <w:pPr>
        <w:pStyle w:val="ListParagraph"/>
        <w:rPr>
          <w:rFonts w:eastAsia="Arial"/>
          <w:b/>
          <w:bCs/>
          <w:color w:val="auto"/>
          <w:lang w:val="en-US"/>
        </w:rPr>
      </w:pPr>
    </w:p>
    <w:p w14:paraId="0D864073" w14:textId="77777777" w:rsidR="004E0C6D" w:rsidRPr="00F941DA" w:rsidRDefault="004E0C6D" w:rsidP="00984957">
      <w:pPr>
        <w:pStyle w:val="ListParagraph"/>
        <w:rPr>
          <w:rFonts w:eastAsia="Arial"/>
          <w:b/>
          <w:bCs/>
          <w:color w:val="auto"/>
          <w:lang w:val="en-US"/>
        </w:rPr>
      </w:pPr>
    </w:p>
    <w:p w14:paraId="70596BF3" w14:textId="77777777" w:rsidR="009015CB" w:rsidRPr="00F941DA" w:rsidRDefault="009015CB" w:rsidP="00984957">
      <w:pPr>
        <w:pStyle w:val="ListParagraph"/>
        <w:rPr>
          <w:rFonts w:eastAsia="Arial"/>
          <w:b/>
          <w:bCs/>
          <w:color w:val="auto"/>
          <w:lang w:val="en-US"/>
        </w:rPr>
      </w:pPr>
    </w:p>
    <w:p w14:paraId="318F4536" w14:textId="77777777" w:rsidR="009015CB" w:rsidRPr="00F941DA" w:rsidRDefault="009015CB" w:rsidP="00984957">
      <w:pPr>
        <w:pStyle w:val="ListParagraph"/>
        <w:rPr>
          <w:rFonts w:eastAsia="Arial"/>
          <w:b/>
          <w:bCs/>
          <w:color w:val="auto"/>
          <w:lang w:val="en-US"/>
        </w:rPr>
      </w:pPr>
    </w:p>
    <w:p w14:paraId="605EECE0" w14:textId="77777777" w:rsidR="009015CB" w:rsidRPr="00F941DA" w:rsidRDefault="009015CB" w:rsidP="00984957">
      <w:pPr>
        <w:pStyle w:val="ListParagraph"/>
        <w:rPr>
          <w:rFonts w:eastAsia="Arial"/>
          <w:b/>
          <w:bCs/>
          <w:color w:val="auto"/>
          <w:lang w:val="en-US"/>
        </w:rPr>
      </w:pPr>
    </w:p>
    <w:p w14:paraId="34B2396C" w14:textId="77777777" w:rsidR="009015CB" w:rsidRPr="00F941DA" w:rsidRDefault="009015CB" w:rsidP="00984957">
      <w:pPr>
        <w:pStyle w:val="ListParagraph"/>
        <w:rPr>
          <w:rFonts w:eastAsia="Arial"/>
          <w:b/>
          <w:bCs/>
          <w:color w:val="auto"/>
          <w:lang w:val="en-US"/>
        </w:rPr>
      </w:pPr>
    </w:p>
    <w:p w14:paraId="3451BB3A" w14:textId="77777777" w:rsidR="009015CB" w:rsidRPr="00F941DA" w:rsidRDefault="009015CB" w:rsidP="00984957">
      <w:pPr>
        <w:pStyle w:val="ListParagraph"/>
        <w:rPr>
          <w:rFonts w:eastAsia="Arial"/>
          <w:b/>
          <w:bCs/>
          <w:color w:val="auto"/>
          <w:lang w:val="en-US"/>
        </w:rPr>
      </w:pPr>
    </w:p>
    <w:p w14:paraId="3E88757D" w14:textId="77777777" w:rsidR="009015CB" w:rsidRPr="00F941DA" w:rsidRDefault="009015CB" w:rsidP="00984957">
      <w:pPr>
        <w:pStyle w:val="ListParagraph"/>
        <w:rPr>
          <w:rFonts w:eastAsia="Arial"/>
          <w:b/>
          <w:bCs/>
          <w:color w:val="auto"/>
          <w:lang w:val="en-US"/>
        </w:rPr>
      </w:pPr>
    </w:p>
    <w:p w14:paraId="141018F3" w14:textId="77777777" w:rsidR="009015CB" w:rsidRPr="00F941DA" w:rsidRDefault="009015CB" w:rsidP="00984957">
      <w:pPr>
        <w:pStyle w:val="ListParagraph"/>
        <w:rPr>
          <w:rFonts w:eastAsia="Arial"/>
          <w:b/>
          <w:bCs/>
          <w:color w:val="auto"/>
          <w:lang w:val="en-US"/>
        </w:rPr>
      </w:pPr>
    </w:p>
    <w:p w14:paraId="4899E244" w14:textId="77777777" w:rsidR="009015CB" w:rsidRPr="00F941DA" w:rsidRDefault="009015CB" w:rsidP="00984957">
      <w:pPr>
        <w:pStyle w:val="ListParagraph"/>
        <w:rPr>
          <w:rFonts w:eastAsia="Arial"/>
          <w:b/>
          <w:bCs/>
          <w:color w:val="auto"/>
          <w:lang w:val="en-US"/>
        </w:rPr>
      </w:pPr>
    </w:p>
    <w:p w14:paraId="528A2930" w14:textId="77777777" w:rsidR="009015CB" w:rsidRPr="00F941DA" w:rsidRDefault="009015CB" w:rsidP="00984957">
      <w:pPr>
        <w:pStyle w:val="ListParagraph"/>
        <w:rPr>
          <w:rFonts w:eastAsia="Arial"/>
          <w:b/>
          <w:bCs/>
          <w:color w:val="auto"/>
          <w:lang w:val="en-US"/>
        </w:rPr>
      </w:pPr>
    </w:p>
    <w:p w14:paraId="195AF227" w14:textId="77777777" w:rsidR="009015CB" w:rsidRPr="00F941DA" w:rsidRDefault="009015CB" w:rsidP="00984957">
      <w:pPr>
        <w:pStyle w:val="ListParagraph"/>
        <w:rPr>
          <w:rFonts w:eastAsia="Arial"/>
          <w:b/>
          <w:bCs/>
          <w:color w:val="auto"/>
          <w:lang w:val="en-US"/>
        </w:rPr>
      </w:pPr>
    </w:p>
    <w:p w14:paraId="07864A2E" w14:textId="77777777" w:rsidR="003872F6" w:rsidRPr="00F941DA" w:rsidRDefault="003872F6" w:rsidP="00984957">
      <w:pPr>
        <w:pStyle w:val="ListParagraph"/>
        <w:rPr>
          <w:rFonts w:eastAsia="Arial"/>
          <w:b/>
          <w:bCs/>
          <w:color w:val="auto"/>
          <w:lang w:val="en-US"/>
        </w:rPr>
      </w:pPr>
    </w:p>
    <w:p w14:paraId="45D86F9F" w14:textId="77777777" w:rsidR="003872F6" w:rsidRPr="00F941DA" w:rsidRDefault="003872F6" w:rsidP="00984957">
      <w:pPr>
        <w:pStyle w:val="ListParagraph"/>
        <w:rPr>
          <w:rFonts w:eastAsia="Arial"/>
          <w:b/>
          <w:bCs/>
          <w:color w:val="auto"/>
          <w:lang w:val="en-US"/>
        </w:rPr>
      </w:pPr>
    </w:p>
    <w:p w14:paraId="1B3F0759" w14:textId="77777777" w:rsidR="003872F6" w:rsidRPr="00F941DA" w:rsidRDefault="003872F6" w:rsidP="00984957">
      <w:pPr>
        <w:pStyle w:val="ListParagraph"/>
        <w:rPr>
          <w:rFonts w:eastAsia="Arial"/>
          <w:b/>
          <w:bCs/>
          <w:color w:val="auto"/>
          <w:lang w:val="en-US"/>
        </w:rPr>
      </w:pPr>
    </w:p>
    <w:p w14:paraId="5C0999FA" w14:textId="77777777" w:rsidR="003872F6" w:rsidRPr="00F941DA" w:rsidRDefault="003872F6" w:rsidP="00984957">
      <w:pPr>
        <w:pStyle w:val="ListParagraph"/>
        <w:rPr>
          <w:rFonts w:eastAsia="Arial"/>
          <w:b/>
          <w:bCs/>
          <w:color w:val="auto"/>
          <w:lang w:val="en-US"/>
        </w:rPr>
      </w:pPr>
    </w:p>
    <w:p w14:paraId="7764F1F2" w14:textId="77777777" w:rsidR="003872F6" w:rsidRPr="00F941DA" w:rsidRDefault="003872F6" w:rsidP="00984957">
      <w:pPr>
        <w:pStyle w:val="ListParagraph"/>
        <w:rPr>
          <w:rFonts w:eastAsia="Arial"/>
          <w:b/>
          <w:bCs/>
          <w:color w:val="auto"/>
          <w:lang w:val="en-US"/>
        </w:rPr>
      </w:pPr>
    </w:p>
    <w:p w14:paraId="76A2C0DB" w14:textId="77777777" w:rsidR="003872F6" w:rsidRPr="00F941DA" w:rsidRDefault="003872F6" w:rsidP="00984957">
      <w:pPr>
        <w:pStyle w:val="ListParagraph"/>
        <w:rPr>
          <w:rFonts w:eastAsia="Arial"/>
          <w:b/>
          <w:bCs/>
          <w:color w:val="auto"/>
          <w:lang w:val="en-US"/>
        </w:rPr>
      </w:pPr>
    </w:p>
    <w:p w14:paraId="5CCD79C8" w14:textId="77777777" w:rsidR="003872F6" w:rsidRPr="00F941DA" w:rsidRDefault="003872F6" w:rsidP="00984957">
      <w:pPr>
        <w:pStyle w:val="ListParagraph"/>
        <w:rPr>
          <w:rFonts w:eastAsia="Arial"/>
          <w:b/>
          <w:bCs/>
          <w:color w:val="auto"/>
          <w:lang w:val="en-US"/>
        </w:rPr>
      </w:pPr>
    </w:p>
    <w:p w14:paraId="51C5E0F8" w14:textId="77777777" w:rsidR="003872F6" w:rsidRPr="00F941DA" w:rsidRDefault="003872F6" w:rsidP="00984957">
      <w:pPr>
        <w:pStyle w:val="ListParagraph"/>
        <w:rPr>
          <w:rFonts w:eastAsia="Arial"/>
          <w:b/>
          <w:bCs/>
          <w:color w:val="auto"/>
          <w:lang w:val="en-US"/>
        </w:rPr>
      </w:pPr>
    </w:p>
    <w:p w14:paraId="2F5478D7" w14:textId="77777777" w:rsidR="003872F6" w:rsidRPr="00F941DA" w:rsidRDefault="003872F6" w:rsidP="00984957">
      <w:pPr>
        <w:pStyle w:val="ListParagraph"/>
        <w:rPr>
          <w:rFonts w:eastAsia="Arial"/>
          <w:b/>
          <w:bCs/>
          <w:color w:val="auto"/>
          <w:lang w:val="en-US"/>
        </w:rPr>
      </w:pPr>
    </w:p>
    <w:p w14:paraId="56AC956A" w14:textId="77777777" w:rsidR="003872F6" w:rsidRPr="00F941DA" w:rsidRDefault="003872F6" w:rsidP="00984957">
      <w:pPr>
        <w:pStyle w:val="ListParagraph"/>
        <w:rPr>
          <w:rFonts w:eastAsia="Arial"/>
          <w:b/>
          <w:bCs/>
          <w:color w:val="auto"/>
          <w:lang w:val="en-US"/>
        </w:rPr>
      </w:pPr>
    </w:p>
    <w:p w14:paraId="35ECDE06" w14:textId="77777777" w:rsidR="003872F6" w:rsidRPr="00F941DA" w:rsidRDefault="003872F6" w:rsidP="00984957">
      <w:pPr>
        <w:pStyle w:val="ListParagraph"/>
        <w:rPr>
          <w:rFonts w:eastAsia="Arial"/>
          <w:b/>
          <w:bCs/>
          <w:color w:val="auto"/>
          <w:lang w:val="en-US"/>
        </w:rPr>
      </w:pPr>
    </w:p>
    <w:p w14:paraId="5B0E4FD7" w14:textId="77777777" w:rsidR="003872F6" w:rsidRPr="00F941DA" w:rsidRDefault="003872F6" w:rsidP="00984957">
      <w:pPr>
        <w:pStyle w:val="ListParagraph"/>
        <w:rPr>
          <w:rFonts w:eastAsia="Arial"/>
          <w:b/>
          <w:bCs/>
          <w:color w:val="auto"/>
          <w:lang w:val="en-US"/>
        </w:rPr>
      </w:pPr>
    </w:p>
    <w:p w14:paraId="5108823B" w14:textId="77777777" w:rsidR="009015CB" w:rsidRPr="00F941DA" w:rsidRDefault="009015CB" w:rsidP="00984957">
      <w:pPr>
        <w:pStyle w:val="ListParagraph"/>
        <w:rPr>
          <w:rFonts w:eastAsia="Arial"/>
          <w:b/>
          <w:bCs/>
          <w:color w:val="auto"/>
          <w:lang w:val="en-US"/>
        </w:rPr>
      </w:pPr>
    </w:p>
    <w:p w14:paraId="4239ED24" w14:textId="5E8AA26E" w:rsidR="003872F6" w:rsidRPr="00F941DA" w:rsidRDefault="003872F6" w:rsidP="003872F6">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La anexa nr. 1, protocolul terapeutic corespunzător poziţiei nr. 291 cod (L01XE31): DCI NINTEDANIBUM (OFEV) se modifică și se înlocuiește cu următorul protocol:</w:t>
      </w:r>
    </w:p>
    <w:p w14:paraId="1DB93A1A" w14:textId="77777777" w:rsidR="009015CB" w:rsidRPr="00F941DA" w:rsidRDefault="009015CB" w:rsidP="003872F6">
      <w:pPr>
        <w:rPr>
          <w:rFonts w:eastAsia="Arial"/>
          <w:b/>
          <w:bCs/>
          <w:lang w:val="en-US"/>
        </w:rPr>
      </w:pPr>
    </w:p>
    <w:p w14:paraId="701503B7" w14:textId="19424B42" w:rsidR="003872F6" w:rsidRPr="00F941DA" w:rsidRDefault="003872F6" w:rsidP="003872F6">
      <w:pPr>
        <w:tabs>
          <w:tab w:val="left" w:pos="426"/>
        </w:tabs>
        <w:jc w:val="both"/>
        <w:rPr>
          <w:rFonts w:ascii="Times New Roman" w:eastAsia="Calibri" w:hAnsi="Times New Roman" w:cs="Times New Roman"/>
          <w:sz w:val="24"/>
          <w:szCs w:val="24"/>
        </w:rPr>
      </w:pPr>
      <w:r w:rsidRPr="00F941DA">
        <w:rPr>
          <w:rFonts w:ascii="Times New Roman" w:eastAsia="Arial" w:hAnsi="Times New Roman" w:cs="Times New Roman"/>
          <w:b/>
          <w:bCs/>
          <w:sz w:val="24"/>
          <w:szCs w:val="24"/>
          <w:lang w:val="en-GB"/>
        </w:rPr>
        <w:t>”Protocol terapeutic corespunzător poziției nr. 291 cod (</w:t>
      </w:r>
      <w:r w:rsidRPr="00F941DA">
        <w:rPr>
          <w:rFonts w:ascii="Times New Roman" w:eastAsia="Arial" w:hAnsi="Times New Roman" w:cs="Times New Roman"/>
          <w:b/>
          <w:bCs/>
          <w:sz w:val="24"/>
          <w:szCs w:val="24"/>
        </w:rPr>
        <w:t>L01XE31</w:t>
      </w:r>
      <w:r w:rsidRPr="00F941DA">
        <w:rPr>
          <w:rFonts w:ascii="Times New Roman" w:eastAsia="Arial" w:hAnsi="Times New Roman" w:cs="Times New Roman"/>
          <w:b/>
          <w:bCs/>
          <w:sz w:val="24"/>
          <w:szCs w:val="24"/>
          <w:lang w:val="en-GB"/>
        </w:rPr>
        <w:t xml:space="preserve">): DCI </w:t>
      </w:r>
      <w:r w:rsidRPr="00F941DA">
        <w:rPr>
          <w:rFonts w:ascii="Times New Roman" w:eastAsia="Arial" w:hAnsi="Times New Roman" w:cs="Times New Roman"/>
          <w:b/>
          <w:bCs/>
          <w:sz w:val="24"/>
          <w:szCs w:val="24"/>
        </w:rPr>
        <w:t>NINTEDANIBUM (OFEV)</w:t>
      </w:r>
    </w:p>
    <w:p w14:paraId="1F4DE8BD" w14:textId="77777777" w:rsidR="003872F6" w:rsidRPr="00F941DA" w:rsidRDefault="003872F6" w:rsidP="003872F6">
      <w:pPr>
        <w:tabs>
          <w:tab w:val="left" w:pos="426"/>
        </w:tabs>
        <w:jc w:val="both"/>
        <w:rPr>
          <w:rFonts w:ascii="Times New Roman" w:eastAsia="Calibri" w:hAnsi="Times New Roman" w:cs="Times New Roman"/>
          <w:sz w:val="24"/>
          <w:szCs w:val="24"/>
        </w:rPr>
      </w:pPr>
    </w:p>
    <w:p w14:paraId="713C7093" w14:textId="77777777" w:rsidR="003872F6" w:rsidRPr="00F941DA" w:rsidRDefault="003872F6" w:rsidP="00D11DF1">
      <w:pPr>
        <w:numPr>
          <w:ilvl w:val="0"/>
          <w:numId w:val="317"/>
        </w:numPr>
        <w:suppressAutoHyphens/>
        <w:spacing w:after="0"/>
        <w:ind w:left="284" w:hanging="284"/>
        <w:contextualSpacing/>
        <w:jc w:val="both"/>
        <w:rPr>
          <w:rFonts w:ascii="Times New Roman" w:eastAsia="Calibri" w:hAnsi="Times New Roman" w:cs="Times New Roman"/>
          <w:b/>
          <w:iCs/>
          <w:sz w:val="24"/>
          <w:szCs w:val="24"/>
        </w:rPr>
      </w:pPr>
      <w:r w:rsidRPr="00F941DA">
        <w:rPr>
          <w:rFonts w:ascii="Times New Roman" w:eastAsia="Calibri" w:hAnsi="Times New Roman" w:cs="Times New Roman"/>
          <w:b/>
          <w:iCs/>
          <w:sz w:val="24"/>
          <w:szCs w:val="24"/>
        </w:rPr>
        <w:t>Indicaţii terapeutice:</w:t>
      </w:r>
    </w:p>
    <w:p w14:paraId="36B7A33A" w14:textId="77777777" w:rsidR="003872F6" w:rsidRPr="00F941DA" w:rsidRDefault="003872F6" w:rsidP="003872F6">
      <w:pPr>
        <w:spacing w:after="0"/>
        <w:ind w:left="284"/>
        <w:contextualSpacing/>
        <w:jc w:val="both"/>
        <w:rPr>
          <w:rFonts w:ascii="Times New Roman" w:eastAsia="Calibri" w:hAnsi="Times New Roman" w:cs="Times New Roman"/>
          <w:b/>
          <w:iCs/>
          <w:sz w:val="24"/>
          <w:szCs w:val="24"/>
        </w:rPr>
      </w:pPr>
      <w:r w:rsidRPr="00F941DA">
        <w:rPr>
          <w:rFonts w:ascii="Times New Roman" w:eastAsia="Calibri" w:hAnsi="Times New Roman" w:cs="Times New Roman"/>
          <w:b/>
          <w:iCs/>
          <w:sz w:val="24"/>
          <w:szCs w:val="24"/>
        </w:rPr>
        <w:t>A. Pneumopatii interstițiale difuze – fenotip fibrozant progresiv (PID-FFP)</w:t>
      </w:r>
    </w:p>
    <w:p w14:paraId="3DFDAA3C" w14:textId="77777777" w:rsidR="003872F6" w:rsidRPr="00F941DA" w:rsidRDefault="003872F6" w:rsidP="003872F6">
      <w:pPr>
        <w:spacing w:after="0"/>
        <w:ind w:left="284"/>
        <w:contextualSpacing/>
        <w:jc w:val="both"/>
        <w:rPr>
          <w:rFonts w:ascii="Times New Roman" w:eastAsia="Calibri" w:hAnsi="Times New Roman" w:cs="Times New Roman"/>
          <w:b/>
          <w:iCs/>
          <w:sz w:val="24"/>
          <w:szCs w:val="24"/>
        </w:rPr>
      </w:pPr>
      <w:r w:rsidRPr="00F941DA">
        <w:rPr>
          <w:rFonts w:ascii="Times New Roman" w:eastAsia="Calibri" w:hAnsi="Times New Roman" w:cs="Times New Roman"/>
          <w:b/>
          <w:iCs/>
          <w:sz w:val="24"/>
          <w:szCs w:val="24"/>
        </w:rPr>
        <w:t>B. Pneumopatia interstițială difuză asociată sclerodermiei – (PID-SSc)</w:t>
      </w:r>
    </w:p>
    <w:p w14:paraId="3B2ABA18" w14:textId="77777777" w:rsidR="003872F6" w:rsidRPr="00F941DA" w:rsidRDefault="003872F6" w:rsidP="003872F6">
      <w:pPr>
        <w:spacing w:after="0"/>
        <w:ind w:left="720"/>
        <w:contextualSpacing/>
        <w:jc w:val="both"/>
        <w:rPr>
          <w:rFonts w:ascii="Times New Roman" w:eastAsia="Calibri" w:hAnsi="Times New Roman" w:cs="Times New Roman"/>
          <w:b/>
          <w:i/>
          <w:iCs/>
          <w:sz w:val="24"/>
          <w:szCs w:val="24"/>
        </w:rPr>
      </w:pPr>
    </w:p>
    <w:p w14:paraId="75271C5D" w14:textId="77777777" w:rsidR="003872F6" w:rsidRPr="00F941DA" w:rsidRDefault="003872F6" w:rsidP="00D11DF1">
      <w:pPr>
        <w:pStyle w:val="ListParagraph"/>
        <w:numPr>
          <w:ilvl w:val="0"/>
          <w:numId w:val="3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284" w:hanging="284"/>
        <w:contextualSpacing/>
        <w:jc w:val="both"/>
        <w:rPr>
          <w:rFonts w:eastAsia="Calibri"/>
          <w:color w:val="auto"/>
        </w:rPr>
      </w:pPr>
      <w:r w:rsidRPr="00F941DA">
        <w:rPr>
          <w:rFonts w:eastAsia="Calibri"/>
          <w:b/>
          <w:bCs/>
          <w:color w:val="auto"/>
        </w:rPr>
        <w:t>Pneumopatii interstițiale difuze – fenotip fibrozant progresiv</w:t>
      </w:r>
      <w:r w:rsidRPr="00F941DA">
        <w:rPr>
          <w:rFonts w:eastAsia="Calibri"/>
          <w:color w:val="auto"/>
        </w:rPr>
        <w:t xml:space="preserve"> (PID-FFP) la adulţi (cu excepția Fibrozei pulmonare idiopatice – Protocol terapeutic L014AE - C2-P6.20).</w:t>
      </w:r>
    </w:p>
    <w:p w14:paraId="78780D13" w14:textId="77777777" w:rsidR="003872F6" w:rsidRPr="00F941DA" w:rsidRDefault="003872F6" w:rsidP="003872F6">
      <w:pPr>
        <w:spacing w:after="0"/>
        <w:jc w:val="both"/>
        <w:rPr>
          <w:rFonts w:ascii="Times New Roman" w:eastAsia="Calibri" w:hAnsi="Times New Roman" w:cs="Times New Roman"/>
          <w:sz w:val="24"/>
          <w:szCs w:val="24"/>
        </w:rPr>
      </w:pPr>
    </w:p>
    <w:p w14:paraId="309A8452" w14:textId="77777777" w:rsidR="003872F6" w:rsidRPr="00F941DA" w:rsidRDefault="003872F6" w:rsidP="00D11DF1">
      <w:pPr>
        <w:numPr>
          <w:ilvl w:val="0"/>
          <w:numId w:val="318"/>
        </w:numPr>
        <w:suppressAutoHyphens/>
        <w:spacing w:after="0"/>
        <w:contextualSpacing/>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Diagnostic:</w:t>
      </w:r>
    </w:p>
    <w:p w14:paraId="32D2FF5A"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b/>
          <w:bCs/>
          <w:sz w:val="24"/>
          <w:szCs w:val="24"/>
        </w:rPr>
        <w:t>Pneumopatia interstițială difuză – fenotipul fibrozant progresiv</w:t>
      </w:r>
      <w:r w:rsidRPr="00F941DA">
        <w:rPr>
          <w:rFonts w:ascii="Times New Roman" w:eastAsia="Calibri" w:hAnsi="Times New Roman" w:cs="Times New Roman"/>
          <w:sz w:val="24"/>
          <w:szCs w:val="24"/>
        </w:rPr>
        <w:t xml:space="preserve"> reprezintă un grup divers de pneumopatii interstițiale difuze (PID) care au caracteristici similare din punct de vedere genetic, fiziopatologic și clinic și care sunt caracterizate de o evoluție fibrozantă, progresivă. </w:t>
      </w:r>
    </w:p>
    <w:p w14:paraId="639AF70F"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Acest fenotip poate fi observat în numeroase subtipuri de PID:</w:t>
      </w:r>
    </w:p>
    <w:p w14:paraId="4B04F2B5" w14:textId="77777777" w:rsidR="003872F6" w:rsidRPr="00F941DA" w:rsidRDefault="003872F6" w:rsidP="00D11DF1">
      <w:pPr>
        <w:numPr>
          <w:ilvl w:val="0"/>
          <w:numId w:val="319"/>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Pneumonita de hipersensibilitate – forma cronică, fibrozantă;</w:t>
      </w:r>
    </w:p>
    <w:p w14:paraId="17DFF80D" w14:textId="77777777" w:rsidR="003872F6" w:rsidRPr="00F941DA" w:rsidRDefault="003872F6" w:rsidP="00D11DF1">
      <w:pPr>
        <w:numPr>
          <w:ilvl w:val="0"/>
          <w:numId w:val="319"/>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Pneumopatie interstițială difuză – formă nespecifică idiopatică (iNSIP), fibrozantă;</w:t>
      </w:r>
    </w:p>
    <w:p w14:paraId="063BCC97" w14:textId="77777777" w:rsidR="003872F6" w:rsidRPr="00F941DA" w:rsidRDefault="003872F6" w:rsidP="00D11DF1">
      <w:pPr>
        <w:numPr>
          <w:ilvl w:val="0"/>
          <w:numId w:val="319"/>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Pneumopatie interstițială neclasificabilă, fibrozantă;</w:t>
      </w:r>
    </w:p>
    <w:p w14:paraId="3F24635E" w14:textId="77777777" w:rsidR="003872F6" w:rsidRPr="00F941DA" w:rsidRDefault="003872F6" w:rsidP="00D11DF1">
      <w:pPr>
        <w:numPr>
          <w:ilvl w:val="0"/>
          <w:numId w:val="319"/>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Pneumopatie interstițială difuză cu fenomene autoimune, fibrozantă;</w:t>
      </w:r>
    </w:p>
    <w:p w14:paraId="7204F4EC" w14:textId="77777777" w:rsidR="003872F6" w:rsidRPr="00F941DA" w:rsidRDefault="003872F6" w:rsidP="00D11DF1">
      <w:pPr>
        <w:numPr>
          <w:ilvl w:val="0"/>
          <w:numId w:val="319"/>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Sarcoidoza cu afectare interstițială pulmonară fibrozantă, progresivă;</w:t>
      </w:r>
    </w:p>
    <w:p w14:paraId="4334F187" w14:textId="77777777" w:rsidR="003872F6" w:rsidRPr="00F941DA" w:rsidRDefault="003872F6" w:rsidP="00D11DF1">
      <w:pPr>
        <w:numPr>
          <w:ilvl w:val="0"/>
          <w:numId w:val="319"/>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Colagenozele cu afectare interstițială difuză progresivă (de exemplu: poliartrita reumatoidă, boala mixtă de țesut conjunctiv, scleroza sistemică, polimiozită/dermatomiozită, sindrom Sjogren, sindrom antisintetazic, lupusul eritematos sistemic, etc.)</w:t>
      </w:r>
    </w:p>
    <w:p w14:paraId="6122A22E" w14:textId="77777777" w:rsidR="003872F6" w:rsidRPr="00F941DA" w:rsidRDefault="003872F6" w:rsidP="00D11DF1">
      <w:pPr>
        <w:numPr>
          <w:ilvl w:val="0"/>
          <w:numId w:val="319"/>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Fibroza pulmonară familială și/sau genetică; </w:t>
      </w:r>
    </w:p>
    <w:p w14:paraId="08B4AC43" w14:textId="77777777" w:rsidR="003872F6" w:rsidRPr="00F941DA" w:rsidRDefault="003872F6" w:rsidP="00D11DF1">
      <w:pPr>
        <w:numPr>
          <w:ilvl w:val="0"/>
          <w:numId w:val="319"/>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Fibroelastoza pleuro-pulmonară;</w:t>
      </w:r>
    </w:p>
    <w:p w14:paraId="164128E2" w14:textId="77777777" w:rsidR="003872F6" w:rsidRPr="00F941DA" w:rsidRDefault="003872F6" w:rsidP="00D11DF1">
      <w:pPr>
        <w:numPr>
          <w:ilvl w:val="0"/>
          <w:numId w:val="319"/>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Pneumopatiile interstițiale difuze fibrozante progresive induse de medicamente;</w:t>
      </w:r>
    </w:p>
    <w:p w14:paraId="5CCA35D3" w14:textId="77777777" w:rsidR="003872F6" w:rsidRPr="00F941DA" w:rsidRDefault="003872F6" w:rsidP="00D11DF1">
      <w:pPr>
        <w:numPr>
          <w:ilvl w:val="0"/>
          <w:numId w:val="319"/>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Pneumopatiile interstițiale difuze fibrozante progresive induse de expunerea profesională (silicoză, azbestoză, etc.);</w:t>
      </w:r>
    </w:p>
    <w:p w14:paraId="547FC3AE" w14:textId="77777777" w:rsidR="003872F6" w:rsidRPr="00F941DA" w:rsidRDefault="003872F6" w:rsidP="00D11DF1">
      <w:pPr>
        <w:numPr>
          <w:ilvl w:val="0"/>
          <w:numId w:val="319"/>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Alte tipuri de PID fibrozante. </w:t>
      </w:r>
    </w:p>
    <w:p w14:paraId="4482D6DB" w14:textId="77777777" w:rsidR="003872F6" w:rsidRPr="00F941DA" w:rsidRDefault="003872F6" w:rsidP="003872F6">
      <w:pPr>
        <w:spacing w:after="0"/>
        <w:jc w:val="both"/>
        <w:rPr>
          <w:rFonts w:ascii="Times New Roman" w:eastAsia="Calibri" w:hAnsi="Times New Roman" w:cs="Times New Roman"/>
          <w:b/>
          <w:sz w:val="24"/>
          <w:szCs w:val="24"/>
        </w:rPr>
      </w:pPr>
    </w:p>
    <w:p w14:paraId="6A7977EE"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Diagnosticul de PID-FFP</w:t>
      </w:r>
      <w:r w:rsidRPr="00F941DA">
        <w:rPr>
          <w:rFonts w:ascii="Times New Roman" w:eastAsia="Calibri" w:hAnsi="Times New Roman" w:cs="Times New Roman"/>
          <w:sz w:val="24"/>
          <w:szCs w:val="24"/>
        </w:rPr>
        <w:t xml:space="preserve"> este susținut de următoarele:</w:t>
      </w:r>
    </w:p>
    <w:p w14:paraId="50FAE6A3" w14:textId="77777777" w:rsidR="003872F6" w:rsidRPr="00F941DA" w:rsidRDefault="003872F6" w:rsidP="00D11DF1">
      <w:pPr>
        <w:numPr>
          <w:ilvl w:val="0"/>
          <w:numId w:val="320"/>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Simptome</w:t>
      </w:r>
      <w:r w:rsidRPr="00F941DA">
        <w:rPr>
          <w:rFonts w:ascii="Times New Roman" w:eastAsia="Calibri" w:hAnsi="Times New Roman" w:cs="Times New Roman"/>
          <w:sz w:val="24"/>
          <w:szCs w:val="24"/>
        </w:rPr>
        <w:t>: de obicei pacienții acuză tuse seacă progresivă, dispnee progresivă de efort, toleranță scăzută la efort;</w:t>
      </w:r>
    </w:p>
    <w:p w14:paraId="446EDAC0" w14:textId="77777777" w:rsidR="003872F6" w:rsidRPr="00F941DA" w:rsidRDefault="003872F6" w:rsidP="00D11DF1">
      <w:pPr>
        <w:numPr>
          <w:ilvl w:val="0"/>
          <w:numId w:val="320"/>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Semne clinice</w:t>
      </w:r>
      <w:r w:rsidRPr="00F941DA">
        <w:rPr>
          <w:rFonts w:ascii="Times New Roman" w:eastAsia="Calibri" w:hAnsi="Times New Roman" w:cs="Times New Roman"/>
          <w:sz w:val="24"/>
          <w:szCs w:val="24"/>
        </w:rPr>
        <w:t>: auscultația pulmonară poate pune în evidență raluri crepitante fine sau „in velcro”, anomalii articulare sau cutanate (în colagenoze), uneori hipocratism digital;</w:t>
      </w:r>
    </w:p>
    <w:p w14:paraId="6BCAC1ED" w14:textId="77777777" w:rsidR="003872F6" w:rsidRPr="00F941DA" w:rsidRDefault="003872F6" w:rsidP="00D11DF1">
      <w:pPr>
        <w:numPr>
          <w:ilvl w:val="0"/>
          <w:numId w:val="320"/>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Serologie</w:t>
      </w:r>
      <w:r w:rsidRPr="00F941DA">
        <w:rPr>
          <w:rFonts w:ascii="Times New Roman" w:eastAsia="Calibri" w:hAnsi="Times New Roman" w:cs="Times New Roman"/>
          <w:sz w:val="24"/>
          <w:szCs w:val="24"/>
        </w:rPr>
        <w:t>: prezența autoanticorpilor circulanți poate susține un diagnostic de colagenoză;</w:t>
      </w:r>
    </w:p>
    <w:p w14:paraId="5C7E9A8E" w14:textId="77777777" w:rsidR="003872F6" w:rsidRPr="00F941DA" w:rsidRDefault="003872F6" w:rsidP="00D11DF1">
      <w:pPr>
        <w:numPr>
          <w:ilvl w:val="0"/>
          <w:numId w:val="320"/>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Radiologie</w:t>
      </w:r>
      <w:r w:rsidRPr="00F941DA">
        <w:rPr>
          <w:rFonts w:ascii="Times New Roman" w:eastAsia="Calibri" w:hAnsi="Times New Roman" w:cs="Times New Roman"/>
          <w:sz w:val="24"/>
          <w:szCs w:val="24"/>
        </w:rPr>
        <w:t xml:space="preserve">: tomografia computerizată cu rezoluție înaltă (high resolution computed tomography, HRCT) poate evidenția leziuni de tip interstițial ce modifică arhitectura normală a plămȃnului: </w:t>
      </w:r>
    </w:p>
    <w:p w14:paraId="7FFC245B" w14:textId="77777777" w:rsidR="003872F6" w:rsidRPr="00F941DA" w:rsidRDefault="003872F6" w:rsidP="00D11DF1">
      <w:pPr>
        <w:numPr>
          <w:ilvl w:val="0"/>
          <w:numId w:val="322"/>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opacități de tip reticular, bronșiectazii/bronșiolectazii de tracțiune cu sau fără leziuni de „fagure de miere” </w:t>
      </w:r>
      <w:r w:rsidRPr="00F941DA">
        <w:rPr>
          <w:rFonts w:ascii="Times New Roman" w:eastAsia="Calibri" w:hAnsi="Times New Roman" w:cs="Times New Roman"/>
          <w:b/>
          <w:sz w:val="24"/>
          <w:szCs w:val="24"/>
        </w:rPr>
        <w:t>sau</w:t>
      </w:r>
    </w:p>
    <w:p w14:paraId="070BB10C" w14:textId="77777777" w:rsidR="003872F6" w:rsidRPr="00F941DA" w:rsidRDefault="003872F6" w:rsidP="00D11DF1">
      <w:pPr>
        <w:numPr>
          <w:ilvl w:val="0"/>
          <w:numId w:val="322"/>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opacități de tip „geam mat”/condensare alveolară cu opacități de tip reticular și bronșiectazii/bronșiolectazii de tracțiune suparaadăugate.</w:t>
      </w:r>
    </w:p>
    <w:p w14:paraId="6693C1BE" w14:textId="77777777" w:rsidR="003872F6" w:rsidRPr="00F941DA" w:rsidRDefault="003872F6" w:rsidP="00D11DF1">
      <w:pPr>
        <w:numPr>
          <w:ilvl w:val="0"/>
          <w:numId w:val="321"/>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Probele funcționale respiratorii</w:t>
      </w:r>
      <w:r w:rsidRPr="00F941DA">
        <w:rPr>
          <w:rFonts w:ascii="Times New Roman" w:eastAsia="Calibri" w:hAnsi="Times New Roman" w:cs="Times New Roman"/>
          <w:sz w:val="24"/>
          <w:szCs w:val="24"/>
        </w:rPr>
        <w:t>: scăderea CVF cu raport VEMS/CVF normal sau crescut peste valoarea inferioară limită a normalului (lower limit normal, LLN), scăderea CPT, scăderea VR, scăderea factorului de transfer al CO (DLco). De obicei acestea se intălnesc în disfuncțiile ventilatorii de tip restrictiv;</w:t>
      </w:r>
    </w:p>
    <w:p w14:paraId="4D7C928E" w14:textId="77777777" w:rsidR="003872F6" w:rsidRPr="00F941DA" w:rsidRDefault="003872F6" w:rsidP="00D11DF1">
      <w:pPr>
        <w:numPr>
          <w:ilvl w:val="0"/>
          <w:numId w:val="321"/>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lastRenderedPageBreak/>
        <w:t>Proceduri suplimentare</w:t>
      </w:r>
      <w:r w:rsidRPr="00F941DA">
        <w:rPr>
          <w:rFonts w:ascii="Times New Roman" w:eastAsia="Calibri" w:hAnsi="Times New Roman" w:cs="Times New Roman"/>
          <w:sz w:val="24"/>
          <w:szCs w:val="24"/>
        </w:rPr>
        <w:t xml:space="preserve">: lavajul bronhiolo-alveolar (LBA), ecografia endobronșică cu puncție-biopsie transbronșică ganglionară, biopsia pulmonară transbronșică, criobiopsia transbronșică sau biopsia pulmonară chirurgicală, testul de mers 6 minute, testul de efort cardio-pulmonar pot fi utilizate la nevoie în stabilirea unui diagnostic de certitudine. </w:t>
      </w:r>
    </w:p>
    <w:p w14:paraId="3F0F2714" w14:textId="77777777" w:rsidR="003872F6" w:rsidRPr="00F941DA" w:rsidRDefault="003872F6" w:rsidP="003872F6">
      <w:pPr>
        <w:spacing w:after="0"/>
        <w:jc w:val="both"/>
        <w:rPr>
          <w:rFonts w:ascii="Times New Roman" w:eastAsia="Calibri" w:hAnsi="Times New Roman" w:cs="Times New Roman"/>
          <w:b/>
          <w:sz w:val="24"/>
          <w:szCs w:val="24"/>
        </w:rPr>
      </w:pPr>
    </w:p>
    <w:p w14:paraId="435B0DC5"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Discuția multidisciplinară</w:t>
      </w:r>
      <w:r w:rsidRPr="00F941DA">
        <w:rPr>
          <w:rFonts w:ascii="Times New Roman" w:eastAsia="Calibri" w:hAnsi="Times New Roman" w:cs="Times New Roman"/>
          <w:sz w:val="24"/>
          <w:szCs w:val="24"/>
        </w:rPr>
        <w:t xml:space="preserve"> reprezintă standardul de aur în diagnosticul PID-FFP. La aceasta participă medici specialiști pneumologi, reumatologi, radiologi și anatomo-patologi (după caz). </w:t>
      </w:r>
    </w:p>
    <w:p w14:paraId="172C20CD" w14:textId="77777777" w:rsidR="003872F6" w:rsidRPr="00F941DA" w:rsidRDefault="003872F6" w:rsidP="003872F6">
      <w:pPr>
        <w:spacing w:after="0"/>
        <w:jc w:val="both"/>
        <w:rPr>
          <w:rFonts w:ascii="Times New Roman" w:eastAsia="Calibri" w:hAnsi="Times New Roman" w:cs="Times New Roman"/>
          <w:b/>
          <w:sz w:val="24"/>
          <w:szCs w:val="24"/>
        </w:rPr>
      </w:pPr>
    </w:p>
    <w:p w14:paraId="12F310F9"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b. Progresivitatea fibrozei</w:t>
      </w:r>
      <w:r w:rsidRPr="00F941DA">
        <w:rPr>
          <w:rFonts w:ascii="Times New Roman" w:eastAsia="Calibri" w:hAnsi="Times New Roman" w:cs="Times New Roman"/>
          <w:sz w:val="24"/>
          <w:szCs w:val="24"/>
        </w:rPr>
        <w:t xml:space="preserve"> poate fi evidențiată pe unul din următoarele:</w:t>
      </w:r>
    </w:p>
    <w:p w14:paraId="11DED24A" w14:textId="77777777" w:rsidR="003872F6" w:rsidRPr="00F941DA" w:rsidRDefault="003872F6" w:rsidP="00D11DF1">
      <w:pPr>
        <w:numPr>
          <w:ilvl w:val="0"/>
          <w:numId w:val="323"/>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pe HRCT – progresia leziunilor de tip fibrotic în ultimele 3-24 luni însoțită de agravarea simptomelor respiratorii (de exemplu aprecierea gradului de dispnee pe scala mMRC - modified Medical Research Council) sau scăderea CVF ≥ 5% din valoarea prezisă; </w:t>
      </w:r>
      <w:r w:rsidRPr="00F941DA">
        <w:rPr>
          <w:rFonts w:ascii="Times New Roman" w:eastAsia="Calibri" w:hAnsi="Times New Roman" w:cs="Times New Roman"/>
          <w:b/>
          <w:sz w:val="24"/>
          <w:szCs w:val="24"/>
        </w:rPr>
        <w:t>SAU</w:t>
      </w:r>
    </w:p>
    <w:p w14:paraId="2C360C58" w14:textId="77777777" w:rsidR="003872F6" w:rsidRPr="00F941DA" w:rsidRDefault="003872F6" w:rsidP="00D11DF1">
      <w:pPr>
        <w:numPr>
          <w:ilvl w:val="0"/>
          <w:numId w:val="323"/>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scăderea CVF cu ≥ 10% din valoarea prezisă în ultimele 3-24 de luni; </w:t>
      </w:r>
      <w:r w:rsidRPr="00F941DA">
        <w:rPr>
          <w:rFonts w:ascii="Times New Roman" w:eastAsia="Calibri" w:hAnsi="Times New Roman" w:cs="Times New Roman"/>
          <w:b/>
          <w:sz w:val="24"/>
          <w:szCs w:val="24"/>
        </w:rPr>
        <w:t>SAU</w:t>
      </w:r>
    </w:p>
    <w:p w14:paraId="30844CEF" w14:textId="77777777" w:rsidR="003872F6" w:rsidRPr="00F941DA" w:rsidRDefault="003872F6" w:rsidP="00D11DF1">
      <w:pPr>
        <w:numPr>
          <w:ilvl w:val="0"/>
          <w:numId w:val="323"/>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scăderea CVF ≥ 5% din valoarea prezisă și agravarea simptomelor în ultimele 3-24 luni; </w:t>
      </w:r>
      <w:r w:rsidRPr="00F941DA">
        <w:rPr>
          <w:rFonts w:ascii="Times New Roman" w:eastAsia="Calibri" w:hAnsi="Times New Roman" w:cs="Times New Roman"/>
          <w:b/>
          <w:sz w:val="24"/>
          <w:szCs w:val="24"/>
        </w:rPr>
        <w:t>SAU</w:t>
      </w:r>
    </w:p>
    <w:p w14:paraId="5E8832CE" w14:textId="77777777" w:rsidR="003872F6" w:rsidRPr="00F941DA" w:rsidRDefault="003872F6" w:rsidP="00D11DF1">
      <w:pPr>
        <w:numPr>
          <w:ilvl w:val="0"/>
          <w:numId w:val="323"/>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scăderea factorului de transfer cu ≥ 15% în ultimele 3-24 de luni; </w:t>
      </w:r>
      <w:r w:rsidRPr="00F941DA">
        <w:rPr>
          <w:rFonts w:ascii="Times New Roman" w:eastAsia="Calibri" w:hAnsi="Times New Roman" w:cs="Times New Roman"/>
          <w:b/>
          <w:sz w:val="24"/>
          <w:szCs w:val="24"/>
        </w:rPr>
        <w:t>SAU</w:t>
      </w:r>
    </w:p>
    <w:p w14:paraId="2A11FBB4" w14:textId="77777777" w:rsidR="003872F6" w:rsidRPr="00F941DA" w:rsidRDefault="003872F6" w:rsidP="00D11DF1">
      <w:pPr>
        <w:numPr>
          <w:ilvl w:val="0"/>
          <w:numId w:val="323"/>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testul de mers 6 minute cu scăderea distanței parcurse cu &gt;50 metri în ultimele 3-24 luni </w:t>
      </w:r>
      <w:r w:rsidRPr="00F941DA">
        <w:rPr>
          <w:rFonts w:ascii="Times New Roman" w:eastAsia="Calibri" w:hAnsi="Times New Roman" w:cs="Times New Roman"/>
          <w:b/>
          <w:sz w:val="24"/>
          <w:szCs w:val="24"/>
        </w:rPr>
        <w:t>SAU</w:t>
      </w:r>
      <w:r w:rsidRPr="00F941DA">
        <w:rPr>
          <w:rFonts w:ascii="Times New Roman" w:eastAsia="Calibri" w:hAnsi="Times New Roman" w:cs="Times New Roman"/>
          <w:sz w:val="24"/>
          <w:szCs w:val="24"/>
        </w:rPr>
        <w:t xml:space="preserve"> desaturarea semnificativă (cel putin 4%).</w:t>
      </w:r>
    </w:p>
    <w:p w14:paraId="0EF1ED54"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Evaluarea progresivității PID-FFP va fi stabilită de medicul specialist pneumolog. In cazul colagenozelor sau pneumopatiei interstitiale difuze cu fenomene autoimune progresivitatea PID-FFP va fi stabilită împreună cu medicul reumatolog.</w:t>
      </w:r>
    </w:p>
    <w:p w14:paraId="722A672F" w14:textId="77777777" w:rsidR="003872F6" w:rsidRPr="00F941DA" w:rsidRDefault="003872F6" w:rsidP="003872F6">
      <w:pPr>
        <w:spacing w:after="0"/>
        <w:jc w:val="both"/>
        <w:rPr>
          <w:rFonts w:ascii="Times New Roman" w:eastAsia="Calibri" w:hAnsi="Times New Roman" w:cs="Times New Roman"/>
          <w:sz w:val="24"/>
          <w:szCs w:val="24"/>
        </w:rPr>
      </w:pPr>
    </w:p>
    <w:p w14:paraId="5FC574B4" w14:textId="77777777" w:rsidR="003872F6" w:rsidRPr="00F941DA" w:rsidRDefault="003872F6" w:rsidP="00D11DF1">
      <w:pPr>
        <w:pStyle w:val="ListParagraph"/>
        <w:numPr>
          <w:ilvl w:val="0"/>
          <w:numId w:val="3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284" w:hanging="284"/>
        <w:contextualSpacing/>
        <w:jc w:val="both"/>
        <w:rPr>
          <w:rFonts w:eastAsia="Calibri"/>
          <w:b/>
          <w:bCs/>
          <w:color w:val="auto"/>
        </w:rPr>
      </w:pPr>
      <w:r w:rsidRPr="00F941DA">
        <w:rPr>
          <w:rFonts w:eastAsia="Calibri"/>
          <w:b/>
          <w:bCs/>
          <w:color w:val="auto"/>
        </w:rPr>
        <w:t>Pneumopatie interstițială difuză asociată sclerodermiei (PID-SSc)</w:t>
      </w:r>
    </w:p>
    <w:p w14:paraId="351AF655" w14:textId="77777777" w:rsidR="003872F6" w:rsidRPr="00F941DA" w:rsidRDefault="003872F6" w:rsidP="003872F6">
      <w:pPr>
        <w:suppressAutoHyphens/>
        <w:spacing w:line="276" w:lineRule="auto"/>
        <w:contextualSpacing/>
        <w:jc w:val="both"/>
        <w:rPr>
          <w:rFonts w:ascii="Times New Roman" w:eastAsia="Calibri" w:hAnsi="Times New Roman" w:cs="Times New Roman"/>
        </w:rPr>
      </w:pPr>
      <w:r w:rsidRPr="00F941DA">
        <w:rPr>
          <w:rFonts w:ascii="Times New Roman" w:eastAsia="Calibri" w:hAnsi="Times New Roman" w:cs="Times New Roman"/>
          <w:b/>
          <w:bCs/>
        </w:rPr>
        <w:t>Diagnostic.</w:t>
      </w:r>
      <w:r w:rsidRPr="00F941DA">
        <w:rPr>
          <w:rFonts w:ascii="Times New Roman" w:eastAsia="Calibri" w:hAnsi="Times New Roman" w:cs="Times New Roman"/>
        </w:rPr>
        <w:t xml:space="preserve"> La pacienții cu sclerodermie diagnosticați de medicul reumatolog având în vedere criteriile de clasificare EULAR/ACR (2013), este necesar screening-ul afectării pulmonare interstițiale prin monitorizarea simptomelor, examen HRCT toracic și explorări funcționale complexe (spirometrie și măsurarea DLCO). Examenul HRCT poate identifica modificări interstițiale pulmonare semnificative și la pacienți fără simptome respiratorii și cu parametri funcționali în limite normale. De aceea, screening-ul afectării pulmonare interstițiale include evaluarea clinică, explorarea funcțională respiratorie complexă și examenul HRCT toracic.</w:t>
      </w:r>
    </w:p>
    <w:p w14:paraId="55DD5BAD" w14:textId="77777777" w:rsidR="003872F6" w:rsidRPr="00F941DA" w:rsidRDefault="003872F6" w:rsidP="003872F6">
      <w:pPr>
        <w:spacing w:after="0"/>
        <w:jc w:val="both"/>
        <w:rPr>
          <w:rFonts w:ascii="Times New Roman" w:eastAsia="Calibri" w:hAnsi="Times New Roman" w:cs="Times New Roman"/>
          <w:sz w:val="24"/>
          <w:szCs w:val="24"/>
          <w:u w:color="000000"/>
          <w:bdr w:val="nil"/>
          <w:lang w:eastAsia="ro-RO"/>
        </w:rPr>
      </w:pPr>
    </w:p>
    <w:p w14:paraId="6668E5A8" w14:textId="77777777" w:rsidR="003872F6" w:rsidRPr="00F941DA" w:rsidRDefault="003872F6" w:rsidP="003872F6">
      <w:pPr>
        <w:jc w:val="both"/>
        <w:rPr>
          <w:rFonts w:ascii="Times New Roman" w:eastAsia="Calibri" w:hAnsi="Times New Roman" w:cs="Times New Roman"/>
        </w:rPr>
      </w:pPr>
      <w:r w:rsidRPr="00F941DA">
        <w:rPr>
          <w:rFonts w:ascii="Times New Roman" w:eastAsia="Calibri" w:hAnsi="Times New Roman" w:cs="Times New Roman"/>
        </w:rPr>
        <w:t>Diagnosticul de PID-SSc se bazează pe următoarele elemente:</w:t>
      </w:r>
    </w:p>
    <w:p w14:paraId="613F4282" w14:textId="77777777" w:rsidR="003872F6" w:rsidRPr="00F941DA" w:rsidRDefault="003872F6" w:rsidP="00D11DF1">
      <w:pPr>
        <w:numPr>
          <w:ilvl w:val="0"/>
          <w:numId w:val="322"/>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Modificări HRCT pulmonare interstițiale difuze constând în diverse elemente: </w:t>
      </w:r>
    </w:p>
    <w:p w14:paraId="52E76552" w14:textId="77777777" w:rsidR="003872F6" w:rsidRPr="00F941DA" w:rsidRDefault="003872F6" w:rsidP="00D11DF1">
      <w:pPr>
        <w:numPr>
          <w:ilvl w:val="1"/>
          <w:numId w:val="322"/>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opacități de tip reticular, bronșiectazii/bronșiolectazii de tracțiune cu sau fără leziuni de „fagure de miere” </w:t>
      </w:r>
      <w:r w:rsidRPr="00F941DA">
        <w:rPr>
          <w:rFonts w:ascii="Times New Roman" w:eastAsia="Calibri" w:hAnsi="Times New Roman" w:cs="Times New Roman"/>
          <w:b/>
          <w:sz w:val="24"/>
          <w:szCs w:val="24"/>
        </w:rPr>
        <w:t>sau</w:t>
      </w:r>
    </w:p>
    <w:p w14:paraId="1226CA71" w14:textId="77777777" w:rsidR="003872F6" w:rsidRPr="00F941DA" w:rsidRDefault="003872F6" w:rsidP="00D11DF1">
      <w:pPr>
        <w:pStyle w:val="ListParagraph"/>
        <w:numPr>
          <w:ilvl w:val="1"/>
          <w:numId w:val="32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eastAsia="Calibri"/>
          <w:color w:val="auto"/>
        </w:rPr>
      </w:pPr>
      <w:r w:rsidRPr="00F941DA">
        <w:rPr>
          <w:rFonts w:eastAsia="Calibri"/>
          <w:color w:val="auto"/>
        </w:rPr>
        <w:t>opacități de tip „geam mat”/condensare alveolară cu opacități de tip reticular și bronșiectazii/bronșiolectazii de tracțiune suparaadăugate</w:t>
      </w:r>
    </w:p>
    <w:p w14:paraId="753107BF" w14:textId="77777777" w:rsidR="003872F6" w:rsidRPr="00F941DA" w:rsidRDefault="003872F6" w:rsidP="00D11DF1">
      <w:pPr>
        <w:pStyle w:val="ListParagraph"/>
        <w:numPr>
          <w:ilvl w:val="0"/>
          <w:numId w:val="32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eastAsia="Calibri"/>
          <w:color w:val="auto"/>
        </w:rPr>
      </w:pPr>
      <w:r w:rsidRPr="00F941DA">
        <w:rPr>
          <w:rFonts w:eastAsia="Calibri"/>
          <w:color w:val="auto"/>
        </w:rPr>
        <w:t>Simptome respiratorii: pot fi prezente dispnee de efort, tuse seacă. Pacienții pot prezenta modificări HRCT de PID-SSc și în absența simptomelor respiratorii; de asemenea tusea în sclerodermie poate avea și cauze diferite (ex. boala de reflux)</w:t>
      </w:r>
    </w:p>
    <w:p w14:paraId="75031B27" w14:textId="77777777" w:rsidR="003872F6" w:rsidRPr="00F941DA" w:rsidRDefault="003872F6" w:rsidP="00D11DF1">
      <w:pPr>
        <w:pStyle w:val="ListParagraph"/>
        <w:numPr>
          <w:ilvl w:val="0"/>
          <w:numId w:val="32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eastAsia="Calibri"/>
          <w:color w:val="auto"/>
        </w:rPr>
      </w:pPr>
      <w:r w:rsidRPr="00F941DA">
        <w:rPr>
          <w:rFonts w:eastAsia="Calibri"/>
          <w:color w:val="auto"/>
        </w:rPr>
        <w:t>Auscultație pulmonară: se pot ausculta raluri crepitante fine bazal bilateral la sfârșitul inspirului, deși auscultația poate fi normală</w:t>
      </w:r>
    </w:p>
    <w:p w14:paraId="13358F3F" w14:textId="77777777" w:rsidR="003872F6" w:rsidRPr="00F941DA" w:rsidRDefault="003872F6" w:rsidP="00D11DF1">
      <w:pPr>
        <w:pStyle w:val="ListParagraph"/>
        <w:numPr>
          <w:ilvl w:val="0"/>
          <w:numId w:val="32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eastAsia="Calibri"/>
          <w:color w:val="auto"/>
        </w:rPr>
      </w:pPr>
      <w:r w:rsidRPr="00F941DA">
        <w:rPr>
          <w:rFonts w:eastAsia="Calibri"/>
          <w:color w:val="auto"/>
        </w:rPr>
        <w:t>Probele funcționale ventilatorii: se poate observa sindrom restrictiv cu reducerea capacității vitale forțate (CVF) și a capacității pulmonare totale (CPT) față de limita inferioară a normalului, și alterarea difuziunii alveolo-capilare cu reducerea DLCO față de limita inferioară a normalului. Pacienții pot prezenta modificări HRCT și simptome respiratorii chiar cu menținerea unei spirometrii normale. De asemenea, alterarea DLCO poate fi cauzată și de modificările vasculare pulmonare din sclerodermie.</w:t>
      </w:r>
    </w:p>
    <w:p w14:paraId="08C522E8" w14:textId="77777777" w:rsidR="003872F6" w:rsidRPr="00F941DA" w:rsidRDefault="003872F6" w:rsidP="00D11DF1">
      <w:pPr>
        <w:pStyle w:val="ListParagraph"/>
        <w:numPr>
          <w:ilvl w:val="0"/>
          <w:numId w:val="32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eastAsia="Calibri"/>
          <w:color w:val="auto"/>
        </w:rPr>
      </w:pPr>
      <w:r w:rsidRPr="00F941DA">
        <w:rPr>
          <w:rFonts w:eastAsia="Calibri"/>
          <w:color w:val="auto"/>
        </w:rPr>
        <w:t>Elemente suplimentare: testul de mers 6 minute poate arăta o scădere a toleranței la efort și poate cuantifica scăderea saturației în oxigen (SaO2) și apariția dispneei la efort și permite monitorizarea pacientului.</w:t>
      </w:r>
    </w:p>
    <w:p w14:paraId="0DD8C88B" w14:textId="77777777" w:rsidR="003872F6" w:rsidRPr="00F941DA" w:rsidRDefault="003872F6" w:rsidP="003872F6">
      <w:pPr>
        <w:ind w:left="360"/>
        <w:jc w:val="both"/>
        <w:rPr>
          <w:rFonts w:eastAsia="Calibri"/>
        </w:rPr>
      </w:pPr>
    </w:p>
    <w:p w14:paraId="5092410E" w14:textId="77777777" w:rsidR="003872F6" w:rsidRPr="00F941DA" w:rsidRDefault="003872F6" w:rsidP="003872F6">
      <w:pPr>
        <w:spacing w:after="0"/>
        <w:jc w:val="both"/>
        <w:rPr>
          <w:rFonts w:ascii="Times New Roman" w:eastAsia="Calibri" w:hAnsi="Times New Roman" w:cs="Times New Roman"/>
          <w:sz w:val="24"/>
          <w:szCs w:val="24"/>
        </w:rPr>
      </w:pPr>
    </w:p>
    <w:p w14:paraId="15D697A5" w14:textId="77777777" w:rsidR="003872F6" w:rsidRPr="00F941DA" w:rsidRDefault="003872F6" w:rsidP="00D11DF1">
      <w:pPr>
        <w:numPr>
          <w:ilvl w:val="0"/>
          <w:numId w:val="317"/>
        </w:numPr>
        <w:tabs>
          <w:tab w:val="left" w:pos="426"/>
        </w:tabs>
        <w:suppressAutoHyphens/>
        <w:spacing w:after="0"/>
        <w:ind w:left="142" w:hanging="142"/>
        <w:contextualSpacing/>
        <w:jc w:val="both"/>
        <w:rPr>
          <w:rFonts w:ascii="Times New Roman" w:eastAsia="Calibri" w:hAnsi="Times New Roman" w:cs="Times New Roman"/>
          <w:iCs/>
          <w:sz w:val="24"/>
          <w:szCs w:val="24"/>
        </w:rPr>
      </w:pPr>
      <w:r w:rsidRPr="00F941DA">
        <w:rPr>
          <w:rFonts w:ascii="Times New Roman" w:eastAsia="Calibri" w:hAnsi="Times New Roman" w:cs="Times New Roman"/>
          <w:b/>
          <w:iCs/>
          <w:sz w:val="24"/>
          <w:szCs w:val="24"/>
        </w:rPr>
        <w:t>Criterii pentru includerea unui pacient în tratament</w:t>
      </w:r>
    </w:p>
    <w:p w14:paraId="6CFEAC24" w14:textId="77777777" w:rsidR="003872F6" w:rsidRPr="00F941DA" w:rsidRDefault="003872F6" w:rsidP="003872F6">
      <w:pPr>
        <w:tabs>
          <w:tab w:val="left" w:pos="426"/>
        </w:tabs>
        <w:suppressAutoHyphens/>
        <w:spacing w:after="0"/>
        <w:ind w:left="142"/>
        <w:contextualSpacing/>
        <w:jc w:val="both"/>
        <w:rPr>
          <w:rFonts w:ascii="Times New Roman" w:eastAsia="Calibri" w:hAnsi="Times New Roman" w:cs="Times New Roman"/>
          <w:iCs/>
          <w:sz w:val="24"/>
          <w:szCs w:val="24"/>
        </w:rPr>
      </w:pPr>
    </w:p>
    <w:p w14:paraId="64845B72" w14:textId="77777777" w:rsidR="003872F6" w:rsidRPr="00F941DA" w:rsidRDefault="003872F6" w:rsidP="00D11DF1">
      <w:pPr>
        <w:pStyle w:val="ListParagraph"/>
        <w:numPr>
          <w:ilvl w:val="0"/>
          <w:numId w:val="33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spacing w:line="259" w:lineRule="auto"/>
        <w:ind w:hanging="502"/>
        <w:contextualSpacing/>
        <w:jc w:val="both"/>
        <w:rPr>
          <w:rFonts w:eastAsia="Calibri"/>
          <w:iCs/>
          <w:color w:val="auto"/>
        </w:rPr>
      </w:pPr>
      <w:r w:rsidRPr="00F941DA">
        <w:rPr>
          <w:rFonts w:eastAsia="Calibri"/>
          <w:b/>
          <w:iCs/>
          <w:color w:val="auto"/>
        </w:rPr>
        <w:t>Pneumopatii interstițiale difuze – fenotip fibrozant progresiv (PID-FFP)</w:t>
      </w:r>
    </w:p>
    <w:p w14:paraId="44B521B2" w14:textId="77777777" w:rsidR="003872F6" w:rsidRPr="00F941DA" w:rsidRDefault="003872F6" w:rsidP="003872F6">
      <w:pPr>
        <w:spacing w:after="0"/>
        <w:ind w:left="720"/>
        <w:contextualSpacing/>
        <w:jc w:val="both"/>
        <w:rPr>
          <w:rFonts w:ascii="Times New Roman" w:eastAsia="Calibri" w:hAnsi="Times New Roman" w:cs="Times New Roman"/>
          <w:i/>
          <w:iCs/>
          <w:sz w:val="24"/>
          <w:szCs w:val="24"/>
        </w:rPr>
      </w:pPr>
    </w:p>
    <w:p w14:paraId="73DA781C" w14:textId="77777777" w:rsidR="003872F6" w:rsidRPr="00F941DA" w:rsidRDefault="003872F6" w:rsidP="00D11DF1">
      <w:pPr>
        <w:numPr>
          <w:ilvl w:val="0"/>
          <w:numId w:val="324"/>
        </w:numPr>
        <w:suppressAutoHyphens/>
        <w:spacing w:after="0"/>
        <w:ind w:left="360"/>
        <w:contextualSpacing/>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 xml:space="preserve">Criterii de includere în tratamentul </w:t>
      </w:r>
      <w:r w:rsidRPr="00F941DA">
        <w:rPr>
          <w:rFonts w:ascii="Times New Roman" w:eastAsia="Calibri" w:hAnsi="Times New Roman" w:cs="Times New Roman"/>
          <w:sz w:val="24"/>
          <w:szCs w:val="24"/>
        </w:rPr>
        <w:t>cu nintedanib (criteriul d. se aplică după caz):</w:t>
      </w:r>
    </w:p>
    <w:p w14:paraId="1F3ED132" w14:textId="77777777" w:rsidR="003872F6" w:rsidRPr="00F941DA" w:rsidRDefault="003872F6" w:rsidP="00D11DF1">
      <w:pPr>
        <w:numPr>
          <w:ilvl w:val="0"/>
          <w:numId w:val="325"/>
        </w:numPr>
        <w:suppressAutoHyphens/>
        <w:spacing w:after="0"/>
        <w:ind w:left="851" w:hanging="425"/>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Adult (&gt;18 ani); </w:t>
      </w:r>
    </w:p>
    <w:p w14:paraId="47EC2AEE" w14:textId="77777777" w:rsidR="003872F6" w:rsidRPr="00F941DA" w:rsidRDefault="003872F6" w:rsidP="00D11DF1">
      <w:pPr>
        <w:numPr>
          <w:ilvl w:val="0"/>
          <w:numId w:val="325"/>
        </w:numPr>
        <w:suppressAutoHyphens/>
        <w:spacing w:after="0"/>
        <w:ind w:left="851" w:hanging="425"/>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Diagnostic de pneumopatie interstițială difuză – fenotip fibrozant progresiv; </w:t>
      </w:r>
    </w:p>
    <w:p w14:paraId="4A37B60A" w14:textId="77777777" w:rsidR="003872F6" w:rsidRPr="00F941DA" w:rsidRDefault="003872F6" w:rsidP="00D11DF1">
      <w:pPr>
        <w:numPr>
          <w:ilvl w:val="0"/>
          <w:numId w:val="325"/>
        </w:numPr>
        <w:suppressAutoHyphens/>
        <w:spacing w:after="0"/>
        <w:ind w:left="851" w:hanging="425"/>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Obiectivarea progresivității fibrozei; </w:t>
      </w:r>
    </w:p>
    <w:p w14:paraId="564F85B5" w14:textId="77777777" w:rsidR="003872F6" w:rsidRPr="00F941DA" w:rsidRDefault="003872F6" w:rsidP="00D11DF1">
      <w:pPr>
        <w:numPr>
          <w:ilvl w:val="0"/>
          <w:numId w:val="325"/>
        </w:numPr>
        <w:suppressAutoHyphens/>
        <w:spacing w:after="0"/>
        <w:ind w:left="851" w:hanging="425"/>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Răspunsul insuficient la tratamentul de primă linie (dacă acesta există sau este aplicabil), de exemplu:</w:t>
      </w:r>
    </w:p>
    <w:p w14:paraId="43C9560F" w14:textId="77777777" w:rsidR="003872F6" w:rsidRPr="00F941DA" w:rsidRDefault="003872F6" w:rsidP="00D11DF1">
      <w:pPr>
        <w:numPr>
          <w:ilvl w:val="0"/>
          <w:numId w:val="330"/>
        </w:numPr>
        <w:suppressAutoHyphens/>
        <w:spacing w:after="0"/>
        <w:ind w:left="1134" w:hanging="283"/>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tratamentul cortizonic (singur sau în asociere cu imunosupresoare) în sarcoidoză;</w:t>
      </w:r>
    </w:p>
    <w:p w14:paraId="1DF7471B" w14:textId="77777777" w:rsidR="003872F6" w:rsidRPr="00F941DA" w:rsidRDefault="003872F6" w:rsidP="00D11DF1">
      <w:pPr>
        <w:numPr>
          <w:ilvl w:val="0"/>
          <w:numId w:val="330"/>
        </w:numPr>
        <w:suppressAutoHyphens/>
        <w:spacing w:after="0"/>
        <w:ind w:left="1134" w:hanging="283"/>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evitarea expunerii la agentul etiologic și tratament cortizonic în pneumonita de hipersensibilitate;</w:t>
      </w:r>
    </w:p>
    <w:p w14:paraId="326F9F7D" w14:textId="77777777" w:rsidR="003872F6" w:rsidRPr="00F941DA" w:rsidRDefault="003872F6" w:rsidP="00D11DF1">
      <w:pPr>
        <w:numPr>
          <w:ilvl w:val="0"/>
          <w:numId w:val="330"/>
        </w:numPr>
        <w:suppressAutoHyphens/>
        <w:spacing w:after="0"/>
        <w:ind w:left="1134" w:hanging="283"/>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tratamentul cortizonic/imunosupresor în colagenozele cu afectare interstițială pulmonară.</w:t>
      </w:r>
    </w:p>
    <w:p w14:paraId="7F465F97" w14:textId="77777777" w:rsidR="003872F6" w:rsidRPr="00F941DA" w:rsidRDefault="003872F6" w:rsidP="003872F6">
      <w:pPr>
        <w:spacing w:after="0"/>
        <w:contextualSpacing/>
        <w:jc w:val="both"/>
        <w:rPr>
          <w:rFonts w:ascii="Times New Roman" w:eastAsia="Calibri" w:hAnsi="Times New Roman" w:cs="Times New Roman"/>
          <w:sz w:val="24"/>
          <w:szCs w:val="24"/>
        </w:rPr>
      </w:pPr>
    </w:p>
    <w:p w14:paraId="49CE143F" w14:textId="77777777" w:rsidR="003872F6" w:rsidRPr="00F941DA" w:rsidRDefault="003872F6" w:rsidP="00D11DF1">
      <w:pPr>
        <w:numPr>
          <w:ilvl w:val="0"/>
          <w:numId w:val="324"/>
        </w:numPr>
        <w:suppressAutoHyphens/>
        <w:spacing w:after="0"/>
        <w:ind w:left="425" w:hanging="425"/>
        <w:contextualSpacing/>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Criterii de excludere:</w:t>
      </w:r>
    </w:p>
    <w:p w14:paraId="01EBA06A" w14:textId="77777777" w:rsidR="003872F6" w:rsidRPr="00F941DA" w:rsidRDefault="003872F6" w:rsidP="00D11DF1">
      <w:pPr>
        <w:numPr>
          <w:ilvl w:val="1"/>
          <w:numId w:val="333"/>
        </w:numPr>
        <w:suppressAutoHyphens/>
        <w:spacing w:after="0"/>
        <w:ind w:left="851" w:hanging="425"/>
        <w:jc w:val="both"/>
        <w:rPr>
          <w:rFonts w:ascii="Times New Roman" w:eastAsia="Calibri" w:hAnsi="Times New Roman" w:cs="Times New Roman"/>
          <w:sz w:val="24"/>
          <w:szCs w:val="24"/>
          <w:u w:color="000000"/>
          <w:lang w:eastAsia="ro-RO"/>
        </w:rPr>
      </w:pPr>
      <w:r w:rsidRPr="00F941DA">
        <w:rPr>
          <w:rFonts w:ascii="Times New Roman" w:eastAsia="Calibri" w:hAnsi="Times New Roman" w:cs="Times New Roman"/>
          <w:sz w:val="24"/>
          <w:szCs w:val="24"/>
          <w:u w:color="000000"/>
          <w:lang w:eastAsia="ro-RO"/>
        </w:rPr>
        <w:t>Intoleranță la nintedanibum sau excipienți, arahide sau soia</w:t>
      </w:r>
    </w:p>
    <w:p w14:paraId="4775A8B9" w14:textId="77777777" w:rsidR="003872F6" w:rsidRPr="00F941DA" w:rsidRDefault="003872F6" w:rsidP="00D11DF1">
      <w:pPr>
        <w:numPr>
          <w:ilvl w:val="1"/>
          <w:numId w:val="333"/>
        </w:numPr>
        <w:suppressAutoHyphens/>
        <w:spacing w:after="0"/>
        <w:ind w:left="851" w:hanging="425"/>
        <w:jc w:val="both"/>
        <w:rPr>
          <w:rFonts w:ascii="Times New Roman" w:eastAsia="Calibri" w:hAnsi="Times New Roman" w:cs="Times New Roman"/>
          <w:sz w:val="24"/>
          <w:szCs w:val="24"/>
          <w:u w:color="000000"/>
          <w:lang w:eastAsia="ro-RO"/>
        </w:rPr>
      </w:pPr>
      <w:r w:rsidRPr="00F941DA">
        <w:rPr>
          <w:rFonts w:ascii="Times New Roman" w:eastAsia="Calibri" w:hAnsi="Times New Roman" w:cs="Times New Roman"/>
          <w:sz w:val="24"/>
          <w:szCs w:val="24"/>
          <w:u w:color="000000"/>
          <w:lang w:eastAsia="ro-RO"/>
        </w:rPr>
        <w:t>Sarcină în evoluție sau alăptare; persoanele de sex feminin de vârstă fertilă trebuie să folosească un sistem de contracepție eficient.</w:t>
      </w:r>
    </w:p>
    <w:p w14:paraId="07D68D1E" w14:textId="77777777" w:rsidR="003872F6" w:rsidRPr="00F941DA" w:rsidRDefault="003872F6" w:rsidP="00D11DF1">
      <w:pPr>
        <w:numPr>
          <w:ilvl w:val="1"/>
          <w:numId w:val="333"/>
        </w:numPr>
        <w:suppressAutoHyphens/>
        <w:spacing w:after="0"/>
        <w:ind w:left="851" w:hanging="425"/>
        <w:jc w:val="both"/>
        <w:rPr>
          <w:rFonts w:ascii="Times New Roman" w:eastAsia="Calibri" w:hAnsi="Times New Roman" w:cs="Times New Roman"/>
          <w:sz w:val="24"/>
          <w:szCs w:val="24"/>
          <w:u w:color="000000"/>
          <w:lang w:eastAsia="ro-RO"/>
        </w:rPr>
      </w:pPr>
      <w:r w:rsidRPr="00F941DA">
        <w:rPr>
          <w:rFonts w:ascii="Times New Roman" w:eastAsia="Calibri" w:hAnsi="Times New Roman" w:cs="Times New Roman"/>
          <w:sz w:val="24"/>
          <w:szCs w:val="24"/>
          <w:u w:color="000000"/>
          <w:lang w:eastAsia="ro-RO"/>
        </w:rPr>
        <w:t>Insuficiența hepatică moderată sau severă (Clasa Child-Pugh B, C) sau anomalii biologice hepatice (ALAT sau ASAT &gt; 3 X N)</w:t>
      </w:r>
    </w:p>
    <w:p w14:paraId="4CF05C17" w14:textId="77777777" w:rsidR="003872F6" w:rsidRPr="00F941DA" w:rsidRDefault="003872F6" w:rsidP="00D11DF1">
      <w:pPr>
        <w:numPr>
          <w:ilvl w:val="1"/>
          <w:numId w:val="333"/>
        </w:numPr>
        <w:suppressAutoHyphens/>
        <w:spacing w:after="0"/>
        <w:ind w:left="851" w:hanging="425"/>
        <w:jc w:val="both"/>
        <w:rPr>
          <w:rFonts w:ascii="Times New Roman" w:eastAsia="Calibri" w:hAnsi="Times New Roman" w:cs="Times New Roman"/>
          <w:sz w:val="24"/>
          <w:szCs w:val="24"/>
          <w:u w:color="000000"/>
          <w:lang w:eastAsia="ro-RO"/>
        </w:rPr>
      </w:pPr>
      <w:r w:rsidRPr="00F941DA">
        <w:rPr>
          <w:rFonts w:ascii="Times New Roman" w:eastAsia="Calibri" w:hAnsi="Times New Roman" w:cs="Times New Roman"/>
          <w:sz w:val="24"/>
          <w:szCs w:val="24"/>
          <w:u w:color="000000"/>
          <w:lang w:eastAsia="ro-RO"/>
        </w:rPr>
        <w:t>Insuficiența renală severă (clearance-ul creatininei &lt; 30 ml/min) sau boală renală terminală care necesită dializă</w:t>
      </w:r>
    </w:p>
    <w:p w14:paraId="3C09ADEE" w14:textId="77777777" w:rsidR="003872F6" w:rsidRPr="00F941DA" w:rsidRDefault="003872F6" w:rsidP="00D11DF1">
      <w:pPr>
        <w:numPr>
          <w:ilvl w:val="1"/>
          <w:numId w:val="333"/>
        </w:numPr>
        <w:suppressAutoHyphens/>
        <w:spacing w:after="0"/>
        <w:ind w:left="851" w:hanging="425"/>
        <w:jc w:val="both"/>
        <w:rPr>
          <w:rFonts w:ascii="Times New Roman" w:eastAsia="Calibri" w:hAnsi="Times New Roman" w:cs="Times New Roman"/>
          <w:sz w:val="24"/>
          <w:szCs w:val="24"/>
          <w:u w:color="000000"/>
          <w:lang w:eastAsia="ro-RO"/>
        </w:rPr>
      </w:pPr>
      <w:r w:rsidRPr="00F941DA">
        <w:rPr>
          <w:rFonts w:ascii="Times New Roman" w:eastAsia="Calibri" w:hAnsi="Times New Roman" w:cs="Times New Roman"/>
          <w:sz w:val="24"/>
          <w:szCs w:val="24"/>
          <w:u w:color="000000"/>
          <w:lang w:eastAsia="ro-RO"/>
        </w:rPr>
        <w:t>Utilizare concomitentă cu ketoconazol, eritromicină, ciclosporină</w:t>
      </w:r>
    </w:p>
    <w:p w14:paraId="5A62598D" w14:textId="77777777" w:rsidR="003872F6" w:rsidRPr="00F941DA" w:rsidRDefault="003872F6" w:rsidP="003872F6">
      <w:pPr>
        <w:spacing w:after="0"/>
        <w:jc w:val="both"/>
        <w:rPr>
          <w:rFonts w:ascii="Times New Roman" w:eastAsia="Calibri" w:hAnsi="Times New Roman" w:cs="Times New Roman"/>
          <w:bCs/>
          <w:sz w:val="24"/>
          <w:szCs w:val="24"/>
        </w:rPr>
      </w:pPr>
    </w:p>
    <w:p w14:paraId="0A126B1D" w14:textId="77777777" w:rsidR="003872F6" w:rsidRPr="00F941DA" w:rsidRDefault="003872F6" w:rsidP="00D11DF1">
      <w:pPr>
        <w:pStyle w:val="ListParagraph"/>
        <w:numPr>
          <w:ilvl w:val="0"/>
          <w:numId w:val="3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eastAsia="Calibri"/>
          <w:bCs/>
          <w:color w:val="auto"/>
        </w:rPr>
      </w:pPr>
      <w:r w:rsidRPr="00F941DA">
        <w:rPr>
          <w:rFonts w:eastAsia="Calibri"/>
          <w:b/>
          <w:iCs/>
          <w:color w:val="auto"/>
        </w:rPr>
        <w:t>Pneumopatia interstițială difuză asociată sclerodermiei – (PID-SSc)</w:t>
      </w:r>
    </w:p>
    <w:p w14:paraId="7FA3F8CB" w14:textId="77777777" w:rsidR="003872F6" w:rsidRPr="00F941DA" w:rsidRDefault="003872F6" w:rsidP="003872F6">
      <w:pPr>
        <w:spacing w:after="0"/>
        <w:ind w:left="142"/>
        <w:jc w:val="both"/>
        <w:rPr>
          <w:rFonts w:ascii="Times New Roman" w:eastAsia="Calibri" w:hAnsi="Times New Roman" w:cs="Times New Roman"/>
          <w:bCs/>
          <w:sz w:val="24"/>
          <w:szCs w:val="24"/>
        </w:rPr>
      </w:pPr>
      <w:r w:rsidRPr="00F941DA">
        <w:rPr>
          <w:rFonts w:ascii="Times New Roman" w:eastAsia="Calibri" w:hAnsi="Times New Roman" w:cs="Times New Roman"/>
          <w:bCs/>
          <w:sz w:val="24"/>
          <w:szCs w:val="24"/>
        </w:rPr>
        <w:t>Pacienții cu sclerodermie la care examenul HRCT evidențiază modificări de tip interstițial pot beneficia de tratament dedicat afectării pulmonare (cu nintedanibum asociat sau nu  cu alte mijloace terapeutice – micofenolat mofetil, ciclofosfamida, tocilizumab) în următoarele situații (tratament de primă linie):</w:t>
      </w:r>
    </w:p>
    <w:p w14:paraId="508C8BF7" w14:textId="77777777" w:rsidR="003872F6" w:rsidRPr="00F941DA" w:rsidRDefault="003872F6" w:rsidP="00D11DF1">
      <w:pPr>
        <w:pStyle w:val="ListParagraph"/>
        <w:numPr>
          <w:ilvl w:val="1"/>
          <w:numId w:val="3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851" w:hanging="284"/>
        <w:contextualSpacing/>
        <w:jc w:val="both"/>
        <w:rPr>
          <w:rFonts w:eastAsia="Calibri"/>
          <w:bCs/>
          <w:color w:val="auto"/>
        </w:rPr>
      </w:pPr>
      <w:r w:rsidRPr="00F941DA">
        <w:rPr>
          <w:rFonts w:eastAsia="Calibri"/>
          <w:bCs/>
          <w:color w:val="auto"/>
        </w:rPr>
        <w:t>Pacienți cu PID-SSc sever de la data identificării afectării pulmonare (una din):</w:t>
      </w:r>
    </w:p>
    <w:p w14:paraId="3AE26543" w14:textId="77777777" w:rsidR="003872F6" w:rsidRPr="00F941DA" w:rsidRDefault="003872F6" w:rsidP="00D11DF1">
      <w:pPr>
        <w:pStyle w:val="ListParagraph"/>
        <w:numPr>
          <w:ilvl w:val="2"/>
          <w:numId w:val="3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1134" w:hanging="283"/>
        <w:contextualSpacing/>
        <w:jc w:val="both"/>
        <w:rPr>
          <w:rFonts w:eastAsia="Calibri"/>
          <w:bCs/>
          <w:color w:val="auto"/>
        </w:rPr>
      </w:pPr>
      <w:r w:rsidRPr="00F941DA">
        <w:rPr>
          <w:rFonts w:eastAsia="Calibri"/>
          <w:bCs/>
          <w:color w:val="auto"/>
        </w:rPr>
        <w:t>Pacienți cu extensie moderată sau severă a leziunilor pe HRCT</w:t>
      </w:r>
    </w:p>
    <w:p w14:paraId="1A538FB6" w14:textId="77777777" w:rsidR="003872F6" w:rsidRPr="00F941DA" w:rsidRDefault="003872F6" w:rsidP="00D11DF1">
      <w:pPr>
        <w:pStyle w:val="ListParagraph"/>
        <w:numPr>
          <w:ilvl w:val="2"/>
          <w:numId w:val="3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1134" w:hanging="283"/>
        <w:contextualSpacing/>
        <w:jc w:val="both"/>
        <w:rPr>
          <w:rFonts w:eastAsia="Calibri"/>
          <w:bCs/>
          <w:color w:val="auto"/>
        </w:rPr>
      </w:pPr>
      <w:r w:rsidRPr="00F941DA">
        <w:rPr>
          <w:rFonts w:eastAsia="Calibri"/>
          <w:bCs/>
          <w:color w:val="auto"/>
        </w:rPr>
        <w:t>Pacienți care prezentau simptome respiratorii sau alterare a parametrilor funcționali ventilatori cu minim 6 luni anterior datei examenului HRCT care evidențiază anomalii interstițiale pulmonare</w:t>
      </w:r>
    </w:p>
    <w:p w14:paraId="12BD00D4" w14:textId="77777777" w:rsidR="003872F6" w:rsidRPr="00F941DA" w:rsidRDefault="003872F6" w:rsidP="00D11DF1">
      <w:pPr>
        <w:pStyle w:val="ListParagraph"/>
        <w:numPr>
          <w:ilvl w:val="1"/>
          <w:numId w:val="3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851" w:hanging="284"/>
        <w:contextualSpacing/>
        <w:jc w:val="both"/>
        <w:rPr>
          <w:rFonts w:eastAsia="Calibri"/>
          <w:bCs/>
          <w:color w:val="auto"/>
        </w:rPr>
      </w:pPr>
      <w:r w:rsidRPr="00F941DA">
        <w:rPr>
          <w:rFonts w:eastAsia="Calibri"/>
          <w:bCs/>
          <w:color w:val="auto"/>
        </w:rPr>
        <w:t>Pacienți cu PID-SSc ușor dar cu risc de progresie</w:t>
      </w:r>
    </w:p>
    <w:p w14:paraId="77D571F8" w14:textId="77777777" w:rsidR="003872F6" w:rsidRPr="00F941DA" w:rsidRDefault="003872F6" w:rsidP="00D11DF1">
      <w:pPr>
        <w:pStyle w:val="ListParagraph"/>
        <w:numPr>
          <w:ilvl w:val="2"/>
          <w:numId w:val="3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1134" w:hanging="283"/>
        <w:contextualSpacing/>
        <w:jc w:val="both"/>
        <w:rPr>
          <w:rFonts w:eastAsia="Calibri"/>
          <w:bCs/>
          <w:color w:val="auto"/>
        </w:rPr>
      </w:pPr>
      <w:r w:rsidRPr="00F941DA">
        <w:rPr>
          <w:rFonts w:eastAsia="Calibri"/>
          <w:bCs/>
          <w:color w:val="auto"/>
        </w:rPr>
        <w:t>Pacienți cu modificări imagistice limitate, dar care asociază unul sau mai mulți dintre următorii factori de risc:</w:t>
      </w:r>
    </w:p>
    <w:p w14:paraId="528236B2" w14:textId="77777777" w:rsidR="003872F6" w:rsidRPr="00F941DA" w:rsidRDefault="003872F6" w:rsidP="00D11DF1">
      <w:pPr>
        <w:pStyle w:val="ListParagraph"/>
        <w:numPr>
          <w:ilvl w:val="3"/>
          <w:numId w:val="3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1418" w:hanging="284"/>
        <w:contextualSpacing/>
        <w:jc w:val="both"/>
        <w:rPr>
          <w:rFonts w:eastAsia="Calibri"/>
          <w:bCs/>
          <w:color w:val="auto"/>
        </w:rPr>
      </w:pPr>
      <w:r w:rsidRPr="00F941DA">
        <w:rPr>
          <w:rFonts w:eastAsia="Calibri"/>
          <w:bCs/>
          <w:color w:val="auto"/>
        </w:rPr>
        <w:t>Vârsta peste 60 de ani</w:t>
      </w:r>
    </w:p>
    <w:p w14:paraId="68793163" w14:textId="77777777" w:rsidR="003872F6" w:rsidRPr="00F941DA" w:rsidRDefault="003872F6" w:rsidP="00D11DF1">
      <w:pPr>
        <w:pStyle w:val="ListParagraph"/>
        <w:numPr>
          <w:ilvl w:val="3"/>
          <w:numId w:val="3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1418" w:hanging="284"/>
        <w:contextualSpacing/>
        <w:jc w:val="both"/>
        <w:rPr>
          <w:rFonts w:eastAsia="Calibri"/>
          <w:bCs/>
          <w:color w:val="auto"/>
        </w:rPr>
      </w:pPr>
      <w:r w:rsidRPr="00F941DA">
        <w:rPr>
          <w:rFonts w:eastAsia="Calibri"/>
          <w:bCs/>
          <w:color w:val="auto"/>
        </w:rPr>
        <w:t>Sex masculin</w:t>
      </w:r>
    </w:p>
    <w:p w14:paraId="0C68A44B" w14:textId="77777777" w:rsidR="003872F6" w:rsidRPr="00F941DA" w:rsidRDefault="003872F6" w:rsidP="00D11DF1">
      <w:pPr>
        <w:pStyle w:val="ListParagraph"/>
        <w:numPr>
          <w:ilvl w:val="3"/>
          <w:numId w:val="3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1418" w:hanging="284"/>
        <w:contextualSpacing/>
        <w:jc w:val="both"/>
        <w:rPr>
          <w:rFonts w:eastAsia="Calibri"/>
          <w:bCs/>
          <w:color w:val="auto"/>
        </w:rPr>
      </w:pPr>
      <w:r w:rsidRPr="00F941DA">
        <w:rPr>
          <w:rFonts w:eastAsia="Calibri"/>
          <w:bCs/>
          <w:color w:val="auto"/>
        </w:rPr>
        <w:t>Formă cutanată difuză recentă</w:t>
      </w:r>
    </w:p>
    <w:p w14:paraId="2573985B" w14:textId="77777777" w:rsidR="003872F6" w:rsidRPr="00F941DA" w:rsidRDefault="003872F6" w:rsidP="00D11DF1">
      <w:pPr>
        <w:pStyle w:val="ListParagraph"/>
        <w:numPr>
          <w:ilvl w:val="3"/>
          <w:numId w:val="3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1418" w:hanging="284"/>
        <w:contextualSpacing/>
        <w:jc w:val="both"/>
        <w:rPr>
          <w:rFonts w:eastAsia="Calibri"/>
          <w:bCs/>
          <w:color w:val="auto"/>
        </w:rPr>
      </w:pPr>
      <w:r w:rsidRPr="00F941DA">
        <w:rPr>
          <w:rFonts w:eastAsia="Calibri"/>
          <w:bCs/>
          <w:color w:val="auto"/>
        </w:rPr>
        <w:t>Ac anti SCL70 pozitivi</w:t>
      </w:r>
    </w:p>
    <w:p w14:paraId="5EA89CFE" w14:textId="77777777" w:rsidR="003872F6" w:rsidRPr="00F941DA" w:rsidRDefault="003872F6" w:rsidP="00D11DF1">
      <w:pPr>
        <w:pStyle w:val="ListParagraph"/>
        <w:numPr>
          <w:ilvl w:val="3"/>
          <w:numId w:val="3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1418" w:hanging="284"/>
        <w:contextualSpacing/>
        <w:jc w:val="both"/>
        <w:rPr>
          <w:rFonts w:eastAsia="Calibri"/>
          <w:bCs/>
          <w:color w:val="auto"/>
        </w:rPr>
      </w:pPr>
      <w:r w:rsidRPr="00F941DA">
        <w:rPr>
          <w:rFonts w:eastAsia="Calibri"/>
          <w:bCs/>
          <w:color w:val="auto"/>
        </w:rPr>
        <w:t>Sindrom biologic inflamator asociat</w:t>
      </w:r>
    </w:p>
    <w:p w14:paraId="059BB67C" w14:textId="77777777" w:rsidR="003872F6" w:rsidRPr="00F941DA" w:rsidRDefault="003872F6" w:rsidP="003872F6">
      <w:pPr>
        <w:pStyle w:val="ListParagraph"/>
        <w:jc w:val="both"/>
        <w:rPr>
          <w:rFonts w:eastAsia="Calibri"/>
          <w:bCs/>
          <w:color w:val="auto"/>
        </w:rPr>
      </w:pPr>
      <w:r w:rsidRPr="00F941DA">
        <w:rPr>
          <w:rFonts w:eastAsia="Calibri"/>
          <w:bCs/>
          <w:color w:val="auto"/>
        </w:rPr>
        <w:t>Pentru pacienții cu leziuni limitate pe HRCT și care nu au factori de risc de progresie, este necesară monitorizarea evoluției clinice respiratorii, funcționale și imagistice la 6-12 luni, pentru a surprinde progresia fibrozei pulmonare (vezi Progresivitatea fibrozei la PID-FFP), caz în care au indicație de tratament cu nintedanib.</w:t>
      </w:r>
    </w:p>
    <w:p w14:paraId="41B47057" w14:textId="77777777" w:rsidR="003872F6" w:rsidRPr="00F941DA" w:rsidRDefault="003872F6" w:rsidP="003872F6">
      <w:pPr>
        <w:pStyle w:val="ListParagraph"/>
        <w:jc w:val="both"/>
        <w:rPr>
          <w:rFonts w:eastAsia="Calibri"/>
          <w:bCs/>
          <w:color w:val="auto"/>
        </w:rPr>
      </w:pPr>
    </w:p>
    <w:p w14:paraId="42468369" w14:textId="77777777" w:rsidR="003872F6" w:rsidRPr="00F941DA" w:rsidRDefault="003872F6" w:rsidP="003872F6">
      <w:pPr>
        <w:pStyle w:val="ListParagraph"/>
        <w:jc w:val="both"/>
        <w:rPr>
          <w:rFonts w:eastAsia="Calibri"/>
          <w:bCs/>
          <w:color w:val="auto"/>
        </w:rPr>
      </w:pPr>
      <w:r w:rsidRPr="00F941DA">
        <w:rPr>
          <w:rFonts w:eastAsia="Calibri"/>
          <w:bCs/>
          <w:color w:val="auto"/>
        </w:rPr>
        <w:lastRenderedPageBreak/>
        <w:t>Decizia de inițiere a tratamentului și alegerea tratamentului de primă linie pentru PID-SSc (nintedanib, micofenolat mofetil, ciclofosfamidă, tocilizumab etc) se va face prin colaborare între medicul reumatolog și pneumolog. Nintedanib poate fi asociat cu un medicament imunosupresor.</w:t>
      </w:r>
    </w:p>
    <w:p w14:paraId="262C29C3" w14:textId="77777777" w:rsidR="003872F6" w:rsidRPr="00F941DA" w:rsidRDefault="003872F6" w:rsidP="003872F6">
      <w:pPr>
        <w:pStyle w:val="ListParagraph"/>
        <w:jc w:val="both"/>
        <w:rPr>
          <w:rFonts w:eastAsia="Calibri"/>
          <w:bCs/>
          <w:color w:val="auto"/>
        </w:rPr>
      </w:pPr>
    </w:p>
    <w:p w14:paraId="074AF6C9" w14:textId="77777777" w:rsidR="003872F6" w:rsidRPr="00F941DA" w:rsidRDefault="003872F6" w:rsidP="00D11DF1">
      <w:pPr>
        <w:pStyle w:val="ListParagraph"/>
        <w:numPr>
          <w:ilvl w:val="2"/>
          <w:numId w:val="33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9" w:lineRule="auto"/>
        <w:ind w:left="993" w:hanging="284"/>
        <w:contextualSpacing/>
        <w:jc w:val="both"/>
        <w:rPr>
          <w:rFonts w:eastAsia="Calibri"/>
          <w:b/>
          <w:bCs/>
          <w:color w:val="auto"/>
        </w:rPr>
      </w:pPr>
      <w:r w:rsidRPr="00F941DA">
        <w:rPr>
          <w:rFonts w:eastAsia="Calibri"/>
          <w:b/>
          <w:bCs/>
          <w:color w:val="auto"/>
        </w:rPr>
        <w:t xml:space="preserve">Criterii de includere în tratamentul </w:t>
      </w:r>
      <w:r w:rsidRPr="00F941DA">
        <w:rPr>
          <w:rFonts w:eastAsia="Calibri"/>
          <w:color w:val="auto"/>
        </w:rPr>
        <w:t>cu nintedanib:</w:t>
      </w:r>
    </w:p>
    <w:p w14:paraId="61EA216F" w14:textId="77777777" w:rsidR="003872F6" w:rsidRPr="00F941DA" w:rsidRDefault="003872F6" w:rsidP="00D11DF1">
      <w:pPr>
        <w:pStyle w:val="ListParagraph"/>
        <w:numPr>
          <w:ilvl w:val="0"/>
          <w:numId w:val="3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9" w:lineRule="auto"/>
        <w:ind w:hanging="87"/>
        <w:contextualSpacing/>
        <w:jc w:val="both"/>
        <w:rPr>
          <w:rFonts w:eastAsia="Calibri"/>
          <w:color w:val="auto"/>
        </w:rPr>
      </w:pPr>
      <w:r w:rsidRPr="00F941DA">
        <w:rPr>
          <w:rFonts w:eastAsia="Calibri"/>
          <w:color w:val="auto"/>
        </w:rPr>
        <w:t xml:space="preserve">Adult (&gt;18 ani); </w:t>
      </w:r>
    </w:p>
    <w:p w14:paraId="6E1183CD" w14:textId="77777777" w:rsidR="003872F6" w:rsidRPr="00F941DA" w:rsidRDefault="003872F6" w:rsidP="00D11DF1">
      <w:pPr>
        <w:pStyle w:val="ListParagraph"/>
        <w:numPr>
          <w:ilvl w:val="0"/>
          <w:numId w:val="3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9" w:lineRule="auto"/>
        <w:ind w:hanging="87"/>
        <w:contextualSpacing/>
        <w:jc w:val="both"/>
        <w:rPr>
          <w:rFonts w:eastAsia="Calibri"/>
          <w:color w:val="auto"/>
        </w:rPr>
      </w:pPr>
      <w:r w:rsidRPr="00F941DA">
        <w:rPr>
          <w:rFonts w:eastAsia="Calibri"/>
          <w:color w:val="auto"/>
        </w:rPr>
        <w:t xml:space="preserve">Diagnostic de PID asociat sclerodermiei; </w:t>
      </w:r>
    </w:p>
    <w:p w14:paraId="30FA3F91" w14:textId="77777777" w:rsidR="003872F6" w:rsidRPr="00F941DA" w:rsidRDefault="003872F6" w:rsidP="00D11DF1">
      <w:pPr>
        <w:pStyle w:val="ListParagraph"/>
        <w:numPr>
          <w:ilvl w:val="0"/>
          <w:numId w:val="3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9" w:lineRule="auto"/>
        <w:ind w:hanging="87"/>
        <w:contextualSpacing/>
        <w:jc w:val="both"/>
        <w:rPr>
          <w:rFonts w:eastAsia="Calibri"/>
          <w:color w:val="auto"/>
        </w:rPr>
      </w:pPr>
      <w:r w:rsidRPr="00F941DA">
        <w:rPr>
          <w:rFonts w:eastAsia="Calibri"/>
          <w:color w:val="auto"/>
        </w:rPr>
        <w:t>Una din:</w:t>
      </w:r>
    </w:p>
    <w:p w14:paraId="0B656D54" w14:textId="77777777" w:rsidR="003872F6" w:rsidRPr="00F941DA" w:rsidRDefault="003872F6" w:rsidP="00D11DF1">
      <w:pPr>
        <w:pStyle w:val="ListParagraph"/>
        <w:numPr>
          <w:ilvl w:val="0"/>
          <w:numId w:val="33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701"/>
        </w:tabs>
        <w:suppressAutoHyphens/>
        <w:spacing w:line="259" w:lineRule="auto"/>
        <w:ind w:left="1701" w:hanging="283"/>
        <w:contextualSpacing/>
        <w:jc w:val="both"/>
        <w:rPr>
          <w:color w:val="auto"/>
        </w:rPr>
      </w:pPr>
      <w:r w:rsidRPr="00F941DA">
        <w:rPr>
          <w:rFonts w:eastAsia="Calibri"/>
          <w:color w:val="auto"/>
        </w:rPr>
        <w:t xml:space="preserve">PID-SSc sever de la data identificării </w:t>
      </w:r>
    </w:p>
    <w:p w14:paraId="4D1FE636" w14:textId="77777777" w:rsidR="003872F6" w:rsidRPr="00F941DA" w:rsidRDefault="003872F6" w:rsidP="00D11DF1">
      <w:pPr>
        <w:pStyle w:val="ListParagraph"/>
        <w:numPr>
          <w:ilvl w:val="0"/>
          <w:numId w:val="33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701"/>
        </w:tabs>
        <w:suppressAutoHyphens/>
        <w:spacing w:line="259" w:lineRule="auto"/>
        <w:ind w:left="1701" w:hanging="283"/>
        <w:contextualSpacing/>
        <w:jc w:val="both"/>
        <w:rPr>
          <w:color w:val="auto"/>
        </w:rPr>
      </w:pPr>
      <w:r w:rsidRPr="00F941DA">
        <w:rPr>
          <w:rFonts w:eastAsia="Calibri"/>
          <w:color w:val="auto"/>
        </w:rPr>
        <w:t>PID-SSc ușor cu risc de progresie Pacienți cu PID-SSc cu semne de progresivitate a fibrozei</w:t>
      </w:r>
    </w:p>
    <w:p w14:paraId="5BCF9662" w14:textId="77777777" w:rsidR="003872F6" w:rsidRPr="00F941DA" w:rsidRDefault="003872F6" w:rsidP="003872F6">
      <w:pPr>
        <w:spacing w:after="0"/>
        <w:contextualSpacing/>
        <w:jc w:val="both"/>
        <w:rPr>
          <w:rFonts w:ascii="Times New Roman" w:eastAsia="Calibri" w:hAnsi="Times New Roman" w:cs="Times New Roman"/>
          <w:sz w:val="24"/>
          <w:szCs w:val="24"/>
        </w:rPr>
      </w:pPr>
    </w:p>
    <w:p w14:paraId="45C9159A" w14:textId="77777777" w:rsidR="003872F6" w:rsidRPr="00F941DA" w:rsidRDefault="003872F6" w:rsidP="00D11DF1">
      <w:pPr>
        <w:pStyle w:val="ListParagraph"/>
        <w:numPr>
          <w:ilvl w:val="2"/>
          <w:numId w:val="33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9" w:lineRule="auto"/>
        <w:ind w:left="993" w:hanging="284"/>
        <w:contextualSpacing/>
        <w:jc w:val="both"/>
        <w:rPr>
          <w:rFonts w:eastAsia="Calibri"/>
          <w:color w:val="auto"/>
        </w:rPr>
      </w:pPr>
      <w:r w:rsidRPr="00F941DA">
        <w:rPr>
          <w:rFonts w:eastAsia="Calibri"/>
          <w:b/>
          <w:color w:val="auto"/>
        </w:rPr>
        <w:t>Criterii de excludere:</w:t>
      </w:r>
    </w:p>
    <w:p w14:paraId="4E4E9348" w14:textId="77777777" w:rsidR="003872F6" w:rsidRPr="00F941DA" w:rsidRDefault="003872F6" w:rsidP="00D11DF1">
      <w:pPr>
        <w:numPr>
          <w:ilvl w:val="0"/>
          <w:numId w:val="337"/>
        </w:numPr>
        <w:tabs>
          <w:tab w:val="clear" w:pos="1440"/>
          <w:tab w:val="num" w:pos="1560"/>
        </w:tabs>
        <w:suppressAutoHyphens/>
        <w:spacing w:after="0"/>
        <w:ind w:hanging="447"/>
        <w:jc w:val="both"/>
      </w:pPr>
      <w:r w:rsidRPr="00F941DA">
        <w:rPr>
          <w:rFonts w:ascii="Times New Roman" w:eastAsia="Calibri" w:hAnsi="Times New Roman" w:cs="Times New Roman"/>
          <w:sz w:val="24"/>
          <w:szCs w:val="24"/>
          <w:u w:color="000000"/>
          <w:lang w:eastAsia="ro-RO"/>
        </w:rPr>
        <w:t>Intoleranță la nintedanibum sau excipienți, arahide sau soia</w:t>
      </w:r>
    </w:p>
    <w:p w14:paraId="3774FEEF" w14:textId="77777777" w:rsidR="003872F6" w:rsidRPr="00F941DA" w:rsidRDefault="003872F6" w:rsidP="00D11DF1">
      <w:pPr>
        <w:numPr>
          <w:ilvl w:val="0"/>
          <w:numId w:val="337"/>
        </w:numPr>
        <w:tabs>
          <w:tab w:val="clear" w:pos="1440"/>
          <w:tab w:val="num" w:pos="1560"/>
        </w:tabs>
        <w:suppressAutoHyphens/>
        <w:spacing w:after="0"/>
        <w:ind w:hanging="447"/>
        <w:jc w:val="both"/>
      </w:pPr>
      <w:r w:rsidRPr="00F941DA">
        <w:rPr>
          <w:rFonts w:ascii="Times New Roman" w:eastAsia="Calibri" w:hAnsi="Times New Roman" w:cs="Times New Roman"/>
          <w:sz w:val="24"/>
          <w:szCs w:val="24"/>
          <w:u w:color="000000"/>
          <w:lang w:eastAsia="ro-RO"/>
        </w:rPr>
        <w:t>Sarcină în evoluție sau alăptare; persoanele de sex feminin de vârstă fertilă trebuie să folosească un sistem de contracepție eficient.</w:t>
      </w:r>
    </w:p>
    <w:p w14:paraId="1E64DF22" w14:textId="77777777" w:rsidR="003872F6" w:rsidRPr="00F941DA" w:rsidRDefault="003872F6" w:rsidP="00D11DF1">
      <w:pPr>
        <w:numPr>
          <w:ilvl w:val="0"/>
          <w:numId w:val="337"/>
        </w:numPr>
        <w:tabs>
          <w:tab w:val="clear" w:pos="1440"/>
          <w:tab w:val="num" w:pos="1560"/>
        </w:tabs>
        <w:suppressAutoHyphens/>
        <w:spacing w:after="0"/>
        <w:ind w:hanging="447"/>
        <w:jc w:val="both"/>
      </w:pPr>
      <w:r w:rsidRPr="00F941DA">
        <w:rPr>
          <w:rFonts w:ascii="Times New Roman" w:eastAsia="Calibri" w:hAnsi="Times New Roman" w:cs="Times New Roman"/>
          <w:sz w:val="24"/>
          <w:szCs w:val="24"/>
          <w:u w:color="000000"/>
          <w:lang w:eastAsia="ro-RO"/>
        </w:rPr>
        <w:t>Insuficiența hepatică moderată sau severă (Clasa Child-Pugh B, C) sau anomalii biologice hepatice (ALAT sau ASAT &gt; 3 X N)</w:t>
      </w:r>
    </w:p>
    <w:p w14:paraId="1ED0D9B2" w14:textId="77777777" w:rsidR="003872F6" w:rsidRPr="00F941DA" w:rsidRDefault="003872F6" w:rsidP="00D11DF1">
      <w:pPr>
        <w:numPr>
          <w:ilvl w:val="0"/>
          <w:numId w:val="337"/>
        </w:numPr>
        <w:tabs>
          <w:tab w:val="clear" w:pos="1440"/>
          <w:tab w:val="num" w:pos="1560"/>
        </w:tabs>
        <w:suppressAutoHyphens/>
        <w:spacing w:after="0"/>
        <w:ind w:hanging="447"/>
        <w:jc w:val="both"/>
      </w:pPr>
      <w:r w:rsidRPr="00F941DA">
        <w:rPr>
          <w:rFonts w:ascii="Times New Roman" w:eastAsia="Calibri" w:hAnsi="Times New Roman" w:cs="Times New Roman"/>
          <w:sz w:val="24"/>
          <w:szCs w:val="24"/>
          <w:u w:color="000000"/>
          <w:lang w:eastAsia="ro-RO"/>
        </w:rPr>
        <w:t>Insuficiența renală severă (clearance-ul creatininei &lt; 30 ml/min) sau boală renală terminală care necesită dializă</w:t>
      </w:r>
    </w:p>
    <w:p w14:paraId="4D3C39EF" w14:textId="77777777" w:rsidR="003872F6" w:rsidRPr="00F941DA" w:rsidRDefault="003872F6" w:rsidP="00D11DF1">
      <w:pPr>
        <w:pStyle w:val="ListParagraph"/>
        <w:numPr>
          <w:ilvl w:val="0"/>
          <w:numId w:val="33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560"/>
        </w:tabs>
        <w:suppressAutoHyphens/>
        <w:spacing w:line="276" w:lineRule="auto"/>
        <w:ind w:hanging="447"/>
        <w:contextualSpacing/>
        <w:jc w:val="both"/>
        <w:rPr>
          <w:color w:val="auto"/>
        </w:rPr>
      </w:pPr>
      <w:r w:rsidRPr="00F941DA">
        <w:rPr>
          <w:rFonts w:eastAsia="Calibri"/>
          <w:color w:val="auto"/>
        </w:rPr>
        <w:t>Utilizare concomitentă cu ketoconazol, eritromicină, ciclosporină</w:t>
      </w:r>
    </w:p>
    <w:p w14:paraId="1A876F7A" w14:textId="77777777" w:rsidR="003872F6" w:rsidRPr="00F941DA" w:rsidRDefault="003872F6" w:rsidP="003872F6">
      <w:pPr>
        <w:pStyle w:val="ListParagraph"/>
        <w:jc w:val="both"/>
        <w:rPr>
          <w:rFonts w:eastAsia="Calibri"/>
          <w:bCs/>
          <w:color w:val="auto"/>
        </w:rPr>
      </w:pPr>
    </w:p>
    <w:p w14:paraId="58CC5324" w14:textId="77777777" w:rsidR="003872F6" w:rsidRPr="00F941DA" w:rsidRDefault="003872F6" w:rsidP="00D11DF1">
      <w:pPr>
        <w:numPr>
          <w:ilvl w:val="0"/>
          <w:numId w:val="317"/>
        </w:numPr>
        <w:suppressAutoHyphens/>
        <w:spacing w:after="0"/>
        <w:ind w:left="567" w:hanging="567"/>
        <w:contextualSpacing/>
        <w:jc w:val="both"/>
        <w:rPr>
          <w:rFonts w:ascii="Times New Roman" w:eastAsia="Calibri" w:hAnsi="Times New Roman" w:cs="Times New Roman"/>
          <w:b/>
          <w:iCs/>
          <w:sz w:val="24"/>
          <w:szCs w:val="24"/>
        </w:rPr>
      </w:pPr>
      <w:r w:rsidRPr="00F941DA">
        <w:rPr>
          <w:rFonts w:ascii="Times New Roman" w:eastAsia="Calibri" w:hAnsi="Times New Roman" w:cs="Times New Roman"/>
          <w:b/>
          <w:iCs/>
          <w:sz w:val="24"/>
          <w:szCs w:val="24"/>
        </w:rPr>
        <w:t>Tratamentul</w:t>
      </w:r>
      <w:r w:rsidRPr="00F941DA">
        <w:rPr>
          <w:rFonts w:ascii="Times New Roman" w:eastAsia="Calibri" w:hAnsi="Times New Roman" w:cs="Times New Roman"/>
          <w:iCs/>
          <w:sz w:val="24"/>
          <w:szCs w:val="24"/>
        </w:rPr>
        <w:t xml:space="preserve"> cu nintedanibum</w:t>
      </w:r>
      <w:r w:rsidRPr="00F941DA">
        <w:rPr>
          <w:rFonts w:ascii="Times New Roman" w:eastAsia="Calibri" w:hAnsi="Times New Roman" w:cs="Times New Roman"/>
          <w:b/>
          <w:iCs/>
          <w:sz w:val="24"/>
          <w:szCs w:val="24"/>
        </w:rPr>
        <w:t xml:space="preserve">: </w:t>
      </w:r>
    </w:p>
    <w:p w14:paraId="319E7248"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Doze</w:t>
      </w:r>
      <w:r w:rsidRPr="00F941DA">
        <w:rPr>
          <w:rFonts w:ascii="Times New Roman" w:eastAsia="Calibri" w:hAnsi="Times New Roman" w:cs="Times New Roman"/>
          <w:sz w:val="24"/>
          <w:szCs w:val="24"/>
        </w:rPr>
        <w:t xml:space="preserve">: Doza uzuală este de 1 cp a 150 mg de două ori pe zi, la interval de aproximativ 12 ore, fără necesitatea titrării dozei la inţierea tratamentului. Capsulele trebuie administrate cu alimente, înghiţite întregi, cu apă şi nu trebuie mestecate sau zdrobite. </w:t>
      </w:r>
    </w:p>
    <w:p w14:paraId="269304B5"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Doza zilnică de 100 mg de două ori pe zi este recomandată a fi utilizată numai la pacienţii care nu tolerează doza zilnică de 150 mg de două ori pe zi. Dacă este omisă o doză, administrarea trebuie reluată cu următoarea doză recomandată, conform programului de administrare, pacientul nu trebuie să utilizeze o doză suplimentară. Doza zilnică maximă recomandată de 300 mg nu trebuie depăşită. </w:t>
      </w:r>
    </w:p>
    <w:p w14:paraId="71285158" w14:textId="77777777" w:rsidR="003872F6" w:rsidRPr="00F941DA" w:rsidRDefault="003872F6" w:rsidP="003872F6">
      <w:pPr>
        <w:spacing w:after="0"/>
        <w:jc w:val="both"/>
        <w:rPr>
          <w:rFonts w:ascii="Times New Roman" w:eastAsia="Calibri" w:hAnsi="Times New Roman" w:cs="Times New Roman"/>
          <w:b/>
          <w:sz w:val="24"/>
          <w:szCs w:val="24"/>
        </w:rPr>
      </w:pPr>
    </w:p>
    <w:p w14:paraId="32C582A6"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Durata tratamentului</w:t>
      </w:r>
      <w:r w:rsidRPr="00F941DA">
        <w:rPr>
          <w:rFonts w:ascii="Times New Roman" w:eastAsia="Calibri" w:hAnsi="Times New Roman" w:cs="Times New Roman"/>
          <w:sz w:val="24"/>
          <w:szCs w:val="24"/>
        </w:rPr>
        <w:t xml:space="preserve">: Nintedanibum se administrează pe o perioadă nedefinită. Tratamentul va fi oprit în caz de efecte secundare semnificative care nu răspund la scăderea dozei precum sau în cazul în care medicul curant consideră că tratamentul nu este eficient. </w:t>
      </w:r>
    </w:p>
    <w:p w14:paraId="5E31E083" w14:textId="77777777" w:rsidR="003872F6" w:rsidRPr="00F941DA" w:rsidRDefault="003872F6" w:rsidP="003872F6">
      <w:pPr>
        <w:spacing w:after="0"/>
        <w:jc w:val="both"/>
        <w:rPr>
          <w:rFonts w:ascii="Times New Roman" w:eastAsia="Calibri" w:hAnsi="Times New Roman" w:cs="Times New Roman"/>
          <w:b/>
          <w:sz w:val="24"/>
          <w:szCs w:val="24"/>
        </w:rPr>
      </w:pPr>
    </w:p>
    <w:p w14:paraId="3A7EE2FF"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Efecte secundare</w:t>
      </w:r>
      <w:r w:rsidRPr="00F941DA">
        <w:rPr>
          <w:rFonts w:ascii="Times New Roman" w:eastAsia="Calibri" w:hAnsi="Times New Roman" w:cs="Times New Roman"/>
          <w:sz w:val="24"/>
          <w:szCs w:val="24"/>
        </w:rPr>
        <w:t>. Medicul curant este obligat să informeze pacientul asupra potenţialelor efecte secundare şi de a obţine confirmarea în scris a acestei informări.</w:t>
      </w:r>
    </w:p>
    <w:p w14:paraId="30D72F92" w14:textId="77777777" w:rsidR="003872F6" w:rsidRPr="00F941DA" w:rsidRDefault="003872F6" w:rsidP="003872F6">
      <w:pPr>
        <w:spacing w:after="0"/>
        <w:jc w:val="both"/>
        <w:rPr>
          <w:rFonts w:ascii="Times New Roman" w:eastAsia="Calibri" w:hAnsi="Times New Roman" w:cs="Times New Roman"/>
          <w:sz w:val="24"/>
          <w:szCs w:val="24"/>
        </w:rPr>
      </w:pPr>
    </w:p>
    <w:p w14:paraId="4A48D333" w14:textId="77777777" w:rsidR="003872F6" w:rsidRPr="00F941DA" w:rsidRDefault="003872F6" w:rsidP="00D11DF1">
      <w:pPr>
        <w:numPr>
          <w:ilvl w:val="0"/>
          <w:numId w:val="317"/>
        </w:numPr>
        <w:suppressAutoHyphens/>
        <w:spacing w:after="0"/>
        <w:ind w:left="426" w:hanging="426"/>
        <w:contextualSpacing/>
        <w:jc w:val="both"/>
        <w:rPr>
          <w:rFonts w:ascii="Times New Roman" w:eastAsia="Calibri" w:hAnsi="Times New Roman" w:cs="Times New Roman"/>
          <w:iCs/>
          <w:sz w:val="24"/>
          <w:szCs w:val="24"/>
        </w:rPr>
      </w:pPr>
      <w:r w:rsidRPr="00F941DA">
        <w:rPr>
          <w:rFonts w:ascii="Times New Roman" w:eastAsia="Calibri" w:hAnsi="Times New Roman" w:cs="Times New Roman"/>
          <w:b/>
          <w:iCs/>
          <w:sz w:val="24"/>
          <w:szCs w:val="24"/>
        </w:rPr>
        <w:t>Contraindicaţii</w:t>
      </w:r>
      <w:r w:rsidRPr="00F941DA">
        <w:rPr>
          <w:rFonts w:ascii="Times New Roman" w:eastAsia="Calibri" w:hAnsi="Times New Roman" w:cs="Times New Roman"/>
          <w:iCs/>
          <w:sz w:val="24"/>
          <w:szCs w:val="24"/>
        </w:rPr>
        <w:t xml:space="preserve">: </w:t>
      </w:r>
    </w:p>
    <w:p w14:paraId="66DB193A" w14:textId="77777777" w:rsidR="003872F6" w:rsidRPr="00F941DA" w:rsidRDefault="003872F6" w:rsidP="00D11DF1">
      <w:pPr>
        <w:numPr>
          <w:ilvl w:val="0"/>
          <w:numId w:val="328"/>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Hipersensibilitate la nintedanibum, excipienţi, arahide sau soia; </w:t>
      </w:r>
    </w:p>
    <w:p w14:paraId="7E63ADC5" w14:textId="77777777" w:rsidR="003872F6" w:rsidRPr="00F941DA" w:rsidRDefault="003872F6" w:rsidP="00D11DF1">
      <w:pPr>
        <w:numPr>
          <w:ilvl w:val="0"/>
          <w:numId w:val="328"/>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Insuficienţa hepatică moderată și severă (Clasa Child-Pugh B sau C) sau anomalii biologice hepatice (ALAT sau ASAT &gt; 3 X N); </w:t>
      </w:r>
    </w:p>
    <w:p w14:paraId="510E4764" w14:textId="77777777" w:rsidR="003872F6" w:rsidRPr="00F941DA" w:rsidRDefault="003872F6" w:rsidP="00D11DF1">
      <w:pPr>
        <w:numPr>
          <w:ilvl w:val="0"/>
          <w:numId w:val="328"/>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Insuficienţa renală severă (clearance-ul creatininei &lt; 30 ml/min); </w:t>
      </w:r>
    </w:p>
    <w:p w14:paraId="2BD5A5AA" w14:textId="77777777" w:rsidR="003872F6" w:rsidRPr="00F941DA" w:rsidRDefault="003872F6" w:rsidP="00D11DF1">
      <w:pPr>
        <w:numPr>
          <w:ilvl w:val="0"/>
          <w:numId w:val="328"/>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Afecțiuni congenitale cu risc hemoragic;</w:t>
      </w:r>
    </w:p>
    <w:p w14:paraId="3E413889" w14:textId="77777777" w:rsidR="003872F6" w:rsidRPr="00F941DA" w:rsidRDefault="003872F6" w:rsidP="00D11DF1">
      <w:pPr>
        <w:numPr>
          <w:ilvl w:val="0"/>
          <w:numId w:val="328"/>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Sindroame de hipocoagulabilitate congenitale; </w:t>
      </w:r>
    </w:p>
    <w:p w14:paraId="6722A813" w14:textId="77777777" w:rsidR="003872F6" w:rsidRPr="00F941DA" w:rsidRDefault="003872F6" w:rsidP="00D11DF1">
      <w:pPr>
        <w:numPr>
          <w:ilvl w:val="0"/>
          <w:numId w:val="328"/>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Accident vascular cerebral recent; </w:t>
      </w:r>
    </w:p>
    <w:p w14:paraId="3796C59B" w14:textId="77777777" w:rsidR="003872F6" w:rsidRPr="00F941DA" w:rsidRDefault="003872F6" w:rsidP="00D11DF1">
      <w:pPr>
        <w:numPr>
          <w:ilvl w:val="0"/>
          <w:numId w:val="328"/>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Ischemie miocardică acută (dacă pacientul se află în perioada de tratament cu nintedanibum se întrerupe administrarea); </w:t>
      </w:r>
    </w:p>
    <w:p w14:paraId="2E27A9F2" w14:textId="77777777" w:rsidR="003872F6" w:rsidRPr="00F941DA" w:rsidRDefault="003872F6" w:rsidP="00D11DF1">
      <w:pPr>
        <w:numPr>
          <w:ilvl w:val="0"/>
          <w:numId w:val="328"/>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Perforația gastrică sau intestinală (nu se permite reluarea tratamentului).</w:t>
      </w:r>
    </w:p>
    <w:p w14:paraId="42AF6C33" w14:textId="77777777" w:rsidR="003872F6" w:rsidRPr="00F941DA" w:rsidRDefault="003872F6" w:rsidP="003872F6">
      <w:pPr>
        <w:spacing w:after="0"/>
        <w:ind w:left="36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 </w:t>
      </w:r>
    </w:p>
    <w:p w14:paraId="5ED6BEB6" w14:textId="77777777" w:rsidR="003872F6" w:rsidRPr="00F941DA" w:rsidRDefault="003872F6" w:rsidP="00D11DF1">
      <w:pPr>
        <w:numPr>
          <w:ilvl w:val="0"/>
          <w:numId w:val="317"/>
        </w:numPr>
        <w:suppressAutoHyphens/>
        <w:spacing w:after="0"/>
        <w:ind w:left="284" w:hanging="284"/>
        <w:contextualSpacing/>
        <w:jc w:val="both"/>
        <w:rPr>
          <w:rFonts w:ascii="Times New Roman" w:eastAsia="Calibri" w:hAnsi="Times New Roman" w:cs="Times New Roman"/>
          <w:b/>
          <w:iCs/>
          <w:sz w:val="24"/>
          <w:szCs w:val="24"/>
        </w:rPr>
      </w:pPr>
      <w:r w:rsidRPr="00F941DA">
        <w:rPr>
          <w:rFonts w:ascii="Times New Roman" w:eastAsia="Calibri" w:hAnsi="Times New Roman" w:cs="Times New Roman"/>
          <w:b/>
          <w:iCs/>
          <w:sz w:val="24"/>
          <w:szCs w:val="24"/>
        </w:rPr>
        <w:lastRenderedPageBreak/>
        <w:t>Atenționări și precauții speciale pentru utilizare:</w:t>
      </w:r>
    </w:p>
    <w:p w14:paraId="6F5F3251" w14:textId="77777777" w:rsidR="003872F6" w:rsidRPr="00F941DA" w:rsidRDefault="003872F6" w:rsidP="00D11DF1">
      <w:pPr>
        <w:numPr>
          <w:ilvl w:val="0"/>
          <w:numId w:val="329"/>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Monitorizarea cardiologică atentă a pacienților cu interval QT lung; </w:t>
      </w:r>
    </w:p>
    <w:p w14:paraId="321A4457" w14:textId="77777777" w:rsidR="003872F6" w:rsidRPr="00F941DA" w:rsidRDefault="003872F6" w:rsidP="00D11DF1">
      <w:pPr>
        <w:numPr>
          <w:ilvl w:val="0"/>
          <w:numId w:val="329"/>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Se oprește tratamentul cu nintedanibum înaintea oricarei intervenții chirurgicale și se poate relua după minim 4 săptămâni postoperator, dacă pacientul este considerat vindecat;</w:t>
      </w:r>
    </w:p>
    <w:p w14:paraId="34BC7B46" w14:textId="77777777" w:rsidR="003872F6" w:rsidRPr="00F941DA" w:rsidRDefault="003872F6" w:rsidP="00D11DF1">
      <w:pPr>
        <w:numPr>
          <w:ilvl w:val="0"/>
          <w:numId w:val="329"/>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Au fost raportate cazuri de hemoragie în perioada ulterioară punerii pe piață (inclusiv la pacienți cu sau fără tratament cu anticoagulante sau cu alte medicamente care ar putea cauza hemoragie). Prin urmare, acestor pacienți trebuie să li se administreze tratament cu nintedanibum numai dacă beneficiul prevăzut depășește riscul potential. </w:t>
      </w:r>
    </w:p>
    <w:p w14:paraId="3DD1F2B6" w14:textId="77777777" w:rsidR="003872F6" w:rsidRPr="00F941DA" w:rsidRDefault="003872F6" w:rsidP="003872F6">
      <w:pPr>
        <w:spacing w:after="0"/>
        <w:jc w:val="both"/>
        <w:rPr>
          <w:rFonts w:ascii="Times New Roman" w:eastAsia="Calibri" w:hAnsi="Times New Roman" w:cs="Times New Roman"/>
          <w:b/>
          <w:sz w:val="24"/>
          <w:szCs w:val="24"/>
        </w:rPr>
      </w:pPr>
    </w:p>
    <w:p w14:paraId="3A59187E"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Tratamentul cu nintedanibum</w:t>
      </w:r>
      <w:r w:rsidRPr="00F941DA">
        <w:rPr>
          <w:rFonts w:ascii="Times New Roman" w:eastAsia="Calibri" w:hAnsi="Times New Roman" w:cs="Times New Roman"/>
          <w:sz w:val="24"/>
          <w:szCs w:val="24"/>
        </w:rPr>
        <w:t xml:space="preserve"> poate fi asociat cu corticosteroizi, imunosupresoare sau alte tipuri de medicamente adaptate fiecărui pacient în parte.</w:t>
      </w:r>
    </w:p>
    <w:p w14:paraId="070D7497" w14:textId="77777777" w:rsidR="003872F6" w:rsidRPr="00F941DA" w:rsidRDefault="003872F6" w:rsidP="003872F6">
      <w:pPr>
        <w:spacing w:after="0"/>
        <w:jc w:val="both"/>
        <w:rPr>
          <w:rFonts w:ascii="Times New Roman" w:eastAsia="Calibri" w:hAnsi="Times New Roman" w:cs="Times New Roman"/>
          <w:sz w:val="24"/>
          <w:szCs w:val="24"/>
        </w:rPr>
      </w:pPr>
    </w:p>
    <w:p w14:paraId="2A3E7E07" w14:textId="77777777" w:rsidR="003872F6" w:rsidRPr="00F941DA" w:rsidRDefault="003872F6" w:rsidP="00D11DF1">
      <w:pPr>
        <w:numPr>
          <w:ilvl w:val="0"/>
          <w:numId w:val="317"/>
        </w:numPr>
        <w:suppressAutoHyphens/>
        <w:spacing w:after="0"/>
        <w:ind w:left="426" w:hanging="426"/>
        <w:contextualSpacing/>
        <w:jc w:val="both"/>
        <w:rPr>
          <w:rFonts w:ascii="Times New Roman" w:eastAsia="Calibri" w:hAnsi="Times New Roman" w:cs="Times New Roman"/>
          <w:b/>
          <w:sz w:val="24"/>
          <w:szCs w:val="24"/>
        </w:rPr>
      </w:pPr>
      <w:r w:rsidRPr="00F941DA">
        <w:rPr>
          <w:rFonts w:ascii="Times New Roman" w:eastAsia="Calibri" w:hAnsi="Times New Roman" w:cs="Times New Roman"/>
          <w:b/>
          <w:iCs/>
          <w:sz w:val="24"/>
          <w:szCs w:val="24"/>
        </w:rPr>
        <w:t>Monitorizarea tratamentului</w:t>
      </w:r>
      <w:r w:rsidRPr="00F941DA">
        <w:rPr>
          <w:rFonts w:ascii="Times New Roman" w:eastAsia="Calibri" w:hAnsi="Times New Roman" w:cs="Times New Roman"/>
          <w:b/>
          <w:sz w:val="24"/>
          <w:szCs w:val="24"/>
        </w:rPr>
        <w:t xml:space="preserve">. </w:t>
      </w:r>
    </w:p>
    <w:p w14:paraId="3A759CB9" w14:textId="77777777" w:rsidR="003872F6" w:rsidRPr="00F941DA" w:rsidRDefault="003872F6" w:rsidP="003872F6">
      <w:pPr>
        <w:spacing w:after="0"/>
        <w:jc w:val="both"/>
        <w:rPr>
          <w:rFonts w:ascii="Times New Roman" w:eastAsia="Calibri" w:hAnsi="Times New Roman" w:cs="Times New Roman"/>
          <w:b/>
          <w:sz w:val="24"/>
          <w:szCs w:val="24"/>
        </w:rPr>
      </w:pPr>
      <w:r w:rsidRPr="00F941DA">
        <w:rPr>
          <w:rFonts w:ascii="Times New Roman" w:eastAsia="Calibri" w:hAnsi="Times New Roman" w:cs="Times New Roman"/>
          <w:sz w:val="24"/>
          <w:szCs w:val="24"/>
        </w:rPr>
        <w:t xml:space="preserve">Este obligaţia medicului curant. Ea constă în: </w:t>
      </w:r>
    </w:p>
    <w:p w14:paraId="4D0A384D" w14:textId="77777777" w:rsidR="003872F6" w:rsidRPr="00F941DA" w:rsidRDefault="003872F6" w:rsidP="00D11DF1">
      <w:pPr>
        <w:numPr>
          <w:ilvl w:val="0"/>
          <w:numId w:val="326"/>
        </w:numPr>
        <w:tabs>
          <w:tab w:val="left" w:pos="540"/>
        </w:tabs>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Evaluare clinică şi biologică (transaminaze, bilirubină, fosfataza alcalină) cel puţin o dată pe lună în primele 6 luni apoi minim o dată la trei luni; </w:t>
      </w:r>
    </w:p>
    <w:p w14:paraId="1C1ECCAC" w14:textId="77777777" w:rsidR="003872F6" w:rsidRPr="00F941DA" w:rsidRDefault="003872F6" w:rsidP="00D11DF1">
      <w:pPr>
        <w:numPr>
          <w:ilvl w:val="0"/>
          <w:numId w:val="326"/>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Evaluare funcțională respiratorie la 3-6 luni (minim spirometrie şi DLco); </w:t>
      </w:r>
    </w:p>
    <w:p w14:paraId="649EAF22" w14:textId="77777777" w:rsidR="003872F6" w:rsidRPr="00F941DA" w:rsidRDefault="003872F6" w:rsidP="00D11DF1">
      <w:pPr>
        <w:numPr>
          <w:ilvl w:val="0"/>
          <w:numId w:val="326"/>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Evaluare imagistică - cel puţin o dată la 2 ani prin examen HRCT.</w:t>
      </w:r>
    </w:p>
    <w:p w14:paraId="36B1A496" w14:textId="77777777" w:rsidR="003872F6" w:rsidRPr="00F941DA" w:rsidRDefault="003872F6" w:rsidP="003872F6">
      <w:pPr>
        <w:spacing w:after="0"/>
        <w:ind w:left="360"/>
        <w:contextualSpacing/>
        <w:jc w:val="both"/>
        <w:rPr>
          <w:rFonts w:ascii="Times New Roman" w:eastAsia="Calibri" w:hAnsi="Times New Roman" w:cs="Times New Roman"/>
          <w:sz w:val="24"/>
          <w:szCs w:val="24"/>
        </w:rPr>
      </w:pPr>
    </w:p>
    <w:p w14:paraId="5803E449" w14:textId="77777777" w:rsidR="003872F6" w:rsidRPr="00F941DA" w:rsidRDefault="003872F6" w:rsidP="00D11DF1">
      <w:pPr>
        <w:numPr>
          <w:ilvl w:val="0"/>
          <w:numId w:val="317"/>
        </w:numPr>
        <w:suppressAutoHyphens/>
        <w:spacing w:after="0"/>
        <w:ind w:left="567" w:hanging="567"/>
        <w:contextualSpacing/>
        <w:jc w:val="both"/>
        <w:rPr>
          <w:rFonts w:ascii="Times New Roman" w:eastAsia="Calibri" w:hAnsi="Times New Roman" w:cs="Times New Roman"/>
          <w:b/>
          <w:iCs/>
          <w:sz w:val="24"/>
          <w:szCs w:val="24"/>
        </w:rPr>
      </w:pPr>
      <w:r w:rsidRPr="00F941DA">
        <w:rPr>
          <w:rFonts w:ascii="Times New Roman" w:eastAsia="Calibri" w:hAnsi="Times New Roman" w:cs="Times New Roman"/>
          <w:b/>
          <w:iCs/>
          <w:sz w:val="24"/>
          <w:szCs w:val="24"/>
        </w:rPr>
        <w:t>Criterii pentru întreruperea tratamentului</w:t>
      </w:r>
    </w:p>
    <w:p w14:paraId="28599D89" w14:textId="77777777" w:rsidR="003872F6" w:rsidRPr="00F941DA" w:rsidRDefault="003872F6" w:rsidP="003872F6">
      <w:pPr>
        <w:spacing w:after="0"/>
        <w:jc w:val="both"/>
        <w:rPr>
          <w:rFonts w:ascii="Times New Roman" w:eastAsia="Calibri" w:hAnsi="Times New Roman" w:cs="Times New Roman"/>
          <w:bCs/>
          <w:sz w:val="24"/>
          <w:szCs w:val="24"/>
        </w:rPr>
      </w:pPr>
      <w:r w:rsidRPr="00F941DA">
        <w:rPr>
          <w:rFonts w:ascii="Times New Roman" w:eastAsia="Calibri" w:hAnsi="Times New Roman" w:cs="Times New Roman"/>
          <w:bCs/>
          <w:sz w:val="24"/>
          <w:szCs w:val="24"/>
        </w:rPr>
        <w:t xml:space="preserve">Oprirea tratamentului cu nintedanibum: </w:t>
      </w:r>
    </w:p>
    <w:p w14:paraId="10FD6285" w14:textId="77777777" w:rsidR="003872F6" w:rsidRPr="00F941DA" w:rsidRDefault="003872F6" w:rsidP="00D11DF1">
      <w:pPr>
        <w:numPr>
          <w:ilvl w:val="0"/>
          <w:numId w:val="327"/>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Decizia pacientului de a întrerupe tratamentul contrar indicaţiei medicale. </w:t>
      </w:r>
    </w:p>
    <w:p w14:paraId="63B9424F" w14:textId="77777777" w:rsidR="003872F6" w:rsidRPr="00F941DA" w:rsidRDefault="003872F6" w:rsidP="00D11DF1">
      <w:pPr>
        <w:numPr>
          <w:ilvl w:val="0"/>
          <w:numId w:val="327"/>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Decizia medicului de întrerupere a tratamentului în cazul intoleranţei la tratament care nu răspunde la scăderea dozei sau în cazul unui efect considerat insuficient. </w:t>
      </w:r>
    </w:p>
    <w:p w14:paraId="5531C12A" w14:textId="77777777" w:rsidR="003872F6" w:rsidRPr="00F941DA" w:rsidRDefault="003872F6" w:rsidP="00D11DF1">
      <w:pPr>
        <w:numPr>
          <w:ilvl w:val="0"/>
          <w:numId w:val="327"/>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Refuzul pacientului de a efectua investigațiile necesare monitorizarii PID-FFP (vezi paragraful monitorizare).</w:t>
      </w:r>
    </w:p>
    <w:p w14:paraId="70CC5ABF" w14:textId="77777777" w:rsidR="003872F6" w:rsidRPr="00F941DA" w:rsidRDefault="003872F6" w:rsidP="003872F6">
      <w:pPr>
        <w:spacing w:after="0"/>
        <w:jc w:val="both"/>
        <w:rPr>
          <w:rFonts w:ascii="Times New Roman" w:eastAsia="Calibri" w:hAnsi="Times New Roman" w:cs="Times New Roman"/>
          <w:b/>
          <w:i/>
          <w:iCs/>
          <w:sz w:val="24"/>
          <w:szCs w:val="24"/>
        </w:rPr>
      </w:pPr>
    </w:p>
    <w:p w14:paraId="6AC24034" w14:textId="77777777" w:rsidR="003872F6" w:rsidRPr="00F941DA" w:rsidRDefault="003872F6" w:rsidP="003872F6">
      <w:pPr>
        <w:tabs>
          <w:tab w:val="left" w:pos="426"/>
        </w:tabs>
        <w:spacing w:after="0"/>
        <w:jc w:val="both"/>
        <w:rPr>
          <w:rFonts w:ascii="Times New Roman" w:eastAsia="Calibri" w:hAnsi="Times New Roman" w:cs="Times New Roman"/>
          <w:b/>
          <w:iCs/>
          <w:sz w:val="24"/>
          <w:szCs w:val="24"/>
        </w:rPr>
      </w:pPr>
      <w:r w:rsidRPr="00F941DA">
        <w:rPr>
          <w:rFonts w:ascii="Times New Roman" w:eastAsia="Calibri" w:hAnsi="Times New Roman" w:cs="Times New Roman"/>
          <w:b/>
          <w:iCs/>
          <w:sz w:val="24"/>
          <w:szCs w:val="24"/>
        </w:rPr>
        <w:t xml:space="preserve">VIII. </w:t>
      </w:r>
      <w:r w:rsidRPr="00F941DA">
        <w:rPr>
          <w:rFonts w:ascii="Times New Roman" w:eastAsia="Calibri" w:hAnsi="Times New Roman" w:cs="Times New Roman"/>
          <w:b/>
          <w:iCs/>
          <w:sz w:val="24"/>
          <w:szCs w:val="24"/>
        </w:rPr>
        <w:tab/>
        <w:t xml:space="preserve">Prescriptori </w:t>
      </w:r>
    </w:p>
    <w:p w14:paraId="3925FD9B"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Tratamentul va fi inițiat, continuat si monitorizat de medicii in specialitatea pneumologie si reumatologie. </w:t>
      </w:r>
    </w:p>
    <w:p w14:paraId="017F00AC" w14:textId="77777777" w:rsidR="003872F6" w:rsidRPr="00F941DA" w:rsidRDefault="003872F6" w:rsidP="003872F6">
      <w:pPr>
        <w:spacing w:after="0"/>
        <w:jc w:val="both"/>
        <w:rPr>
          <w:rFonts w:ascii="Times New Roman" w:eastAsia="Calibri" w:hAnsi="Times New Roman" w:cs="Times New Roman"/>
          <w:b/>
          <w:sz w:val="24"/>
          <w:szCs w:val="24"/>
        </w:rPr>
      </w:pPr>
    </w:p>
    <w:p w14:paraId="00498667" w14:textId="77777777" w:rsidR="003872F6" w:rsidRPr="00F941DA" w:rsidRDefault="003872F6" w:rsidP="003872F6">
      <w:pPr>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 xml:space="preserve">Modalităţi de prescriere: </w:t>
      </w:r>
    </w:p>
    <w:p w14:paraId="1FB5CE93"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Medicul curant va întocmi un dosar ce va consta în: </w:t>
      </w:r>
    </w:p>
    <w:p w14:paraId="1CC2A260" w14:textId="77777777" w:rsidR="003872F6" w:rsidRPr="00F941DA" w:rsidRDefault="003872F6" w:rsidP="00D11DF1">
      <w:pPr>
        <w:numPr>
          <w:ilvl w:val="0"/>
          <w:numId w:val="331"/>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Istoricul clinic al pacientului (ce va prezenta detalii asupra criteriilor de includere / excludere); </w:t>
      </w:r>
    </w:p>
    <w:p w14:paraId="71DBF717" w14:textId="77777777" w:rsidR="003872F6" w:rsidRPr="00F941DA" w:rsidRDefault="003872F6" w:rsidP="00D11DF1">
      <w:pPr>
        <w:numPr>
          <w:ilvl w:val="0"/>
          <w:numId w:val="331"/>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Raportul HRCT însoţit de imagini pe CD sau stick de memorie; </w:t>
      </w:r>
    </w:p>
    <w:p w14:paraId="1EA332BB" w14:textId="77777777" w:rsidR="003872F6" w:rsidRPr="00F941DA" w:rsidRDefault="003872F6" w:rsidP="00D11DF1">
      <w:pPr>
        <w:numPr>
          <w:ilvl w:val="0"/>
          <w:numId w:val="331"/>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Raportul anatomo-patologic (dacă este cazul); </w:t>
      </w:r>
    </w:p>
    <w:p w14:paraId="75DDEFB2" w14:textId="77777777" w:rsidR="003872F6" w:rsidRPr="00F941DA" w:rsidRDefault="003872F6" w:rsidP="00D11DF1">
      <w:pPr>
        <w:numPr>
          <w:ilvl w:val="0"/>
          <w:numId w:val="331"/>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Explorare funcţională respiratorie (minim spirometrie şi DLco); </w:t>
      </w:r>
    </w:p>
    <w:p w14:paraId="5E416F9B" w14:textId="77777777" w:rsidR="003872F6" w:rsidRPr="00F941DA" w:rsidRDefault="003872F6" w:rsidP="00D11DF1">
      <w:pPr>
        <w:numPr>
          <w:ilvl w:val="0"/>
          <w:numId w:val="331"/>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Alte investigaţii care să certifice îndeplinirea criteriilor de includere/excludere; </w:t>
      </w:r>
    </w:p>
    <w:p w14:paraId="0F63758A" w14:textId="77777777" w:rsidR="003872F6" w:rsidRPr="00F941DA" w:rsidRDefault="003872F6" w:rsidP="00D11DF1">
      <w:pPr>
        <w:numPr>
          <w:ilvl w:val="0"/>
          <w:numId w:val="331"/>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Declaraţie de consimţământ informat a pacientului privind  tratamentul recomandat (Anexa nr.1)*; </w:t>
      </w:r>
    </w:p>
    <w:p w14:paraId="75A0D5A5" w14:textId="77777777" w:rsidR="003872F6" w:rsidRPr="00F941DA" w:rsidRDefault="003872F6" w:rsidP="00D11DF1">
      <w:pPr>
        <w:numPr>
          <w:ilvl w:val="0"/>
          <w:numId w:val="331"/>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Fișa pacientului cu PID-FFP (Anexa nr. 2). </w:t>
      </w:r>
    </w:p>
    <w:p w14:paraId="363102B8" w14:textId="77777777" w:rsidR="003872F6" w:rsidRPr="00F941DA" w:rsidRDefault="003872F6" w:rsidP="003872F6">
      <w:pPr>
        <w:spacing w:after="0"/>
        <w:contextualSpacing/>
        <w:jc w:val="both"/>
        <w:rPr>
          <w:rFonts w:ascii="Times New Roman" w:eastAsia="Calibri" w:hAnsi="Times New Roman" w:cs="Times New Roman"/>
          <w:sz w:val="24"/>
          <w:szCs w:val="24"/>
        </w:rPr>
      </w:pPr>
    </w:p>
    <w:p w14:paraId="1142165A" w14:textId="77777777" w:rsidR="003872F6" w:rsidRPr="00F941DA" w:rsidRDefault="003872F6" w:rsidP="003872F6">
      <w:pPr>
        <w:spacing w:after="0"/>
        <w:contextualSpacing/>
        <w:jc w:val="both"/>
        <w:rPr>
          <w:rFonts w:ascii="Times New Roman" w:eastAsia="Calibri" w:hAnsi="Times New Roman" w:cs="Times New Roman"/>
          <w:sz w:val="24"/>
          <w:szCs w:val="24"/>
        </w:rPr>
      </w:pPr>
    </w:p>
    <w:p w14:paraId="2F603571" w14:textId="77777777" w:rsidR="003872F6" w:rsidRPr="00F941DA" w:rsidRDefault="003872F6" w:rsidP="003872F6">
      <w:pPr>
        <w:spacing w:after="0"/>
        <w:jc w:val="both"/>
        <w:rPr>
          <w:rFonts w:ascii="Times New Roman" w:eastAsia="Calibri" w:hAnsi="Times New Roman" w:cs="Times New Roman"/>
          <w:sz w:val="20"/>
          <w:szCs w:val="20"/>
        </w:rPr>
      </w:pPr>
      <w:r w:rsidRPr="00F941DA">
        <w:rPr>
          <w:rFonts w:ascii="Times New Roman" w:eastAsia="Calibri" w:hAnsi="Times New Roman" w:cs="Times New Roman"/>
          <w:sz w:val="20"/>
          <w:szCs w:val="20"/>
        </w:rPr>
        <w:t xml:space="preserve">*Consimţământul informat este obligatoriu la iniţierea tratamentului, precum şi pe parcursul acestuia, dacă pacientul trece în grija altui medic curant. Medicul curant are obligaţia de a păstra originalul consimţământului informat, care face parte integrantă din dosarul pacientului. </w:t>
      </w:r>
    </w:p>
    <w:p w14:paraId="18EEF31D" w14:textId="77777777" w:rsidR="003872F6" w:rsidRPr="00F941DA" w:rsidRDefault="003872F6" w:rsidP="003872F6">
      <w:pPr>
        <w:spacing w:after="0"/>
        <w:jc w:val="both"/>
        <w:rPr>
          <w:rFonts w:ascii="Times New Roman" w:eastAsia="Calibri" w:hAnsi="Times New Roman" w:cs="Times New Roman"/>
          <w:b/>
          <w:sz w:val="24"/>
          <w:szCs w:val="24"/>
        </w:rPr>
      </w:pPr>
    </w:p>
    <w:p w14:paraId="21F168D1" w14:textId="77777777" w:rsidR="003872F6" w:rsidRPr="00F941DA" w:rsidRDefault="003872F6" w:rsidP="003872F6">
      <w:pPr>
        <w:spacing w:after="0"/>
        <w:jc w:val="both"/>
        <w:rPr>
          <w:rFonts w:ascii="Times New Roman" w:eastAsia="Calibri" w:hAnsi="Times New Roman" w:cs="Times New Roman"/>
          <w:b/>
          <w:sz w:val="24"/>
          <w:szCs w:val="24"/>
        </w:rPr>
      </w:pPr>
    </w:p>
    <w:p w14:paraId="454EE621" w14:textId="77777777" w:rsidR="003872F6" w:rsidRPr="00F941DA" w:rsidRDefault="003872F6" w:rsidP="003872F6">
      <w:pPr>
        <w:spacing w:after="0"/>
        <w:jc w:val="both"/>
        <w:rPr>
          <w:rFonts w:ascii="Times New Roman" w:eastAsia="Calibri" w:hAnsi="Times New Roman" w:cs="Times New Roman"/>
          <w:b/>
          <w:sz w:val="24"/>
          <w:szCs w:val="24"/>
        </w:rPr>
      </w:pPr>
    </w:p>
    <w:p w14:paraId="7EDF4F69" w14:textId="77777777" w:rsidR="003872F6" w:rsidRPr="00F941DA" w:rsidRDefault="003872F6" w:rsidP="003872F6">
      <w:pPr>
        <w:spacing w:after="0"/>
        <w:jc w:val="both"/>
        <w:rPr>
          <w:rFonts w:ascii="Times New Roman" w:eastAsia="Calibri" w:hAnsi="Times New Roman" w:cs="Times New Roman"/>
          <w:b/>
          <w:sz w:val="24"/>
          <w:szCs w:val="24"/>
        </w:rPr>
      </w:pPr>
    </w:p>
    <w:p w14:paraId="57F65DAA" w14:textId="77777777" w:rsidR="003872F6" w:rsidRPr="00F941DA" w:rsidRDefault="003872F6" w:rsidP="003872F6">
      <w:pPr>
        <w:spacing w:after="0"/>
        <w:jc w:val="both"/>
        <w:rPr>
          <w:rFonts w:ascii="Times New Roman" w:eastAsia="Calibri" w:hAnsi="Times New Roman" w:cs="Times New Roman"/>
          <w:b/>
          <w:sz w:val="24"/>
          <w:szCs w:val="24"/>
        </w:rPr>
      </w:pPr>
    </w:p>
    <w:p w14:paraId="6B426A60" w14:textId="77777777" w:rsidR="003872F6" w:rsidRPr="00F941DA" w:rsidRDefault="003872F6" w:rsidP="003872F6">
      <w:pPr>
        <w:spacing w:after="0"/>
        <w:jc w:val="both"/>
        <w:rPr>
          <w:rFonts w:ascii="Times New Roman" w:eastAsia="Calibri" w:hAnsi="Times New Roman" w:cs="Times New Roman"/>
          <w:b/>
          <w:sz w:val="24"/>
          <w:szCs w:val="24"/>
        </w:rPr>
      </w:pPr>
    </w:p>
    <w:p w14:paraId="6DF7CA8D" w14:textId="77777777" w:rsidR="003872F6" w:rsidRPr="00F941DA" w:rsidRDefault="003872F6" w:rsidP="003872F6">
      <w:pPr>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lastRenderedPageBreak/>
        <w:t>Anexa nr. 1</w:t>
      </w:r>
    </w:p>
    <w:p w14:paraId="6E2A7D17" w14:textId="77777777" w:rsidR="00AB68AD" w:rsidRPr="00F941DA" w:rsidRDefault="00AB68AD" w:rsidP="003872F6">
      <w:pPr>
        <w:spacing w:after="0"/>
        <w:jc w:val="both"/>
        <w:rPr>
          <w:rFonts w:ascii="Times New Roman" w:eastAsia="Calibri" w:hAnsi="Times New Roman" w:cs="Times New Roman"/>
          <w:b/>
          <w:sz w:val="24"/>
          <w:szCs w:val="24"/>
        </w:rPr>
      </w:pPr>
    </w:p>
    <w:p w14:paraId="56226FCB" w14:textId="77777777" w:rsidR="003872F6" w:rsidRPr="00F941DA" w:rsidRDefault="003872F6" w:rsidP="003872F6">
      <w:pPr>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CONSIMŢĂMÂNT INFORMAT AL PACIENTULUI CU PNEUMOPATIE INTERSTIŢIALĂ DIFUZĂ – FENOTIP FIBROZANT PROGRESIV SAU CU PNEUMOPATIE INTERSTIȚIALĂ DIFUZĂ ASOCIATĂ SCLERODERMIEI</w:t>
      </w:r>
    </w:p>
    <w:p w14:paraId="0227A03B" w14:textId="77777777" w:rsidR="003872F6" w:rsidRPr="00F941DA" w:rsidRDefault="003872F6" w:rsidP="003872F6">
      <w:pPr>
        <w:spacing w:after="0"/>
        <w:jc w:val="both"/>
        <w:rPr>
          <w:rFonts w:ascii="Times New Roman" w:eastAsia="Calibri" w:hAnsi="Times New Roman" w:cs="Times New Roman"/>
          <w:sz w:val="24"/>
          <w:szCs w:val="24"/>
        </w:rPr>
      </w:pPr>
    </w:p>
    <w:p w14:paraId="453AB6F9" w14:textId="77777777" w:rsidR="003872F6" w:rsidRPr="00F941DA" w:rsidRDefault="003872F6" w:rsidP="003872F6">
      <w:pPr>
        <w:spacing w:after="0"/>
        <w:ind w:firstLine="72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Subsemnatul/Subsemnata…………………………………..…………. CNP…....……………</w:t>
      </w:r>
    </w:p>
    <w:p w14:paraId="6C327236" w14:textId="205F1830"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Domiciliat/ă în localitatea …………………….………….., Str…………………………….., nr  ……...., bl……..…, sc …....., et …..…., ap ……….., sector/judeţ ………………</w:t>
      </w:r>
      <w:r w:rsidR="00AB68AD" w:rsidRPr="00F941DA">
        <w:rPr>
          <w:rFonts w:ascii="Times New Roman" w:eastAsia="Calibri" w:hAnsi="Times New Roman" w:cs="Times New Roman"/>
          <w:sz w:val="24"/>
          <w:szCs w:val="24"/>
        </w:rPr>
        <w:t xml:space="preserve">.……………., telefon ……………..………………, </w:t>
      </w:r>
      <w:r w:rsidRPr="00F941DA">
        <w:rPr>
          <w:rFonts w:ascii="Times New Roman" w:eastAsia="Calibri" w:hAnsi="Times New Roman" w:cs="Times New Roman"/>
          <w:sz w:val="24"/>
          <w:szCs w:val="24"/>
        </w:rPr>
        <w:t>având diagn</w:t>
      </w:r>
      <w:r w:rsidR="00AB68AD" w:rsidRPr="00F941DA">
        <w:rPr>
          <w:rFonts w:ascii="Times New Roman" w:eastAsia="Calibri" w:hAnsi="Times New Roman" w:cs="Times New Roman"/>
          <w:sz w:val="24"/>
          <w:szCs w:val="24"/>
        </w:rPr>
        <w:t>osticul de ……………………………......</w:t>
      </w:r>
      <w:r w:rsidRPr="00F941DA">
        <w:rPr>
          <w:rFonts w:ascii="Times New Roman" w:eastAsia="Calibri" w:hAnsi="Times New Roman" w:cs="Times New Roman"/>
          <w:sz w:val="24"/>
          <w:szCs w:val="24"/>
        </w:rPr>
        <w:t>………………….. declar că sunt de acord să urmez tratamentul cu Nintedanibum.</w:t>
      </w:r>
    </w:p>
    <w:p w14:paraId="6654832B" w14:textId="77777777" w:rsidR="003872F6" w:rsidRPr="00F941DA" w:rsidRDefault="003872F6" w:rsidP="003872F6">
      <w:pPr>
        <w:spacing w:after="0"/>
        <w:jc w:val="both"/>
        <w:rPr>
          <w:rFonts w:ascii="Times New Roman" w:eastAsia="Calibri" w:hAnsi="Times New Roman" w:cs="Times New Roman"/>
          <w:sz w:val="24"/>
          <w:szCs w:val="24"/>
        </w:rPr>
      </w:pPr>
    </w:p>
    <w:p w14:paraId="5338E4B5"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Aţi fost diagnosticat/diagnosticată de către medicul dumneavoastră curant cu </w:t>
      </w:r>
      <w:r w:rsidRPr="00F941DA">
        <w:rPr>
          <w:rFonts w:ascii="Times New Roman" w:eastAsia="Calibri" w:hAnsi="Times New Roman" w:cs="Times New Roman"/>
          <w:b/>
          <w:sz w:val="24"/>
          <w:szCs w:val="24"/>
        </w:rPr>
        <w:t>pneumopatie interstițială difuză – fenotip fibrozant progresiv (PID-FFP)</w:t>
      </w:r>
      <w:r w:rsidRPr="00F941DA">
        <w:rPr>
          <w:rFonts w:ascii="Times New Roman" w:eastAsia="Calibri" w:hAnsi="Times New Roman" w:cs="Times New Roman"/>
          <w:sz w:val="24"/>
          <w:szCs w:val="24"/>
        </w:rPr>
        <w:t xml:space="preserve">. Aceasta este o boală cronică, caracterizată prin îngroşarea/cicatrizarea ţesutului pulmonar. Această îngroșare cuprinde pereții alveolelor, ceea ce îngreunează intrarea oxigenului în sânge. Oxigenul insuficient și plămânul modificat duc la respirație grea (la început mai ales la efort) și tuse seacă. </w:t>
      </w:r>
    </w:p>
    <w:p w14:paraId="48AAD6A9" w14:textId="77777777" w:rsidR="003872F6" w:rsidRPr="00F941DA" w:rsidRDefault="003872F6" w:rsidP="003872F6">
      <w:pPr>
        <w:spacing w:after="0"/>
        <w:jc w:val="both"/>
        <w:rPr>
          <w:rFonts w:ascii="Times New Roman" w:eastAsia="Calibri" w:hAnsi="Times New Roman" w:cs="Times New Roman"/>
          <w:sz w:val="24"/>
          <w:szCs w:val="24"/>
        </w:rPr>
      </w:pPr>
    </w:p>
    <w:p w14:paraId="5CF9E23E"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Această boală are nevoie de multe teste pentru a obține un diagnostic corect și necesită urmărire permanentă. Cele mai importante investigații sunt: computerul tomograf cu înaltă rezoluție, explorarea funcțională respiratorie complexă (inclusiv cu factor de transfer prin membrana alveolo-capilară), gazometria, testul de mers 6 minute, bronhoscopia cu lavaj bronhiolo-alveolar și chiar biopsia pulmonară (aceste investigații variază de la caz la caz). </w:t>
      </w:r>
    </w:p>
    <w:p w14:paraId="79693DFC" w14:textId="77777777" w:rsidR="003872F6" w:rsidRPr="00F941DA" w:rsidRDefault="003872F6" w:rsidP="003872F6">
      <w:pPr>
        <w:spacing w:after="0"/>
        <w:jc w:val="both"/>
        <w:rPr>
          <w:rFonts w:ascii="Times New Roman" w:eastAsia="Calibri" w:hAnsi="Times New Roman" w:cs="Times New Roman"/>
          <w:sz w:val="24"/>
          <w:szCs w:val="24"/>
        </w:rPr>
      </w:pPr>
    </w:p>
    <w:p w14:paraId="557BE81A"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Fiecare pacient diagnosticat cu această boală are o evoluție unică a bolii: cu perioade de stabilitate, alții cu agravare rapidă a bolii sau cu agravare lentă in timp. Sunt lucruri pe care le poți face pentru a menține starea de bine: oprirea fumatului, vaccinarea antigripală, antipneumococică și antiSARS-CoV2, menținerea unei greutăți adecvate, urmărirea saturației sângelui la domiciliu cu ajutorul unui dispozitiv numit pulsoximetru (se fixează pe deget și măsoară saturația oxigenului care ar trebui sa fie peste 90%). Dacă această saturație scade la valori la care medicul dumneavoastră consideră necesar, se poate suplimenta nivelul de oxigen prin oxigenoterapie cronică la domiciliu. Boala dumneavoastră poate evolua sever si poate necesita, la un moment dat, transplant pulmonar. </w:t>
      </w:r>
    </w:p>
    <w:p w14:paraId="0D841B85" w14:textId="77777777" w:rsidR="003872F6" w:rsidRPr="00F941DA" w:rsidRDefault="003872F6" w:rsidP="003872F6">
      <w:pPr>
        <w:spacing w:after="0"/>
        <w:jc w:val="both"/>
        <w:rPr>
          <w:rFonts w:ascii="Times New Roman" w:eastAsia="Calibri" w:hAnsi="Times New Roman" w:cs="Times New Roman"/>
          <w:sz w:val="24"/>
          <w:szCs w:val="24"/>
        </w:rPr>
      </w:pPr>
    </w:p>
    <w:p w14:paraId="20206A47"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Medicamentul despre care discutăm în acest consimțământ a fost dovedit eficient în această boală, el putând stopa declinul bolii și prelungi viața.</w:t>
      </w:r>
    </w:p>
    <w:p w14:paraId="1699D8AC" w14:textId="77777777" w:rsidR="003872F6" w:rsidRPr="00F941DA" w:rsidRDefault="003872F6" w:rsidP="003872F6">
      <w:pPr>
        <w:spacing w:after="0"/>
        <w:jc w:val="both"/>
        <w:rPr>
          <w:rFonts w:ascii="Times New Roman" w:eastAsia="Calibri" w:hAnsi="Times New Roman" w:cs="Times New Roman"/>
          <w:sz w:val="24"/>
          <w:szCs w:val="24"/>
        </w:rPr>
      </w:pPr>
    </w:p>
    <w:p w14:paraId="2719FEC6"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Pentru a putea lua acest medicament trebuie sa cunoașteți riscurile si beneficiile pentru a putea lua o decizie in cunoștință de cauză. Acest proces este cunoscut sub denumirea de “consimțământ exprimat in cunoștință de cauză”. Citiți cu atenție informațiile si discutați-le cu oricine doriți. Aceasta persoană poate fi o rudă sau un prieten apropiat. Daca aveți întrebări, adresați-vă medicului pneumolog sau asistentei medicale specializate. Odată ce veți fi informat despre riscurile și beneficiile acestui tratament și despre analizele și controalele necesare pentru a putea beneficia în continuare de el, veți fi rugat să semnați acest formular de consimțământ exprimat în cunoștință de cauză pentru a vă putea include în program. Decizia dumneavoastră de a lua acest tratament este voluntară. Acest lucru înseamnă ca puteți urma acest tratament dacă doriți sau puteți să refuzați dacă nu doriți. Acordul sau refuzul de a urma acest tratament prin program nu vă va afecta îngrijirea medicală. De asemenea, puteți opri tratamentul și activitățile legate de el în orice moment, fără justificare. Daca alegeți să nu urmați acest tratament puteți discuta cu medicul dumneavoastră despre îngrijirea medicală obișnuită sau despre alte tratamente pentru </w:t>
      </w:r>
      <w:r w:rsidRPr="00F941DA">
        <w:rPr>
          <w:rFonts w:ascii="Times New Roman" w:eastAsia="Calibri" w:hAnsi="Times New Roman" w:cs="Times New Roman"/>
          <w:b/>
          <w:sz w:val="24"/>
          <w:szCs w:val="24"/>
        </w:rPr>
        <w:t>PID-FFP</w:t>
      </w:r>
      <w:r w:rsidRPr="00F941DA">
        <w:rPr>
          <w:rFonts w:ascii="Times New Roman" w:eastAsia="Calibri" w:hAnsi="Times New Roman" w:cs="Times New Roman"/>
          <w:sz w:val="24"/>
          <w:szCs w:val="24"/>
        </w:rPr>
        <w:t xml:space="preserve">. </w:t>
      </w:r>
    </w:p>
    <w:p w14:paraId="2B4FC5ED" w14:textId="77777777" w:rsidR="003872F6" w:rsidRPr="00F941DA" w:rsidRDefault="003872F6" w:rsidP="003872F6">
      <w:pPr>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 xml:space="preserve">Dacă, în orice moment în timpul tratamentului, manifestați orice simptome neobișnuite, vă rugăm să vă adresați medicului pneumolog sau asistentei specializate. </w:t>
      </w:r>
    </w:p>
    <w:p w14:paraId="2E68E054" w14:textId="77777777" w:rsidR="003872F6" w:rsidRPr="00F941DA" w:rsidRDefault="003872F6" w:rsidP="003872F6">
      <w:pPr>
        <w:spacing w:after="0"/>
        <w:jc w:val="both"/>
        <w:rPr>
          <w:rFonts w:ascii="Times New Roman" w:eastAsia="Calibri" w:hAnsi="Times New Roman" w:cs="Times New Roman"/>
          <w:sz w:val="24"/>
          <w:szCs w:val="24"/>
        </w:rPr>
      </w:pPr>
    </w:p>
    <w:p w14:paraId="0872B815"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Este posibil ca pe parcursul tratamentului să aflăm lucruri noi pe care trebuie să le cunoașteți. De asemenea, putem afla eventualele motive pentru care ați putea opri tratamentul. În acest caz, veți fi informat cu privire la orice date noi. Puteți decide, apoi, dacă doriți să luați în continuare tratamentul. Medicul pneumolog poate decide oprirea tratamentului din orice motiv justificat. Iată câteva exemple de motive pentru care ar trebui sa întrerupeți tratamentul:</w:t>
      </w:r>
    </w:p>
    <w:p w14:paraId="340CAEA2" w14:textId="77777777" w:rsidR="003872F6" w:rsidRPr="00F941DA" w:rsidRDefault="003872F6" w:rsidP="00D11DF1">
      <w:pPr>
        <w:numPr>
          <w:ilvl w:val="0"/>
          <w:numId w:val="315"/>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Tratamentul nu este eficient</w:t>
      </w:r>
    </w:p>
    <w:p w14:paraId="65944EBF" w14:textId="77777777" w:rsidR="003872F6" w:rsidRPr="00F941DA" w:rsidRDefault="003872F6" w:rsidP="00D11DF1">
      <w:pPr>
        <w:numPr>
          <w:ilvl w:val="0"/>
          <w:numId w:val="315"/>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Continuarea administrării tratamentului ar fi nocivă pentru dumneavoastră</w:t>
      </w:r>
    </w:p>
    <w:p w14:paraId="059DE3AF" w14:textId="77777777" w:rsidR="003872F6" w:rsidRPr="00F941DA" w:rsidRDefault="003872F6" w:rsidP="00D11DF1">
      <w:pPr>
        <w:numPr>
          <w:ilvl w:val="0"/>
          <w:numId w:val="315"/>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Nu respectați instrucțiunile</w:t>
      </w:r>
    </w:p>
    <w:p w14:paraId="15347270" w14:textId="77777777" w:rsidR="003872F6" w:rsidRPr="00F941DA" w:rsidRDefault="003872F6" w:rsidP="00D11DF1">
      <w:pPr>
        <w:numPr>
          <w:ilvl w:val="0"/>
          <w:numId w:val="315"/>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Rămâneți însărcinată</w:t>
      </w:r>
    </w:p>
    <w:p w14:paraId="1816FF91" w14:textId="77777777" w:rsidR="003872F6" w:rsidRPr="00F941DA" w:rsidRDefault="003872F6" w:rsidP="00D11DF1">
      <w:pPr>
        <w:numPr>
          <w:ilvl w:val="0"/>
          <w:numId w:val="315"/>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Programul este anulat</w:t>
      </w:r>
    </w:p>
    <w:p w14:paraId="45571F17" w14:textId="77777777" w:rsidR="003872F6" w:rsidRPr="00F941DA" w:rsidRDefault="003872F6" w:rsidP="003872F6">
      <w:pPr>
        <w:spacing w:after="0"/>
        <w:jc w:val="both"/>
        <w:rPr>
          <w:rFonts w:ascii="Times New Roman" w:eastAsia="Calibri" w:hAnsi="Times New Roman" w:cs="Times New Roman"/>
          <w:sz w:val="24"/>
          <w:szCs w:val="24"/>
        </w:rPr>
      </w:pPr>
    </w:p>
    <w:p w14:paraId="3A507EC9"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Dacă hotărați să opriți tratamentul și controalele necesare, trebuie să comunicați acest lucru medicului pneumolog. </w:t>
      </w:r>
    </w:p>
    <w:p w14:paraId="3D1CBF29" w14:textId="77777777" w:rsidR="003872F6" w:rsidRPr="00F941DA" w:rsidRDefault="003872F6" w:rsidP="003872F6">
      <w:pPr>
        <w:spacing w:after="0"/>
        <w:jc w:val="both"/>
        <w:rPr>
          <w:rFonts w:ascii="Times New Roman" w:eastAsia="Calibri" w:hAnsi="Times New Roman" w:cs="Times New Roman"/>
          <w:sz w:val="24"/>
          <w:szCs w:val="24"/>
        </w:rPr>
      </w:pPr>
    </w:p>
    <w:p w14:paraId="12DE4F14"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Tratamentul prescris prin acest program se numește Nintedanib. Denumirea comercială a medicamentul este Ofev. Este o capsulă gelatinoasă, moale, de culoarea piersicii cea de 100 mg și de culoare maro cea de 150 mg. Fiecare capsulă poate conține 100 mg și respectiv 150 mg de nintedanib. Tratamentul acesta trebuie inițiat si supravegheat de medici specialiști pneumologi sau reumatologi. Trebuie sa luați acest tratament conform instrucțiunilor și nu trebuie folosit la nimic altceva. </w:t>
      </w:r>
    </w:p>
    <w:p w14:paraId="758C7B2B" w14:textId="77777777" w:rsidR="003872F6" w:rsidRPr="00F941DA" w:rsidRDefault="003872F6" w:rsidP="003872F6">
      <w:pPr>
        <w:spacing w:after="0"/>
        <w:jc w:val="both"/>
        <w:rPr>
          <w:rFonts w:ascii="Times New Roman" w:eastAsia="Calibri" w:hAnsi="Times New Roman" w:cs="Times New Roman"/>
          <w:sz w:val="24"/>
          <w:szCs w:val="24"/>
        </w:rPr>
      </w:pPr>
    </w:p>
    <w:p w14:paraId="295E16B6"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Doza zilnică este de 150 mg de două ori pe zi. Dacă această doză nu este tolerata, se recomandă 100 mg de două ori pe zi. Nintedanibul se administrează pe o perioadă nedefinită. În caz de reacții adverse, dozele pot fi ajustate sau oprite temporar pȃnă la dispariția reacției. Dacă tratamentul cu 100 mg de doua ori pe zi nu poate fi tolerat, atunci tratamentul se oprește. Capsulele trebuie luate cu alimente, înghițite întregi, cu apă si nu trebuie mestecate sau zdrobite. </w:t>
      </w:r>
    </w:p>
    <w:p w14:paraId="199A01C9" w14:textId="77777777" w:rsidR="003872F6" w:rsidRPr="00F941DA" w:rsidRDefault="003872F6" w:rsidP="003872F6">
      <w:pPr>
        <w:spacing w:after="0"/>
        <w:jc w:val="both"/>
        <w:rPr>
          <w:rFonts w:ascii="Times New Roman" w:eastAsia="Calibri" w:hAnsi="Times New Roman" w:cs="Times New Roman"/>
          <w:sz w:val="24"/>
          <w:szCs w:val="24"/>
        </w:rPr>
      </w:pPr>
    </w:p>
    <w:p w14:paraId="4443424D"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Se contraindică acest medicament daca aveți hipersensibilitate la nintedanib, arahide sau soia. </w:t>
      </w:r>
    </w:p>
    <w:p w14:paraId="63536C59" w14:textId="77777777" w:rsidR="003872F6" w:rsidRPr="00F941DA" w:rsidRDefault="003872F6" w:rsidP="003872F6">
      <w:pPr>
        <w:spacing w:after="0"/>
        <w:jc w:val="both"/>
        <w:rPr>
          <w:rFonts w:ascii="Times New Roman" w:eastAsia="Calibri" w:hAnsi="Times New Roman" w:cs="Times New Roman"/>
          <w:sz w:val="24"/>
          <w:szCs w:val="24"/>
        </w:rPr>
      </w:pPr>
    </w:p>
    <w:p w14:paraId="12706D26"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Reacții adverse posibile:</w:t>
      </w:r>
    </w:p>
    <w:p w14:paraId="7E1803F9" w14:textId="77777777" w:rsidR="003872F6" w:rsidRPr="00F941DA" w:rsidRDefault="003872F6" w:rsidP="00D11DF1">
      <w:pPr>
        <w:numPr>
          <w:ilvl w:val="0"/>
          <w:numId w:val="316"/>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b/>
          <w:i/>
          <w:sz w:val="24"/>
          <w:szCs w:val="24"/>
        </w:rPr>
        <w:t>Reacții găsitor-intestinale</w:t>
      </w:r>
      <w:r w:rsidRPr="00F941DA">
        <w:rPr>
          <w:rFonts w:ascii="Times New Roman" w:eastAsia="Calibri" w:hAnsi="Times New Roman" w:cs="Times New Roman"/>
          <w:sz w:val="24"/>
          <w:szCs w:val="24"/>
        </w:rPr>
        <w:t xml:space="preserve">: greață, vărsături, diaree. Este importantă administrarea medicației împreuna cu alimentația. Personalul medical trebuie anunțat pentru scăderea dozelor sau oprirea momentană a medicației și reintroducerea ei după dispariția simptomelor. </w:t>
      </w:r>
    </w:p>
    <w:p w14:paraId="7A5D57FF" w14:textId="77777777" w:rsidR="003872F6" w:rsidRPr="00F941DA" w:rsidRDefault="003872F6" w:rsidP="00D11DF1">
      <w:pPr>
        <w:numPr>
          <w:ilvl w:val="0"/>
          <w:numId w:val="316"/>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b/>
          <w:i/>
          <w:sz w:val="24"/>
          <w:szCs w:val="24"/>
        </w:rPr>
        <w:t>Afectarea funcției ficatului</w:t>
      </w:r>
      <w:r w:rsidRPr="00F941DA">
        <w:rPr>
          <w:rFonts w:ascii="Times New Roman" w:eastAsia="Calibri" w:hAnsi="Times New Roman" w:cs="Times New Roman"/>
          <w:sz w:val="24"/>
          <w:szCs w:val="24"/>
        </w:rPr>
        <w:t xml:space="preserve">: în cazul creșterii valorilor enzimelor de citoliză hepatică (TGO, TGP), fosfataza alcalină, gama glutamiltransferaza cu sau fără creșterea valorii bilirubinei, trebuie anunțat medicul curant și acesta va lua decizia ajustării/opririi tratamentului conform recomandărilor. Dacă aveți insuficiență hepatică doza poate fi redusă sau nu poate fi luat deloc acest medicament, în funcție de decizia medicului. Datorită acestei posibile reacții adverse sunt necesare analize ale funcției hepatice înainte de începerea tratamentului și ulterior periodic. </w:t>
      </w:r>
    </w:p>
    <w:p w14:paraId="6A05CB3E" w14:textId="77777777" w:rsidR="003872F6" w:rsidRPr="00F941DA" w:rsidRDefault="003872F6" w:rsidP="00D11DF1">
      <w:pPr>
        <w:numPr>
          <w:ilvl w:val="0"/>
          <w:numId w:val="316"/>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b/>
          <w:i/>
          <w:sz w:val="24"/>
          <w:szCs w:val="24"/>
        </w:rPr>
        <w:t>Hemoragia</w:t>
      </w:r>
      <w:r w:rsidRPr="00F941DA">
        <w:rPr>
          <w:rFonts w:ascii="Times New Roman" w:eastAsia="Calibri" w:hAnsi="Times New Roman" w:cs="Times New Roman"/>
          <w:sz w:val="24"/>
          <w:szCs w:val="24"/>
        </w:rPr>
        <w:t xml:space="preserve">: administrarea acestui medicament se poate asocia cu un risc crescut de hemoragie. Trebuie sa anunțați medicul înainte de începerea tratamentului daca luați medicamente anticoagulante (pentru “subțierea sângelui”). </w:t>
      </w:r>
    </w:p>
    <w:p w14:paraId="7B53023B" w14:textId="77777777" w:rsidR="003872F6" w:rsidRPr="00F941DA" w:rsidRDefault="003872F6" w:rsidP="00D11DF1">
      <w:pPr>
        <w:numPr>
          <w:ilvl w:val="0"/>
          <w:numId w:val="316"/>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b/>
          <w:i/>
          <w:sz w:val="24"/>
          <w:szCs w:val="24"/>
        </w:rPr>
        <w:t xml:space="preserve">Evenimente tromboembolice arteriale: </w:t>
      </w:r>
      <w:r w:rsidRPr="00F941DA">
        <w:rPr>
          <w:rFonts w:ascii="Times New Roman" w:eastAsia="Calibri" w:hAnsi="Times New Roman" w:cs="Times New Roman"/>
          <w:sz w:val="24"/>
          <w:szCs w:val="24"/>
        </w:rPr>
        <w:t xml:space="preserve">Se impune prudență la administrarea medicamentului dacă aveți risc cardiovascular crescut. Se poate chiar întrerupe tratamentul dacă apar semne și simptome de ischemie miocardică acută: durere sau presiune la nivelul pieptului, durere la nivelul gȃtului, maxilarului, umărului, brațului, bătăi rapide ale inimii, respirație dificilă, greață, vărsături. </w:t>
      </w:r>
    </w:p>
    <w:p w14:paraId="3A89832D" w14:textId="77777777" w:rsidR="003872F6" w:rsidRPr="00F941DA" w:rsidRDefault="003872F6" w:rsidP="00D11DF1">
      <w:pPr>
        <w:numPr>
          <w:ilvl w:val="0"/>
          <w:numId w:val="316"/>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b/>
          <w:i/>
          <w:sz w:val="24"/>
          <w:szCs w:val="24"/>
        </w:rPr>
        <w:t xml:space="preserve">Tromboembolie venoasă: </w:t>
      </w:r>
      <w:r w:rsidRPr="00F941DA">
        <w:rPr>
          <w:rFonts w:ascii="Times New Roman" w:eastAsia="Calibri" w:hAnsi="Times New Roman" w:cs="Times New Roman"/>
          <w:sz w:val="24"/>
          <w:szCs w:val="24"/>
        </w:rPr>
        <w:t xml:space="preserve">din cauza mecanismului de acțiune al medicamentului ar putea fi un risc crescut. Anunțați medicul daca aveți durere, umflare, înroșire, senzație de căldura la nivelul unui membru. </w:t>
      </w:r>
    </w:p>
    <w:p w14:paraId="487A24FF" w14:textId="77777777" w:rsidR="003872F6" w:rsidRPr="00F941DA" w:rsidRDefault="003872F6" w:rsidP="00D11DF1">
      <w:pPr>
        <w:numPr>
          <w:ilvl w:val="0"/>
          <w:numId w:val="316"/>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b/>
          <w:i/>
          <w:sz w:val="24"/>
          <w:szCs w:val="24"/>
        </w:rPr>
        <w:lastRenderedPageBreak/>
        <w:t xml:space="preserve">Perforații găsitor-intestinale: </w:t>
      </w:r>
      <w:r w:rsidRPr="00F941DA">
        <w:rPr>
          <w:rFonts w:ascii="Times New Roman" w:eastAsia="Calibri" w:hAnsi="Times New Roman" w:cs="Times New Roman"/>
          <w:sz w:val="24"/>
          <w:szCs w:val="24"/>
        </w:rPr>
        <w:t xml:space="preserve">din cauza mecanismului de acțiune al medicamentului ar putea fi un risc crescut de perforație gastro-intestinală. Anunțați medicul dacă ați avut o intervenție chirurgicală recentă în zona abdominală, medicamentul trebuie administrat la peste o lună.  De asemenea trebuia anunțat medicul în caz de durere severă la nivelul abdomenului, febră, vărsături, rigiditate abdominală. </w:t>
      </w:r>
    </w:p>
    <w:p w14:paraId="10EA27B3" w14:textId="77777777" w:rsidR="003872F6" w:rsidRPr="00F941DA" w:rsidRDefault="003872F6" w:rsidP="00D11DF1">
      <w:pPr>
        <w:numPr>
          <w:ilvl w:val="0"/>
          <w:numId w:val="316"/>
        </w:numPr>
        <w:suppressAutoHyphens/>
        <w:spacing w:after="0"/>
        <w:contextualSpacing/>
        <w:jc w:val="both"/>
        <w:rPr>
          <w:rFonts w:ascii="Times New Roman" w:eastAsia="Calibri" w:hAnsi="Times New Roman" w:cs="Times New Roman"/>
          <w:b/>
          <w:i/>
          <w:sz w:val="24"/>
          <w:szCs w:val="24"/>
        </w:rPr>
      </w:pPr>
      <w:r w:rsidRPr="00F941DA">
        <w:rPr>
          <w:rFonts w:ascii="Times New Roman" w:eastAsia="Calibri" w:hAnsi="Times New Roman" w:cs="Times New Roman"/>
          <w:b/>
          <w:i/>
          <w:sz w:val="24"/>
          <w:szCs w:val="24"/>
        </w:rPr>
        <w:t xml:space="preserve">Hipertensiune arterială: </w:t>
      </w:r>
      <w:r w:rsidRPr="00F941DA">
        <w:rPr>
          <w:rFonts w:ascii="Times New Roman" w:eastAsia="Calibri" w:hAnsi="Times New Roman" w:cs="Times New Roman"/>
          <w:sz w:val="24"/>
          <w:szCs w:val="24"/>
        </w:rPr>
        <w:t xml:space="preserve">deoarece acest medicament poate creşte tensiunea arterială, se recomandă măsurarea tensiunii arteriale periodic. De asemenea se impune prudență dacă aveți intervalul QTc prelungit. </w:t>
      </w:r>
    </w:p>
    <w:p w14:paraId="0201C86F" w14:textId="77777777" w:rsidR="003872F6" w:rsidRPr="00F941DA" w:rsidRDefault="003872F6" w:rsidP="00D11DF1">
      <w:pPr>
        <w:numPr>
          <w:ilvl w:val="0"/>
          <w:numId w:val="316"/>
        </w:numPr>
        <w:suppressAutoHyphens/>
        <w:spacing w:after="0"/>
        <w:contextualSpacing/>
        <w:jc w:val="both"/>
        <w:rPr>
          <w:rFonts w:ascii="Times New Roman" w:eastAsia="Calibri" w:hAnsi="Times New Roman" w:cs="Times New Roman"/>
          <w:b/>
          <w:i/>
          <w:sz w:val="24"/>
          <w:szCs w:val="24"/>
        </w:rPr>
      </w:pPr>
      <w:r w:rsidRPr="00F941DA">
        <w:rPr>
          <w:rFonts w:ascii="Times New Roman" w:eastAsia="Calibri" w:hAnsi="Times New Roman" w:cs="Times New Roman"/>
          <w:b/>
          <w:i/>
          <w:sz w:val="24"/>
          <w:szCs w:val="24"/>
        </w:rPr>
        <w:t xml:space="preserve">Complicații ale vindecării plăgilor: </w:t>
      </w:r>
      <w:r w:rsidRPr="00F941DA">
        <w:rPr>
          <w:rFonts w:ascii="Times New Roman" w:eastAsia="Calibri" w:hAnsi="Times New Roman" w:cs="Times New Roman"/>
          <w:sz w:val="24"/>
          <w:szCs w:val="24"/>
        </w:rPr>
        <w:t xml:space="preserve">din cauza mecanismului de acțiune al medicamenului,  vindecarea plăgilor poate fi afectată. </w:t>
      </w:r>
    </w:p>
    <w:p w14:paraId="19730BF7" w14:textId="77777777" w:rsidR="003872F6" w:rsidRPr="00F941DA" w:rsidRDefault="003872F6" w:rsidP="00D11DF1">
      <w:pPr>
        <w:numPr>
          <w:ilvl w:val="0"/>
          <w:numId w:val="316"/>
        </w:numPr>
        <w:suppressAutoHyphens/>
        <w:spacing w:after="0"/>
        <w:contextualSpacing/>
        <w:jc w:val="both"/>
        <w:rPr>
          <w:rFonts w:ascii="Times New Roman" w:eastAsia="Calibri" w:hAnsi="Times New Roman" w:cs="Times New Roman"/>
          <w:b/>
          <w:i/>
          <w:sz w:val="24"/>
          <w:szCs w:val="24"/>
        </w:rPr>
      </w:pPr>
      <w:r w:rsidRPr="00F941DA">
        <w:rPr>
          <w:rFonts w:ascii="Times New Roman" w:eastAsia="Calibri" w:hAnsi="Times New Roman" w:cs="Times New Roman"/>
          <w:b/>
          <w:i/>
          <w:sz w:val="24"/>
          <w:szCs w:val="24"/>
        </w:rPr>
        <w:t xml:space="preserve">Reacții alergice: </w:t>
      </w:r>
      <w:r w:rsidRPr="00F941DA">
        <w:rPr>
          <w:rFonts w:ascii="Times New Roman" w:eastAsia="Calibri" w:hAnsi="Times New Roman" w:cs="Times New Roman"/>
          <w:sz w:val="24"/>
          <w:szCs w:val="24"/>
        </w:rPr>
        <w:t xml:space="preserve">anunțați medicul daca aveți alergie cunoscută la soia sau arahide. </w:t>
      </w:r>
    </w:p>
    <w:p w14:paraId="6D9EBAB4" w14:textId="77777777" w:rsidR="003872F6" w:rsidRPr="00F941DA" w:rsidRDefault="003872F6" w:rsidP="003872F6">
      <w:pPr>
        <w:spacing w:after="0"/>
        <w:ind w:left="720"/>
        <w:contextualSpacing/>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Alte atenționări</w:t>
      </w:r>
      <w:r w:rsidRPr="00F941DA">
        <w:rPr>
          <w:rFonts w:ascii="Times New Roman" w:eastAsia="Calibri" w:hAnsi="Times New Roman" w:cs="Times New Roman"/>
          <w:sz w:val="24"/>
          <w:szCs w:val="24"/>
        </w:rPr>
        <w:t xml:space="preserve">: </w:t>
      </w:r>
    </w:p>
    <w:p w14:paraId="7D6D702A" w14:textId="77777777" w:rsidR="003872F6" w:rsidRPr="00F941DA" w:rsidRDefault="003872F6" w:rsidP="00D11DF1">
      <w:pPr>
        <w:numPr>
          <w:ilvl w:val="0"/>
          <w:numId w:val="332"/>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Poate provoca afectare fetală la om. Dacă sunteți femeie la vârsta fertilă, trebuie sa evitați să rămâneți însărcinată pe perioada tratamentului prin măsuri contraceptive adecvate (inclusiv metode contraceptive de barieră, deoarece nu a fost investigat efectul nintedanibului asupra eficacității contraceptivelor orale);</w:t>
      </w:r>
    </w:p>
    <w:p w14:paraId="6A75074C" w14:textId="77777777" w:rsidR="003872F6" w:rsidRPr="00F941DA" w:rsidRDefault="003872F6" w:rsidP="00D11DF1">
      <w:pPr>
        <w:numPr>
          <w:ilvl w:val="0"/>
          <w:numId w:val="332"/>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Are influență mică asupra capacitații de a conduce vehicule sau de a folosi utilaje, de aceea se recomandă prudență;</w:t>
      </w:r>
    </w:p>
    <w:p w14:paraId="26A5DB2F" w14:textId="77777777" w:rsidR="003872F6" w:rsidRPr="00F941DA" w:rsidRDefault="003872F6" w:rsidP="00D11DF1">
      <w:pPr>
        <w:numPr>
          <w:ilvl w:val="0"/>
          <w:numId w:val="332"/>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Ar putea produce trombocitopenie;</w:t>
      </w:r>
    </w:p>
    <w:p w14:paraId="43D6551E" w14:textId="77777777" w:rsidR="003872F6" w:rsidRPr="00F941DA" w:rsidRDefault="003872F6" w:rsidP="00D11DF1">
      <w:pPr>
        <w:numPr>
          <w:ilvl w:val="0"/>
          <w:numId w:val="332"/>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Poate interacționa cu alte medicamente: ketoconazol, eritromicină, ciclosporină, rifampicină, carbamazepină, fenitoină, sunătoare etc. Trebuie anunțat medicul în cazul administrării altor medicamente. </w:t>
      </w:r>
    </w:p>
    <w:p w14:paraId="108C3ED6" w14:textId="77777777" w:rsidR="003872F6" w:rsidRPr="00F941DA" w:rsidRDefault="003872F6" w:rsidP="003872F6">
      <w:pPr>
        <w:spacing w:after="0"/>
        <w:ind w:firstLine="720"/>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Monitorizarea tratamentului se va efectua</w:t>
      </w:r>
      <w:r w:rsidRPr="00F941DA">
        <w:rPr>
          <w:rFonts w:ascii="Times New Roman" w:eastAsia="Calibri" w:hAnsi="Times New Roman" w:cs="Times New Roman"/>
          <w:sz w:val="24"/>
          <w:szCs w:val="24"/>
        </w:rPr>
        <w:t>:</w:t>
      </w:r>
    </w:p>
    <w:p w14:paraId="6F535089" w14:textId="77777777" w:rsidR="003872F6" w:rsidRPr="00F941DA" w:rsidRDefault="003872F6" w:rsidP="00D11DF1">
      <w:pPr>
        <w:numPr>
          <w:ilvl w:val="0"/>
          <w:numId w:val="332"/>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Examen clinic și analize de sânge periodic conform indicațiilor;</w:t>
      </w:r>
    </w:p>
    <w:p w14:paraId="6A458BD5" w14:textId="77777777" w:rsidR="003872F6" w:rsidRPr="00F941DA" w:rsidRDefault="003872F6" w:rsidP="00D11DF1">
      <w:pPr>
        <w:numPr>
          <w:ilvl w:val="0"/>
          <w:numId w:val="332"/>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Probe funcționale respiratorii la interval de 3-6 luni;</w:t>
      </w:r>
    </w:p>
    <w:p w14:paraId="09125229" w14:textId="77777777" w:rsidR="003872F6" w:rsidRPr="00F941DA" w:rsidRDefault="003872F6" w:rsidP="00D11DF1">
      <w:pPr>
        <w:numPr>
          <w:ilvl w:val="0"/>
          <w:numId w:val="332"/>
        </w:numPr>
        <w:suppressAutoHyphens/>
        <w:spacing w:after="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Computer tomograf de înalta rezoluție cel puțin o dată la 2 ani. </w:t>
      </w:r>
    </w:p>
    <w:p w14:paraId="1EE691F7" w14:textId="77777777" w:rsidR="003872F6" w:rsidRPr="00F941DA" w:rsidRDefault="003872F6" w:rsidP="003872F6">
      <w:pPr>
        <w:spacing w:after="0"/>
        <w:jc w:val="both"/>
        <w:rPr>
          <w:rFonts w:ascii="Times New Roman" w:eastAsia="Calibri" w:hAnsi="Times New Roman" w:cs="Times New Roman"/>
          <w:sz w:val="24"/>
          <w:szCs w:val="24"/>
        </w:rPr>
      </w:pPr>
    </w:p>
    <w:p w14:paraId="0E7A6482" w14:textId="77777777" w:rsidR="003872F6" w:rsidRPr="00F941DA" w:rsidRDefault="003872F6" w:rsidP="003872F6">
      <w:pPr>
        <w:spacing w:after="0"/>
        <w:jc w:val="both"/>
        <w:rPr>
          <w:rFonts w:ascii="Times New Roman" w:eastAsia="Calibri" w:hAnsi="Times New Roman" w:cs="Times New Roman"/>
          <w:sz w:val="24"/>
          <w:szCs w:val="24"/>
        </w:rPr>
      </w:pPr>
    </w:p>
    <w:p w14:paraId="086E966A"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Am fost informat asupra importaței și consecințelor administrării acestei terapii.        </w:t>
      </w:r>
    </w:p>
    <w:p w14:paraId="158D030D" w14:textId="77777777" w:rsidR="003872F6" w:rsidRPr="00F941DA" w:rsidRDefault="003872F6" w:rsidP="003872F6">
      <w:pPr>
        <w:spacing w:after="0"/>
        <w:jc w:val="both"/>
        <w:rPr>
          <w:rFonts w:ascii="Times New Roman" w:eastAsia="Calibri" w:hAnsi="Times New Roman" w:cs="Times New Roman"/>
          <w:sz w:val="8"/>
          <w:szCs w:val="8"/>
        </w:rPr>
      </w:pPr>
    </w:p>
    <w:p w14:paraId="5DBAD972"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Am fost informat că există o probabilitate ca tratamentul să nu fie eficace.                          </w:t>
      </w:r>
      <w:r w:rsidRPr="00F941DA">
        <w:rPr>
          <w:rFonts w:ascii="Times New Roman" w:eastAsia="Calibri" w:hAnsi="Times New Roman" w:cs="Times New Roman"/>
          <w:sz w:val="24"/>
          <w:szCs w:val="24"/>
        </w:rPr>
        <w:tab/>
        <w:t xml:space="preserve">                 </w:t>
      </w:r>
    </w:p>
    <w:p w14:paraId="6434CE71" w14:textId="77777777" w:rsidR="003872F6" w:rsidRPr="00F941DA" w:rsidRDefault="003872F6" w:rsidP="003872F6">
      <w:pPr>
        <w:spacing w:after="0"/>
        <w:jc w:val="both"/>
        <w:rPr>
          <w:rFonts w:ascii="Times New Roman" w:eastAsia="Calibri" w:hAnsi="Times New Roman" w:cs="Times New Roman"/>
          <w:sz w:val="8"/>
          <w:szCs w:val="8"/>
        </w:rPr>
      </w:pPr>
    </w:p>
    <w:p w14:paraId="58E0B1B2"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Declar că sunt de acord cu instituirea acestui tratament și cu toate examenele clinice și de laborator necesare unei conduite terapeutice eficace.                                                                    </w:t>
      </w:r>
    </w:p>
    <w:p w14:paraId="3F0DE20A" w14:textId="77777777" w:rsidR="003872F6" w:rsidRPr="00F941DA" w:rsidRDefault="003872F6" w:rsidP="003872F6">
      <w:pPr>
        <w:spacing w:after="0"/>
        <w:jc w:val="both"/>
        <w:rPr>
          <w:rFonts w:ascii="Times New Roman" w:eastAsia="Calibri" w:hAnsi="Times New Roman" w:cs="Times New Roman"/>
          <w:sz w:val="8"/>
          <w:szCs w:val="8"/>
        </w:rPr>
      </w:pPr>
    </w:p>
    <w:p w14:paraId="12A57473"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Declar că sunt de acord să urmez instrucțiunile medicului, să răspund la întrebări și să semnalez în timp util orice manifestare clinică survenită pe parcursul terapiei.                                         </w:t>
      </w:r>
      <w:r w:rsidRPr="00F941DA">
        <w:rPr>
          <w:rFonts w:ascii="Times New Roman" w:eastAsia="Calibri" w:hAnsi="Times New Roman" w:cs="Times New Roman"/>
          <w:sz w:val="24"/>
          <w:szCs w:val="24"/>
        </w:rPr>
        <w:tab/>
        <w:t xml:space="preserve"> </w:t>
      </w:r>
    </w:p>
    <w:p w14:paraId="707118F2" w14:textId="77777777" w:rsidR="003872F6" w:rsidRPr="00F941DA" w:rsidRDefault="003872F6" w:rsidP="003872F6">
      <w:pPr>
        <w:spacing w:after="0"/>
        <w:jc w:val="both"/>
        <w:rPr>
          <w:rFonts w:ascii="Times New Roman" w:eastAsia="Calibri" w:hAnsi="Times New Roman" w:cs="Times New Roman"/>
          <w:sz w:val="8"/>
          <w:szCs w:val="8"/>
        </w:rPr>
      </w:pPr>
    </w:p>
    <w:p w14:paraId="3DD6EC75"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Mă oblig sa anunț medicul curant în cazul în care trebuie să iau alte medicamente decât cele prescrise de acesta (ex ketoconazol, eritromicină, ciclosporină, rifampicină, carbamazepină, fenitoină, sunătoare etc). </w:t>
      </w:r>
      <w:r w:rsidRPr="00F941DA">
        <w:rPr>
          <w:rFonts w:ascii="Times New Roman" w:eastAsia="Calibri" w:hAnsi="Times New Roman" w:cs="Times New Roman"/>
          <w:sz w:val="24"/>
          <w:szCs w:val="24"/>
        </w:rPr>
        <w:tab/>
      </w:r>
    </w:p>
    <w:p w14:paraId="793A17BF" w14:textId="77777777" w:rsidR="003872F6" w:rsidRPr="00F941DA" w:rsidRDefault="003872F6" w:rsidP="003872F6">
      <w:pPr>
        <w:spacing w:after="0"/>
        <w:jc w:val="both"/>
        <w:rPr>
          <w:rFonts w:ascii="Times New Roman" w:eastAsia="Calibri" w:hAnsi="Times New Roman" w:cs="Times New Roman"/>
          <w:sz w:val="8"/>
          <w:szCs w:val="8"/>
        </w:rPr>
      </w:pPr>
    </w:p>
    <w:p w14:paraId="44ADF305"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Declar că sunt de acord cu întreruperea tratamentului în cazul apariției reacțiilor adverse care nu pot fi gestionate prin reducerea dozelor sau lipsei de răspuns terapeutic.                                                                                                                  </w:t>
      </w:r>
    </w:p>
    <w:p w14:paraId="6050F1BD" w14:textId="77777777" w:rsidR="003872F6" w:rsidRPr="00F941DA" w:rsidRDefault="003872F6" w:rsidP="003872F6">
      <w:pPr>
        <w:spacing w:after="0"/>
        <w:jc w:val="both"/>
        <w:rPr>
          <w:rFonts w:ascii="Times New Roman" w:eastAsia="Calibri" w:hAnsi="Times New Roman" w:cs="Times New Roman"/>
          <w:sz w:val="24"/>
          <w:szCs w:val="24"/>
        </w:rPr>
      </w:pPr>
    </w:p>
    <w:p w14:paraId="1C56C138" w14:textId="77777777" w:rsidR="003872F6" w:rsidRPr="00F941DA" w:rsidRDefault="003872F6" w:rsidP="003872F6">
      <w:pPr>
        <w:spacing w:after="0"/>
        <w:jc w:val="both"/>
        <w:rPr>
          <w:rFonts w:ascii="Times New Roman" w:eastAsia="Calibri" w:hAnsi="Times New Roman" w:cs="Times New Roman"/>
          <w:sz w:val="24"/>
          <w:szCs w:val="24"/>
        </w:rPr>
      </w:pPr>
    </w:p>
    <w:p w14:paraId="6A2DB353" w14:textId="77777777" w:rsidR="00AB68AD"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Medicul specialist</w:t>
      </w:r>
      <w:r w:rsidR="00AB68AD" w:rsidRPr="00F941DA">
        <w:rPr>
          <w:rFonts w:ascii="Times New Roman" w:eastAsia="Calibri" w:hAnsi="Times New Roman" w:cs="Times New Roman"/>
          <w:sz w:val="24"/>
          <w:szCs w:val="24"/>
        </w:rPr>
        <w:t xml:space="preserve"> care a recomandat tratamentul:</w:t>
      </w:r>
    </w:p>
    <w:p w14:paraId="61B44D1C" w14:textId="5FA7EAC2" w:rsidR="003872F6" w:rsidRPr="00F941DA" w:rsidRDefault="00AB68AD"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w:t>
      </w:r>
      <w:r w:rsidR="003872F6" w:rsidRPr="00F941DA">
        <w:rPr>
          <w:rFonts w:ascii="Times New Roman" w:eastAsia="Calibri" w:hAnsi="Times New Roman" w:cs="Times New Roman"/>
          <w:sz w:val="24"/>
          <w:szCs w:val="24"/>
        </w:rPr>
        <w:t>....</w:t>
      </w:r>
      <w:r w:rsidRPr="00F941DA">
        <w:rPr>
          <w:rFonts w:ascii="Times New Roman" w:eastAsia="Calibri" w:hAnsi="Times New Roman" w:cs="Times New Roman"/>
          <w:sz w:val="24"/>
          <w:szCs w:val="24"/>
        </w:rPr>
        <w:t>...................................</w:t>
      </w:r>
      <w:r w:rsidR="003872F6" w:rsidRPr="00F941DA">
        <w:rPr>
          <w:rFonts w:ascii="Times New Roman" w:eastAsia="Calibri" w:hAnsi="Times New Roman" w:cs="Times New Roman"/>
          <w:sz w:val="24"/>
          <w:szCs w:val="24"/>
        </w:rPr>
        <w:t>.............................……………...</w:t>
      </w:r>
    </w:p>
    <w:p w14:paraId="5CFF1FFC" w14:textId="77777777" w:rsidR="003872F6" w:rsidRPr="00F941DA" w:rsidRDefault="003872F6" w:rsidP="003872F6">
      <w:pPr>
        <w:spacing w:after="0"/>
        <w:jc w:val="both"/>
        <w:rPr>
          <w:rFonts w:ascii="Times New Roman" w:eastAsia="Calibri" w:hAnsi="Times New Roman" w:cs="Times New Roman"/>
          <w:sz w:val="24"/>
          <w:szCs w:val="24"/>
        </w:rPr>
      </w:pPr>
    </w:p>
    <w:p w14:paraId="1EB90E43" w14:textId="77777777" w:rsidR="00AB68AD"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Unitatea sanitara u</w:t>
      </w:r>
      <w:r w:rsidR="00AB68AD" w:rsidRPr="00F941DA">
        <w:rPr>
          <w:rFonts w:ascii="Times New Roman" w:eastAsia="Calibri" w:hAnsi="Times New Roman" w:cs="Times New Roman"/>
          <w:sz w:val="24"/>
          <w:szCs w:val="24"/>
        </w:rPr>
        <w:t xml:space="preserve">nde se desfășoară monitorizarea </w:t>
      </w:r>
      <w:r w:rsidRPr="00F941DA">
        <w:rPr>
          <w:rFonts w:ascii="Times New Roman" w:eastAsia="Calibri" w:hAnsi="Times New Roman" w:cs="Times New Roman"/>
          <w:sz w:val="24"/>
          <w:szCs w:val="24"/>
        </w:rPr>
        <w:t>tratamentului</w:t>
      </w:r>
    </w:p>
    <w:p w14:paraId="00049BDF" w14:textId="0612C897" w:rsidR="003872F6" w:rsidRPr="00F941DA" w:rsidRDefault="00AB68AD"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w:t>
      </w:r>
      <w:r w:rsidR="003872F6" w:rsidRPr="00F941DA">
        <w:rPr>
          <w:rFonts w:ascii="Times New Roman" w:eastAsia="Calibri" w:hAnsi="Times New Roman" w:cs="Times New Roman"/>
          <w:sz w:val="24"/>
          <w:szCs w:val="24"/>
        </w:rPr>
        <w:t>……………………………………............................................…….</w:t>
      </w:r>
    </w:p>
    <w:p w14:paraId="4BDC75A7" w14:textId="77777777" w:rsidR="003872F6" w:rsidRPr="00F941DA" w:rsidRDefault="003872F6" w:rsidP="003872F6">
      <w:pPr>
        <w:spacing w:after="0"/>
        <w:jc w:val="both"/>
        <w:rPr>
          <w:rFonts w:ascii="Times New Roman" w:eastAsia="Calibri" w:hAnsi="Times New Roman" w:cs="Times New Roman"/>
          <w:sz w:val="24"/>
          <w:szCs w:val="24"/>
        </w:rPr>
      </w:pPr>
    </w:p>
    <w:p w14:paraId="6F0DC3E1" w14:textId="77777777" w:rsidR="00AB68AD" w:rsidRPr="00F941DA" w:rsidRDefault="00AB68AD" w:rsidP="003872F6">
      <w:pPr>
        <w:spacing w:after="0"/>
        <w:jc w:val="both"/>
        <w:rPr>
          <w:rFonts w:ascii="Times New Roman" w:eastAsia="Calibri" w:hAnsi="Times New Roman" w:cs="Times New Roman"/>
          <w:sz w:val="24"/>
          <w:szCs w:val="24"/>
        </w:rPr>
      </w:pPr>
    </w:p>
    <w:p w14:paraId="7E20778F" w14:textId="77777777" w:rsidR="00AB68AD" w:rsidRPr="00F941DA" w:rsidRDefault="00AB68AD" w:rsidP="003872F6">
      <w:pPr>
        <w:spacing w:after="0"/>
        <w:jc w:val="both"/>
        <w:rPr>
          <w:rFonts w:ascii="Times New Roman" w:eastAsia="Calibri" w:hAnsi="Times New Roman" w:cs="Times New Roman"/>
          <w:sz w:val="24"/>
          <w:szCs w:val="24"/>
        </w:rPr>
      </w:pPr>
    </w:p>
    <w:p w14:paraId="639A77FC"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lastRenderedPageBreak/>
        <w:t>Va rugam sa răspundeți la întrebările de mai jos încercuind răspunsul potrivit:</w:t>
      </w:r>
    </w:p>
    <w:p w14:paraId="6BDD40FA" w14:textId="77777777" w:rsidR="00AB68AD" w:rsidRPr="00F941DA" w:rsidRDefault="00AB68AD" w:rsidP="003872F6">
      <w:pPr>
        <w:spacing w:after="0"/>
        <w:jc w:val="both"/>
        <w:rPr>
          <w:rFonts w:ascii="Times New Roman" w:eastAsia="Calibri" w:hAnsi="Times New Roman" w:cs="Times New Roman"/>
          <w:sz w:val="24"/>
          <w:szCs w:val="24"/>
        </w:rPr>
      </w:pPr>
    </w:p>
    <w:p w14:paraId="37F9F0F7" w14:textId="3E97ADA6" w:rsidR="003872F6" w:rsidRPr="00F941DA" w:rsidRDefault="00AB68AD" w:rsidP="00AB68AD">
      <w:pPr>
        <w:suppressAutoHyphens/>
        <w:spacing w:after="0"/>
        <w:contextualSpacing/>
        <w:jc w:val="both"/>
        <w:rPr>
          <w:rFonts w:ascii="Times New Roman" w:eastAsia="Calibri" w:hAnsi="Times New Roman" w:cs="Times New Roman"/>
          <w:sz w:val="24"/>
          <w:szCs w:val="24"/>
          <w:u w:color="000000"/>
          <w:lang w:eastAsia="ro-RO"/>
        </w:rPr>
      </w:pPr>
      <w:r w:rsidRPr="00F941DA">
        <w:rPr>
          <w:rFonts w:ascii="Times New Roman" w:eastAsia="Calibri" w:hAnsi="Times New Roman" w:cs="Times New Roman"/>
          <w:sz w:val="24"/>
          <w:szCs w:val="24"/>
          <w:u w:color="000000"/>
          <w:lang w:eastAsia="ro-RO"/>
        </w:rPr>
        <w:t xml:space="preserve">1. </w:t>
      </w:r>
      <w:r w:rsidR="003872F6" w:rsidRPr="00F941DA">
        <w:rPr>
          <w:rFonts w:ascii="Times New Roman" w:eastAsia="Calibri" w:hAnsi="Times New Roman" w:cs="Times New Roman"/>
          <w:sz w:val="24"/>
          <w:szCs w:val="24"/>
          <w:u w:color="000000"/>
          <w:lang w:eastAsia="ro-RO"/>
        </w:rPr>
        <w:t>Ați discutat cu medicul curant despre tratamentul pe care îl veți urma?</w:t>
      </w:r>
    </w:p>
    <w:p w14:paraId="0A9DF539" w14:textId="77777777" w:rsidR="003872F6" w:rsidRPr="00F941DA" w:rsidRDefault="003872F6" w:rsidP="003872F6">
      <w:pPr>
        <w:spacing w:after="0"/>
        <w:ind w:left="567" w:hanging="283"/>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ab/>
      </w:r>
      <w:r w:rsidRPr="00F941DA">
        <w:rPr>
          <w:rFonts w:ascii="Times New Roman" w:eastAsia="Calibri" w:hAnsi="Times New Roman" w:cs="Times New Roman"/>
          <w:sz w:val="24"/>
          <w:szCs w:val="24"/>
        </w:rPr>
        <w:tab/>
      </w:r>
      <w:r w:rsidRPr="00F941DA">
        <w:rPr>
          <w:rFonts w:ascii="Times New Roman" w:eastAsia="Calibri" w:hAnsi="Times New Roman" w:cs="Times New Roman"/>
          <w:sz w:val="24"/>
          <w:szCs w:val="24"/>
        </w:rPr>
        <w:tab/>
        <w:t>DA / NU</w:t>
      </w:r>
    </w:p>
    <w:p w14:paraId="68D535BD" w14:textId="71922B8B" w:rsidR="003872F6" w:rsidRPr="00F941DA" w:rsidRDefault="00AB68AD" w:rsidP="00AB68AD">
      <w:pPr>
        <w:suppressAutoHyphens/>
        <w:spacing w:after="0"/>
        <w:contextualSpacing/>
        <w:jc w:val="both"/>
        <w:rPr>
          <w:rFonts w:ascii="Times New Roman" w:eastAsia="Calibri" w:hAnsi="Times New Roman" w:cs="Times New Roman"/>
          <w:sz w:val="24"/>
          <w:szCs w:val="24"/>
          <w:u w:color="000000"/>
          <w:lang w:eastAsia="ro-RO"/>
        </w:rPr>
      </w:pPr>
      <w:r w:rsidRPr="00F941DA">
        <w:rPr>
          <w:rFonts w:ascii="Times New Roman" w:eastAsia="Calibri" w:hAnsi="Times New Roman" w:cs="Times New Roman"/>
          <w:sz w:val="24"/>
          <w:szCs w:val="24"/>
          <w:u w:color="000000"/>
          <w:lang w:eastAsia="ro-RO"/>
        </w:rPr>
        <w:t xml:space="preserve">2. </w:t>
      </w:r>
      <w:r w:rsidR="003872F6" w:rsidRPr="00F941DA">
        <w:rPr>
          <w:rFonts w:ascii="Times New Roman" w:eastAsia="Calibri" w:hAnsi="Times New Roman" w:cs="Times New Roman"/>
          <w:sz w:val="24"/>
          <w:szCs w:val="24"/>
          <w:u w:color="000000"/>
          <w:lang w:eastAsia="ro-RO"/>
        </w:rPr>
        <w:t>Ați înțeles care sunt beneficiile și riscurile acestui tratament?</w:t>
      </w:r>
    </w:p>
    <w:p w14:paraId="567B900A" w14:textId="77777777" w:rsidR="003872F6" w:rsidRPr="00F941DA" w:rsidRDefault="003872F6" w:rsidP="003872F6">
      <w:pPr>
        <w:spacing w:after="0"/>
        <w:ind w:left="567" w:hanging="283"/>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ab/>
      </w:r>
      <w:r w:rsidRPr="00F941DA">
        <w:rPr>
          <w:rFonts w:ascii="Times New Roman" w:eastAsia="Calibri" w:hAnsi="Times New Roman" w:cs="Times New Roman"/>
          <w:sz w:val="24"/>
          <w:szCs w:val="24"/>
        </w:rPr>
        <w:tab/>
      </w:r>
      <w:r w:rsidRPr="00F941DA">
        <w:rPr>
          <w:rFonts w:ascii="Times New Roman" w:eastAsia="Calibri" w:hAnsi="Times New Roman" w:cs="Times New Roman"/>
          <w:sz w:val="24"/>
          <w:szCs w:val="24"/>
        </w:rPr>
        <w:tab/>
        <w:t>DA / NU</w:t>
      </w:r>
    </w:p>
    <w:p w14:paraId="5D51BD8D" w14:textId="39569B7E" w:rsidR="003872F6" w:rsidRPr="00F941DA" w:rsidRDefault="00AB68AD" w:rsidP="00AB68AD">
      <w:pPr>
        <w:suppressAutoHyphens/>
        <w:spacing w:after="0"/>
        <w:contextualSpacing/>
        <w:jc w:val="both"/>
        <w:rPr>
          <w:rFonts w:ascii="Times New Roman" w:eastAsia="Calibri" w:hAnsi="Times New Roman" w:cs="Times New Roman"/>
          <w:sz w:val="24"/>
          <w:szCs w:val="24"/>
          <w:u w:color="000000"/>
          <w:lang w:eastAsia="ro-RO"/>
        </w:rPr>
      </w:pPr>
      <w:r w:rsidRPr="00F941DA">
        <w:rPr>
          <w:rFonts w:ascii="Times New Roman" w:eastAsia="Calibri" w:hAnsi="Times New Roman" w:cs="Times New Roman"/>
          <w:sz w:val="24"/>
          <w:szCs w:val="24"/>
          <w:u w:color="000000"/>
          <w:lang w:eastAsia="ro-RO"/>
        </w:rPr>
        <w:t xml:space="preserve">3. </w:t>
      </w:r>
      <w:r w:rsidR="003872F6" w:rsidRPr="00F941DA">
        <w:rPr>
          <w:rFonts w:ascii="Times New Roman" w:eastAsia="Calibri" w:hAnsi="Times New Roman" w:cs="Times New Roman"/>
          <w:sz w:val="24"/>
          <w:szCs w:val="24"/>
          <w:u w:color="000000"/>
          <w:lang w:eastAsia="ro-RO"/>
        </w:rPr>
        <w:t>Sunteți de acord sa urmați acest tratament?</w:t>
      </w:r>
    </w:p>
    <w:p w14:paraId="23E1B5F9" w14:textId="77777777" w:rsidR="003872F6" w:rsidRPr="00F941DA" w:rsidRDefault="003872F6" w:rsidP="003872F6">
      <w:pPr>
        <w:spacing w:after="0"/>
        <w:ind w:left="567" w:hanging="283"/>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ab/>
      </w:r>
      <w:r w:rsidRPr="00F941DA">
        <w:rPr>
          <w:rFonts w:ascii="Times New Roman" w:eastAsia="Calibri" w:hAnsi="Times New Roman" w:cs="Times New Roman"/>
          <w:sz w:val="24"/>
          <w:szCs w:val="24"/>
        </w:rPr>
        <w:tab/>
      </w:r>
      <w:r w:rsidRPr="00F941DA">
        <w:rPr>
          <w:rFonts w:ascii="Times New Roman" w:eastAsia="Calibri" w:hAnsi="Times New Roman" w:cs="Times New Roman"/>
          <w:sz w:val="24"/>
          <w:szCs w:val="24"/>
        </w:rPr>
        <w:tab/>
        <w:t>DA / NU</w:t>
      </w:r>
    </w:p>
    <w:p w14:paraId="250ECC94" w14:textId="330C919A" w:rsidR="003872F6" w:rsidRPr="00F941DA" w:rsidRDefault="00AB68AD" w:rsidP="00AB68AD">
      <w:pPr>
        <w:suppressAutoHyphens/>
        <w:spacing w:after="0"/>
        <w:contextualSpacing/>
        <w:jc w:val="both"/>
        <w:rPr>
          <w:rFonts w:ascii="Times New Roman" w:eastAsia="Calibri" w:hAnsi="Times New Roman" w:cs="Times New Roman"/>
          <w:sz w:val="24"/>
          <w:szCs w:val="24"/>
          <w:u w:color="000000"/>
          <w:lang w:eastAsia="ro-RO"/>
        </w:rPr>
      </w:pPr>
      <w:r w:rsidRPr="00F941DA">
        <w:rPr>
          <w:rFonts w:ascii="Times New Roman" w:eastAsia="Calibri" w:hAnsi="Times New Roman" w:cs="Times New Roman"/>
          <w:sz w:val="24"/>
          <w:szCs w:val="24"/>
          <w:u w:color="000000"/>
          <w:lang w:eastAsia="ro-RO"/>
        </w:rPr>
        <w:t xml:space="preserve">4. </w:t>
      </w:r>
      <w:r w:rsidR="003872F6" w:rsidRPr="00F941DA">
        <w:rPr>
          <w:rFonts w:ascii="Times New Roman" w:eastAsia="Calibri" w:hAnsi="Times New Roman" w:cs="Times New Roman"/>
          <w:sz w:val="24"/>
          <w:szCs w:val="24"/>
          <w:u w:color="000000"/>
          <w:lang w:eastAsia="ro-RO"/>
        </w:rPr>
        <w:t>Ați înțeles ca reacțiile adverse ale acestui tratament (cum ar fi greața, vărsăturile, diareea, oboseala, anorexia, durerile abdominale, fenomenele trombocite) pot avea consecințe asupra sănătății dumneavoastră și pot impune oprirea tratamentului?</w:t>
      </w:r>
    </w:p>
    <w:p w14:paraId="43CB094E" w14:textId="77777777" w:rsidR="003872F6" w:rsidRPr="00F941DA" w:rsidRDefault="003872F6" w:rsidP="003872F6">
      <w:pPr>
        <w:spacing w:after="0"/>
        <w:ind w:left="720"/>
        <w:contextualSpacing/>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ab/>
        <w:t>DA / NU</w:t>
      </w:r>
    </w:p>
    <w:p w14:paraId="6EB6C0F3" w14:textId="31A27439" w:rsidR="003872F6" w:rsidRPr="00F941DA" w:rsidRDefault="00AB68AD"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Î</w:t>
      </w:r>
      <w:r w:rsidR="003872F6" w:rsidRPr="00F941DA">
        <w:rPr>
          <w:rFonts w:ascii="Times New Roman" w:eastAsia="Calibri" w:hAnsi="Times New Roman" w:cs="Times New Roman"/>
          <w:sz w:val="24"/>
          <w:szCs w:val="24"/>
        </w:rPr>
        <w:t>n cazul în care aveți reacții adverse puteți suna la medicul curant Dr</w:t>
      </w:r>
      <w:r w:rsidRPr="00F941DA">
        <w:rPr>
          <w:rFonts w:ascii="Times New Roman" w:eastAsia="Calibri" w:hAnsi="Times New Roman" w:cs="Times New Roman"/>
          <w:sz w:val="24"/>
          <w:szCs w:val="24"/>
        </w:rPr>
        <w:t>.</w:t>
      </w:r>
      <w:r w:rsidR="003872F6" w:rsidRPr="00F941DA">
        <w:rPr>
          <w:rFonts w:ascii="Times New Roman" w:eastAsia="Calibri" w:hAnsi="Times New Roman" w:cs="Times New Roman"/>
          <w:sz w:val="24"/>
          <w:szCs w:val="24"/>
        </w:rPr>
        <w:t xml:space="preserve">  ……………..…………….......…</w:t>
      </w:r>
    </w:p>
    <w:p w14:paraId="4380AE0C" w14:textId="77777777" w:rsidR="00AB68AD" w:rsidRPr="00F941DA" w:rsidRDefault="00AB68AD" w:rsidP="003872F6">
      <w:pPr>
        <w:spacing w:after="0"/>
        <w:jc w:val="both"/>
        <w:rPr>
          <w:rFonts w:ascii="Times New Roman" w:eastAsia="Calibri" w:hAnsi="Times New Roman" w:cs="Times New Roman"/>
          <w:sz w:val="24"/>
          <w:szCs w:val="24"/>
        </w:rPr>
      </w:pPr>
    </w:p>
    <w:p w14:paraId="45E6A12A" w14:textId="77777777" w:rsidR="00AB68AD"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Tel……………………………. sau la Agenția Națională a Medicamentului și a Dispozitivelor Medicale </w:t>
      </w:r>
      <w:r w:rsidR="00AB68AD" w:rsidRPr="00F941DA">
        <w:rPr>
          <w:rFonts w:ascii="Times New Roman" w:eastAsia="Calibri" w:hAnsi="Times New Roman" w:cs="Times New Roman"/>
          <w:sz w:val="24"/>
          <w:szCs w:val="24"/>
        </w:rPr>
        <w:t xml:space="preserve">din România </w:t>
      </w:r>
    </w:p>
    <w:p w14:paraId="3AA1CA5E" w14:textId="77777777" w:rsidR="00AB68AD" w:rsidRPr="00F941DA" w:rsidRDefault="00AB68AD" w:rsidP="003872F6">
      <w:pPr>
        <w:spacing w:after="0"/>
        <w:jc w:val="both"/>
        <w:rPr>
          <w:rFonts w:ascii="Times New Roman" w:eastAsia="Calibri" w:hAnsi="Times New Roman" w:cs="Times New Roman"/>
          <w:sz w:val="24"/>
          <w:szCs w:val="24"/>
          <w:shd w:val="clear" w:color="auto" w:fill="FFFFFF"/>
        </w:rPr>
      </w:pPr>
    </w:p>
    <w:p w14:paraId="74150E74" w14:textId="3BC1A445"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shd w:val="clear" w:color="auto" w:fill="FFFFFF"/>
        </w:rPr>
        <w:t>Adresa: Str. Aviator Sănătescu 48, Sector 1, București, Cod 011478, Tel: 021-317.11.00; 021-317.11.01; 021-317.11.02; 021-317.11.04; 021-316.10.79; 0757.117.259. Fax: 021-316.34.97 Email: adr@anm.ro</w:t>
      </w:r>
    </w:p>
    <w:p w14:paraId="66D872CC" w14:textId="77777777" w:rsidR="003872F6" w:rsidRPr="00F941DA" w:rsidRDefault="003872F6" w:rsidP="003872F6">
      <w:pPr>
        <w:spacing w:after="0"/>
        <w:jc w:val="both"/>
        <w:rPr>
          <w:rFonts w:ascii="Times New Roman" w:eastAsia="Calibri" w:hAnsi="Times New Roman" w:cs="Times New Roman"/>
          <w:sz w:val="24"/>
          <w:szCs w:val="24"/>
        </w:rPr>
      </w:pPr>
    </w:p>
    <w:p w14:paraId="07F445EF" w14:textId="77777777" w:rsidR="003872F6" w:rsidRPr="00F941DA" w:rsidRDefault="003872F6" w:rsidP="003872F6">
      <w:pPr>
        <w:spacing w:after="0"/>
        <w:jc w:val="both"/>
        <w:rPr>
          <w:rFonts w:ascii="Times New Roman" w:eastAsia="Calibri" w:hAnsi="Times New Roman" w:cs="Times New Roman"/>
          <w:sz w:val="24"/>
          <w:szCs w:val="24"/>
        </w:rPr>
      </w:pPr>
    </w:p>
    <w:p w14:paraId="412B9035"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Nume și prenume pacient …………..……………………….…        </w:t>
      </w:r>
      <w:r w:rsidRPr="00F941DA">
        <w:rPr>
          <w:rFonts w:ascii="Times New Roman" w:eastAsia="Calibri" w:hAnsi="Times New Roman" w:cs="Times New Roman"/>
          <w:sz w:val="24"/>
          <w:szCs w:val="24"/>
        </w:rPr>
        <w:tab/>
        <w:t>Data …………......………</w:t>
      </w:r>
      <w:r w:rsidRPr="00F941DA">
        <w:rPr>
          <w:rFonts w:ascii="Times New Roman" w:eastAsia="Calibri" w:hAnsi="Times New Roman" w:cs="Times New Roman"/>
          <w:sz w:val="24"/>
          <w:szCs w:val="24"/>
        </w:rPr>
        <w:tab/>
      </w:r>
    </w:p>
    <w:p w14:paraId="3F480570"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Semnatură pacient …………..…………………………............                                        </w:t>
      </w:r>
    </w:p>
    <w:p w14:paraId="49057EC4" w14:textId="77777777" w:rsidR="003872F6" w:rsidRPr="00F941DA" w:rsidRDefault="003872F6" w:rsidP="003872F6">
      <w:pPr>
        <w:spacing w:after="0"/>
        <w:jc w:val="both"/>
        <w:rPr>
          <w:rFonts w:ascii="Times New Roman" w:eastAsia="Calibri" w:hAnsi="Times New Roman" w:cs="Times New Roman"/>
          <w:sz w:val="24"/>
          <w:szCs w:val="24"/>
        </w:rPr>
      </w:pPr>
    </w:p>
    <w:p w14:paraId="72DD0050"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Nume și prenume medic …..………..………………………….</w:t>
      </w:r>
      <w:r w:rsidRPr="00F941DA">
        <w:rPr>
          <w:rFonts w:ascii="Times New Roman" w:eastAsia="Calibri" w:hAnsi="Times New Roman" w:cs="Times New Roman"/>
          <w:sz w:val="24"/>
          <w:szCs w:val="24"/>
        </w:rPr>
        <w:tab/>
        <w:t xml:space="preserve">     </w:t>
      </w:r>
      <w:r w:rsidRPr="00F941DA">
        <w:rPr>
          <w:rFonts w:ascii="Times New Roman" w:eastAsia="Calibri" w:hAnsi="Times New Roman" w:cs="Times New Roman"/>
          <w:sz w:val="24"/>
          <w:szCs w:val="24"/>
        </w:rPr>
        <w:tab/>
        <w:t>Data ….……….........……</w:t>
      </w:r>
    </w:p>
    <w:p w14:paraId="2361F879"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Semnatură medic …..………..………………………….............       </w:t>
      </w:r>
    </w:p>
    <w:p w14:paraId="40F146C4" w14:textId="77777777" w:rsidR="003872F6" w:rsidRPr="00F941DA" w:rsidRDefault="003872F6" w:rsidP="003872F6">
      <w:pPr>
        <w:spacing w:after="0"/>
        <w:jc w:val="both"/>
        <w:rPr>
          <w:rFonts w:ascii="Times New Roman" w:eastAsia="Calibri" w:hAnsi="Times New Roman" w:cs="Times New Roman"/>
          <w:b/>
          <w:sz w:val="24"/>
          <w:szCs w:val="24"/>
        </w:rPr>
      </w:pPr>
    </w:p>
    <w:p w14:paraId="0EC7C702" w14:textId="77777777" w:rsidR="00AB68AD" w:rsidRPr="00F941DA" w:rsidRDefault="00AB68AD" w:rsidP="003872F6">
      <w:pPr>
        <w:spacing w:after="0"/>
        <w:jc w:val="both"/>
        <w:rPr>
          <w:rFonts w:ascii="Times New Roman" w:eastAsia="Calibri" w:hAnsi="Times New Roman" w:cs="Times New Roman"/>
          <w:b/>
          <w:sz w:val="24"/>
          <w:szCs w:val="24"/>
        </w:rPr>
      </w:pPr>
    </w:p>
    <w:p w14:paraId="212A4656" w14:textId="77777777" w:rsidR="00AB68AD" w:rsidRPr="00F941DA" w:rsidRDefault="00AB68AD" w:rsidP="003872F6">
      <w:pPr>
        <w:spacing w:after="0"/>
        <w:jc w:val="both"/>
        <w:rPr>
          <w:rFonts w:ascii="Times New Roman" w:eastAsia="Calibri" w:hAnsi="Times New Roman" w:cs="Times New Roman"/>
          <w:b/>
          <w:sz w:val="24"/>
          <w:szCs w:val="24"/>
        </w:rPr>
      </w:pPr>
    </w:p>
    <w:p w14:paraId="6DD903F7" w14:textId="77777777" w:rsidR="00AB68AD" w:rsidRPr="00F941DA" w:rsidRDefault="00AB68AD" w:rsidP="003872F6">
      <w:pPr>
        <w:spacing w:after="0"/>
        <w:jc w:val="both"/>
        <w:rPr>
          <w:rFonts w:ascii="Times New Roman" w:eastAsia="Calibri" w:hAnsi="Times New Roman" w:cs="Times New Roman"/>
          <w:b/>
          <w:sz w:val="24"/>
          <w:szCs w:val="24"/>
        </w:rPr>
      </w:pPr>
    </w:p>
    <w:p w14:paraId="397A19CF" w14:textId="77777777" w:rsidR="00AB68AD" w:rsidRPr="00F941DA" w:rsidRDefault="00AB68AD" w:rsidP="003872F6">
      <w:pPr>
        <w:spacing w:after="0"/>
        <w:jc w:val="both"/>
        <w:rPr>
          <w:rFonts w:ascii="Times New Roman" w:eastAsia="Calibri" w:hAnsi="Times New Roman" w:cs="Times New Roman"/>
          <w:b/>
          <w:sz w:val="24"/>
          <w:szCs w:val="24"/>
        </w:rPr>
      </w:pPr>
    </w:p>
    <w:p w14:paraId="1C3CF670" w14:textId="77777777" w:rsidR="00AB68AD" w:rsidRPr="00F941DA" w:rsidRDefault="00AB68AD" w:rsidP="003872F6">
      <w:pPr>
        <w:spacing w:after="0"/>
        <w:jc w:val="both"/>
        <w:rPr>
          <w:rFonts w:ascii="Times New Roman" w:eastAsia="Calibri" w:hAnsi="Times New Roman" w:cs="Times New Roman"/>
          <w:b/>
          <w:sz w:val="24"/>
          <w:szCs w:val="24"/>
        </w:rPr>
      </w:pPr>
    </w:p>
    <w:p w14:paraId="69C6F12A" w14:textId="77777777" w:rsidR="00AB68AD" w:rsidRPr="00F941DA" w:rsidRDefault="00AB68AD" w:rsidP="003872F6">
      <w:pPr>
        <w:spacing w:after="0"/>
        <w:jc w:val="both"/>
        <w:rPr>
          <w:rFonts w:ascii="Times New Roman" w:eastAsia="Calibri" w:hAnsi="Times New Roman" w:cs="Times New Roman"/>
          <w:b/>
          <w:sz w:val="24"/>
          <w:szCs w:val="24"/>
        </w:rPr>
      </w:pPr>
    </w:p>
    <w:p w14:paraId="101EC73B" w14:textId="77777777" w:rsidR="00AB68AD" w:rsidRPr="00F941DA" w:rsidRDefault="00AB68AD" w:rsidP="003872F6">
      <w:pPr>
        <w:spacing w:after="0"/>
        <w:jc w:val="both"/>
        <w:rPr>
          <w:rFonts w:ascii="Times New Roman" w:eastAsia="Calibri" w:hAnsi="Times New Roman" w:cs="Times New Roman"/>
          <w:b/>
          <w:sz w:val="24"/>
          <w:szCs w:val="24"/>
        </w:rPr>
      </w:pPr>
    </w:p>
    <w:p w14:paraId="07CDD64A" w14:textId="77777777" w:rsidR="00AB68AD" w:rsidRPr="00F941DA" w:rsidRDefault="00AB68AD" w:rsidP="003872F6">
      <w:pPr>
        <w:spacing w:after="0"/>
        <w:jc w:val="both"/>
        <w:rPr>
          <w:rFonts w:ascii="Times New Roman" w:eastAsia="Calibri" w:hAnsi="Times New Roman" w:cs="Times New Roman"/>
          <w:b/>
          <w:sz w:val="24"/>
          <w:szCs w:val="24"/>
        </w:rPr>
      </w:pPr>
    </w:p>
    <w:p w14:paraId="7EA27CAB" w14:textId="77777777" w:rsidR="00AB68AD" w:rsidRPr="00F941DA" w:rsidRDefault="00AB68AD" w:rsidP="003872F6">
      <w:pPr>
        <w:spacing w:after="0"/>
        <w:jc w:val="both"/>
        <w:rPr>
          <w:rFonts w:ascii="Times New Roman" w:eastAsia="Calibri" w:hAnsi="Times New Roman" w:cs="Times New Roman"/>
          <w:b/>
          <w:sz w:val="24"/>
          <w:szCs w:val="24"/>
        </w:rPr>
      </w:pPr>
    </w:p>
    <w:p w14:paraId="3A959745" w14:textId="77777777" w:rsidR="00AB68AD" w:rsidRPr="00F941DA" w:rsidRDefault="00AB68AD" w:rsidP="003872F6">
      <w:pPr>
        <w:spacing w:after="0"/>
        <w:jc w:val="both"/>
        <w:rPr>
          <w:rFonts w:ascii="Times New Roman" w:eastAsia="Calibri" w:hAnsi="Times New Roman" w:cs="Times New Roman"/>
          <w:b/>
          <w:sz w:val="24"/>
          <w:szCs w:val="24"/>
        </w:rPr>
      </w:pPr>
    </w:p>
    <w:p w14:paraId="17D90251" w14:textId="77777777" w:rsidR="00AB68AD" w:rsidRPr="00F941DA" w:rsidRDefault="00AB68AD" w:rsidP="003872F6">
      <w:pPr>
        <w:spacing w:after="0"/>
        <w:jc w:val="both"/>
        <w:rPr>
          <w:rFonts w:ascii="Times New Roman" w:eastAsia="Calibri" w:hAnsi="Times New Roman" w:cs="Times New Roman"/>
          <w:b/>
          <w:sz w:val="24"/>
          <w:szCs w:val="24"/>
        </w:rPr>
      </w:pPr>
    </w:p>
    <w:p w14:paraId="7B3AA581" w14:textId="77777777" w:rsidR="00AB68AD" w:rsidRPr="00F941DA" w:rsidRDefault="00AB68AD" w:rsidP="003872F6">
      <w:pPr>
        <w:spacing w:after="0"/>
        <w:jc w:val="both"/>
        <w:rPr>
          <w:rFonts w:ascii="Times New Roman" w:eastAsia="Calibri" w:hAnsi="Times New Roman" w:cs="Times New Roman"/>
          <w:b/>
          <w:sz w:val="24"/>
          <w:szCs w:val="24"/>
        </w:rPr>
      </w:pPr>
    </w:p>
    <w:p w14:paraId="13EC3C07" w14:textId="77777777" w:rsidR="00AB68AD" w:rsidRPr="00F941DA" w:rsidRDefault="00AB68AD" w:rsidP="003872F6">
      <w:pPr>
        <w:spacing w:after="0"/>
        <w:jc w:val="both"/>
        <w:rPr>
          <w:rFonts w:ascii="Times New Roman" w:eastAsia="Calibri" w:hAnsi="Times New Roman" w:cs="Times New Roman"/>
          <w:b/>
          <w:sz w:val="24"/>
          <w:szCs w:val="24"/>
        </w:rPr>
      </w:pPr>
    </w:p>
    <w:p w14:paraId="68C79D40" w14:textId="77777777" w:rsidR="00AB68AD" w:rsidRPr="00F941DA" w:rsidRDefault="00AB68AD" w:rsidP="003872F6">
      <w:pPr>
        <w:spacing w:after="0"/>
        <w:jc w:val="both"/>
        <w:rPr>
          <w:rFonts w:ascii="Times New Roman" w:eastAsia="Calibri" w:hAnsi="Times New Roman" w:cs="Times New Roman"/>
          <w:b/>
          <w:sz w:val="24"/>
          <w:szCs w:val="24"/>
        </w:rPr>
      </w:pPr>
    </w:p>
    <w:p w14:paraId="4CE88FBE" w14:textId="77777777" w:rsidR="00AB68AD" w:rsidRPr="00F941DA" w:rsidRDefault="00AB68AD" w:rsidP="003872F6">
      <w:pPr>
        <w:spacing w:after="0"/>
        <w:jc w:val="both"/>
        <w:rPr>
          <w:rFonts w:ascii="Times New Roman" w:eastAsia="Calibri" w:hAnsi="Times New Roman" w:cs="Times New Roman"/>
          <w:b/>
          <w:sz w:val="24"/>
          <w:szCs w:val="24"/>
        </w:rPr>
      </w:pPr>
    </w:p>
    <w:p w14:paraId="10DF50A8" w14:textId="77777777" w:rsidR="00AB68AD" w:rsidRPr="00F941DA" w:rsidRDefault="00AB68AD" w:rsidP="003872F6">
      <w:pPr>
        <w:spacing w:after="0"/>
        <w:jc w:val="both"/>
        <w:rPr>
          <w:rFonts w:ascii="Times New Roman" w:eastAsia="Calibri" w:hAnsi="Times New Roman" w:cs="Times New Roman"/>
          <w:b/>
          <w:sz w:val="24"/>
          <w:szCs w:val="24"/>
        </w:rPr>
      </w:pPr>
    </w:p>
    <w:p w14:paraId="6225EE55" w14:textId="77777777" w:rsidR="00AB68AD" w:rsidRPr="00F941DA" w:rsidRDefault="00AB68AD" w:rsidP="003872F6">
      <w:pPr>
        <w:spacing w:after="0"/>
        <w:jc w:val="both"/>
        <w:rPr>
          <w:rFonts w:ascii="Times New Roman" w:eastAsia="Calibri" w:hAnsi="Times New Roman" w:cs="Times New Roman"/>
          <w:b/>
          <w:sz w:val="24"/>
          <w:szCs w:val="24"/>
        </w:rPr>
      </w:pPr>
    </w:p>
    <w:p w14:paraId="643520A6" w14:textId="77777777" w:rsidR="00AB68AD" w:rsidRPr="00F941DA" w:rsidRDefault="00AB68AD" w:rsidP="003872F6">
      <w:pPr>
        <w:spacing w:after="0"/>
        <w:jc w:val="both"/>
        <w:rPr>
          <w:rFonts w:ascii="Times New Roman" w:eastAsia="Calibri" w:hAnsi="Times New Roman" w:cs="Times New Roman"/>
          <w:b/>
          <w:sz w:val="24"/>
          <w:szCs w:val="24"/>
        </w:rPr>
      </w:pPr>
    </w:p>
    <w:p w14:paraId="65325E1D" w14:textId="77777777" w:rsidR="00AB68AD" w:rsidRPr="00F941DA" w:rsidRDefault="00AB68AD" w:rsidP="003872F6">
      <w:pPr>
        <w:spacing w:after="0"/>
        <w:jc w:val="both"/>
        <w:rPr>
          <w:rFonts w:ascii="Times New Roman" w:eastAsia="Calibri" w:hAnsi="Times New Roman" w:cs="Times New Roman"/>
          <w:b/>
          <w:sz w:val="24"/>
          <w:szCs w:val="24"/>
        </w:rPr>
      </w:pPr>
    </w:p>
    <w:p w14:paraId="58516842" w14:textId="77777777" w:rsidR="00AB68AD" w:rsidRPr="00F941DA" w:rsidRDefault="00AB68AD" w:rsidP="003872F6">
      <w:pPr>
        <w:spacing w:after="0"/>
        <w:jc w:val="both"/>
        <w:rPr>
          <w:rFonts w:ascii="Times New Roman" w:eastAsia="Calibri" w:hAnsi="Times New Roman" w:cs="Times New Roman"/>
          <w:b/>
          <w:sz w:val="24"/>
          <w:szCs w:val="24"/>
        </w:rPr>
      </w:pPr>
    </w:p>
    <w:p w14:paraId="2E7E6F4D" w14:textId="77777777" w:rsidR="00AB68AD" w:rsidRPr="00F941DA" w:rsidRDefault="00AB68AD" w:rsidP="003872F6">
      <w:pPr>
        <w:spacing w:after="0"/>
        <w:jc w:val="both"/>
        <w:rPr>
          <w:rFonts w:ascii="Times New Roman" w:eastAsia="Calibri" w:hAnsi="Times New Roman" w:cs="Times New Roman"/>
          <w:b/>
          <w:sz w:val="24"/>
          <w:szCs w:val="24"/>
        </w:rPr>
      </w:pPr>
    </w:p>
    <w:p w14:paraId="0334A360" w14:textId="77777777" w:rsidR="003872F6" w:rsidRPr="00F941DA" w:rsidRDefault="003872F6" w:rsidP="003872F6">
      <w:pPr>
        <w:spacing w:after="0"/>
        <w:jc w:val="both"/>
        <w:rPr>
          <w:rFonts w:ascii="Times New Roman" w:eastAsia="Calibri" w:hAnsi="Times New Roman" w:cs="Times New Roman"/>
          <w:b/>
          <w:sz w:val="24"/>
          <w:szCs w:val="24"/>
        </w:rPr>
      </w:pPr>
    </w:p>
    <w:p w14:paraId="47E5FF40" w14:textId="5D7E0DDE" w:rsidR="00AB68AD" w:rsidRPr="00F941DA" w:rsidRDefault="003872F6" w:rsidP="003872F6">
      <w:pPr>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lastRenderedPageBreak/>
        <w:t>Anexa nr. 2</w:t>
      </w:r>
    </w:p>
    <w:p w14:paraId="47E6F2C3" w14:textId="77777777" w:rsidR="00AB68AD" w:rsidRPr="00F941DA" w:rsidRDefault="00AB68AD" w:rsidP="003872F6">
      <w:pPr>
        <w:spacing w:after="0"/>
        <w:jc w:val="both"/>
        <w:rPr>
          <w:rFonts w:ascii="Times New Roman" w:eastAsia="Calibri" w:hAnsi="Times New Roman" w:cs="Times New Roman"/>
          <w:b/>
          <w:sz w:val="24"/>
          <w:szCs w:val="24"/>
        </w:rPr>
      </w:pPr>
    </w:p>
    <w:p w14:paraId="76398EDE"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b/>
          <w:sz w:val="24"/>
          <w:szCs w:val="24"/>
        </w:rPr>
        <w:t>Fișa Pacientului cu Pneumopatie Interstițială Difuză – Fenotip Fibrozant Progresiv</w:t>
      </w:r>
    </w:p>
    <w:p w14:paraId="192AD3E3" w14:textId="77777777" w:rsidR="003872F6" w:rsidRPr="00F941DA" w:rsidRDefault="003872F6" w:rsidP="003872F6">
      <w:pPr>
        <w:spacing w:after="0"/>
        <w:jc w:val="both"/>
        <w:rPr>
          <w:rFonts w:ascii="Times New Roman" w:eastAsia="Calibri" w:hAnsi="Times New Roman" w:cs="Times New Roman"/>
          <w:sz w:val="24"/>
          <w:szCs w:val="24"/>
        </w:rPr>
      </w:pPr>
      <w:r w:rsidRPr="00F941DA">
        <w:rPr>
          <w:noProof/>
          <w:lang w:val="en-US"/>
        </w:rPr>
        <w:drawing>
          <wp:inline distT="0" distB="0" distL="0" distR="0" wp14:anchorId="5BBBDDBD" wp14:editId="5136920C">
            <wp:extent cx="6209030" cy="7463790"/>
            <wp:effectExtent l="0" t="0" r="0" b="0"/>
            <wp:docPr id="1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a:picLocks noChangeAspect="1" noChangeArrowheads="1"/>
                    </pic:cNvPicPr>
                  </pic:nvPicPr>
                  <pic:blipFill>
                    <a:blip r:embed="rId10"/>
                    <a:stretch>
                      <a:fillRect/>
                    </a:stretch>
                  </pic:blipFill>
                  <pic:spPr bwMode="auto">
                    <a:xfrm>
                      <a:off x="0" y="0"/>
                      <a:ext cx="6209030" cy="7463790"/>
                    </a:xfrm>
                    <a:prstGeom prst="rect">
                      <a:avLst/>
                    </a:prstGeom>
                  </pic:spPr>
                </pic:pic>
              </a:graphicData>
            </a:graphic>
          </wp:inline>
        </w:drawing>
      </w:r>
    </w:p>
    <w:p w14:paraId="1B0F5B0C" w14:textId="77777777" w:rsidR="003872F6" w:rsidRPr="00F941DA" w:rsidRDefault="003872F6" w:rsidP="003872F6">
      <w:pPr>
        <w:spacing w:after="0"/>
        <w:jc w:val="both"/>
        <w:rPr>
          <w:rFonts w:ascii="Times New Roman" w:eastAsia="Calibri" w:hAnsi="Times New Roman" w:cs="Times New Roman"/>
          <w:sz w:val="24"/>
          <w:szCs w:val="24"/>
        </w:rPr>
      </w:pPr>
    </w:p>
    <w:p w14:paraId="37249BF3" w14:textId="77777777" w:rsidR="003872F6" w:rsidRPr="00F941DA" w:rsidRDefault="003872F6" w:rsidP="003872F6">
      <w:pPr>
        <w:spacing w:after="0"/>
        <w:jc w:val="both"/>
        <w:rPr>
          <w:rFonts w:ascii="Times New Roman" w:eastAsia="Calibri" w:hAnsi="Times New Roman" w:cs="Times New Roman"/>
          <w:sz w:val="24"/>
          <w:szCs w:val="24"/>
        </w:rPr>
      </w:pPr>
    </w:p>
    <w:p w14:paraId="127F82C9" w14:textId="77777777" w:rsidR="003872F6" w:rsidRPr="00F941DA" w:rsidRDefault="003872F6" w:rsidP="003872F6">
      <w:pPr>
        <w:spacing w:after="0"/>
        <w:jc w:val="both"/>
        <w:rPr>
          <w:rFonts w:ascii="Times New Roman" w:eastAsia="Calibri" w:hAnsi="Times New Roman" w:cs="Times New Roman"/>
          <w:sz w:val="24"/>
          <w:szCs w:val="24"/>
        </w:rPr>
      </w:pPr>
      <w:r w:rsidRPr="00F941DA">
        <w:rPr>
          <w:noProof/>
          <w:lang w:val="en-US"/>
        </w:rPr>
        <w:lastRenderedPageBreak/>
        <w:drawing>
          <wp:inline distT="0" distB="0" distL="0" distR="0" wp14:anchorId="358DAFE6" wp14:editId="17A1E6B8">
            <wp:extent cx="6155690" cy="8006715"/>
            <wp:effectExtent l="0" t="0" r="0" b="0"/>
            <wp:docPr id="1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a:picLocks noChangeAspect="1" noChangeArrowheads="1"/>
                    </pic:cNvPicPr>
                  </pic:nvPicPr>
                  <pic:blipFill>
                    <a:blip r:embed="rId11"/>
                    <a:stretch>
                      <a:fillRect/>
                    </a:stretch>
                  </pic:blipFill>
                  <pic:spPr bwMode="auto">
                    <a:xfrm>
                      <a:off x="0" y="0"/>
                      <a:ext cx="6155690" cy="8006715"/>
                    </a:xfrm>
                    <a:prstGeom prst="rect">
                      <a:avLst/>
                    </a:prstGeom>
                  </pic:spPr>
                </pic:pic>
              </a:graphicData>
            </a:graphic>
          </wp:inline>
        </w:drawing>
      </w:r>
    </w:p>
    <w:p w14:paraId="40C913C3" w14:textId="77777777" w:rsidR="003872F6" w:rsidRPr="00F941DA" w:rsidRDefault="003872F6" w:rsidP="003872F6">
      <w:pPr>
        <w:spacing w:after="0"/>
        <w:jc w:val="both"/>
        <w:rPr>
          <w:rFonts w:ascii="Times New Roman" w:eastAsia="Calibri" w:hAnsi="Times New Roman" w:cs="Times New Roman"/>
          <w:sz w:val="24"/>
          <w:szCs w:val="24"/>
        </w:rPr>
      </w:pPr>
    </w:p>
    <w:p w14:paraId="7D080943" w14:textId="77777777" w:rsidR="003872F6" w:rsidRPr="00F941DA" w:rsidRDefault="003872F6" w:rsidP="003872F6">
      <w:pPr>
        <w:spacing w:after="0"/>
        <w:jc w:val="both"/>
        <w:rPr>
          <w:rFonts w:ascii="Times New Roman" w:eastAsia="Calibri" w:hAnsi="Times New Roman" w:cs="Times New Roman"/>
          <w:sz w:val="24"/>
          <w:szCs w:val="24"/>
        </w:rPr>
      </w:pPr>
    </w:p>
    <w:p w14:paraId="38583EFC" w14:textId="77777777" w:rsidR="003872F6" w:rsidRPr="00F941DA" w:rsidRDefault="003872F6" w:rsidP="003872F6">
      <w:pPr>
        <w:spacing w:after="0"/>
        <w:jc w:val="both"/>
        <w:rPr>
          <w:rFonts w:ascii="Times New Roman" w:eastAsia="Calibri" w:hAnsi="Times New Roman" w:cs="Times New Roman"/>
          <w:sz w:val="24"/>
          <w:szCs w:val="24"/>
        </w:rPr>
      </w:pPr>
    </w:p>
    <w:p w14:paraId="2C7515E6" w14:textId="77777777" w:rsidR="003872F6" w:rsidRPr="00F941DA" w:rsidRDefault="003872F6" w:rsidP="003872F6">
      <w:pPr>
        <w:spacing w:after="0"/>
        <w:jc w:val="both"/>
        <w:rPr>
          <w:rFonts w:ascii="Times New Roman" w:eastAsia="Calibri" w:hAnsi="Times New Roman" w:cs="Times New Roman"/>
          <w:sz w:val="24"/>
          <w:szCs w:val="24"/>
        </w:rPr>
      </w:pPr>
    </w:p>
    <w:p w14:paraId="22D5F5EB" w14:textId="77777777" w:rsidR="003872F6" w:rsidRPr="00F941DA" w:rsidRDefault="003872F6" w:rsidP="003872F6">
      <w:pPr>
        <w:spacing w:after="0"/>
        <w:jc w:val="both"/>
        <w:rPr>
          <w:rFonts w:ascii="Times New Roman" w:eastAsia="Calibri" w:hAnsi="Times New Roman" w:cs="Times New Roman"/>
          <w:sz w:val="24"/>
          <w:szCs w:val="24"/>
        </w:rPr>
      </w:pPr>
    </w:p>
    <w:p w14:paraId="0547F84A" w14:textId="77777777" w:rsidR="003872F6" w:rsidRPr="00F941DA" w:rsidRDefault="003872F6" w:rsidP="003872F6">
      <w:pPr>
        <w:spacing w:after="0"/>
        <w:jc w:val="both"/>
        <w:rPr>
          <w:rFonts w:ascii="Times New Roman" w:eastAsia="Calibri" w:hAnsi="Times New Roman" w:cs="Times New Roman"/>
          <w:sz w:val="24"/>
          <w:szCs w:val="24"/>
        </w:rPr>
      </w:pPr>
    </w:p>
    <w:p w14:paraId="350CE009" w14:textId="77777777" w:rsidR="003872F6" w:rsidRPr="00F941DA" w:rsidRDefault="003872F6" w:rsidP="003872F6">
      <w:pPr>
        <w:spacing w:after="0"/>
        <w:jc w:val="both"/>
        <w:rPr>
          <w:rFonts w:ascii="Times New Roman" w:eastAsia="Calibri" w:hAnsi="Times New Roman" w:cs="Times New Roman"/>
          <w:sz w:val="24"/>
          <w:szCs w:val="24"/>
        </w:rPr>
      </w:pPr>
    </w:p>
    <w:p w14:paraId="49FB991A" w14:textId="77777777" w:rsidR="003872F6" w:rsidRPr="00F941DA" w:rsidRDefault="003872F6" w:rsidP="003872F6">
      <w:pPr>
        <w:spacing w:after="0"/>
        <w:jc w:val="both"/>
        <w:rPr>
          <w:rFonts w:ascii="Times New Roman" w:eastAsia="Calibri" w:hAnsi="Times New Roman" w:cs="Times New Roman"/>
          <w:sz w:val="24"/>
          <w:szCs w:val="24"/>
        </w:rPr>
      </w:pPr>
    </w:p>
    <w:p w14:paraId="542D607F" w14:textId="77777777" w:rsidR="003872F6" w:rsidRPr="00F941DA" w:rsidRDefault="003872F6" w:rsidP="003872F6">
      <w:pPr>
        <w:spacing w:after="0"/>
        <w:jc w:val="both"/>
        <w:rPr>
          <w:rFonts w:ascii="Times New Roman" w:eastAsia="Calibri" w:hAnsi="Times New Roman" w:cs="Times New Roman"/>
          <w:sz w:val="24"/>
          <w:szCs w:val="24"/>
        </w:rPr>
      </w:pPr>
      <w:r w:rsidRPr="00F941DA">
        <w:rPr>
          <w:noProof/>
          <w:lang w:val="en-US"/>
        </w:rPr>
        <w:lastRenderedPageBreak/>
        <w:drawing>
          <wp:inline distT="0" distB="0" distL="0" distR="0" wp14:anchorId="391CE45B" wp14:editId="247143CA">
            <wp:extent cx="6289675" cy="770890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a:picLocks noChangeAspect="1" noChangeArrowheads="1"/>
                    </pic:cNvPicPr>
                  </pic:nvPicPr>
                  <pic:blipFill>
                    <a:blip r:embed="rId12"/>
                    <a:stretch>
                      <a:fillRect/>
                    </a:stretch>
                  </pic:blipFill>
                  <pic:spPr bwMode="auto">
                    <a:xfrm>
                      <a:off x="0" y="0"/>
                      <a:ext cx="6289675" cy="7708900"/>
                    </a:xfrm>
                    <a:prstGeom prst="rect">
                      <a:avLst/>
                    </a:prstGeom>
                  </pic:spPr>
                </pic:pic>
              </a:graphicData>
            </a:graphic>
          </wp:inline>
        </w:drawing>
      </w:r>
    </w:p>
    <w:p w14:paraId="6BDBD11C" w14:textId="77777777" w:rsidR="003872F6" w:rsidRPr="00F941DA" w:rsidRDefault="003872F6" w:rsidP="003872F6">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                                </w:t>
      </w:r>
    </w:p>
    <w:p w14:paraId="6AF20B5E" w14:textId="77777777" w:rsidR="003872F6" w:rsidRPr="00F941DA" w:rsidRDefault="003872F6" w:rsidP="003872F6">
      <w:pPr>
        <w:spacing w:after="0"/>
        <w:jc w:val="both"/>
        <w:rPr>
          <w:rFonts w:ascii="Times New Roman" w:eastAsia="Calibri" w:hAnsi="Times New Roman" w:cs="Times New Roman"/>
          <w:b/>
          <w:sz w:val="24"/>
          <w:szCs w:val="24"/>
        </w:rPr>
      </w:pPr>
    </w:p>
    <w:p w14:paraId="62AAFA13" w14:textId="77777777" w:rsidR="003872F6" w:rsidRPr="00F941DA" w:rsidRDefault="003872F6" w:rsidP="003872F6">
      <w:pPr>
        <w:spacing w:after="0"/>
        <w:jc w:val="both"/>
        <w:rPr>
          <w:rFonts w:ascii="Times New Roman" w:eastAsia="Calibri" w:hAnsi="Times New Roman" w:cs="Times New Roman"/>
          <w:b/>
          <w:sz w:val="24"/>
          <w:szCs w:val="24"/>
        </w:rPr>
      </w:pPr>
      <w:r w:rsidRPr="00F941DA">
        <w:rPr>
          <w:noProof/>
          <w:lang w:val="en-US"/>
        </w:rPr>
        <w:lastRenderedPageBreak/>
        <w:drawing>
          <wp:inline distT="0" distB="0" distL="0" distR="0" wp14:anchorId="28424FDC" wp14:editId="12FE7C99">
            <wp:extent cx="6337935" cy="843153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a:picLocks noChangeAspect="1" noChangeArrowheads="1"/>
                    </pic:cNvPicPr>
                  </pic:nvPicPr>
                  <pic:blipFill>
                    <a:blip r:embed="rId13"/>
                    <a:stretch>
                      <a:fillRect/>
                    </a:stretch>
                  </pic:blipFill>
                  <pic:spPr bwMode="auto">
                    <a:xfrm>
                      <a:off x="0" y="0"/>
                      <a:ext cx="6337935" cy="8431530"/>
                    </a:xfrm>
                    <a:prstGeom prst="rect">
                      <a:avLst/>
                    </a:prstGeom>
                  </pic:spPr>
                </pic:pic>
              </a:graphicData>
            </a:graphic>
          </wp:inline>
        </w:drawing>
      </w:r>
    </w:p>
    <w:p w14:paraId="54489E84" w14:textId="77777777" w:rsidR="003872F6" w:rsidRPr="00F941DA" w:rsidRDefault="003872F6" w:rsidP="003872F6">
      <w:pPr>
        <w:spacing w:after="0"/>
        <w:jc w:val="both"/>
        <w:rPr>
          <w:rFonts w:ascii="Times New Roman" w:eastAsia="Calibri" w:hAnsi="Times New Roman" w:cs="Times New Roman"/>
          <w:b/>
          <w:sz w:val="24"/>
          <w:szCs w:val="24"/>
        </w:rPr>
      </w:pPr>
    </w:p>
    <w:p w14:paraId="00F61236" w14:textId="77777777" w:rsidR="003872F6" w:rsidRPr="00F941DA" w:rsidRDefault="003872F6" w:rsidP="003872F6">
      <w:pPr>
        <w:spacing w:after="0"/>
        <w:jc w:val="both"/>
        <w:rPr>
          <w:rFonts w:ascii="Times New Roman" w:eastAsia="Calibri" w:hAnsi="Times New Roman" w:cs="Times New Roman"/>
          <w:b/>
          <w:sz w:val="24"/>
          <w:szCs w:val="24"/>
        </w:rPr>
      </w:pPr>
    </w:p>
    <w:p w14:paraId="7B255670" w14:textId="77777777" w:rsidR="003872F6" w:rsidRPr="00F941DA" w:rsidRDefault="003872F6" w:rsidP="003872F6">
      <w:pPr>
        <w:spacing w:after="0"/>
        <w:jc w:val="both"/>
        <w:rPr>
          <w:rFonts w:ascii="Times New Roman" w:eastAsia="Calibri" w:hAnsi="Times New Roman" w:cs="Times New Roman"/>
          <w:b/>
          <w:sz w:val="24"/>
          <w:szCs w:val="24"/>
        </w:rPr>
      </w:pPr>
    </w:p>
    <w:p w14:paraId="62720910" w14:textId="77777777" w:rsidR="003872F6" w:rsidRPr="00F941DA" w:rsidRDefault="003872F6" w:rsidP="003872F6">
      <w:pPr>
        <w:spacing w:after="0"/>
        <w:jc w:val="both"/>
        <w:rPr>
          <w:rFonts w:ascii="Times New Roman" w:eastAsia="Calibri" w:hAnsi="Times New Roman" w:cs="Times New Roman"/>
          <w:b/>
          <w:sz w:val="24"/>
          <w:szCs w:val="24"/>
        </w:rPr>
      </w:pPr>
      <w:r w:rsidRPr="00F941DA">
        <w:rPr>
          <w:noProof/>
          <w:lang w:val="en-US"/>
        </w:rPr>
        <w:lastRenderedPageBreak/>
        <w:drawing>
          <wp:inline distT="0" distB="0" distL="0" distR="0" wp14:anchorId="47FEAC9C" wp14:editId="1030AAE6">
            <wp:extent cx="6315710" cy="8222615"/>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a:picLocks noChangeAspect="1" noChangeArrowheads="1"/>
                    </pic:cNvPicPr>
                  </pic:nvPicPr>
                  <pic:blipFill>
                    <a:blip r:embed="rId14"/>
                    <a:stretch>
                      <a:fillRect/>
                    </a:stretch>
                  </pic:blipFill>
                  <pic:spPr bwMode="auto">
                    <a:xfrm>
                      <a:off x="0" y="0"/>
                      <a:ext cx="6315710" cy="8222615"/>
                    </a:xfrm>
                    <a:prstGeom prst="rect">
                      <a:avLst/>
                    </a:prstGeom>
                  </pic:spPr>
                </pic:pic>
              </a:graphicData>
            </a:graphic>
          </wp:inline>
        </w:drawing>
      </w:r>
    </w:p>
    <w:p w14:paraId="4BD2924A" w14:textId="77777777" w:rsidR="003872F6" w:rsidRPr="00F941DA" w:rsidRDefault="003872F6" w:rsidP="003872F6">
      <w:pPr>
        <w:spacing w:after="0"/>
        <w:jc w:val="both"/>
        <w:rPr>
          <w:rFonts w:ascii="Times New Roman" w:eastAsia="Calibri" w:hAnsi="Times New Roman" w:cs="Times New Roman"/>
          <w:b/>
          <w:sz w:val="24"/>
          <w:szCs w:val="24"/>
        </w:rPr>
      </w:pPr>
      <w:r w:rsidRPr="00F941DA">
        <w:rPr>
          <w:noProof/>
          <w:lang w:val="en-US"/>
        </w:rPr>
        <w:lastRenderedPageBreak/>
        <w:drawing>
          <wp:inline distT="0" distB="0" distL="0" distR="0" wp14:anchorId="3619054F" wp14:editId="78ED73AC">
            <wp:extent cx="6256020" cy="8118475"/>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a:picLocks noChangeAspect="1" noChangeArrowheads="1"/>
                    </pic:cNvPicPr>
                  </pic:nvPicPr>
                  <pic:blipFill>
                    <a:blip r:embed="rId15"/>
                    <a:stretch>
                      <a:fillRect/>
                    </a:stretch>
                  </pic:blipFill>
                  <pic:spPr bwMode="auto">
                    <a:xfrm>
                      <a:off x="0" y="0"/>
                      <a:ext cx="6256020" cy="8118475"/>
                    </a:xfrm>
                    <a:prstGeom prst="rect">
                      <a:avLst/>
                    </a:prstGeom>
                  </pic:spPr>
                </pic:pic>
              </a:graphicData>
            </a:graphic>
          </wp:inline>
        </w:drawing>
      </w:r>
    </w:p>
    <w:p w14:paraId="6842F4CD" w14:textId="77777777" w:rsidR="003872F6" w:rsidRPr="00F941DA" w:rsidRDefault="003872F6" w:rsidP="003872F6">
      <w:pPr>
        <w:spacing w:after="0"/>
        <w:jc w:val="both"/>
        <w:rPr>
          <w:rFonts w:ascii="Times New Roman" w:eastAsia="Calibri" w:hAnsi="Times New Roman" w:cs="Times New Roman"/>
          <w:b/>
          <w:sz w:val="24"/>
          <w:szCs w:val="24"/>
        </w:rPr>
      </w:pPr>
      <w:r w:rsidRPr="00F941DA">
        <w:rPr>
          <w:noProof/>
          <w:lang w:val="en-US"/>
        </w:rPr>
        <w:lastRenderedPageBreak/>
        <w:drawing>
          <wp:inline distT="0" distB="0" distL="0" distR="0" wp14:anchorId="487B94BB" wp14:editId="48059E87">
            <wp:extent cx="6332855" cy="828294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7"/>
                    <pic:cNvPicPr>
                      <a:picLocks noChangeAspect="1" noChangeArrowheads="1"/>
                    </pic:cNvPicPr>
                  </pic:nvPicPr>
                  <pic:blipFill>
                    <a:blip r:embed="rId16"/>
                    <a:stretch>
                      <a:fillRect/>
                    </a:stretch>
                  </pic:blipFill>
                  <pic:spPr bwMode="auto">
                    <a:xfrm>
                      <a:off x="0" y="0"/>
                      <a:ext cx="6332855" cy="8282940"/>
                    </a:xfrm>
                    <a:prstGeom prst="rect">
                      <a:avLst/>
                    </a:prstGeom>
                  </pic:spPr>
                </pic:pic>
              </a:graphicData>
            </a:graphic>
          </wp:inline>
        </w:drawing>
      </w:r>
    </w:p>
    <w:p w14:paraId="6BB64718" w14:textId="77777777" w:rsidR="003872F6" w:rsidRPr="00F941DA" w:rsidRDefault="003872F6" w:rsidP="003872F6">
      <w:pPr>
        <w:spacing w:after="0"/>
        <w:jc w:val="both"/>
        <w:rPr>
          <w:rFonts w:ascii="Times New Roman" w:eastAsia="Calibri" w:hAnsi="Times New Roman" w:cs="Times New Roman"/>
          <w:b/>
          <w:sz w:val="24"/>
          <w:szCs w:val="24"/>
        </w:rPr>
      </w:pPr>
      <w:r w:rsidRPr="00F941DA">
        <w:rPr>
          <w:noProof/>
          <w:lang w:val="en-US"/>
        </w:rPr>
        <w:lastRenderedPageBreak/>
        <w:drawing>
          <wp:inline distT="0" distB="0" distL="0" distR="0" wp14:anchorId="1A9F7DA8" wp14:editId="73A45CFC">
            <wp:extent cx="6289040" cy="8218805"/>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ine 8"/>
                    <pic:cNvPicPr>
                      <a:picLocks noChangeAspect="1" noChangeArrowheads="1"/>
                    </pic:cNvPicPr>
                  </pic:nvPicPr>
                  <pic:blipFill>
                    <a:blip r:embed="rId17"/>
                    <a:stretch>
                      <a:fillRect/>
                    </a:stretch>
                  </pic:blipFill>
                  <pic:spPr bwMode="auto">
                    <a:xfrm>
                      <a:off x="0" y="0"/>
                      <a:ext cx="6289040" cy="8218805"/>
                    </a:xfrm>
                    <a:prstGeom prst="rect">
                      <a:avLst/>
                    </a:prstGeom>
                  </pic:spPr>
                </pic:pic>
              </a:graphicData>
            </a:graphic>
          </wp:inline>
        </w:drawing>
      </w:r>
    </w:p>
    <w:p w14:paraId="4AD24FC4" w14:textId="77777777" w:rsidR="003872F6" w:rsidRPr="00F941DA" w:rsidRDefault="003872F6" w:rsidP="003872F6">
      <w:pPr>
        <w:spacing w:after="0"/>
        <w:jc w:val="both"/>
        <w:rPr>
          <w:rFonts w:ascii="Times New Roman" w:eastAsia="Calibri" w:hAnsi="Times New Roman" w:cs="Times New Roman"/>
          <w:b/>
          <w:sz w:val="24"/>
          <w:szCs w:val="24"/>
        </w:rPr>
      </w:pPr>
      <w:r w:rsidRPr="00F941DA">
        <w:rPr>
          <w:noProof/>
          <w:lang w:val="en-US"/>
        </w:rPr>
        <w:lastRenderedPageBreak/>
        <w:drawing>
          <wp:inline distT="0" distB="0" distL="0" distR="0" wp14:anchorId="03903047" wp14:editId="4D98C9AA">
            <wp:extent cx="6269355" cy="8144510"/>
            <wp:effectExtent l="0" t="0" r="0"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ine 9"/>
                    <pic:cNvPicPr>
                      <a:picLocks noChangeAspect="1" noChangeArrowheads="1"/>
                    </pic:cNvPicPr>
                  </pic:nvPicPr>
                  <pic:blipFill>
                    <a:blip r:embed="rId18"/>
                    <a:stretch>
                      <a:fillRect/>
                    </a:stretch>
                  </pic:blipFill>
                  <pic:spPr bwMode="auto">
                    <a:xfrm>
                      <a:off x="0" y="0"/>
                      <a:ext cx="6269355" cy="8144510"/>
                    </a:xfrm>
                    <a:prstGeom prst="rect">
                      <a:avLst/>
                    </a:prstGeom>
                  </pic:spPr>
                </pic:pic>
              </a:graphicData>
            </a:graphic>
          </wp:inline>
        </w:drawing>
      </w:r>
    </w:p>
    <w:p w14:paraId="7F623403" w14:textId="3A8C9738" w:rsidR="003872F6" w:rsidRPr="00F941DA" w:rsidRDefault="003872F6" w:rsidP="003872F6">
      <w:pPr>
        <w:spacing w:after="0"/>
        <w:jc w:val="both"/>
        <w:rPr>
          <w:rFonts w:ascii="Times New Roman" w:eastAsia="Calibri" w:hAnsi="Times New Roman" w:cs="Times New Roman"/>
          <w:b/>
          <w:sz w:val="24"/>
          <w:szCs w:val="24"/>
        </w:rPr>
      </w:pPr>
      <w:r w:rsidRPr="00F941DA">
        <w:rPr>
          <w:noProof/>
          <w:lang w:val="en-US"/>
        </w:rPr>
        <w:lastRenderedPageBreak/>
        <w:drawing>
          <wp:inline distT="0" distB="0" distL="0" distR="0" wp14:anchorId="797D6F99" wp14:editId="5C2F2F8D">
            <wp:extent cx="6219825" cy="8072755"/>
            <wp:effectExtent l="0" t="0" r="0"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ine 10"/>
                    <pic:cNvPicPr>
                      <a:picLocks noChangeAspect="1" noChangeArrowheads="1"/>
                    </pic:cNvPicPr>
                  </pic:nvPicPr>
                  <pic:blipFill>
                    <a:blip r:embed="rId19"/>
                    <a:stretch>
                      <a:fillRect/>
                    </a:stretch>
                  </pic:blipFill>
                  <pic:spPr bwMode="auto">
                    <a:xfrm>
                      <a:off x="0" y="0"/>
                      <a:ext cx="6219825" cy="8072755"/>
                    </a:xfrm>
                    <a:prstGeom prst="rect">
                      <a:avLst/>
                    </a:prstGeom>
                  </pic:spPr>
                </pic:pic>
              </a:graphicData>
            </a:graphic>
          </wp:inline>
        </w:drawing>
      </w:r>
    </w:p>
    <w:p w14:paraId="75726394" w14:textId="77777777" w:rsidR="003872F6" w:rsidRPr="00F941DA" w:rsidRDefault="003872F6" w:rsidP="003872F6">
      <w:pPr>
        <w:spacing w:after="0"/>
        <w:jc w:val="both"/>
        <w:rPr>
          <w:rFonts w:ascii="Times New Roman" w:eastAsia="Calibri" w:hAnsi="Times New Roman" w:cs="Times New Roman"/>
          <w:b/>
          <w:sz w:val="24"/>
          <w:szCs w:val="24"/>
        </w:rPr>
      </w:pPr>
    </w:p>
    <w:p w14:paraId="406314C9" w14:textId="77777777" w:rsidR="003872F6" w:rsidRPr="00F941DA" w:rsidRDefault="003872F6" w:rsidP="003872F6">
      <w:pPr>
        <w:spacing w:after="0"/>
        <w:jc w:val="both"/>
        <w:rPr>
          <w:rFonts w:ascii="Times New Roman" w:eastAsia="Calibri" w:hAnsi="Times New Roman" w:cs="Times New Roman"/>
          <w:sz w:val="24"/>
          <w:szCs w:val="24"/>
        </w:rPr>
      </w:pPr>
    </w:p>
    <w:p w14:paraId="5F0B65AD" w14:textId="77777777" w:rsidR="003872F6" w:rsidRPr="00F941DA" w:rsidRDefault="003872F6" w:rsidP="00AB68AD">
      <w:pPr>
        <w:rPr>
          <w:rFonts w:ascii="Times New Roman" w:eastAsia="Calibri" w:hAnsi="Times New Roman" w:cs="Times New Roman"/>
          <w:sz w:val="24"/>
          <w:szCs w:val="24"/>
        </w:rPr>
      </w:pPr>
    </w:p>
    <w:p w14:paraId="1077C6BB" w14:textId="77777777" w:rsidR="00AB68AD" w:rsidRPr="00F941DA" w:rsidRDefault="00AB68AD" w:rsidP="00AB68AD">
      <w:pPr>
        <w:rPr>
          <w:rFonts w:eastAsia="Arial"/>
          <w:b/>
          <w:bCs/>
          <w:lang w:val="en-US"/>
        </w:rPr>
      </w:pPr>
    </w:p>
    <w:p w14:paraId="5348968E" w14:textId="77777777" w:rsidR="003872F6" w:rsidRPr="00F941DA" w:rsidRDefault="003872F6" w:rsidP="00984957">
      <w:pPr>
        <w:pStyle w:val="ListParagraph"/>
        <w:rPr>
          <w:rFonts w:eastAsia="Arial"/>
          <w:b/>
          <w:bCs/>
          <w:color w:val="auto"/>
          <w:lang w:val="en-US"/>
        </w:rPr>
      </w:pPr>
    </w:p>
    <w:p w14:paraId="6368F327" w14:textId="77777777" w:rsidR="004E0C6D" w:rsidRPr="00F941DA" w:rsidRDefault="004E0C6D" w:rsidP="00984957">
      <w:pPr>
        <w:pStyle w:val="ListParagraph"/>
        <w:rPr>
          <w:rFonts w:eastAsia="Arial"/>
          <w:b/>
          <w:bCs/>
          <w:color w:val="auto"/>
          <w:lang w:val="en-US"/>
        </w:rPr>
      </w:pPr>
    </w:p>
    <w:p w14:paraId="4C450931" w14:textId="77777777" w:rsidR="004E0C6D" w:rsidRPr="00F941DA" w:rsidRDefault="004E0C6D" w:rsidP="00984957">
      <w:pPr>
        <w:pStyle w:val="ListParagraph"/>
        <w:rPr>
          <w:rFonts w:eastAsia="Arial"/>
          <w:b/>
          <w:bCs/>
          <w:color w:val="auto"/>
          <w:lang w:val="en-US"/>
        </w:rPr>
      </w:pPr>
    </w:p>
    <w:p w14:paraId="4B50AC4C" w14:textId="77777777" w:rsidR="007B60B7" w:rsidRPr="00F941DA" w:rsidRDefault="007B60B7" w:rsidP="00984957">
      <w:pPr>
        <w:pStyle w:val="ListParagraph"/>
        <w:rPr>
          <w:rFonts w:eastAsia="Arial"/>
          <w:b/>
          <w:bCs/>
          <w:color w:val="auto"/>
          <w:lang w:val="en-US"/>
        </w:rPr>
      </w:pPr>
    </w:p>
    <w:p w14:paraId="6F2C4AB7" w14:textId="4EA011AD" w:rsidR="007B60B7" w:rsidRPr="00F941DA" w:rsidRDefault="007B60B7" w:rsidP="00A827C3">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 xml:space="preserve">La anexa nr. 1, protocolul terapeutic corespunzător poziţiei nr. </w:t>
      </w:r>
      <w:r w:rsidR="00E758C6" w:rsidRPr="00F941DA">
        <w:rPr>
          <w:rFonts w:eastAsia="Arial"/>
          <w:b/>
          <w:bCs/>
          <w:color w:val="auto"/>
          <w:lang w:val="en-US"/>
        </w:rPr>
        <w:t>318</w:t>
      </w:r>
      <w:r w:rsidRPr="00F941DA">
        <w:rPr>
          <w:rFonts w:eastAsia="Arial"/>
          <w:b/>
          <w:bCs/>
          <w:color w:val="auto"/>
          <w:lang w:val="en-US"/>
        </w:rPr>
        <w:t xml:space="preserve"> cod (</w:t>
      </w:r>
      <w:r w:rsidR="00E758C6" w:rsidRPr="00F941DA">
        <w:rPr>
          <w:rFonts w:eastAsia="Arial"/>
          <w:b/>
          <w:bCs/>
          <w:color w:val="auto"/>
          <w:lang w:val="en-US"/>
        </w:rPr>
        <w:t>B06AC05</w:t>
      </w:r>
      <w:r w:rsidRPr="00F941DA">
        <w:rPr>
          <w:rFonts w:eastAsia="Arial"/>
          <w:b/>
          <w:bCs/>
          <w:color w:val="auto"/>
          <w:lang w:val="en-US"/>
        </w:rPr>
        <w:t xml:space="preserve">): DCI </w:t>
      </w:r>
      <w:r w:rsidR="00E758C6" w:rsidRPr="00F941DA">
        <w:rPr>
          <w:rFonts w:eastAsia="Arial"/>
          <w:b/>
          <w:bCs/>
          <w:color w:val="auto"/>
          <w:lang w:val="en-US"/>
        </w:rPr>
        <w:t>LANADELUMABUM</w:t>
      </w:r>
      <w:r w:rsidRPr="00F941DA">
        <w:rPr>
          <w:rFonts w:eastAsia="Arial"/>
          <w:b/>
          <w:bCs/>
          <w:color w:val="auto"/>
          <w:lang w:val="en-US"/>
        </w:rPr>
        <w:t xml:space="preserve"> se modifică și se înlocuiește cu următorul protocol:</w:t>
      </w:r>
    </w:p>
    <w:p w14:paraId="113B4578" w14:textId="77777777" w:rsidR="007B60B7" w:rsidRPr="00F941DA" w:rsidRDefault="007B60B7" w:rsidP="007B60B7">
      <w:pPr>
        <w:tabs>
          <w:tab w:val="left" w:pos="426"/>
        </w:tabs>
        <w:jc w:val="both"/>
        <w:rPr>
          <w:rFonts w:ascii="Times New Roman" w:eastAsia="Arial" w:hAnsi="Times New Roman" w:cs="Times New Roman"/>
          <w:b/>
          <w:bCs/>
          <w:sz w:val="24"/>
          <w:szCs w:val="24"/>
          <w:lang w:val="en-US"/>
        </w:rPr>
      </w:pPr>
    </w:p>
    <w:p w14:paraId="14500238" w14:textId="77777777" w:rsidR="003872F6" w:rsidRPr="00F941DA" w:rsidRDefault="003872F6" w:rsidP="003872F6">
      <w:pPr>
        <w:tabs>
          <w:tab w:val="left" w:pos="426"/>
        </w:tabs>
        <w:jc w:val="both"/>
        <w:rPr>
          <w:rFonts w:eastAsia="Arial"/>
          <w:b/>
          <w:bCs/>
          <w:lang w:val="en-US"/>
        </w:rPr>
      </w:pPr>
      <w:r w:rsidRPr="00F941DA">
        <w:rPr>
          <w:rFonts w:ascii="Times New Roman" w:eastAsia="Arial" w:hAnsi="Times New Roman" w:cs="Times New Roman"/>
          <w:b/>
          <w:bCs/>
          <w:sz w:val="24"/>
          <w:szCs w:val="24"/>
          <w:lang w:val="en-US"/>
        </w:rPr>
        <w:t>”Protocol terapeutic corespunzător poziţiei nr. 318 cod (B06AC05): DCI LANADELUMABUM</w:t>
      </w:r>
    </w:p>
    <w:p w14:paraId="5C71DE1B" w14:textId="77777777" w:rsidR="003872F6" w:rsidRPr="00F941DA" w:rsidRDefault="003872F6" w:rsidP="003872F6">
      <w:pPr>
        <w:rPr>
          <w:rFonts w:eastAsia="Arial"/>
          <w:b/>
          <w:bCs/>
          <w:lang w:val="en-US"/>
        </w:rPr>
      </w:pPr>
    </w:p>
    <w:p w14:paraId="1762A1C1" w14:textId="77777777" w:rsidR="003872F6" w:rsidRPr="00F941DA" w:rsidRDefault="003872F6" w:rsidP="003872F6">
      <w:pPr>
        <w:numPr>
          <w:ilvl w:val="0"/>
          <w:numId w:val="143"/>
        </w:numPr>
        <w:spacing w:before="240" w:after="0" w:line="276" w:lineRule="auto"/>
        <w:jc w:val="both"/>
        <w:rPr>
          <w:rFonts w:ascii="Times New Roman" w:hAnsi="Times New Roman" w:cs="Times New Roman"/>
          <w:b/>
          <w:bCs/>
          <w:sz w:val="24"/>
          <w:szCs w:val="24"/>
        </w:rPr>
      </w:pPr>
      <w:r w:rsidRPr="00F941DA">
        <w:rPr>
          <w:rFonts w:ascii="Times New Roman" w:hAnsi="Times New Roman" w:cs="Times New Roman"/>
          <w:b/>
          <w:bCs/>
          <w:sz w:val="24"/>
          <w:szCs w:val="24"/>
        </w:rPr>
        <w:t xml:space="preserve">Indicație terapeutică </w:t>
      </w:r>
    </w:p>
    <w:p w14:paraId="3DE42AD3" w14:textId="77777777" w:rsidR="003872F6" w:rsidRPr="00F941DA" w:rsidRDefault="003872F6" w:rsidP="003872F6">
      <w:pPr>
        <w:spacing w:before="240" w:line="276" w:lineRule="auto"/>
        <w:jc w:val="both"/>
        <w:rPr>
          <w:rFonts w:ascii="Times New Roman" w:hAnsi="Times New Roman" w:cs="Times New Roman"/>
          <w:b/>
          <w:sz w:val="24"/>
          <w:szCs w:val="24"/>
        </w:rPr>
      </w:pPr>
      <w:r w:rsidRPr="00F941DA">
        <w:rPr>
          <w:rFonts w:ascii="Times New Roman" w:hAnsi="Times New Roman" w:cs="Times New Roman"/>
          <w:b/>
          <w:sz w:val="24"/>
          <w:szCs w:val="24"/>
        </w:rPr>
        <w:t xml:space="preserve">Lanadelumabum este indicat pentru prevenirea de rutină a episoadelor recurente de </w:t>
      </w:r>
      <w:bookmarkStart w:id="3" w:name="_Hlk150502867"/>
      <w:r w:rsidRPr="00F941DA">
        <w:rPr>
          <w:rFonts w:ascii="Times New Roman" w:hAnsi="Times New Roman" w:cs="Times New Roman"/>
          <w:b/>
          <w:sz w:val="24"/>
          <w:szCs w:val="24"/>
        </w:rPr>
        <w:t>angioedem ereditar</w:t>
      </w:r>
      <w:bookmarkEnd w:id="3"/>
      <w:r w:rsidRPr="00F941DA">
        <w:rPr>
          <w:rFonts w:ascii="Times New Roman" w:hAnsi="Times New Roman" w:cs="Times New Roman"/>
          <w:b/>
          <w:sz w:val="24"/>
          <w:szCs w:val="24"/>
        </w:rPr>
        <w:t xml:space="preserve"> (AEE) la pacienții cu vârsta de 12 ani și peste.</w:t>
      </w:r>
    </w:p>
    <w:p w14:paraId="754BC5F4" w14:textId="77777777" w:rsidR="003872F6" w:rsidRPr="00F941DA" w:rsidRDefault="003872F6" w:rsidP="003872F6">
      <w:pPr>
        <w:spacing w:before="240" w:line="276" w:lineRule="auto"/>
        <w:jc w:val="both"/>
        <w:rPr>
          <w:rFonts w:ascii="Times New Roman" w:hAnsi="Times New Roman" w:cs="Times New Roman"/>
          <w:b/>
          <w:bCs/>
          <w:sz w:val="24"/>
          <w:szCs w:val="24"/>
        </w:rPr>
      </w:pPr>
      <w:r w:rsidRPr="00F941DA">
        <w:rPr>
          <w:rFonts w:ascii="Times New Roman" w:hAnsi="Times New Roman" w:cs="Times New Roman"/>
          <w:b/>
          <w:bCs/>
          <w:sz w:val="24"/>
          <w:szCs w:val="24"/>
        </w:rPr>
        <w:t xml:space="preserve">Definiție </w:t>
      </w:r>
    </w:p>
    <w:p w14:paraId="76F611A8"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 xml:space="preserve">AEE este o boală genetică, rară, debilitantă și cu potențial letal. Este cauzat, în marea majoritate a cazurilor (AEE tipul 1 și 2) de deficiența de C1-inhibitor esterază (C1-INH) (AEE-C1-INH), o serin protează cu rol în inhibarea sistemului complement și de contact. În tipul 3 de AEE valorile serice ale C1-INH sunt normale (AEE-nC1-INH), iar tabloul clinic, aproape identic cu cel din AEE tipul 1 și 2, este determinat de mutații survenite la nivelul genei </w:t>
      </w:r>
      <w:bookmarkStart w:id="4" w:name="_Hlk100930881"/>
      <w:r w:rsidRPr="00F941DA">
        <w:rPr>
          <w:rFonts w:ascii="Times New Roman" w:hAnsi="Times New Roman" w:cs="Times New Roman"/>
          <w:sz w:val="24"/>
          <w:szCs w:val="24"/>
        </w:rPr>
        <w:t>factorului de coagulare FXII, a angiopoietinei1, a plasminogenului, a kininogenului1, a mioferlinei sau a genei HS3OST6</w:t>
      </w:r>
      <w:bookmarkEnd w:id="4"/>
      <w:r w:rsidRPr="00F941DA">
        <w:rPr>
          <w:rFonts w:ascii="Times New Roman" w:hAnsi="Times New Roman" w:cs="Times New Roman"/>
          <w:sz w:val="24"/>
          <w:szCs w:val="24"/>
        </w:rPr>
        <w:t>. În unele cazuri de AEE-nC1-INH cauza rămâne necunoscută.</w:t>
      </w:r>
    </w:p>
    <w:p w14:paraId="59104926"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Clinic, AEE se manifestă prin episoade recurente de edem subcutanat dureros localizat, atacuri dureroase abdominale recurente și obstrucție a căilor respiratorii superioare.</w:t>
      </w:r>
    </w:p>
    <w:p w14:paraId="60D31F07"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Atacurile cutanate sunt cele mai frecvente. De obicei disconfortul și durerea impiedică pacientul să-şi poate continua viaţa în ritmul dintre atacuri. Nu necesită spitalizare, dar pacienții lipsesc de la muncă şi şcoală, unii până la 100 de zile pe an.</w:t>
      </w:r>
    </w:p>
    <w:p w14:paraId="1E5A42C9" w14:textId="77777777" w:rsidR="003872F6" w:rsidRPr="00F941DA" w:rsidRDefault="003872F6" w:rsidP="003872F6">
      <w:pPr>
        <w:spacing w:before="240" w:line="276" w:lineRule="auto"/>
        <w:rPr>
          <w:rFonts w:ascii="Times New Roman" w:eastAsia="Times New Roman" w:hAnsi="Times New Roman" w:cs="Times New Roman"/>
          <w:sz w:val="24"/>
          <w:szCs w:val="24"/>
        </w:rPr>
      </w:pPr>
      <w:r w:rsidRPr="00F941DA">
        <w:rPr>
          <w:rFonts w:ascii="Times New Roman" w:eastAsia="Times New Roman" w:hAnsi="Times New Roman" w:cs="Times New Roman"/>
          <w:sz w:val="24"/>
          <w:szCs w:val="24"/>
        </w:rPr>
        <w:t xml:space="preserve">Atacurile abdominale se manifestă cu durere severă, ocluzie intestinală, greaţă, vărsături, uneori diaree şi deshidratare. Frecvent necesită spitalizare, iar dacă nu sunt recunoscute </w:t>
      </w:r>
      <w:r w:rsidRPr="00F941DA">
        <w:rPr>
          <w:rFonts w:ascii="Times New Roman" w:eastAsia="Times New Roman" w:hAnsi="Times New Roman" w:cs="Times New Roman"/>
          <w:bCs/>
          <w:sz w:val="24"/>
          <w:szCs w:val="24"/>
        </w:rPr>
        <w:t>se soldează cu intervenţii chirurgicale inutile,</w:t>
      </w:r>
      <w:r w:rsidRPr="00F941DA">
        <w:rPr>
          <w:rFonts w:ascii="Times New Roman" w:eastAsia="Times New Roman" w:hAnsi="Times New Roman" w:cs="Times New Roman"/>
          <w:sz w:val="24"/>
          <w:szCs w:val="24"/>
        </w:rPr>
        <w:t xml:space="preserve"> atacul fiind asemănător abdomenului acut chirurgical. </w:t>
      </w:r>
    </w:p>
    <w:p w14:paraId="07C0DA70"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Edemul facial se complică în 30% din cazuri cu edem al căilor respiratorii superioare și risc de asfixiere prin edem laringian. Mortalitatea pacienților netratați cu AEE este de aproximativ 30%.</w:t>
      </w:r>
    </w:p>
    <w:p w14:paraId="0C889DC2"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Atacurile de AEE apar imprevizibil și au localizare aleatoare. Numărul atacurilor poate varia de la un atac pe an la 2-4 atacuri pe lună. Netratate, atacurile durează 2-8 zile. Între atacuri pacientul este asimptomatic.</w:t>
      </w:r>
    </w:p>
    <w:p w14:paraId="7018CF40"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b/>
          <w:bCs/>
          <w:sz w:val="24"/>
          <w:szCs w:val="24"/>
        </w:rPr>
        <w:t>Diagnostic</w:t>
      </w:r>
    </w:p>
    <w:p w14:paraId="02D3B7CD"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 xml:space="preserve">Diagnosticul de AEE se suspicionează pe baza anamnezei familiale, a simptomelor caracteristice bolii și este confirmat prin modificările specifice de laborator. </w:t>
      </w:r>
    </w:p>
    <w:p w14:paraId="0F3ED62B"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Anamneza familială: este pozitivă în 75% din cazuri. În 25% din cazuri apar mutații de novo (spontane).</w:t>
      </w:r>
    </w:p>
    <w:p w14:paraId="78AAE6EB"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 xml:space="preserve">Simptomele caracteristice bolii sunt: a) episoade recurente de angioedem fără urticarie și/sau b) dureri abdominale colicative asociate cu greață, vărsături și/sau diaree și/sau c) edem de căi respiratorii superioare. </w:t>
      </w:r>
    </w:p>
    <w:p w14:paraId="4F69B829"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lastRenderedPageBreak/>
        <w:t xml:space="preserve">Scăderea nivelului seric de C4 și C1-INH (dozare proteică și/sau activitate) confirmă diagnosticul de AEE tip 1și 2. </w:t>
      </w:r>
    </w:p>
    <w:p w14:paraId="25CAE13A"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În subtipurile de AEE cu valori normale de C1-INH (tipul 3) diagnosticul este stabilit prin testare genetică (identificarea mutației de la nivelul genei factorului de coagulare FXII, a angiopoietinei1, a plasminogenului, a kininogenului1, a mioferlinei sau a genei HS3OST6).</w:t>
      </w:r>
    </w:p>
    <w:p w14:paraId="732F29DC"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b/>
          <w:sz w:val="24"/>
          <w:szCs w:val="24"/>
        </w:rPr>
        <w:t>II.</w:t>
      </w:r>
      <w:r w:rsidRPr="00F941DA">
        <w:rPr>
          <w:rFonts w:ascii="Times New Roman" w:hAnsi="Times New Roman" w:cs="Times New Roman"/>
          <w:sz w:val="24"/>
          <w:szCs w:val="24"/>
        </w:rPr>
        <w:t xml:space="preserve"> </w:t>
      </w:r>
      <w:r w:rsidRPr="00F941DA">
        <w:rPr>
          <w:rFonts w:ascii="Times New Roman" w:hAnsi="Times New Roman" w:cs="Times New Roman"/>
          <w:b/>
          <w:bCs/>
          <w:sz w:val="24"/>
          <w:szCs w:val="24"/>
        </w:rPr>
        <w:t>Criterii de includere în tratament</w:t>
      </w:r>
    </w:p>
    <w:p w14:paraId="7365DB2C"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 xml:space="preserve">În programul de </w:t>
      </w:r>
      <w:bookmarkStart w:id="5" w:name="_Hlk150502811"/>
      <w:r w:rsidRPr="00F941DA">
        <w:rPr>
          <w:rFonts w:ascii="Times New Roman" w:hAnsi="Times New Roman" w:cs="Times New Roman"/>
          <w:sz w:val="24"/>
          <w:szCs w:val="24"/>
        </w:rPr>
        <w:t xml:space="preserve">tratament cu Lanadelumab </w:t>
      </w:r>
      <w:bookmarkEnd w:id="5"/>
      <w:r w:rsidRPr="00F941DA">
        <w:rPr>
          <w:rFonts w:ascii="Times New Roman" w:hAnsi="Times New Roman" w:cs="Times New Roman"/>
          <w:sz w:val="24"/>
          <w:szCs w:val="24"/>
        </w:rPr>
        <w:t xml:space="preserve">pot fi </w:t>
      </w:r>
      <w:bookmarkStart w:id="6" w:name="_Hlk150502785"/>
      <w:r w:rsidRPr="00F941DA">
        <w:rPr>
          <w:rFonts w:ascii="Times New Roman" w:hAnsi="Times New Roman" w:cs="Times New Roman"/>
          <w:sz w:val="24"/>
          <w:szCs w:val="24"/>
        </w:rPr>
        <w:t>incluși pacienții cu vârsta de 12 ani și peste, cu diagnosticul confirmat de</w:t>
      </w:r>
      <w:bookmarkEnd w:id="6"/>
      <w:r w:rsidRPr="00F941DA">
        <w:rPr>
          <w:rFonts w:ascii="Times New Roman" w:hAnsi="Times New Roman" w:cs="Times New Roman"/>
          <w:sz w:val="24"/>
          <w:szCs w:val="24"/>
        </w:rPr>
        <w:t xml:space="preserve"> către Centrul de Expertiză de AEE și înregistrați la Centrul de Expertiză de AEE. In vederea includerii in tratament, se va solicita consimțământul pacientului (anexa nr 1). </w:t>
      </w:r>
    </w:p>
    <w:p w14:paraId="259629BC" w14:textId="77777777" w:rsidR="003872F6" w:rsidRPr="00F941DA" w:rsidRDefault="003872F6" w:rsidP="003872F6">
      <w:pPr>
        <w:spacing w:after="0"/>
        <w:jc w:val="both"/>
        <w:rPr>
          <w:rFonts w:ascii="Times New Roman" w:hAnsi="Times New Roman" w:cs="Times New Roman"/>
          <w:sz w:val="24"/>
          <w:szCs w:val="24"/>
        </w:rPr>
      </w:pPr>
      <w:r w:rsidRPr="00F941DA">
        <w:rPr>
          <w:rFonts w:ascii="Times New Roman" w:hAnsi="Times New Roman" w:cs="Times New Roman"/>
          <w:sz w:val="24"/>
          <w:szCs w:val="24"/>
        </w:rPr>
        <w:t xml:space="preserve">Conform raportului de evaluare a tehnologiilor medicale, pot fi incluși pacienții cu vârsta de 12 ani și peste, cu diagnosticul confirmat de angioedem ereditar cu adresabilitate pentru pacienții care întrunesc următoarul criteriu: sunt prezente 2 sau mai multe atacuri semnificative clinic </w:t>
      </w:r>
      <w:r w:rsidRPr="00F941DA">
        <w:rPr>
          <w:rFonts w:ascii="Times New Roman" w:hAnsi="Times New Roman" w:cs="Times New Roman"/>
          <w:b/>
          <w:i/>
          <w:sz w:val="24"/>
          <w:szCs w:val="24"/>
        </w:rPr>
        <w:t>într-un interval de 8 săptămâni în pofida terapiei simptomatice de urgență.</w:t>
      </w:r>
      <w:r w:rsidRPr="00F941DA">
        <w:rPr>
          <w:rFonts w:ascii="Times New Roman" w:hAnsi="Times New Roman" w:cs="Times New Roman"/>
          <w:sz w:val="24"/>
          <w:szCs w:val="24"/>
        </w:rPr>
        <w:t xml:space="preserve"> </w:t>
      </w:r>
    </w:p>
    <w:p w14:paraId="0CCBE9CA" w14:textId="77777777" w:rsidR="003872F6" w:rsidRPr="00F941DA" w:rsidRDefault="003872F6" w:rsidP="003872F6">
      <w:pPr>
        <w:ind w:firstLine="360"/>
        <w:jc w:val="both"/>
        <w:rPr>
          <w:rFonts w:ascii="Times New Roman" w:hAnsi="Times New Roman" w:cs="Times New Roman"/>
          <w:sz w:val="24"/>
          <w:szCs w:val="24"/>
        </w:rPr>
      </w:pPr>
      <w:r w:rsidRPr="00F941DA">
        <w:rPr>
          <w:rFonts w:ascii="Times New Roman" w:hAnsi="Times New Roman" w:cs="Times New Roman"/>
          <w:sz w:val="24"/>
          <w:szCs w:val="24"/>
        </w:rPr>
        <w:t xml:space="preserve">Recomadarea tratamentului cu Lanadelumab se va face individualizat, luând în considerare, la fiecare pacient în parte, activitatea bolii, calitatea vieții pacientului și controlul bolii cu medicația de urgență și/sau medicația profilactică administrată. </w:t>
      </w:r>
    </w:p>
    <w:p w14:paraId="05D4B1B8"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 xml:space="preserve">Inițierea tratamentului se va face pe baza scrisorii medicale eliberate de Centrul de Expertiză, care va fi reînnoită anual. </w:t>
      </w:r>
    </w:p>
    <w:p w14:paraId="4BB29052"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 xml:space="preserve">În primul an de tratament eficiența și continuarea acestuia va fi reevaluat și reavizat de către Centrul de Expertiză de AEE, inițial la 3 luni după începerea tratamentului, apoi la 6 luni și apoi anual sau ori de căte ori este nevoie. </w:t>
      </w:r>
    </w:p>
    <w:p w14:paraId="1C5787A3" w14:textId="77777777" w:rsidR="003872F6" w:rsidRPr="00F941DA" w:rsidRDefault="003872F6" w:rsidP="003872F6">
      <w:pPr>
        <w:spacing w:before="240" w:after="0" w:line="276" w:lineRule="auto"/>
        <w:jc w:val="both"/>
        <w:rPr>
          <w:rFonts w:ascii="Times New Roman" w:hAnsi="Times New Roman" w:cs="Times New Roman"/>
          <w:b/>
          <w:bCs/>
          <w:sz w:val="24"/>
          <w:szCs w:val="24"/>
        </w:rPr>
      </w:pPr>
      <w:r w:rsidRPr="00F941DA">
        <w:rPr>
          <w:rFonts w:ascii="Times New Roman" w:hAnsi="Times New Roman" w:cs="Times New Roman"/>
          <w:b/>
          <w:bCs/>
          <w:sz w:val="24"/>
          <w:szCs w:val="24"/>
        </w:rPr>
        <w:t>III. Criterii de excludere din tratament</w:t>
      </w:r>
    </w:p>
    <w:p w14:paraId="64FB36A1"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Nu beneficiază de tratament cu Lanadelumab pacienții cu hipersensibilitate la substanța activă sau excipienții produsului.</w:t>
      </w:r>
    </w:p>
    <w:p w14:paraId="146BA418"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Nu există date clinice disponibile privind utilizarea Lanadelumab la pacienții cu AEE-nC1-INH.</w:t>
      </w:r>
    </w:p>
    <w:p w14:paraId="0082EBE3"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 xml:space="preserve">Deoarece există doar un număr limitat de cazuri cu administrarea Lanadelumab în perioada de sarcină, se recomandă evitarea utilizării lui în timpul sarcinii </w:t>
      </w:r>
    </w:p>
    <w:p w14:paraId="39A01BA9"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În rarele cazuri în care răspunsul la Lanadelumab nu este satisfăcător, este necesară revizuirea indicației.</w:t>
      </w:r>
    </w:p>
    <w:p w14:paraId="4E520513" w14:textId="77777777" w:rsidR="003872F6" w:rsidRPr="00F941DA" w:rsidRDefault="003872F6" w:rsidP="003872F6">
      <w:pPr>
        <w:spacing w:before="240" w:line="276" w:lineRule="auto"/>
        <w:jc w:val="both"/>
        <w:rPr>
          <w:rFonts w:ascii="Times New Roman" w:hAnsi="Times New Roman" w:cs="Times New Roman"/>
          <w:b/>
          <w:sz w:val="24"/>
          <w:szCs w:val="24"/>
        </w:rPr>
      </w:pPr>
      <w:r w:rsidRPr="00F941DA">
        <w:rPr>
          <w:rFonts w:ascii="Times New Roman" w:hAnsi="Times New Roman" w:cs="Times New Roman"/>
          <w:b/>
          <w:sz w:val="24"/>
          <w:szCs w:val="24"/>
        </w:rPr>
        <w:t>Contraindicații:</w:t>
      </w:r>
    </w:p>
    <w:p w14:paraId="3B9997AC"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Hipersensibilitate la substanța activă sau la oricare dintre excipienții enumerați.</w:t>
      </w:r>
    </w:p>
    <w:p w14:paraId="0E5C7F4C" w14:textId="77777777" w:rsidR="003872F6" w:rsidRPr="00F941DA" w:rsidRDefault="003872F6" w:rsidP="003872F6">
      <w:pPr>
        <w:spacing w:before="240" w:line="276" w:lineRule="auto"/>
        <w:jc w:val="both"/>
        <w:rPr>
          <w:rFonts w:ascii="Times New Roman" w:hAnsi="Times New Roman" w:cs="Times New Roman"/>
          <w:sz w:val="24"/>
          <w:szCs w:val="24"/>
        </w:rPr>
      </w:pPr>
    </w:p>
    <w:p w14:paraId="0D8C49F9"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b/>
          <w:sz w:val="24"/>
          <w:szCs w:val="24"/>
        </w:rPr>
        <w:t>IV.</w:t>
      </w:r>
      <w:r w:rsidRPr="00F941DA">
        <w:rPr>
          <w:rFonts w:ascii="Times New Roman" w:hAnsi="Times New Roman" w:cs="Times New Roman"/>
          <w:sz w:val="24"/>
          <w:szCs w:val="24"/>
        </w:rPr>
        <w:t xml:space="preserve"> </w:t>
      </w:r>
      <w:r w:rsidRPr="00F941DA">
        <w:rPr>
          <w:rFonts w:ascii="Times New Roman" w:hAnsi="Times New Roman" w:cs="Times New Roman"/>
          <w:b/>
          <w:bCs/>
          <w:sz w:val="24"/>
          <w:szCs w:val="24"/>
        </w:rPr>
        <w:t xml:space="preserve">Mod de administrare </w:t>
      </w:r>
    </w:p>
    <w:p w14:paraId="59FE943F"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 xml:space="preserve">Lanadelumab este un anticorp monoclonal integral uman (IgG1/lanț ușor - κ), care inhibă activitatea proteolitică a kalikreinei plasmatice active. Activitatea crescută a kalikreinei plasmatice cauzează episoade de angioedem la pacienții cu AEE prin proteoliza kininogenului cu masă moleculară mare </w:t>
      </w:r>
      <w:r w:rsidRPr="00F941DA">
        <w:rPr>
          <w:rFonts w:ascii="Times New Roman" w:hAnsi="Times New Roman" w:cs="Times New Roman"/>
          <w:sz w:val="24"/>
          <w:szCs w:val="24"/>
        </w:rPr>
        <w:lastRenderedPageBreak/>
        <w:t>(HMWK) cu generarea de HMWK clivat (cHMWK) și bradikinină. Bradikinina este mediatorul principal în AEE.</w:t>
      </w:r>
    </w:p>
    <w:p w14:paraId="168A16F9"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Lanadelumab oferă un control susținut al activității kalikreinei plasmatice și, prin urmare, limitează generarea de bradikinină la pacienții cu AEE.</w:t>
      </w:r>
    </w:p>
    <w:p w14:paraId="4A9FF904" w14:textId="77777777" w:rsidR="003872F6" w:rsidRPr="00F941DA" w:rsidRDefault="003872F6" w:rsidP="003872F6">
      <w:pPr>
        <w:pStyle w:val="al"/>
        <w:spacing w:before="240" w:beforeAutospacing="0" w:after="0" w:afterAutospacing="0" w:line="276" w:lineRule="auto"/>
        <w:jc w:val="both"/>
        <w:rPr>
          <w:lang w:val="ro-RO"/>
        </w:rPr>
      </w:pPr>
      <w:r w:rsidRPr="00F941DA">
        <w:rPr>
          <w:lang w:val="ro-RO"/>
        </w:rPr>
        <w:t>Lanadelumab se prezintă sub formă de soluţie injectabilă în seringă preumplută, care conține 300 mg substanță activă în 2 ml soluție.</w:t>
      </w:r>
    </w:p>
    <w:p w14:paraId="7620EEE2" w14:textId="77777777" w:rsidR="003872F6" w:rsidRPr="00F941DA" w:rsidRDefault="003872F6" w:rsidP="003872F6">
      <w:pPr>
        <w:pStyle w:val="Default"/>
        <w:spacing w:before="240" w:line="276" w:lineRule="auto"/>
        <w:rPr>
          <w:rFonts w:ascii="Times New Roman" w:hAnsi="Times New Roman" w:cs="Times New Roman"/>
          <w:color w:val="auto"/>
          <w:lang w:val="ro-RO"/>
        </w:rPr>
      </w:pPr>
      <w:r w:rsidRPr="00F941DA">
        <w:rPr>
          <w:rFonts w:ascii="Times New Roman" w:hAnsi="Times New Roman" w:cs="Times New Roman"/>
          <w:color w:val="auto"/>
          <w:lang w:val="ro-RO"/>
        </w:rPr>
        <w:t>Lanadelumab este destinat doar pentru administrare subcutanată, la nivelul abdomenului, coapselor și partea supero-externă a brațelor. Se recomandă alternarea locului de injectare.</w:t>
      </w:r>
    </w:p>
    <w:p w14:paraId="68794B89" w14:textId="77777777" w:rsidR="003872F6" w:rsidRPr="00F941DA" w:rsidRDefault="003872F6" w:rsidP="003872F6">
      <w:pPr>
        <w:pStyle w:val="al"/>
        <w:spacing w:before="240" w:beforeAutospacing="0" w:after="0" w:afterAutospacing="0" w:line="276" w:lineRule="auto"/>
        <w:jc w:val="both"/>
        <w:rPr>
          <w:lang w:val="ro-RO"/>
        </w:rPr>
      </w:pPr>
      <w:r w:rsidRPr="00F941DA">
        <w:rPr>
          <w:lang w:val="ro-RO"/>
        </w:rPr>
        <w:t>Lanadelumab poate fi precris și administrat de medicul specialist alergolog, pediatru, dermatolog, de medicină internă sau medicul de familie, pe baza scrisorii medicale eliberate de către Centrul de Expertiză de AEE.</w:t>
      </w:r>
    </w:p>
    <w:p w14:paraId="1053B54B" w14:textId="77777777" w:rsidR="003872F6" w:rsidRPr="00F941DA" w:rsidRDefault="003872F6" w:rsidP="003872F6">
      <w:pPr>
        <w:pStyle w:val="al"/>
        <w:spacing w:before="240" w:beforeAutospacing="0" w:after="0" w:afterAutospacing="0" w:line="276" w:lineRule="auto"/>
        <w:jc w:val="both"/>
        <w:rPr>
          <w:lang w:val="ro-RO"/>
        </w:rPr>
      </w:pPr>
      <w:r w:rsidRPr="00F941DA">
        <w:rPr>
          <w:lang w:val="ro-RO"/>
        </w:rPr>
        <w:t>Decizia de utilizare a tratamentului la domiciliu şi/sau de auto-administrare pentru un anumit pacient trebuie luată de către medicul expert în tratamentul AEE, care trebuie să se asigure că este oferit instructajul adecvat, şi să verifice la intervale regulate, modul de administrare al tratamentului.</w:t>
      </w:r>
    </w:p>
    <w:p w14:paraId="765EAEA6" w14:textId="77777777" w:rsidR="003872F6" w:rsidRPr="00F941DA" w:rsidRDefault="003872F6" w:rsidP="003872F6">
      <w:pPr>
        <w:pStyle w:val="al"/>
        <w:spacing w:before="240" w:beforeAutospacing="0" w:after="0" w:afterAutospacing="0" w:line="276" w:lineRule="auto"/>
        <w:jc w:val="both"/>
        <w:rPr>
          <w:lang w:val="ro-RO"/>
        </w:rPr>
      </w:pPr>
      <w:r w:rsidRPr="00F941DA">
        <w:rPr>
          <w:lang w:val="ro-RO"/>
        </w:rPr>
        <w:t>Pentru a avea sub control trasabilitatea medicamentului, se va nota numărul lotului după fiecare administrare.</w:t>
      </w:r>
    </w:p>
    <w:p w14:paraId="295EFD2F" w14:textId="77777777" w:rsidR="003872F6" w:rsidRPr="00F941DA" w:rsidRDefault="003872F6" w:rsidP="003872F6">
      <w:pPr>
        <w:spacing w:before="240" w:after="0" w:line="276" w:lineRule="auto"/>
        <w:jc w:val="both"/>
        <w:rPr>
          <w:rFonts w:ascii="Times New Roman" w:hAnsi="Times New Roman" w:cs="Times New Roman"/>
          <w:b/>
          <w:bCs/>
          <w:sz w:val="24"/>
          <w:szCs w:val="24"/>
        </w:rPr>
      </w:pPr>
      <w:r w:rsidRPr="00F941DA">
        <w:rPr>
          <w:rFonts w:ascii="Times New Roman" w:hAnsi="Times New Roman" w:cs="Times New Roman"/>
          <w:b/>
          <w:bCs/>
          <w:sz w:val="24"/>
          <w:szCs w:val="24"/>
        </w:rPr>
        <w:t>V. Doze:</w:t>
      </w:r>
    </w:p>
    <w:p w14:paraId="3C23B6B0" w14:textId="77777777" w:rsidR="003872F6" w:rsidRPr="00F941DA" w:rsidRDefault="003872F6" w:rsidP="003872F6">
      <w:pPr>
        <w:pStyle w:val="al"/>
        <w:spacing w:before="240" w:beforeAutospacing="0" w:after="0" w:afterAutospacing="0" w:line="276" w:lineRule="auto"/>
        <w:jc w:val="both"/>
        <w:rPr>
          <w:lang w:val="ro-RO"/>
        </w:rPr>
      </w:pPr>
      <w:r w:rsidRPr="00F941DA">
        <w:rPr>
          <w:lang w:val="ro-RO"/>
        </w:rPr>
        <w:t>Doza inițială recomandată este de 300mg lanadelumab la interval de 2 săptămâni.</w:t>
      </w:r>
    </w:p>
    <w:p w14:paraId="412443C5" w14:textId="77777777" w:rsidR="003872F6" w:rsidRPr="00F941DA" w:rsidRDefault="003872F6" w:rsidP="003872F6">
      <w:pPr>
        <w:pStyle w:val="al"/>
        <w:spacing w:before="240" w:beforeAutospacing="0" w:after="0" w:afterAutospacing="0" w:line="276" w:lineRule="auto"/>
        <w:jc w:val="both"/>
        <w:rPr>
          <w:lang w:val="ro-RO"/>
        </w:rPr>
      </w:pPr>
      <w:r w:rsidRPr="00F941DA">
        <w:rPr>
          <w:lang w:val="ro-RO"/>
        </w:rPr>
        <w:t>La pacienții care sunt în stare stabilă și în timpul tratamentului nu mai prezintă atacuri, poate fi luată în considerare o reducere a dozei de 300mg Lanadelumab la intervalul de 4 săptămâni, în special la pacienții cu greutate redusă.</w:t>
      </w:r>
    </w:p>
    <w:p w14:paraId="2748C17F" w14:textId="77777777" w:rsidR="003872F6" w:rsidRPr="00F941DA" w:rsidRDefault="003872F6" w:rsidP="003872F6">
      <w:pPr>
        <w:pStyle w:val="al"/>
        <w:spacing w:before="240" w:beforeAutospacing="0" w:after="0" w:afterAutospacing="0" w:line="276" w:lineRule="auto"/>
        <w:jc w:val="both"/>
        <w:rPr>
          <w:lang w:val="ro-RO"/>
        </w:rPr>
      </w:pPr>
      <w:r w:rsidRPr="00F941DA">
        <w:rPr>
          <w:lang w:val="ro-RO"/>
        </w:rPr>
        <w:t>În primul an de tratament Centrul de Expertiză de AEE va reevalua eficienţa tratamentului şi va decide continuarea acestuia, iniţial la 3 luni de la începerea utilizării medicaţiei, apoi la 6 luni şi ulterior anual sau ori de căte ori este nevoie.</w:t>
      </w:r>
    </w:p>
    <w:p w14:paraId="2D33F250" w14:textId="77777777" w:rsidR="003872F6" w:rsidRPr="00F941DA" w:rsidRDefault="003872F6" w:rsidP="003872F6">
      <w:pPr>
        <w:spacing w:before="240" w:line="276" w:lineRule="auto"/>
        <w:jc w:val="both"/>
        <w:rPr>
          <w:rFonts w:ascii="Times New Roman" w:hAnsi="Times New Roman" w:cs="Times New Roman"/>
          <w:b/>
          <w:bCs/>
          <w:sz w:val="24"/>
          <w:szCs w:val="24"/>
        </w:rPr>
      </w:pPr>
      <w:r w:rsidRPr="00F941DA">
        <w:rPr>
          <w:rFonts w:ascii="Times New Roman" w:hAnsi="Times New Roman" w:cs="Times New Roman"/>
          <w:b/>
          <w:bCs/>
          <w:sz w:val="24"/>
          <w:szCs w:val="24"/>
        </w:rPr>
        <w:t xml:space="preserve">Observație! </w:t>
      </w:r>
    </w:p>
    <w:p w14:paraId="3CE3C459" w14:textId="77777777" w:rsidR="003872F6" w:rsidRPr="00F941DA" w:rsidRDefault="003872F6" w:rsidP="003872F6">
      <w:pPr>
        <w:spacing w:before="240" w:line="276" w:lineRule="auto"/>
        <w:jc w:val="both"/>
        <w:rPr>
          <w:rFonts w:ascii="Times New Roman" w:eastAsia="Times New Roman" w:hAnsi="Times New Roman" w:cs="Times New Roman"/>
          <w:sz w:val="24"/>
          <w:szCs w:val="24"/>
          <w:lang w:eastAsia="en-GB"/>
        </w:rPr>
      </w:pPr>
      <w:r w:rsidRPr="00F941DA">
        <w:rPr>
          <w:rFonts w:ascii="Times New Roman" w:eastAsia="Times New Roman" w:hAnsi="Times New Roman" w:cs="Times New Roman"/>
          <w:sz w:val="24"/>
          <w:szCs w:val="24"/>
          <w:lang w:eastAsia="en-GB"/>
        </w:rPr>
        <w:t>Lanadelumab se administrează doar pentru prevenția de rutină a episoadelor acute de AEE și NU este destinat tratamentului episoadelor acute de AEE, astfel încît p</w:t>
      </w:r>
      <w:r w:rsidRPr="00F941DA">
        <w:rPr>
          <w:rFonts w:ascii="Times New Roman" w:hAnsi="Times New Roman" w:cs="Times New Roman"/>
          <w:sz w:val="24"/>
          <w:szCs w:val="24"/>
        </w:rPr>
        <w:t xml:space="preserve">e tot parcursul tratamentului curativ de lungă durată pacientul trebuie să aibă la dispoziție medicație de urgență/de tratament al atacurilor (Icatibant, C1-INH derivat din plasmă sau recombinant) și acesta va fi administrat la nevoie. În caz de indisponibilitate al acestora se va administra plasma proaspăt congelată. </w:t>
      </w:r>
    </w:p>
    <w:p w14:paraId="08F069A5"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 xml:space="preserve">În caz de edem de căi respiratorii superioare (laringian) pacientul necesită supraveghere medicală atentă într-un serviciu de urgență timp de 24 de ore datorită impredictibilității evoluției severității obstrucției. În cazul edemului progresiv al căilor aeriene superioare care nu răspunde la tratamentul specific utilizat, se va lua în considerare intubarea traheală sau traheotomia. </w:t>
      </w:r>
    </w:p>
    <w:p w14:paraId="0A119438" w14:textId="77777777" w:rsidR="003872F6" w:rsidRPr="00F941DA" w:rsidRDefault="003872F6" w:rsidP="003872F6">
      <w:pPr>
        <w:spacing w:before="240" w:after="0" w:line="276" w:lineRule="auto"/>
        <w:jc w:val="both"/>
        <w:rPr>
          <w:rFonts w:ascii="Times New Roman" w:hAnsi="Times New Roman" w:cs="Times New Roman"/>
          <w:sz w:val="24"/>
          <w:szCs w:val="24"/>
        </w:rPr>
      </w:pPr>
      <w:r w:rsidRPr="00F941DA">
        <w:rPr>
          <w:rFonts w:ascii="Times New Roman" w:hAnsi="Times New Roman" w:cs="Times New Roman"/>
          <w:b/>
          <w:bCs/>
          <w:sz w:val="24"/>
          <w:szCs w:val="24"/>
        </w:rPr>
        <w:t>VI. Prescriere și monitorizarea tratamentului</w:t>
      </w:r>
    </w:p>
    <w:p w14:paraId="5F6FE170" w14:textId="77777777" w:rsidR="003872F6" w:rsidRPr="00F941DA" w:rsidRDefault="003872F6" w:rsidP="003872F6">
      <w:pPr>
        <w:pStyle w:val="al"/>
        <w:spacing w:before="240" w:beforeAutospacing="0" w:after="0" w:afterAutospacing="0" w:line="276" w:lineRule="auto"/>
        <w:jc w:val="both"/>
        <w:rPr>
          <w:lang w:val="ro-RO"/>
        </w:rPr>
      </w:pPr>
      <w:r w:rsidRPr="00F941DA">
        <w:rPr>
          <w:lang w:val="ro-RO"/>
        </w:rPr>
        <w:lastRenderedPageBreak/>
        <w:t xml:space="preserve">Lanadelumab poate fi prescris de medicul specialist alergolog, pediatru, dermatolog, de genetica medicală, medicină internă sau medicul de familie, pe baza scrisorii medicale eliberate de către Centrul de Expertiză de AEE. Această scrisoare medicală are termen de valabilitate de 1 an. </w:t>
      </w:r>
    </w:p>
    <w:p w14:paraId="62286F42" w14:textId="77777777" w:rsidR="003872F6" w:rsidRPr="00F941DA" w:rsidRDefault="003872F6" w:rsidP="003872F6">
      <w:pPr>
        <w:spacing w:before="240" w:line="276" w:lineRule="auto"/>
        <w:jc w:val="both"/>
        <w:rPr>
          <w:rFonts w:ascii="Times New Roman" w:hAnsi="Times New Roman" w:cs="Times New Roman"/>
          <w:sz w:val="24"/>
          <w:szCs w:val="24"/>
        </w:rPr>
      </w:pPr>
      <w:r w:rsidRPr="00F941DA">
        <w:rPr>
          <w:rFonts w:ascii="Times New Roman" w:hAnsi="Times New Roman" w:cs="Times New Roman"/>
          <w:sz w:val="24"/>
          <w:szCs w:val="24"/>
        </w:rPr>
        <w:t xml:space="preserve">Inițial se va prescrie doza de Lanadelumab necesară pentru 1 lună de tratament, cu prelungirea acesteia în funcție de durata tratamentului (din 3 în 3 luni). </w:t>
      </w:r>
    </w:p>
    <w:p w14:paraId="4441348E" w14:textId="77777777" w:rsidR="003872F6" w:rsidRPr="00F941DA" w:rsidRDefault="003872F6" w:rsidP="003872F6">
      <w:pPr>
        <w:pStyle w:val="al"/>
        <w:spacing w:before="240" w:beforeAutospacing="0" w:after="0" w:afterAutospacing="0" w:line="276" w:lineRule="auto"/>
        <w:jc w:val="both"/>
        <w:rPr>
          <w:lang w:val="ro-RO"/>
        </w:rPr>
      </w:pPr>
      <w:r w:rsidRPr="00F941DA">
        <w:rPr>
          <w:lang w:val="ro-RO"/>
        </w:rPr>
        <w:t>În primul an de tratament, Centrul de Expertiză de AEE va reevalua eficienţa tratamentului şi va indica continuarea/intreruperea acestuia, iniţial la 3 luni de la începerea utilizării medicaţiei, apoi la 6 luni şi apoi anual sau ori de cîte ori este nevoie.</w:t>
      </w:r>
    </w:p>
    <w:p w14:paraId="148A15EA" w14:textId="77777777" w:rsidR="003872F6" w:rsidRPr="00F941DA" w:rsidRDefault="003872F6" w:rsidP="003872F6">
      <w:pPr>
        <w:pStyle w:val="al"/>
        <w:spacing w:before="240" w:beforeAutospacing="0" w:after="0" w:afterAutospacing="0" w:line="276" w:lineRule="auto"/>
        <w:jc w:val="both"/>
        <w:rPr>
          <w:b/>
          <w:lang w:val="ro-RO"/>
        </w:rPr>
      </w:pPr>
      <w:r w:rsidRPr="00F941DA">
        <w:rPr>
          <w:b/>
          <w:lang w:val="ro-RO"/>
        </w:rPr>
        <w:t>Anexa 1</w:t>
      </w:r>
    </w:p>
    <w:p w14:paraId="10775BD2" w14:textId="77777777" w:rsidR="003872F6" w:rsidRPr="00F941DA" w:rsidRDefault="003872F6" w:rsidP="003872F6">
      <w:pPr>
        <w:pStyle w:val="al"/>
        <w:spacing w:before="240" w:line="276" w:lineRule="auto"/>
        <w:ind w:left="2160" w:firstLine="720"/>
        <w:rPr>
          <w:b/>
          <w:lang w:val="ro-RO"/>
        </w:rPr>
      </w:pPr>
      <w:r w:rsidRPr="00F941DA">
        <w:rPr>
          <w:b/>
          <w:lang w:val="ro-RO"/>
        </w:rPr>
        <w:t>CONSIMŢĂMÂNT PACIENT</w:t>
      </w:r>
    </w:p>
    <w:p w14:paraId="4E0A4867" w14:textId="77777777" w:rsidR="003872F6" w:rsidRPr="00F941DA" w:rsidRDefault="003872F6" w:rsidP="003872F6">
      <w:pPr>
        <w:pStyle w:val="al"/>
        <w:spacing w:before="240" w:after="0" w:afterAutospacing="0" w:line="276" w:lineRule="auto"/>
        <w:jc w:val="both"/>
        <w:rPr>
          <w:lang w:val="ro-RO"/>
        </w:rPr>
      </w:pPr>
      <w:r w:rsidRPr="00F941DA">
        <w:rPr>
          <w:lang w:val="ro-RO"/>
        </w:rPr>
        <w:t>Subsemnata/ul……………………………………………………….., CNP: ………………………….</w:t>
      </w:r>
    </w:p>
    <w:p w14:paraId="7B886B56" w14:textId="77777777" w:rsidR="003872F6" w:rsidRPr="00F941DA" w:rsidRDefault="003872F6" w:rsidP="003872F6">
      <w:pPr>
        <w:pStyle w:val="al"/>
        <w:spacing w:before="0" w:beforeAutospacing="0" w:after="0" w:afterAutospacing="0"/>
        <w:jc w:val="both"/>
        <w:rPr>
          <w:lang w:val="ro-RO"/>
        </w:rPr>
      </w:pPr>
      <w:r w:rsidRPr="00F941DA">
        <w:rPr>
          <w:lang w:val="ro-RO"/>
        </w:rPr>
        <w:t>Domiciliat/ă în str. …………………....………………………., nr. ..…, bl ....., sc ...., et ...., ap ...., sector .…....., localitatea.……..…………………., judeţul.……………………., telefon……………...…., având diagnosticul ….........…..........................................................................</w:t>
      </w:r>
    </w:p>
    <w:p w14:paraId="3B8AACDE" w14:textId="77777777" w:rsidR="003872F6" w:rsidRPr="00F941DA" w:rsidRDefault="003872F6" w:rsidP="003872F6">
      <w:pPr>
        <w:pStyle w:val="al"/>
        <w:spacing w:before="0" w:beforeAutospacing="0" w:after="0" w:afterAutospacing="0"/>
        <w:jc w:val="both"/>
        <w:rPr>
          <w:lang w:val="ro-RO"/>
        </w:rPr>
      </w:pPr>
      <w:r w:rsidRPr="00F941DA">
        <w:rPr>
          <w:lang w:val="ro-RO"/>
        </w:rPr>
        <w:t>sunt de acord să urmez tratamentul cu .....................................................................................................</w:t>
      </w:r>
    </w:p>
    <w:p w14:paraId="52168668" w14:textId="77777777" w:rsidR="003872F6" w:rsidRPr="00F941DA" w:rsidRDefault="003872F6" w:rsidP="003872F6">
      <w:pPr>
        <w:pStyle w:val="al"/>
        <w:spacing w:before="0" w:beforeAutospacing="0" w:after="0" w:afterAutospacing="0" w:line="276" w:lineRule="auto"/>
        <w:jc w:val="both"/>
        <w:rPr>
          <w:lang w:val="ro-RO"/>
        </w:rPr>
      </w:pPr>
      <w:r w:rsidRPr="00F941DA">
        <w:rPr>
          <w:lang w:val="ro-RO"/>
        </w:rPr>
        <w:t>Am fost informat/ă asupra importanţei, efectelor şi consecinţelor administrării acestei terapii cu produse biologice.</w:t>
      </w:r>
    </w:p>
    <w:p w14:paraId="452F21BE" w14:textId="77777777" w:rsidR="003872F6" w:rsidRPr="00F941DA" w:rsidRDefault="003872F6" w:rsidP="003872F6">
      <w:pPr>
        <w:pStyle w:val="al"/>
        <w:spacing w:before="0" w:beforeAutospacing="0" w:after="0" w:afterAutospacing="0" w:line="276" w:lineRule="auto"/>
        <w:jc w:val="both"/>
        <w:rPr>
          <w:lang w:val="ro-RO"/>
        </w:rPr>
      </w:pPr>
      <w:r w:rsidRPr="00F941DA">
        <w:rPr>
          <w:lang w:val="ro-RO"/>
        </w:rPr>
        <w:t>Mă declar de acord cu instituirea acestui tratament precum şi a tuturor examenelor clinice şi de laborator necesare unei conduite terapeutice eficiente.</w:t>
      </w:r>
    </w:p>
    <w:p w14:paraId="3C2E4752" w14:textId="77777777" w:rsidR="003872F6" w:rsidRPr="00F941DA" w:rsidRDefault="003872F6" w:rsidP="003872F6">
      <w:pPr>
        <w:pStyle w:val="al"/>
        <w:spacing w:before="0" w:beforeAutospacing="0" w:after="0" w:afterAutospacing="0" w:line="276" w:lineRule="auto"/>
        <w:jc w:val="both"/>
        <w:rPr>
          <w:lang w:val="ro-RO"/>
        </w:rPr>
      </w:pPr>
      <w:r w:rsidRPr="00F941DA">
        <w:rPr>
          <w:lang w:val="ro-RO"/>
        </w:rPr>
        <w:t>Mă declar de acord să urmez instrucţiunile medicului curant, să răspund la întrebări şi să semnalez în timp util orice manifestare clinică survenită pe parcursul terapiei.</w:t>
      </w:r>
    </w:p>
    <w:p w14:paraId="5672F1B3" w14:textId="77777777" w:rsidR="003872F6" w:rsidRPr="00F941DA" w:rsidRDefault="003872F6" w:rsidP="003872F6">
      <w:pPr>
        <w:pStyle w:val="al"/>
        <w:spacing w:before="0" w:beforeAutospacing="0" w:after="0" w:afterAutospacing="0"/>
        <w:jc w:val="both"/>
        <w:rPr>
          <w:lang w:val="ro-RO"/>
        </w:rPr>
      </w:pPr>
      <w:r w:rsidRPr="00F941DA">
        <w:rPr>
          <w:lang w:val="ro-RO"/>
        </w:rPr>
        <w:t>Medicul specialist care a recomandat tratamentul:</w:t>
      </w:r>
    </w:p>
    <w:p w14:paraId="12AF42DC" w14:textId="77777777" w:rsidR="003872F6" w:rsidRPr="00F941DA" w:rsidRDefault="003872F6" w:rsidP="003872F6">
      <w:pPr>
        <w:pStyle w:val="al"/>
        <w:spacing w:before="0" w:beforeAutospacing="0"/>
        <w:jc w:val="both"/>
        <w:rPr>
          <w:lang w:val="ro-RO"/>
        </w:rPr>
      </w:pPr>
      <w:r w:rsidRPr="00F941DA">
        <w:rPr>
          <w:lang w:val="ro-RO"/>
        </w:rPr>
        <w:t>………………………………………………………………………………………………...............…</w:t>
      </w:r>
    </w:p>
    <w:p w14:paraId="68A4BBCD" w14:textId="77777777" w:rsidR="003872F6" w:rsidRPr="00F941DA" w:rsidRDefault="003872F6" w:rsidP="003872F6">
      <w:pPr>
        <w:pStyle w:val="al"/>
        <w:spacing w:before="0" w:beforeAutospacing="0" w:after="0" w:afterAutospacing="0"/>
        <w:jc w:val="both"/>
        <w:rPr>
          <w:lang w:val="ro-RO"/>
        </w:rPr>
      </w:pPr>
      <w:r w:rsidRPr="00F941DA">
        <w:rPr>
          <w:lang w:val="ro-RO"/>
        </w:rPr>
        <w:t>Unitatea sanitară unde se desfăşoară monitorizarea tratamentului</w:t>
      </w:r>
    </w:p>
    <w:p w14:paraId="12C58510" w14:textId="77777777" w:rsidR="003872F6" w:rsidRPr="00F941DA" w:rsidRDefault="003872F6" w:rsidP="003872F6">
      <w:pPr>
        <w:pStyle w:val="al"/>
        <w:spacing w:before="0" w:beforeAutospacing="0"/>
        <w:jc w:val="both"/>
        <w:rPr>
          <w:lang w:val="ro-RO"/>
        </w:rPr>
      </w:pPr>
      <w:r w:rsidRPr="00F941DA">
        <w:rPr>
          <w:lang w:val="ro-RO"/>
        </w:rPr>
        <w:t>…………………………………………………………………………………………………...............</w:t>
      </w:r>
    </w:p>
    <w:p w14:paraId="3E8E6545" w14:textId="77777777" w:rsidR="003872F6" w:rsidRPr="00F941DA" w:rsidRDefault="003872F6" w:rsidP="003872F6">
      <w:pPr>
        <w:pStyle w:val="al"/>
        <w:spacing w:before="240" w:line="276" w:lineRule="auto"/>
        <w:jc w:val="both"/>
        <w:rPr>
          <w:lang w:val="ro-RO"/>
        </w:rPr>
      </w:pPr>
      <w:r w:rsidRPr="00F941DA">
        <w:rPr>
          <w:lang w:val="ro-RO"/>
        </w:rPr>
        <w:t>Vă rugăm să răspundeţi la întrebările de mai jos încercuind răspunsul potrivit:</w:t>
      </w:r>
    </w:p>
    <w:p w14:paraId="77CFD337" w14:textId="77777777" w:rsidR="003872F6" w:rsidRPr="00F941DA" w:rsidRDefault="003872F6" w:rsidP="003872F6">
      <w:pPr>
        <w:pStyle w:val="al"/>
        <w:spacing w:before="0" w:beforeAutospacing="0" w:after="0" w:afterAutospacing="0"/>
        <w:rPr>
          <w:lang w:val="ro-RO"/>
        </w:rPr>
      </w:pPr>
      <w:r w:rsidRPr="00F941DA">
        <w:rPr>
          <w:lang w:val="ro-RO"/>
        </w:rPr>
        <w:t>1. Aţi discutat cu medicul curant despre tratamentul pe care îl veţi urma?</w:t>
      </w:r>
    </w:p>
    <w:p w14:paraId="7AE6EC4C" w14:textId="77777777" w:rsidR="003872F6" w:rsidRPr="00F941DA" w:rsidRDefault="003872F6" w:rsidP="003872F6">
      <w:pPr>
        <w:pStyle w:val="al"/>
        <w:spacing w:before="240" w:after="0" w:afterAutospacing="0"/>
        <w:rPr>
          <w:lang w:val="ro-RO"/>
        </w:rPr>
      </w:pPr>
      <w:r w:rsidRPr="00F941DA">
        <w:rPr>
          <w:lang w:val="ro-RO"/>
        </w:rPr>
        <w:t>DA / NU</w:t>
      </w:r>
    </w:p>
    <w:p w14:paraId="0804219D" w14:textId="77777777" w:rsidR="003872F6" w:rsidRPr="00F941DA" w:rsidRDefault="003872F6" w:rsidP="003872F6">
      <w:pPr>
        <w:pStyle w:val="al"/>
        <w:spacing w:before="240" w:after="0" w:afterAutospacing="0"/>
        <w:rPr>
          <w:lang w:val="ro-RO"/>
        </w:rPr>
      </w:pPr>
      <w:r w:rsidRPr="00F941DA">
        <w:rPr>
          <w:lang w:val="ro-RO"/>
        </w:rPr>
        <w:t>2. Aţi înţeles care sunt beneficiile şi riscurile acestui tratament?</w:t>
      </w:r>
    </w:p>
    <w:p w14:paraId="218A3D35" w14:textId="77777777" w:rsidR="003872F6" w:rsidRPr="00F941DA" w:rsidRDefault="003872F6" w:rsidP="003872F6">
      <w:pPr>
        <w:pStyle w:val="al"/>
        <w:spacing w:before="240" w:after="0" w:afterAutospacing="0"/>
        <w:rPr>
          <w:lang w:val="ro-RO"/>
        </w:rPr>
      </w:pPr>
      <w:r w:rsidRPr="00F941DA">
        <w:rPr>
          <w:lang w:val="ro-RO"/>
        </w:rPr>
        <w:t>DA / NU</w:t>
      </w:r>
    </w:p>
    <w:p w14:paraId="4F5AE46F" w14:textId="77777777" w:rsidR="003872F6" w:rsidRPr="00F941DA" w:rsidRDefault="003872F6" w:rsidP="003872F6">
      <w:pPr>
        <w:pStyle w:val="al"/>
        <w:spacing w:before="240" w:after="0" w:afterAutospacing="0"/>
        <w:rPr>
          <w:lang w:val="ro-RO"/>
        </w:rPr>
      </w:pPr>
      <w:r w:rsidRPr="00F941DA">
        <w:rPr>
          <w:lang w:val="ro-RO"/>
        </w:rPr>
        <w:t>3. Aţi luat cunoştinţă despre reacţiile adverse ale acestui tratament?</w:t>
      </w:r>
    </w:p>
    <w:p w14:paraId="6CFA496B" w14:textId="77777777" w:rsidR="003872F6" w:rsidRPr="00F941DA" w:rsidRDefault="003872F6" w:rsidP="003872F6">
      <w:pPr>
        <w:pStyle w:val="al"/>
        <w:spacing w:before="240" w:after="0" w:afterAutospacing="0"/>
        <w:rPr>
          <w:lang w:val="ro-RO"/>
        </w:rPr>
      </w:pPr>
      <w:r w:rsidRPr="00F941DA">
        <w:rPr>
          <w:lang w:val="ro-RO"/>
        </w:rPr>
        <w:t>DA / NU</w:t>
      </w:r>
    </w:p>
    <w:p w14:paraId="58DF7891" w14:textId="77777777" w:rsidR="003872F6" w:rsidRPr="00F941DA" w:rsidRDefault="003872F6" w:rsidP="003872F6">
      <w:pPr>
        <w:pStyle w:val="al"/>
        <w:spacing w:before="240" w:after="0" w:afterAutospacing="0"/>
        <w:rPr>
          <w:lang w:val="ro-RO"/>
        </w:rPr>
      </w:pPr>
      <w:r w:rsidRPr="00F941DA">
        <w:rPr>
          <w:lang w:val="ro-RO"/>
        </w:rPr>
        <w:t>4. Sunteţi de acord să urmaţi acest tratament?</w:t>
      </w:r>
    </w:p>
    <w:p w14:paraId="102145B2" w14:textId="77777777" w:rsidR="003872F6" w:rsidRPr="00F941DA" w:rsidRDefault="003872F6" w:rsidP="003872F6">
      <w:pPr>
        <w:pStyle w:val="al"/>
        <w:spacing w:before="240" w:after="0" w:afterAutospacing="0"/>
        <w:rPr>
          <w:lang w:val="ro-RO"/>
        </w:rPr>
      </w:pPr>
      <w:r w:rsidRPr="00F941DA">
        <w:rPr>
          <w:lang w:val="ro-RO"/>
        </w:rPr>
        <w:t>DA / NU</w:t>
      </w:r>
    </w:p>
    <w:p w14:paraId="677B6A2B" w14:textId="77777777" w:rsidR="003872F6" w:rsidRPr="00F941DA" w:rsidRDefault="003872F6" w:rsidP="003872F6">
      <w:pPr>
        <w:pStyle w:val="al"/>
        <w:spacing w:before="240" w:line="276" w:lineRule="auto"/>
        <w:rPr>
          <w:lang w:val="ro-RO"/>
        </w:rPr>
      </w:pPr>
      <w:r w:rsidRPr="00F941DA">
        <w:rPr>
          <w:lang w:val="ro-RO"/>
        </w:rPr>
        <w:t>Numele/prenumele pacientului (completaţi cu majuscule):              Data: Semnătura pacientului:”</w:t>
      </w:r>
    </w:p>
    <w:p w14:paraId="6799A576" w14:textId="77777777" w:rsidR="009F1EE3" w:rsidRPr="00F941DA" w:rsidRDefault="009F1EE3" w:rsidP="003872F6">
      <w:pPr>
        <w:pStyle w:val="al"/>
        <w:spacing w:before="240" w:line="276" w:lineRule="auto"/>
        <w:rPr>
          <w:lang w:val="ro-RO"/>
        </w:rPr>
      </w:pPr>
    </w:p>
    <w:p w14:paraId="1E3AAF1B" w14:textId="6F3A22C8" w:rsidR="009F1EE3" w:rsidRPr="00F941DA" w:rsidRDefault="009F1EE3" w:rsidP="006561A5">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 xml:space="preserve">La anexa nr. 2, protocolul terapeutic corespunzător poziţiei nr. </w:t>
      </w:r>
      <w:r w:rsidR="006561A5" w:rsidRPr="00F941DA">
        <w:rPr>
          <w:rFonts w:eastAsia="Arial"/>
          <w:b/>
          <w:bCs/>
          <w:color w:val="auto"/>
          <w:lang w:val="en-US"/>
        </w:rPr>
        <w:t>4, cod (BD01D): HEMOFILIA A şi B şi  BOALA VON WILLEBRAND</w:t>
      </w:r>
      <w:r w:rsidRPr="00F941DA">
        <w:rPr>
          <w:rFonts w:eastAsia="Arial"/>
          <w:b/>
          <w:bCs/>
          <w:color w:val="auto"/>
          <w:lang w:val="en-US"/>
        </w:rPr>
        <w:t xml:space="preserve"> se modifică și se înlocuiește cu următorul protocol:</w:t>
      </w:r>
    </w:p>
    <w:p w14:paraId="4C5C628B" w14:textId="77777777" w:rsidR="009F1EE3" w:rsidRPr="00F941DA" w:rsidRDefault="009F1EE3" w:rsidP="009F1EE3">
      <w:pPr>
        <w:pStyle w:val="ListParagraph"/>
        <w:tabs>
          <w:tab w:val="left" w:pos="426"/>
        </w:tabs>
        <w:jc w:val="both"/>
        <w:rPr>
          <w:rFonts w:eastAsia="Arial"/>
          <w:b/>
          <w:bCs/>
          <w:color w:val="auto"/>
          <w:lang w:val="en-US"/>
        </w:rPr>
      </w:pPr>
    </w:p>
    <w:p w14:paraId="63D0BBF0" w14:textId="49632CCC" w:rsidR="009F1EE3" w:rsidRPr="00F941DA" w:rsidRDefault="009F1EE3" w:rsidP="006561A5">
      <w:pPr>
        <w:autoSpaceDE w:val="0"/>
        <w:autoSpaceDN w:val="0"/>
        <w:adjustRightInd w:val="0"/>
        <w:spacing w:after="0" w:line="240" w:lineRule="auto"/>
        <w:jc w:val="both"/>
        <w:rPr>
          <w:rFonts w:ascii="Arial" w:eastAsia="Times New Roman" w:hAnsi="Arial" w:cs="Arial"/>
          <w:b/>
          <w:sz w:val="24"/>
          <w:szCs w:val="24"/>
          <w:lang w:eastAsia="ro-RO"/>
        </w:rPr>
      </w:pPr>
      <w:r w:rsidRPr="00F941DA">
        <w:rPr>
          <w:rFonts w:ascii="Times New Roman" w:eastAsia="Arial" w:hAnsi="Times New Roman" w:cs="Times New Roman"/>
          <w:b/>
          <w:bCs/>
          <w:sz w:val="24"/>
          <w:szCs w:val="24"/>
          <w:lang w:val="en-US"/>
        </w:rPr>
        <w:t xml:space="preserve">”Protocol terapeutic corespunzător poziției nr. </w:t>
      </w:r>
      <w:r w:rsidR="006561A5" w:rsidRPr="00F941DA">
        <w:rPr>
          <w:rFonts w:ascii="Times New Roman" w:eastAsia="Arial" w:hAnsi="Times New Roman" w:cs="Times New Roman"/>
          <w:b/>
          <w:bCs/>
          <w:sz w:val="24"/>
          <w:szCs w:val="24"/>
          <w:lang w:val="en-US"/>
        </w:rPr>
        <w:t>4, cod (BD01D): HEMOFILIA A şi B şi  BOALA VON WILLEBRAND</w:t>
      </w:r>
    </w:p>
    <w:p w14:paraId="59C6C439" w14:textId="77777777" w:rsidR="009F1EE3" w:rsidRPr="00F941DA" w:rsidRDefault="009F1EE3" w:rsidP="009F1EE3">
      <w:pPr>
        <w:spacing w:after="0" w:line="240" w:lineRule="auto"/>
        <w:jc w:val="center"/>
        <w:rPr>
          <w:rFonts w:ascii="Arial" w:eastAsia="Times New Roman" w:hAnsi="Arial" w:cs="Arial"/>
          <w:b/>
          <w:sz w:val="24"/>
          <w:szCs w:val="24"/>
          <w:lang w:eastAsia="ro-RO"/>
        </w:rPr>
      </w:pPr>
    </w:p>
    <w:p w14:paraId="2F8AFF18" w14:textId="77777777" w:rsidR="009F1EE3" w:rsidRPr="00F941DA" w:rsidRDefault="009F1EE3" w:rsidP="009F1EE3">
      <w:pPr>
        <w:autoSpaceDE w:val="0"/>
        <w:autoSpaceDN w:val="0"/>
        <w:adjustRightInd w:val="0"/>
        <w:spacing w:after="0" w:line="240" w:lineRule="auto"/>
        <w:rPr>
          <w:rFonts w:ascii="Times New Roman" w:eastAsia="Times New Roman" w:hAnsi="Times New Roman" w:cs="Times New Roman"/>
          <w:sz w:val="24"/>
          <w:szCs w:val="24"/>
          <w:lang w:eastAsia="ro-RO"/>
        </w:rPr>
      </w:pPr>
    </w:p>
    <w:p w14:paraId="02690215" w14:textId="77777777" w:rsidR="009F1EE3" w:rsidRPr="00F941DA" w:rsidRDefault="009F1EE3" w:rsidP="00D11DF1">
      <w:pPr>
        <w:numPr>
          <w:ilvl w:val="2"/>
          <w:numId w:val="340"/>
        </w:numPr>
        <w:autoSpaceDE w:val="0"/>
        <w:autoSpaceDN w:val="0"/>
        <w:adjustRightInd w:val="0"/>
        <w:spacing w:after="0" w:line="240" w:lineRule="auto"/>
        <w:ind w:left="284" w:hanging="284"/>
        <w:jc w:val="both"/>
        <w:rPr>
          <w:rFonts w:ascii="Times New Roman" w:eastAsia="Times New Roman" w:hAnsi="Times New Roman" w:cs="Times New Roman"/>
          <w:b/>
          <w:sz w:val="24"/>
          <w:szCs w:val="24"/>
          <w:u w:val="single"/>
          <w:lang w:eastAsia="ro-RO"/>
        </w:rPr>
      </w:pPr>
      <w:r w:rsidRPr="00F941DA">
        <w:rPr>
          <w:rFonts w:ascii="Times New Roman" w:eastAsia="Times New Roman" w:hAnsi="Times New Roman" w:cs="Times New Roman"/>
          <w:b/>
          <w:sz w:val="24"/>
          <w:szCs w:val="24"/>
          <w:u w:val="single"/>
          <w:lang w:eastAsia="ro-RO"/>
        </w:rPr>
        <w:t>HEMOFILIA A şi B</w:t>
      </w:r>
    </w:p>
    <w:p w14:paraId="11818240" w14:textId="77777777" w:rsidR="009F1EE3" w:rsidRPr="00F941DA" w:rsidRDefault="009F1EE3" w:rsidP="009F1EE3">
      <w:pPr>
        <w:autoSpaceDE w:val="0"/>
        <w:autoSpaceDN w:val="0"/>
        <w:adjustRightInd w:val="0"/>
        <w:spacing w:after="0" w:line="240" w:lineRule="auto"/>
        <w:rPr>
          <w:rFonts w:ascii="Times New Roman" w:eastAsia="Times New Roman" w:hAnsi="Times New Roman" w:cs="Times New Roman"/>
          <w:sz w:val="24"/>
          <w:szCs w:val="24"/>
          <w:lang w:eastAsia="ro-RO"/>
        </w:rPr>
      </w:pPr>
    </w:p>
    <w:p w14:paraId="306E819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0545E4B" w14:textId="77777777" w:rsidR="006561A5" w:rsidRPr="00F941DA" w:rsidRDefault="009F1EE3" w:rsidP="006561A5">
      <w:pPr>
        <w:autoSpaceDE w:val="0"/>
        <w:autoSpaceDN w:val="0"/>
        <w:adjustRightInd w:val="0"/>
        <w:jc w:val="both"/>
        <w:rPr>
          <w:rFonts w:ascii="Times New Roman" w:hAnsi="Times New Roman" w:cs="Times New Roman"/>
          <w:b/>
          <w:sz w:val="24"/>
          <w:szCs w:val="24"/>
        </w:rPr>
      </w:pPr>
      <w:r w:rsidRPr="00F941DA">
        <w:rPr>
          <w:rFonts w:ascii="Times New Roman" w:hAnsi="Times New Roman" w:cs="Times New Roman"/>
          <w:b/>
          <w:sz w:val="24"/>
          <w:szCs w:val="24"/>
        </w:rPr>
        <w:t>DATE GENERALE</w:t>
      </w:r>
    </w:p>
    <w:p w14:paraId="09432DCE" w14:textId="3FB20DE1" w:rsidR="009F1EE3" w:rsidRPr="00F941DA" w:rsidRDefault="009F1EE3" w:rsidP="006561A5">
      <w:pPr>
        <w:autoSpaceDE w:val="0"/>
        <w:autoSpaceDN w:val="0"/>
        <w:adjustRightInd w:val="0"/>
        <w:spacing w:after="0"/>
        <w:jc w:val="both"/>
        <w:rPr>
          <w:b/>
        </w:rPr>
      </w:pPr>
      <w:r w:rsidRPr="00F941DA">
        <w:rPr>
          <w:rFonts w:ascii="Times New Roman" w:eastAsia="Times New Roman" w:hAnsi="Times New Roman" w:cs="Times New Roman"/>
          <w:sz w:val="24"/>
          <w:szCs w:val="24"/>
          <w:lang w:eastAsia="ro-RO"/>
        </w:rPr>
        <w:t>Hemofilia este o afecţiune hemoragică:</w:t>
      </w:r>
    </w:p>
    <w:p w14:paraId="7140F726" w14:textId="77777777" w:rsidR="009F1EE3" w:rsidRPr="00F941DA" w:rsidRDefault="009F1EE3" w:rsidP="00D11DF1">
      <w:pPr>
        <w:numPr>
          <w:ilvl w:val="0"/>
          <w:numId w:val="34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congenitală transmisă ereditar X-linkat, caracterizată prin sinteza cantitativ diminuată sau calitativ alterată a factorilor de coagulare VIII (Hemofilia A) sau IX (Hemofilia B)</w:t>
      </w:r>
    </w:p>
    <w:p w14:paraId="6456594D" w14:textId="77777777" w:rsidR="009F1EE3" w:rsidRPr="00F941DA" w:rsidRDefault="009F1EE3" w:rsidP="00D11DF1">
      <w:pPr>
        <w:numPr>
          <w:ilvl w:val="0"/>
          <w:numId w:val="34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dobândită, caracterizată prin producerea de către organismul uman de autoanticorpi inhibitori împotriva factorilor de coagulare VIII sau IX proprii</w:t>
      </w:r>
    </w:p>
    <w:p w14:paraId="5FACB96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051D43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E46874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r w:rsidRPr="00F941DA">
        <w:rPr>
          <w:rFonts w:ascii="Times New Roman" w:eastAsia="Times New Roman" w:hAnsi="Times New Roman" w:cs="Times New Roman"/>
          <w:sz w:val="24"/>
          <w:szCs w:val="24"/>
          <w:u w:val="single"/>
          <w:lang w:eastAsia="ro-RO"/>
        </w:rPr>
        <w:t>HEMOFILIA CONGENITALĂ A şi B</w:t>
      </w:r>
    </w:p>
    <w:p w14:paraId="52C1D94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funcţie de nivelul seric al factorului de coagulare, se descriu 3 forme de severitate ale hemofiliei:</w:t>
      </w:r>
    </w:p>
    <w:p w14:paraId="71B9A9D9" w14:textId="77777777" w:rsidR="009F1EE3" w:rsidRPr="00F941DA" w:rsidRDefault="009F1EE3" w:rsidP="00D11DF1">
      <w:pPr>
        <w:numPr>
          <w:ilvl w:val="0"/>
          <w:numId w:val="342"/>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forma uşoară, cantitatea de factor de coagulare este 5% - 40% (0,05 - 0,40 UI/ml)</w:t>
      </w:r>
    </w:p>
    <w:p w14:paraId="7AB5CBFC" w14:textId="77777777" w:rsidR="009F1EE3" w:rsidRPr="00F941DA" w:rsidRDefault="009F1EE3" w:rsidP="00D11DF1">
      <w:pPr>
        <w:numPr>
          <w:ilvl w:val="0"/>
          <w:numId w:val="342"/>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forma moderată, cantitatea de factor de coagulare cuprinsă între 1 - 5% (0,01 - 0,05 UI/ml)</w:t>
      </w:r>
    </w:p>
    <w:p w14:paraId="2B5F80F4" w14:textId="77777777" w:rsidR="009F1EE3" w:rsidRPr="00F941DA" w:rsidRDefault="009F1EE3" w:rsidP="00D11DF1">
      <w:pPr>
        <w:numPr>
          <w:ilvl w:val="0"/>
          <w:numId w:val="342"/>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forma severă, cantitatea factor de coagulare &lt; 1% din normal (&lt; 0,01 UI/ml)</w:t>
      </w:r>
    </w:p>
    <w:p w14:paraId="09E2D49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E02E81E" w14:textId="77777777" w:rsidR="009F1EE3" w:rsidRPr="00F941DA" w:rsidRDefault="009F1EE3" w:rsidP="009F1EE3">
      <w:pPr>
        <w:autoSpaceDE w:val="0"/>
        <w:autoSpaceDN w:val="0"/>
        <w:adjustRightInd w:val="0"/>
        <w:spacing w:after="0" w:line="240" w:lineRule="auto"/>
        <w:ind w:firstLine="360"/>
        <w:jc w:val="both"/>
        <w:rPr>
          <w:rFonts w:ascii="Times New Roman" w:eastAsia="Times New Roman" w:hAnsi="Times New Roman" w:cs="Times New Roman"/>
          <w:sz w:val="24"/>
          <w:szCs w:val="24"/>
          <w:lang w:val="pt-BR" w:eastAsia="ro-RO"/>
        </w:rPr>
      </w:pPr>
      <w:r w:rsidRPr="00F941DA">
        <w:rPr>
          <w:rFonts w:ascii="Times New Roman" w:eastAsia="Times New Roman" w:hAnsi="Times New Roman" w:cs="Times New Roman"/>
          <w:sz w:val="24"/>
          <w:szCs w:val="24"/>
          <w:lang w:eastAsia="ro-RO"/>
        </w:rPr>
        <w:t xml:space="preserve">Conform datelor Federaţiei Mondiale de Hemofilie (WFH) şi ale Consorţiului European de Hemofilie (EHC), nu există diferenţe notabile ale frecvenţei hemofiliei congenitale, legate de zona geografică, rasă sau de nivelul socio-economic. Incidenţa bolii este de 20 - 25 bolnavi la 100.000 persoane de sex masculin, respectiv 1 bolnav la 10.000 persoane din populaţia totală. În medie, 80% din cazuri sunt reprezentate de hemofilia A şi 20% de hemofilia B. Proporţia formelor severe (nivelul FVIII/IX &lt; 1%) este pentru hemofilia A de 50 - 70%, iar pentru hemofilia B, de 30 - 50%. </w:t>
      </w:r>
      <w:r w:rsidRPr="00F941DA">
        <w:rPr>
          <w:rFonts w:ascii="Times New Roman" w:eastAsia="Times New Roman" w:hAnsi="Times New Roman" w:cs="Times New Roman"/>
          <w:sz w:val="24"/>
          <w:szCs w:val="24"/>
          <w:lang w:val="pt-BR" w:eastAsia="ro-RO"/>
        </w:rPr>
        <w:t>Aici se incadrează și persoanele  de sex feminine  carrier  (purtătoare ale genei patologice, demonstrata prin IS-PCR, NGS sau secventiere Sanger) cu concentrație plasmatică de  factor VIII sau IX sub nivelul fiziologic.</w:t>
      </w:r>
    </w:p>
    <w:p w14:paraId="13216CC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457925F" w14:textId="77777777" w:rsidR="009F1EE3" w:rsidRPr="00F941DA" w:rsidRDefault="009F1EE3" w:rsidP="006561A5">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r w:rsidRPr="00F941DA">
        <w:rPr>
          <w:rFonts w:ascii="Times New Roman" w:eastAsia="Times New Roman" w:hAnsi="Times New Roman" w:cs="Times New Roman"/>
          <w:sz w:val="24"/>
          <w:szCs w:val="24"/>
          <w:u w:val="single"/>
          <w:lang w:eastAsia="ro-RO"/>
        </w:rPr>
        <w:t>Manifestările hemoragice</w:t>
      </w:r>
    </w:p>
    <w:p w14:paraId="2E970C3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Fenotipul caracteristic al hemofiliei constă în tendinţa la hemoragii spontane sau provocate în funcţie de severitatea deficitului de factor de coagulare. (Tabel 1, 2)</w:t>
      </w:r>
    </w:p>
    <w:p w14:paraId="028820F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781" w:type="dxa"/>
        <w:tblLayout w:type="fixed"/>
        <w:tblCellMar>
          <w:left w:w="105" w:type="dxa"/>
          <w:right w:w="105" w:type="dxa"/>
        </w:tblCellMar>
        <w:tblLook w:val="0000" w:firstRow="0" w:lastRow="0" w:firstColumn="0" w:lastColumn="0" w:noHBand="0" w:noVBand="0"/>
      </w:tblPr>
      <w:tblGrid>
        <w:gridCol w:w="2410"/>
        <w:gridCol w:w="7371"/>
      </w:tblGrid>
      <w:tr w:rsidR="00F941DA" w:rsidRPr="00F941DA" w14:paraId="28F79FEB" w14:textId="77777777" w:rsidTr="006561A5">
        <w:tc>
          <w:tcPr>
            <w:tcW w:w="9781" w:type="dxa"/>
            <w:gridSpan w:val="2"/>
            <w:tcBorders>
              <w:top w:val="nil"/>
              <w:left w:val="nil"/>
              <w:bottom w:val="single" w:sz="6" w:space="0" w:color="auto"/>
              <w:right w:val="nil"/>
            </w:tcBorders>
          </w:tcPr>
          <w:p w14:paraId="3B64E6D0" w14:textId="0ED6F925" w:rsidR="009F1EE3" w:rsidRPr="00F941DA" w:rsidRDefault="006561A5" w:rsidP="006561A5">
            <w:pPr>
              <w:autoSpaceDE w:val="0"/>
              <w:autoSpaceDN w:val="0"/>
              <w:adjustRightInd w:val="0"/>
              <w:spacing w:after="0" w:line="240" w:lineRule="auto"/>
              <w:ind w:hanging="210"/>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r w:rsidR="009F1EE3" w:rsidRPr="00F941DA">
              <w:rPr>
                <w:rFonts w:ascii="Times New Roman" w:eastAsia="Times New Roman" w:hAnsi="Times New Roman" w:cs="Times New Roman"/>
                <w:sz w:val="24"/>
                <w:szCs w:val="24"/>
                <w:lang w:eastAsia="ro-RO"/>
              </w:rPr>
              <w:t>Tabel nr. 1: Corelaţia dintre severitatea episoadelor hemoragice şi nivelul factorului de coagulare</w:t>
            </w:r>
          </w:p>
        </w:tc>
      </w:tr>
      <w:tr w:rsidR="00F941DA" w:rsidRPr="00F941DA" w14:paraId="3E92C3A9" w14:textId="77777777" w:rsidTr="006561A5">
        <w:tc>
          <w:tcPr>
            <w:tcW w:w="2410" w:type="dxa"/>
            <w:tcBorders>
              <w:top w:val="single" w:sz="6" w:space="0" w:color="000000"/>
              <w:left w:val="single" w:sz="6" w:space="0" w:color="000000"/>
              <w:bottom w:val="single" w:sz="6" w:space="0" w:color="000000"/>
              <w:right w:val="single" w:sz="6" w:space="0" w:color="000000"/>
            </w:tcBorders>
          </w:tcPr>
          <w:p w14:paraId="3EBEC97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Severitatea Hemofiliei</w:t>
            </w:r>
          </w:p>
          <w:p w14:paraId="3844DFC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(nivelul factorului VIII/IX în procente)</w:t>
            </w:r>
          </w:p>
        </w:tc>
        <w:tc>
          <w:tcPr>
            <w:tcW w:w="7371" w:type="dxa"/>
            <w:tcBorders>
              <w:top w:val="single" w:sz="6" w:space="0" w:color="000000"/>
              <w:left w:val="single" w:sz="6" w:space="0" w:color="000000"/>
              <w:bottom w:val="single" w:sz="6" w:space="0" w:color="000000"/>
              <w:right w:val="single" w:sz="6" w:space="0" w:color="000000"/>
            </w:tcBorders>
          </w:tcPr>
          <w:p w14:paraId="4549E2E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Caracteristicile sângerării</w:t>
            </w:r>
          </w:p>
        </w:tc>
      </w:tr>
      <w:tr w:rsidR="00F941DA" w:rsidRPr="00F941DA" w14:paraId="3652A7D5" w14:textId="77777777" w:rsidTr="006561A5">
        <w:tc>
          <w:tcPr>
            <w:tcW w:w="2410" w:type="dxa"/>
            <w:tcBorders>
              <w:top w:val="single" w:sz="6" w:space="0" w:color="000000"/>
              <w:left w:val="single" w:sz="6" w:space="0" w:color="000000"/>
              <w:bottom w:val="single" w:sz="6" w:space="0" w:color="000000"/>
              <w:right w:val="single" w:sz="6" w:space="0" w:color="000000"/>
            </w:tcBorders>
          </w:tcPr>
          <w:p w14:paraId="1F68FB0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Severă</w:t>
            </w:r>
          </w:p>
          <w:p w14:paraId="1972B36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(F VIII/IX &lt; 1%)</w:t>
            </w:r>
          </w:p>
        </w:tc>
        <w:tc>
          <w:tcPr>
            <w:tcW w:w="7371" w:type="dxa"/>
            <w:tcBorders>
              <w:top w:val="single" w:sz="6" w:space="0" w:color="000000"/>
              <w:left w:val="single" w:sz="6" w:space="0" w:color="000000"/>
              <w:bottom w:val="single" w:sz="6" w:space="0" w:color="000000"/>
              <w:right w:val="single" w:sz="6" w:space="0" w:color="000000"/>
            </w:tcBorders>
          </w:tcPr>
          <w:p w14:paraId="60584B6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Hemoragii frecvente, spontane mai ales la nivelul articulaţiilor şi muşchilor, în general fără o cauză precizată</w:t>
            </w:r>
          </w:p>
        </w:tc>
      </w:tr>
      <w:tr w:rsidR="00F941DA" w:rsidRPr="00F941DA" w14:paraId="7F53F4C8" w14:textId="77777777" w:rsidTr="006561A5">
        <w:tc>
          <w:tcPr>
            <w:tcW w:w="2410" w:type="dxa"/>
            <w:tcBorders>
              <w:top w:val="single" w:sz="6" w:space="0" w:color="000000"/>
              <w:left w:val="single" w:sz="6" w:space="0" w:color="000000"/>
              <w:bottom w:val="single" w:sz="6" w:space="0" w:color="000000"/>
              <w:right w:val="single" w:sz="6" w:space="0" w:color="000000"/>
            </w:tcBorders>
          </w:tcPr>
          <w:p w14:paraId="1BFD6D4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Moderată</w:t>
            </w:r>
          </w:p>
          <w:p w14:paraId="6456CB0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(F VIII/IX 1 - 5%)</w:t>
            </w:r>
          </w:p>
        </w:tc>
        <w:tc>
          <w:tcPr>
            <w:tcW w:w="7371" w:type="dxa"/>
            <w:tcBorders>
              <w:top w:val="single" w:sz="6" w:space="0" w:color="000000"/>
              <w:left w:val="single" w:sz="6" w:space="0" w:color="000000"/>
              <w:bottom w:val="single" w:sz="6" w:space="0" w:color="000000"/>
              <w:right w:val="single" w:sz="6" w:space="0" w:color="000000"/>
            </w:tcBorders>
          </w:tcPr>
          <w:p w14:paraId="70B8DF1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Rar hemoragiile pot apare spontan; hemoragii grave prelungite în urma traumatismelor sau intervenţiilor chirurgicale</w:t>
            </w:r>
          </w:p>
        </w:tc>
      </w:tr>
      <w:tr w:rsidR="00F941DA" w:rsidRPr="00F941DA" w14:paraId="718B0C17" w14:textId="77777777" w:rsidTr="006561A5">
        <w:tc>
          <w:tcPr>
            <w:tcW w:w="2410" w:type="dxa"/>
            <w:tcBorders>
              <w:top w:val="single" w:sz="6" w:space="0" w:color="000000"/>
              <w:left w:val="single" w:sz="6" w:space="0" w:color="000000"/>
              <w:bottom w:val="single" w:sz="6" w:space="0" w:color="000000"/>
              <w:right w:val="single" w:sz="6" w:space="0" w:color="000000"/>
            </w:tcBorders>
          </w:tcPr>
          <w:p w14:paraId="52E2A51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Uşoară</w:t>
            </w:r>
          </w:p>
          <w:p w14:paraId="5BE4A77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(F VIII/IX 5 - 40%)</w:t>
            </w:r>
          </w:p>
        </w:tc>
        <w:tc>
          <w:tcPr>
            <w:tcW w:w="7371" w:type="dxa"/>
            <w:tcBorders>
              <w:top w:val="single" w:sz="6" w:space="0" w:color="000000"/>
              <w:left w:val="single" w:sz="6" w:space="0" w:color="000000"/>
              <w:bottom w:val="single" w:sz="6" w:space="0" w:color="000000"/>
              <w:right w:val="single" w:sz="6" w:space="0" w:color="000000"/>
            </w:tcBorders>
          </w:tcPr>
          <w:p w14:paraId="6DF8817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Hemoragii severe şi prelungite în cazul traumatismelor majore sau intervenţiilor chirurgicale</w:t>
            </w:r>
          </w:p>
        </w:tc>
      </w:tr>
    </w:tbl>
    <w:p w14:paraId="207533B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781" w:type="dxa"/>
        <w:tblLayout w:type="fixed"/>
        <w:tblCellMar>
          <w:left w:w="105" w:type="dxa"/>
          <w:right w:w="105" w:type="dxa"/>
        </w:tblCellMar>
        <w:tblLook w:val="0000" w:firstRow="0" w:lastRow="0" w:firstColumn="0" w:lastColumn="0" w:noHBand="0" w:noVBand="0"/>
      </w:tblPr>
      <w:tblGrid>
        <w:gridCol w:w="2410"/>
        <w:gridCol w:w="7371"/>
      </w:tblGrid>
      <w:tr w:rsidR="00F941DA" w:rsidRPr="00F941DA" w14:paraId="6C55971C" w14:textId="77777777" w:rsidTr="006561A5">
        <w:tc>
          <w:tcPr>
            <w:tcW w:w="9781" w:type="dxa"/>
            <w:gridSpan w:val="2"/>
            <w:tcBorders>
              <w:top w:val="nil"/>
              <w:left w:val="nil"/>
              <w:bottom w:val="single" w:sz="6" w:space="0" w:color="auto"/>
              <w:right w:val="nil"/>
            </w:tcBorders>
          </w:tcPr>
          <w:p w14:paraId="4B4D3776" w14:textId="77777777" w:rsidR="009F1EE3" w:rsidRPr="00F941DA" w:rsidRDefault="009F1EE3" w:rsidP="006561A5">
            <w:pPr>
              <w:autoSpaceDE w:val="0"/>
              <w:autoSpaceDN w:val="0"/>
              <w:adjustRightInd w:val="0"/>
              <w:spacing w:after="0" w:line="240" w:lineRule="auto"/>
              <w:ind w:hanging="68"/>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Tabel nr. 2 - Frecvenţa episoadelor hemoragice în funcţie de localizare</w:t>
            </w:r>
          </w:p>
        </w:tc>
      </w:tr>
      <w:tr w:rsidR="00F941DA" w:rsidRPr="00F941DA" w14:paraId="23253A86" w14:textId="77777777" w:rsidTr="006561A5">
        <w:tc>
          <w:tcPr>
            <w:tcW w:w="2410" w:type="dxa"/>
            <w:tcBorders>
              <w:top w:val="single" w:sz="6" w:space="0" w:color="000000"/>
              <w:left w:val="single" w:sz="6" w:space="0" w:color="000000"/>
              <w:bottom w:val="single" w:sz="6" w:space="0" w:color="000000"/>
              <w:right w:val="single" w:sz="6" w:space="0" w:color="000000"/>
            </w:tcBorders>
          </w:tcPr>
          <w:p w14:paraId="2A9306E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Localizarea hemoragiilor</w:t>
            </w:r>
          </w:p>
        </w:tc>
        <w:tc>
          <w:tcPr>
            <w:tcW w:w="7371" w:type="dxa"/>
            <w:tcBorders>
              <w:top w:val="single" w:sz="6" w:space="0" w:color="000000"/>
              <w:left w:val="single" w:sz="6" w:space="0" w:color="000000"/>
              <w:bottom w:val="single" w:sz="6" w:space="0" w:color="000000"/>
              <w:right w:val="single" w:sz="6" w:space="0" w:color="000000"/>
            </w:tcBorders>
          </w:tcPr>
          <w:p w14:paraId="657DB8B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Frecvenţa (%)</w:t>
            </w:r>
          </w:p>
        </w:tc>
      </w:tr>
      <w:tr w:rsidR="00F941DA" w:rsidRPr="00F941DA" w14:paraId="70D8344B" w14:textId="77777777" w:rsidTr="006561A5">
        <w:tc>
          <w:tcPr>
            <w:tcW w:w="2410" w:type="dxa"/>
            <w:tcBorders>
              <w:top w:val="single" w:sz="6" w:space="0" w:color="000000"/>
              <w:left w:val="single" w:sz="6" w:space="0" w:color="000000"/>
              <w:bottom w:val="single" w:sz="6" w:space="0" w:color="000000"/>
              <w:right w:val="single" w:sz="6" w:space="0" w:color="000000"/>
            </w:tcBorders>
          </w:tcPr>
          <w:p w14:paraId="6642F6E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Hemartroze</w:t>
            </w:r>
          </w:p>
        </w:tc>
        <w:tc>
          <w:tcPr>
            <w:tcW w:w="7371" w:type="dxa"/>
            <w:tcBorders>
              <w:top w:val="single" w:sz="6" w:space="0" w:color="000000"/>
              <w:left w:val="single" w:sz="6" w:space="0" w:color="000000"/>
              <w:bottom w:val="single" w:sz="6" w:space="0" w:color="000000"/>
              <w:right w:val="single" w:sz="6" w:space="0" w:color="000000"/>
            </w:tcBorders>
          </w:tcPr>
          <w:p w14:paraId="3207D08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70 - 80</w:t>
            </w:r>
          </w:p>
        </w:tc>
      </w:tr>
      <w:tr w:rsidR="00F941DA" w:rsidRPr="00F941DA" w14:paraId="2A09A81C" w14:textId="77777777" w:rsidTr="006561A5">
        <w:tc>
          <w:tcPr>
            <w:tcW w:w="2410" w:type="dxa"/>
            <w:tcBorders>
              <w:top w:val="single" w:sz="6" w:space="0" w:color="000000"/>
              <w:left w:val="single" w:sz="6" w:space="0" w:color="000000"/>
              <w:bottom w:val="single" w:sz="6" w:space="0" w:color="000000"/>
              <w:right w:val="single" w:sz="6" w:space="0" w:color="000000"/>
            </w:tcBorders>
          </w:tcPr>
          <w:p w14:paraId="315B0C3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Hemoragii musculare</w:t>
            </w:r>
          </w:p>
        </w:tc>
        <w:tc>
          <w:tcPr>
            <w:tcW w:w="7371" w:type="dxa"/>
            <w:tcBorders>
              <w:top w:val="single" w:sz="6" w:space="0" w:color="000000"/>
              <w:left w:val="single" w:sz="6" w:space="0" w:color="000000"/>
              <w:bottom w:val="single" w:sz="6" w:space="0" w:color="000000"/>
              <w:right w:val="single" w:sz="6" w:space="0" w:color="000000"/>
            </w:tcBorders>
          </w:tcPr>
          <w:p w14:paraId="0CF18F0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10 - 20</w:t>
            </w:r>
          </w:p>
        </w:tc>
      </w:tr>
      <w:tr w:rsidR="00F941DA" w:rsidRPr="00F941DA" w14:paraId="616869F2" w14:textId="77777777" w:rsidTr="006561A5">
        <w:tc>
          <w:tcPr>
            <w:tcW w:w="2410" w:type="dxa"/>
            <w:tcBorders>
              <w:top w:val="single" w:sz="6" w:space="0" w:color="000000"/>
              <w:left w:val="single" w:sz="6" w:space="0" w:color="000000"/>
              <w:bottom w:val="single" w:sz="6" w:space="0" w:color="000000"/>
              <w:right w:val="single" w:sz="6" w:space="0" w:color="000000"/>
            </w:tcBorders>
          </w:tcPr>
          <w:p w14:paraId="4F83117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Alte hemoragii majore </w:t>
            </w:r>
          </w:p>
        </w:tc>
        <w:tc>
          <w:tcPr>
            <w:tcW w:w="7371" w:type="dxa"/>
            <w:tcBorders>
              <w:top w:val="single" w:sz="6" w:space="0" w:color="000000"/>
              <w:left w:val="single" w:sz="6" w:space="0" w:color="000000"/>
              <w:bottom w:val="single" w:sz="6" w:space="0" w:color="000000"/>
              <w:right w:val="single" w:sz="6" w:space="0" w:color="000000"/>
            </w:tcBorders>
          </w:tcPr>
          <w:p w14:paraId="7241CD2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5 - 10</w:t>
            </w:r>
          </w:p>
        </w:tc>
      </w:tr>
      <w:tr w:rsidR="00F941DA" w:rsidRPr="00F941DA" w14:paraId="6A233700" w14:textId="77777777" w:rsidTr="006561A5">
        <w:tc>
          <w:tcPr>
            <w:tcW w:w="2410" w:type="dxa"/>
            <w:tcBorders>
              <w:top w:val="single" w:sz="6" w:space="0" w:color="000000"/>
              <w:left w:val="single" w:sz="6" w:space="0" w:color="000000"/>
              <w:bottom w:val="single" w:sz="6" w:space="0" w:color="000000"/>
              <w:right w:val="single" w:sz="6" w:space="0" w:color="000000"/>
            </w:tcBorders>
          </w:tcPr>
          <w:p w14:paraId="7DB550D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Hemoragii SNC </w:t>
            </w:r>
          </w:p>
        </w:tc>
        <w:tc>
          <w:tcPr>
            <w:tcW w:w="7371" w:type="dxa"/>
            <w:tcBorders>
              <w:top w:val="single" w:sz="6" w:space="0" w:color="000000"/>
              <w:left w:val="single" w:sz="6" w:space="0" w:color="000000"/>
              <w:bottom w:val="single" w:sz="6" w:space="0" w:color="000000"/>
              <w:right w:val="single" w:sz="6" w:space="0" w:color="000000"/>
            </w:tcBorders>
          </w:tcPr>
          <w:p w14:paraId="2FEB1F7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&lt; 5</w:t>
            </w:r>
          </w:p>
        </w:tc>
      </w:tr>
    </w:tbl>
    <w:p w14:paraId="3A76726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În funcţie de localizare, hemoragiile pot fi severe sau care pun viaţa în pericol (tabel 3).</w:t>
      </w:r>
    </w:p>
    <w:p w14:paraId="6D10407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781" w:type="dxa"/>
        <w:tblLayout w:type="fixed"/>
        <w:tblCellMar>
          <w:left w:w="105" w:type="dxa"/>
          <w:right w:w="105" w:type="dxa"/>
        </w:tblCellMar>
        <w:tblLook w:val="0000" w:firstRow="0" w:lastRow="0" w:firstColumn="0" w:lastColumn="0" w:noHBand="0" w:noVBand="0"/>
      </w:tblPr>
      <w:tblGrid>
        <w:gridCol w:w="2835"/>
        <w:gridCol w:w="6946"/>
      </w:tblGrid>
      <w:tr w:rsidR="00F941DA" w:rsidRPr="00F941DA" w14:paraId="5BDAB9F9" w14:textId="77777777" w:rsidTr="006561A5">
        <w:tc>
          <w:tcPr>
            <w:tcW w:w="9781" w:type="dxa"/>
            <w:gridSpan w:val="2"/>
            <w:tcBorders>
              <w:top w:val="nil"/>
              <w:left w:val="nil"/>
              <w:bottom w:val="single" w:sz="6" w:space="0" w:color="auto"/>
              <w:right w:val="nil"/>
            </w:tcBorders>
          </w:tcPr>
          <w:p w14:paraId="1337B9AC" w14:textId="5A555B3D" w:rsidR="009F1EE3" w:rsidRPr="00F941DA" w:rsidRDefault="009F1EE3" w:rsidP="006561A5">
            <w:pPr>
              <w:autoSpaceDE w:val="0"/>
              <w:autoSpaceDN w:val="0"/>
              <w:adjustRightInd w:val="0"/>
              <w:spacing w:after="0" w:line="240" w:lineRule="auto"/>
              <w:ind w:hanging="68"/>
              <w:jc w:val="both"/>
              <w:rPr>
                <w:rFonts w:ascii="Times New Roman" w:eastAsia="Times New Roman" w:hAnsi="Times New Roman" w:cs="Times New Roman"/>
                <w:sz w:val="24"/>
                <w:szCs w:val="24"/>
                <w:lang w:val="pt-BR" w:eastAsia="ro-RO"/>
              </w:rPr>
            </w:pPr>
            <w:r w:rsidRPr="00F941DA">
              <w:rPr>
                <w:rFonts w:ascii="Times New Roman" w:eastAsia="Times New Roman" w:hAnsi="Times New Roman" w:cs="Times New Roman"/>
                <w:sz w:val="24"/>
                <w:szCs w:val="24"/>
                <w:lang w:eastAsia="ro-RO"/>
              </w:rPr>
              <w:t xml:space="preserve">Tabel nr. 3 </w:t>
            </w:r>
            <w:r w:rsidRPr="00F941DA">
              <w:rPr>
                <w:rFonts w:ascii="Times New Roman" w:eastAsia="Times New Roman" w:hAnsi="Times New Roman" w:cs="Times New Roman"/>
                <w:sz w:val="24"/>
                <w:szCs w:val="24"/>
                <w:lang w:val="pt-BR" w:eastAsia="ro-RO"/>
              </w:rPr>
              <w:t>Sediul hemoragiilor cu risc vital</w:t>
            </w:r>
          </w:p>
        </w:tc>
      </w:tr>
      <w:tr w:rsidR="00F941DA" w:rsidRPr="00F941DA" w14:paraId="1BB6E437" w14:textId="77777777" w:rsidTr="006561A5">
        <w:tc>
          <w:tcPr>
            <w:tcW w:w="2835" w:type="dxa"/>
            <w:tcBorders>
              <w:top w:val="single" w:sz="6" w:space="0" w:color="000000"/>
              <w:left w:val="single" w:sz="6" w:space="0" w:color="000000"/>
              <w:bottom w:val="single" w:sz="6" w:space="0" w:color="000000"/>
              <w:right w:val="single" w:sz="6" w:space="0" w:color="000000"/>
            </w:tcBorders>
          </w:tcPr>
          <w:p w14:paraId="711D720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Hemoragii severe</w:t>
            </w:r>
          </w:p>
        </w:tc>
        <w:tc>
          <w:tcPr>
            <w:tcW w:w="6946" w:type="dxa"/>
            <w:tcBorders>
              <w:top w:val="single" w:sz="6" w:space="0" w:color="000000"/>
              <w:left w:val="single" w:sz="6" w:space="0" w:color="000000"/>
              <w:bottom w:val="single" w:sz="6" w:space="0" w:color="000000"/>
              <w:right w:val="single" w:sz="6" w:space="0" w:color="000000"/>
            </w:tcBorders>
          </w:tcPr>
          <w:p w14:paraId="11AC57F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Hemoragii care pun viaţa în pericol</w:t>
            </w:r>
          </w:p>
        </w:tc>
      </w:tr>
      <w:tr w:rsidR="00F941DA" w:rsidRPr="00F941DA" w14:paraId="6D0E54F9" w14:textId="77777777" w:rsidTr="006561A5">
        <w:tc>
          <w:tcPr>
            <w:tcW w:w="2835" w:type="dxa"/>
            <w:tcBorders>
              <w:top w:val="single" w:sz="6" w:space="0" w:color="000000"/>
              <w:left w:val="single" w:sz="6" w:space="0" w:color="000000"/>
              <w:bottom w:val="single" w:sz="6" w:space="0" w:color="000000"/>
              <w:right w:val="single" w:sz="6" w:space="0" w:color="000000"/>
            </w:tcBorders>
          </w:tcPr>
          <w:p w14:paraId="525DCAC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Articulaţii</w:t>
            </w:r>
          </w:p>
        </w:tc>
        <w:tc>
          <w:tcPr>
            <w:tcW w:w="6946" w:type="dxa"/>
            <w:tcBorders>
              <w:top w:val="single" w:sz="6" w:space="0" w:color="000000"/>
              <w:left w:val="single" w:sz="6" w:space="0" w:color="000000"/>
              <w:bottom w:val="single" w:sz="6" w:space="0" w:color="000000"/>
              <w:right w:val="single" w:sz="6" w:space="0" w:color="000000"/>
            </w:tcBorders>
          </w:tcPr>
          <w:p w14:paraId="733901F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Cerebrale (SNC)</w:t>
            </w:r>
          </w:p>
        </w:tc>
      </w:tr>
      <w:tr w:rsidR="00F941DA" w:rsidRPr="00F941DA" w14:paraId="7A131C8C" w14:textId="77777777" w:rsidTr="006561A5">
        <w:tc>
          <w:tcPr>
            <w:tcW w:w="2835" w:type="dxa"/>
            <w:tcBorders>
              <w:top w:val="single" w:sz="6" w:space="0" w:color="000000"/>
              <w:left w:val="single" w:sz="6" w:space="0" w:color="000000"/>
              <w:bottom w:val="single" w:sz="6" w:space="0" w:color="000000"/>
              <w:right w:val="single" w:sz="6" w:space="0" w:color="000000"/>
            </w:tcBorders>
          </w:tcPr>
          <w:p w14:paraId="59DEBD4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Musculatura şi ţesuturile moi</w:t>
            </w:r>
          </w:p>
        </w:tc>
        <w:tc>
          <w:tcPr>
            <w:tcW w:w="6946" w:type="dxa"/>
            <w:tcBorders>
              <w:top w:val="single" w:sz="6" w:space="0" w:color="000000"/>
              <w:left w:val="single" w:sz="6" w:space="0" w:color="000000"/>
              <w:bottom w:val="single" w:sz="6" w:space="0" w:color="000000"/>
              <w:right w:val="single" w:sz="6" w:space="0" w:color="000000"/>
            </w:tcBorders>
          </w:tcPr>
          <w:p w14:paraId="5110517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Gastrointestinale (GI)</w:t>
            </w:r>
          </w:p>
        </w:tc>
      </w:tr>
      <w:tr w:rsidR="00F941DA" w:rsidRPr="00F941DA" w14:paraId="72B31DE4" w14:textId="77777777" w:rsidTr="006561A5">
        <w:tc>
          <w:tcPr>
            <w:tcW w:w="2835" w:type="dxa"/>
            <w:tcBorders>
              <w:top w:val="single" w:sz="6" w:space="0" w:color="000000"/>
              <w:left w:val="single" w:sz="6" w:space="0" w:color="000000"/>
              <w:bottom w:val="single" w:sz="6" w:space="0" w:color="000000"/>
              <w:right w:val="single" w:sz="6" w:space="0" w:color="000000"/>
            </w:tcBorders>
          </w:tcPr>
          <w:p w14:paraId="4A3B158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Bucale/nazale/intestinale</w:t>
            </w:r>
          </w:p>
        </w:tc>
        <w:tc>
          <w:tcPr>
            <w:tcW w:w="6946" w:type="dxa"/>
            <w:tcBorders>
              <w:top w:val="single" w:sz="6" w:space="0" w:color="000000"/>
              <w:left w:val="single" w:sz="6" w:space="0" w:color="000000"/>
              <w:bottom w:val="single" w:sz="6" w:space="0" w:color="000000"/>
              <w:right w:val="single" w:sz="6" w:space="0" w:color="000000"/>
            </w:tcBorders>
          </w:tcPr>
          <w:p w14:paraId="57B5C0D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Gât/faringe</w:t>
            </w:r>
          </w:p>
        </w:tc>
      </w:tr>
      <w:tr w:rsidR="00F941DA" w:rsidRPr="00F941DA" w14:paraId="7CD96DF2" w14:textId="77777777" w:rsidTr="006561A5">
        <w:tc>
          <w:tcPr>
            <w:tcW w:w="2835" w:type="dxa"/>
            <w:tcBorders>
              <w:top w:val="single" w:sz="6" w:space="0" w:color="000000"/>
              <w:left w:val="single" w:sz="6" w:space="0" w:color="000000"/>
              <w:bottom w:val="single" w:sz="6" w:space="0" w:color="000000"/>
              <w:right w:val="single" w:sz="6" w:space="0" w:color="000000"/>
            </w:tcBorders>
          </w:tcPr>
          <w:p w14:paraId="5C8E995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Hematurie</w:t>
            </w:r>
          </w:p>
        </w:tc>
        <w:tc>
          <w:tcPr>
            <w:tcW w:w="6946" w:type="dxa"/>
            <w:tcBorders>
              <w:top w:val="single" w:sz="6" w:space="0" w:color="000000"/>
              <w:left w:val="single" w:sz="6" w:space="0" w:color="000000"/>
              <w:bottom w:val="single" w:sz="6" w:space="0" w:color="000000"/>
              <w:right w:val="single" w:sz="6" w:space="0" w:color="000000"/>
            </w:tcBorders>
          </w:tcPr>
          <w:p w14:paraId="659E16B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Traumatisme severe</w:t>
            </w:r>
          </w:p>
        </w:tc>
      </w:tr>
    </w:tbl>
    <w:p w14:paraId="3C5BE17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BE5522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E0292D7" w14:textId="6624132C" w:rsidR="009F1EE3" w:rsidRPr="00F941DA" w:rsidRDefault="009F1EE3" w:rsidP="006561A5">
      <w:pPr>
        <w:autoSpaceDE w:val="0"/>
        <w:autoSpaceDN w:val="0"/>
        <w:adjustRightInd w:val="0"/>
        <w:jc w:val="both"/>
        <w:rPr>
          <w:rFonts w:ascii="Times New Roman" w:hAnsi="Times New Roman" w:cs="Times New Roman"/>
          <w:b/>
          <w:sz w:val="24"/>
          <w:szCs w:val="24"/>
        </w:rPr>
      </w:pPr>
      <w:r w:rsidRPr="00F941DA">
        <w:rPr>
          <w:rFonts w:ascii="Times New Roman" w:hAnsi="Times New Roman" w:cs="Times New Roman"/>
          <w:b/>
          <w:sz w:val="24"/>
          <w:szCs w:val="24"/>
        </w:rPr>
        <w:t>PROTOCOL DE DIAGNOSTIC INIŢIAL AL HEMOFILIEI CONGENITALE</w:t>
      </w:r>
    </w:p>
    <w:p w14:paraId="63C801C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r w:rsidRPr="00F941DA">
        <w:rPr>
          <w:rFonts w:ascii="Times New Roman" w:eastAsia="Times New Roman" w:hAnsi="Times New Roman" w:cs="Times New Roman"/>
          <w:sz w:val="24"/>
          <w:szCs w:val="24"/>
          <w:u w:val="single"/>
          <w:lang w:eastAsia="ro-RO"/>
        </w:rPr>
        <w:t>Diagnosticul</w:t>
      </w:r>
    </w:p>
    <w:p w14:paraId="0AF9B1B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r w:rsidRPr="00F941DA">
        <w:rPr>
          <w:rFonts w:ascii="Times New Roman" w:eastAsia="Times New Roman" w:hAnsi="Times New Roman" w:cs="Times New Roman"/>
          <w:sz w:val="24"/>
          <w:szCs w:val="24"/>
          <w:u w:val="single"/>
          <w:lang w:eastAsia="ro-RO"/>
        </w:rPr>
        <w:t>Suspiciunea de diagnostic</w:t>
      </w:r>
    </w:p>
    <w:p w14:paraId="2823CC0B" w14:textId="77777777" w:rsidR="009F1EE3" w:rsidRPr="00F941DA" w:rsidRDefault="009F1EE3" w:rsidP="00D11DF1">
      <w:pPr>
        <w:numPr>
          <w:ilvl w:val="3"/>
          <w:numId w:val="343"/>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anamneza (manifestări hemoragice caracteristice, ancheta familială - arborele genealogic)</w:t>
      </w:r>
    </w:p>
    <w:p w14:paraId="00578091" w14:textId="77777777" w:rsidR="009F1EE3" w:rsidRPr="00F941DA" w:rsidRDefault="009F1EE3" w:rsidP="00D11DF1">
      <w:pPr>
        <w:numPr>
          <w:ilvl w:val="3"/>
          <w:numId w:val="343"/>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diagnostic activ la copiii de sex masculin din familiile cu hemofilie (arborele genealogic)</w:t>
      </w:r>
    </w:p>
    <w:p w14:paraId="37EBE17D" w14:textId="77777777" w:rsidR="009F1EE3" w:rsidRPr="00F941DA" w:rsidRDefault="009F1EE3" w:rsidP="00D11DF1">
      <w:pPr>
        <w:numPr>
          <w:ilvl w:val="3"/>
          <w:numId w:val="343"/>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circa 50% din cazurile nou diagnosticate nu au antecedente familiale (forme sporadice)</w:t>
      </w:r>
    </w:p>
    <w:p w14:paraId="6F3655B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p>
    <w:p w14:paraId="12827B5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trike/>
          <w:sz w:val="24"/>
          <w:szCs w:val="24"/>
          <w:u w:val="single"/>
          <w:lang w:eastAsia="ro-RO"/>
        </w:rPr>
      </w:pPr>
      <w:r w:rsidRPr="00F941DA">
        <w:rPr>
          <w:rFonts w:ascii="Times New Roman" w:eastAsia="Times New Roman" w:hAnsi="Times New Roman" w:cs="Times New Roman"/>
          <w:sz w:val="24"/>
          <w:szCs w:val="24"/>
          <w:u w:val="single"/>
          <w:lang w:eastAsia="ro-RO"/>
        </w:rPr>
        <w:t xml:space="preserve">Explorări  vizând suspiciunea de hemofilie </w:t>
      </w:r>
    </w:p>
    <w:p w14:paraId="32C34F44" w14:textId="77777777" w:rsidR="009F1EE3" w:rsidRPr="00F941DA" w:rsidRDefault="009F1EE3" w:rsidP="00D11DF1">
      <w:pPr>
        <w:numPr>
          <w:ilvl w:val="3"/>
          <w:numId w:val="344"/>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timp parţial de tromboplastină activat (TPTA)</w:t>
      </w:r>
    </w:p>
    <w:p w14:paraId="09C4AB30" w14:textId="77777777" w:rsidR="009F1EE3" w:rsidRPr="00F941DA" w:rsidRDefault="009F1EE3" w:rsidP="00D11DF1">
      <w:pPr>
        <w:numPr>
          <w:ilvl w:val="3"/>
          <w:numId w:val="344"/>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timp de consum de protrombină</w:t>
      </w:r>
    </w:p>
    <w:p w14:paraId="58E80EDA" w14:textId="77777777" w:rsidR="009F1EE3" w:rsidRPr="00F941DA" w:rsidRDefault="009F1EE3" w:rsidP="00D11DF1">
      <w:pPr>
        <w:numPr>
          <w:ilvl w:val="3"/>
          <w:numId w:val="344"/>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timpul de coagulare global, timpul Howell cu valori frecvent normale în formele non-severe şi nefiind indicate ca teste screening (tab. nr. 4)</w:t>
      </w:r>
    </w:p>
    <w:p w14:paraId="598EA6CC" w14:textId="77777777" w:rsidR="009F1EE3" w:rsidRPr="00F941DA" w:rsidRDefault="009F1EE3" w:rsidP="00D11DF1">
      <w:pPr>
        <w:numPr>
          <w:ilvl w:val="3"/>
          <w:numId w:val="344"/>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corecţia timpului de consum de protrombină sau a TPTA cu plasmă proaspătă, ser vechi şi plasmă absorbită pe sulfat de bariu</w:t>
      </w:r>
    </w:p>
    <w:p w14:paraId="6927DCC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781" w:type="dxa"/>
        <w:tblLayout w:type="fixed"/>
        <w:tblCellMar>
          <w:left w:w="105" w:type="dxa"/>
          <w:right w:w="105" w:type="dxa"/>
        </w:tblCellMar>
        <w:tblLook w:val="0000" w:firstRow="0" w:lastRow="0" w:firstColumn="0" w:lastColumn="0" w:noHBand="0" w:noVBand="0"/>
      </w:tblPr>
      <w:tblGrid>
        <w:gridCol w:w="1985"/>
        <w:gridCol w:w="1276"/>
        <w:gridCol w:w="2268"/>
        <w:gridCol w:w="2409"/>
        <w:gridCol w:w="1843"/>
      </w:tblGrid>
      <w:tr w:rsidR="00F941DA" w:rsidRPr="00F941DA" w14:paraId="6C6594FA" w14:textId="77777777" w:rsidTr="006561A5">
        <w:tc>
          <w:tcPr>
            <w:tcW w:w="9781" w:type="dxa"/>
            <w:gridSpan w:val="5"/>
            <w:tcBorders>
              <w:top w:val="nil"/>
              <w:left w:val="nil"/>
              <w:bottom w:val="single" w:sz="6" w:space="0" w:color="auto"/>
              <w:right w:val="nil"/>
            </w:tcBorders>
          </w:tcPr>
          <w:p w14:paraId="394D7A9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Tabel nr. 4 - Interpretarea testului screening</w:t>
            </w:r>
          </w:p>
        </w:tc>
      </w:tr>
      <w:tr w:rsidR="00F941DA" w:rsidRPr="00F941DA" w14:paraId="347CCD81" w14:textId="77777777" w:rsidTr="006561A5">
        <w:tc>
          <w:tcPr>
            <w:tcW w:w="1985" w:type="dxa"/>
            <w:tcBorders>
              <w:top w:val="single" w:sz="6" w:space="0" w:color="000000"/>
              <w:left w:val="single" w:sz="6" w:space="0" w:color="000000"/>
              <w:bottom w:val="single" w:sz="6" w:space="0" w:color="000000"/>
              <w:right w:val="single" w:sz="6" w:space="0" w:color="000000"/>
            </w:tcBorders>
          </w:tcPr>
          <w:p w14:paraId="101120A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p w14:paraId="7C1E547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p w14:paraId="329A98F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p w14:paraId="6FEA356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Diagnostic posibil</w:t>
            </w:r>
          </w:p>
        </w:tc>
        <w:tc>
          <w:tcPr>
            <w:tcW w:w="1276" w:type="dxa"/>
            <w:tcBorders>
              <w:top w:val="single" w:sz="6" w:space="0" w:color="000000"/>
              <w:left w:val="single" w:sz="6" w:space="0" w:color="000000"/>
              <w:bottom w:val="single" w:sz="6" w:space="0" w:color="000000"/>
              <w:right w:val="single" w:sz="6" w:space="0" w:color="000000"/>
            </w:tcBorders>
          </w:tcPr>
          <w:p w14:paraId="070ED6A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TP</w:t>
            </w:r>
          </w:p>
        </w:tc>
        <w:tc>
          <w:tcPr>
            <w:tcW w:w="2268" w:type="dxa"/>
            <w:tcBorders>
              <w:top w:val="single" w:sz="6" w:space="0" w:color="000000"/>
              <w:left w:val="single" w:sz="6" w:space="0" w:color="000000"/>
              <w:bottom w:val="single" w:sz="6" w:space="0" w:color="000000"/>
              <w:right w:val="single" w:sz="6" w:space="0" w:color="000000"/>
            </w:tcBorders>
          </w:tcPr>
          <w:p w14:paraId="5F4DADC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TPTA</w:t>
            </w:r>
          </w:p>
        </w:tc>
        <w:tc>
          <w:tcPr>
            <w:tcW w:w="2409" w:type="dxa"/>
            <w:tcBorders>
              <w:top w:val="single" w:sz="6" w:space="0" w:color="000000"/>
              <w:left w:val="single" w:sz="6" w:space="0" w:color="000000"/>
              <w:bottom w:val="single" w:sz="6" w:space="0" w:color="000000"/>
              <w:right w:val="single" w:sz="6" w:space="0" w:color="000000"/>
            </w:tcBorders>
          </w:tcPr>
          <w:p w14:paraId="4211188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Timp de sângerare</w:t>
            </w:r>
          </w:p>
        </w:tc>
        <w:tc>
          <w:tcPr>
            <w:tcW w:w="1843" w:type="dxa"/>
            <w:tcBorders>
              <w:top w:val="single" w:sz="6" w:space="0" w:color="000000"/>
              <w:left w:val="single" w:sz="6" w:space="0" w:color="000000"/>
              <w:bottom w:val="single" w:sz="6" w:space="0" w:color="000000"/>
              <w:right w:val="single" w:sz="6" w:space="0" w:color="000000"/>
            </w:tcBorders>
          </w:tcPr>
          <w:p w14:paraId="24E65CA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Nr. Trombocite</w:t>
            </w:r>
          </w:p>
        </w:tc>
      </w:tr>
      <w:tr w:rsidR="00F941DA" w:rsidRPr="00F941DA" w14:paraId="035EDB24" w14:textId="77777777" w:rsidTr="006561A5">
        <w:tc>
          <w:tcPr>
            <w:tcW w:w="1985" w:type="dxa"/>
            <w:tcBorders>
              <w:top w:val="single" w:sz="6" w:space="0" w:color="000000"/>
              <w:left w:val="single" w:sz="6" w:space="0" w:color="000000"/>
              <w:bottom w:val="single" w:sz="6" w:space="0" w:color="000000"/>
              <w:right w:val="single" w:sz="6" w:space="0" w:color="000000"/>
            </w:tcBorders>
          </w:tcPr>
          <w:p w14:paraId="32E4A41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Normal </w:t>
            </w:r>
          </w:p>
        </w:tc>
        <w:tc>
          <w:tcPr>
            <w:tcW w:w="1276" w:type="dxa"/>
            <w:tcBorders>
              <w:top w:val="single" w:sz="6" w:space="0" w:color="000000"/>
              <w:left w:val="single" w:sz="6" w:space="0" w:color="000000"/>
              <w:bottom w:val="single" w:sz="6" w:space="0" w:color="000000"/>
              <w:right w:val="single" w:sz="6" w:space="0" w:color="000000"/>
            </w:tcBorders>
          </w:tcPr>
          <w:p w14:paraId="08787C4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Normal </w:t>
            </w:r>
          </w:p>
        </w:tc>
        <w:tc>
          <w:tcPr>
            <w:tcW w:w="2268" w:type="dxa"/>
            <w:tcBorders>
              <w:top w:val="single" w:sz="6" w:space="0" w:color="000000"/>
              <w:left w:val="single" w:sz="6" w:space="0" w:color="000000"/>
              <w:bottom w:val="single" w:sz="6" w:space="0" w:color="000000"/>
              <w:right w:val="single" w:sz="6" w:space="0" w:color="000000"/>
            </w:tcBorders>
          </w:tcPr>
          <w:p w14:paraId="1144427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Normal </w:t>
            </w:r>
          </w:p>
        </w:tc>
        <w:tc>
          <w:tcPr>
            <w:tcW w:w="2409" w:type="dxa"/>
            <w:tcBorders>
              <w:top w:val="single" w:sz="6" w:space="0" w:color="000000"/>
              <w:left w:val="single" w:sz="6" w:space="0" w:color="000000"/>
              <w:bottom w:val="single" w:sz="6" w:space="0" w:color="000000"/>
              <w:right w:val="single" w:sz="6" w:space="0" w:color="000000"/>
            </w:tcBorders>
          </w:tcPr>
          <w:p w14:paraId="02B6186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Normal </w:t>
            </w:r>
          </w:p>
        </w:tc>
        <w:tc>
          <w:tcPr>
            <w:tcW w:w="1843" w:type="dxa"/>
            <w:tcBorders>
              <w:top w:val="single" w:sz="6" w:space="0" w:color="000000"/>
              <w:left w:val="single" w:sz="6" w:space="0" w:color="000000"/>
              <w:bottom w:val="single" w:sz="6" w:space="0" w:color="000000"/>
              <w:right w:val="single" w:sz="6" w:space="0" w:color="000000"/>
            </w:tcBorders>
          </w:tcPr>
          <w:p w14:paraId="1ED242F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Normal</w:t>
            </w:r>
          </w:p>
        </w:tc>
      </w:tr>
      <w:tr w:rsidR="00F941DA" w:rsidRPr="00F941DA" w14:paraId="44BD296A" w14:textId="77777777" w:rsidTr="006561A5">
        <w:tc>
          <w:tcPr>
            <w:tcW w:w="1985" w:type="dxa"/>
            <w:tcBorders>
              <w:top w:val="single" w:sz="6" w:space="0" w:color="000000"/>
              <w:left w:val="single" w:sz="6" w:space="0" w:color="000000"/>
              <w:bottom w:val="single" w:sz="6" w:space="0" w:color="000000"/>
              <w:right w:val="single" w:sz="6" w:space="0" w:color="000000"/>
            </w:tcBorders>
          </w:tcPr>
          <w:p w14:paraId="6909B86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Hemofilie A sau B</w:t>
            </w:r>
          </w:p>
        </w:tc>
        <w:tc>
          <w:tcPr>
            <w:tcW w:w="1276" w:type="dxa"/>
            <w:tcBorders>
              <w:top w:val="single" w:sz="6" w:space="0" w:color="000000"/>
              <w:left w:val="single" w:sz="6" w:space="0" w:color="000000"/>
              <w:bottom w:val="single" w:sz="6" w:space="0" w:color="000000"/>
              <w:right w:val="single" w:sz="6" w:space="0" w:color="000000"/>
            </w:tcBorders>
          </w:tcPr>
          <w:p w14:paraId="34F4872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Normal </w:t>
            </w:r>
          </w:p>
        </w:tc>
        <w:tc>
          <w:tcPr>
            <w:tcW w:w="2268" w:type="dxa"/>
            <w:tcBorders>
              <w:top w:val="single" w:sz="6" w:space="0" w:color="000000"/>
              <w:left w:val="single" w:sz="6" w:space="0" w:color="000000"/>
              <w:bottom w:val="single" w:sz="6" w:space="0" w:color="000000"/>
              <w:right w:val="single" w:sz="6" w:space="0" w:color="000000"/>
            </w:tcBorders>
          </w:tcPr>
          <w:p w14:paraId="23F202C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Prelungit </w:t>
            </w:r>
          </w:p>
        </w:tc>
        <w:tc>
          <w:tcPr>
            <w:tcW w:w="2409" w:type="dxa"/>
            <w:tcBorders>
              <w:top w:val="single" w:sz="6" w:space="0" w:color="000000"/>
              <w:left w:val="single" w:sz="6" w:space="0" w:color="000000"/>
              <w:bottom w:val="single" w:sz="6" w:space="0" w:color="000000"/>
              <w:right w:val="single" w:sz="6" w:space="0" w:color="000000"/>
            </w:tcBorders>
          </w:tcPr>
          <w:p w14:paraId="1660EF0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Normal </w:t>
            </w:r>
          </w:p>
        </w:tc>
        <w:tc>
          <w:tcPr>
            <w:tcW w:w="1843" w:type="dxa"/>
            <w:tcBorders>
              <w:top w:val="single" w:sz="6" w:space="0" w:color="000000"/>
              <w:left w:val="single" w:sz="6" w:space="0" w:color="000000"/>
              <w:bottom w:val="single" w:sz="6" w:space="0" w:color="000000"/>
              <w:right w:val="single" w:sz="6" w:space="0" w:color="000000"/>
            </w:tcBorders>
          </w:tcPr>
          <w:p w14:paraId="1FBD85A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Normal</w:t>
            </w:r>
          </w:p>
        </w:tc>
      </w:tr>
      <w:tr w:rsidR="00F941DA" w:rsidRPr="00F941DA" w14:paraId="7E524D20" w14:textId="77777777" w:rsidTr="006561A5">
        <w:tc>
          <w:tcPr>
            <w:tcW w:w="1985" w:type="dxa"/>
            <w:tcBorders>
              <w:top w:val="single" w:sz="6" w:space="0" w:color="000000"/>
              <w:left w:val="single" w:sz="6" w:space="0" w:color="000000"/>
              <w:bottom w:val="single" w:sz="6" w:space="0" w:color="000000"/>
              <w:right w:val="single" w:sz="6" w:space="0" w:color="000000"/>
            </w:tcBorders>
          </w:tcPr>
          <w:p w14:paraId="27EAA7D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Boala von Willebrand </w:t>
            </w:r>
          </w:p>
        </w:tc>
        <w:tc>
          <w:tcPr>
            <w:tcW w:w="1276" w:type="dxa"/>
            <w:tcBorders>
              <w:top w:val="single" w:sz="6" w:space="0" w:color="000000"/>
              <w:left w:val="single" w:sz="6" w:space="0" w:color="000000"/>
              <w:bottom w:val="single" w:sz="6" w:space="0" w:color="000000"/>
              <w:right w:val="single" w:sz="6" w:space="0" w:color="000000"/>
            </w:tcBorders>
          </w:tcPr>
          <w:p w14:paraId="7036B9C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Normal </w:t>
            </w:r>
          </w:p>
        </w:tc>
        <w:tc>
          <w:tcPr>
            <w:tcW w:w="2268" w:type="dxa"/>
            <w:tcBorders>
              <w:top w:val="single" w:sz="6" w:space="0" w:color="000000"/>
              <w:left w:val="single" w:sz="6" w:space="0" w:color="000000"/>
              <w:bottom w:val="single" w:sz="6" w:space="0" w:color="000000"/>
              <w:right w:val="single" w:sz="6" w:space="0" w:color="000000"/>
            </w:tcBorders>
          </w:tcPr>
          <w:p w14:paraId="7E80ED3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Normal sau prelungit</w:t>
            </w:r>
          </w:p>
        </w:tc>
        <w:tc>
          <w:tcPr>
            <w:tcW w:w="2409" w:type="dxa"/>
            <w:tcBorders>
              <w:top w:val="single" w:sz="6" w:space="0" w:color="000000"/>
              <w:left w:val="single" w:sz="6" w:space="0" w:color="000000"/>
              <w:bottom w:val="single" w:sz="6" w:space="0" w:color="000000"/>
              <w:right w:val="single" w:sz="6" w:space="0" w:color="000000"/>
            </w:tcBorders>
          </w:tcPr>
          <w:p w14:paraId="331A2BF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Normal sau prelungit</w:t>
            </w:r>
          </w:p>
        </w:tc>
        <w:tc>
          <w:tcPr>
            <w:tcW w:w="1843" w:type="dxa"/>
            <w:tcBorders>
              <w:top w:val="single" w:sz="6" w:space="0" w:color="000000"/>
              <w:left w:val="single" w:sz="6" w:space="0" w:color="000000"/>
              <w:bottom w:val="single" w:sz="6" w:space="0" w:color="000000"/>
              <w:right w:val="single" w:sz="6" w:space="0" w:color="000000"/>
            </w:tcBorders>
          </w:tcPr>
          <w:p w14:paraId="0E16088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Normal sau redus</w:t>
            </w:r>
          </w:p>
        </w:tc>
      </w:tr>
      <w:tr w:rsidR="00F941DA" w:rsidRPr="00F941DA" w14:paraId="0B27171D" w14:textId="77777777" w:rsidTr="006561A5">
        <w:tc>
          <w:tcPr>
            <w:tcW w:w="1985" w:type="dxa"/>
            <w:tcBorders>
              <w:top w:val="single" w:sz="6" w:space="0" w:color="000000"/>
              <w:left w:val="single" w:sz="6" w:space="0" w:color="000000"/>
              <w:bottom w:val="single" w:sz="6" w:space="0" w:color="000000"/>
              <w:right w:val="single" w:sz="6" w:space="0" w:color="000000"/>
            </w:tcBorders>
          </w:tcPr>
          <w:p w14:paraId="3665D14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Defect de trombocite </w:t>
            </w:r>
          </w:p>
        </w:tc>
        <w:tc>
          <w:tcPr>
            <w:tcW w:w="1276" w:type="dxa"/>
            <w:tcBorders>
              <w:top w:val="single" w:sz="6" w:space="0" w:color="000000"/>
              <w:left w:val="single" w:sz="6" w:space="0" w:color="000000"/>
              <w:bottom w:val="single" w:sz="6" w:space="0" w:color="000000"/>
              <w:right w:val="single" w:sz="6" w:space="0" w:color="000000"/>
            </w:tcBorders>
          </w:tcPr>
          <w:p w14:paraId="7B19F54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Normal </w:t>
            </w:r>
          </w:p>
        </w:tc>
        <w:tc>
          <w:tcPr>
            <w:tcW w:w="2268" w:type="dxa"/>
            <w:tcBorders>
              <w:top w:val="single" w:sz="6" w:space="0" w:color="000000"/>
              <w:left w:val="single" w:sz="6" w:space="0" w:color="000000"/>
              <w:bottom w:val="single" w:sz="6" w:space="0" w:color="000000"/>
              <w:right w:val="single" w:sz="6" w:space="0" w:color="000000"/>
            </w:tcBorders>
          </w:tcPr>
          <w:p w14:paraId="2DE4250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Normal </w:t>
            </w:r>
          </w:p>
        </w:tc>
        <w:tc>
          <w:tcPr>
            <w:tcW w:w="2409" w:type="dxa"/>
            <w:tcBorders>
              <w:top w:val="single" w:sz="6" w:space="0" w:color="000000"/>
              <w:left w:val="single" w:sz="6" w:space="0" w:color="000000"/>
              <w:bottom w:val="single" w:sz="6" w:space="0" w:color="000000"/>
              <w:right w:val="single" w:sz="6" w:space="0" w:color="000000"/>
            </w:tcBorders>
          </w:tcPr>
          <w:p w14:paraId="246E1F4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Normal sau prelungit</w:t>
            </w:r>
          </w:p>
        </w:tc>
        <w:tc>
          <w:tcPr>
            <w:tcW w:w="1843" w:type="dxa"/>
            <w:tcBorders>
              <w:top w:val="single" w:sz="6" w:space="0" w:color="000000"/>
              <w:left w:val="single" w:sz="6" w:space="0" w:color="000000"/>
              <w:bottom w:val="single" w:sz="6" w:space="0" w:color="000000"/>
              <w:right w:val="single" w:sz="6" w:space="0" w:color="000000"/>
            </w:tcBorders>
          </w:tcPr>
          <w:p w14:paraId="2FB3433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Normal sau redus</w:t>
            </w:r>
          </w:p>
        </w:tc>
      </w:tr>
    </w:tbl>
    <w:p w14:paraId="75AE5D7E" w14:textId="77777777" w:rsidR="009F1EE3" w:rsidRPr="00F941DA" w:rsidRDefault="009F1EE3" w:rsidP="00D11DF1">
      <w:pPr>
        <w:numPr>
          <w:ilvl w:val="2"/>
          <w:numId w:val="344"/>
        </w:num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D45A030" w14:textId="77777777" w:rsidR="009F1EE3" w:rsidRPr="00F941DA" w:rsidRDefault="009F1EE3" w:rsidP="009F1EE3">
      <w:pPr>
        <w:autoSpaceDE w:val="0"/>
        <w:autoSpaceDN w:val="0"/>
        <w:adjustRightInd w:val="0"/>
        <w:spacing w:after="0" w:line="240" w:lineRule="auto"/>
        <w:ind w:left="709"/>
        <w:jc w:val="both"/>
        <w:rPr>
          <w:rFonts w:ascii="Times New Roman" w:eastAsia="Times New Roman" w:hAnsi="Times New Roman" w:cs="Times New Roman"/>
          <w:sz w:val="24"/>
          <w:szCs w:val="24"/>
          <w:lang w:eastAsia="ro-RO"/>
        </w:rPr>
      </w:pPr>
    </w:p>
    <w:p w14:paraId="331F1D31" w14:textId="77777777" w:rsidR="009F1EE3" w:rsidRPr="00F941DA" w:rsidRDefault="009F1EE3" w:rsidP="006561A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Test de confirmare diagnostică</w:t>
      </w:r>
    </w:p>
    <w:p w14:paraId="4BAFACC7" w14:textId="77777777" w:rsidR="009F1EE3" w:rsidRPr="00F941DA" w:rsidRDefault="009F1EE3" w:rsidP="00D11DF1">
      <w:pPr>
        <w:numPr>
          <w:ilvl w:val="3"/>
          <w:numId w:val="344"/>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determinarea concentraţiei plasmatice a factorului VIII/IX - prin metodă coagulometrică sau cromogenică</w:t>
      </w:r>
    </w:p>
    <w:p w14:paraId="2D842F2D" w14:textId="77777777" w:rsidR="009F1EE3" w:rsidRPr="00F941DA" w:rsidRDefault="009F1EE3" w:rsidP="00D11DF1">
      <w:pPr>
        <w:numPr>
          <w:ilvl w:val="0"/>
          <w:numId w:val="344"/>
        </w:numPr>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pentru persoanele  de sex feminine  carrier (purtătoare ale genei patologice), diagnosticul este completat prin IS-PCR, NGS sau secventiere Sanger; precum si determinarea concentratiei plasmatice a factorului VIII/IX – prin metoda coagulometrica sau cromogenica</w:t>
      </w:r>
    </w:p>
    <w:p w14:paraId="3D720B4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B28075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r w:rsidRPr="00F941DA">
        <w:rPr>
          <w:rFonts w:ascii="Times New Roman" w:eastAsia="Times New Roman" w:hAnsi="Times New Roman" w:cs="Times New Roman"/>
          <w:sz w:val="24"/>
          <w:szCs w:val="24"/>
          <w:u w:val="single"/>
          <w:lang w:eastAsia="ro-RO"/>
        </w:rPr>
        <w:t>Precizarea formei de severitate a hemofiliei</w:t>
      </w:r>
    </w:p>
    <w:p w14:paraId="29ADD525" w14:textId="77777777" w:rsidR="009F1EE3" w:rsidRPr="00F941DA" w:rsidRDefault="009F1EE3" w:rsidP="00D11DF1">
      <w:pPr>
        <w:numPr>
          <w:ilvl w:val="0"/>
          <w:numId w:val="345"/>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determinarea concentraţiei plasmatice a factorului VIII/IX - prin metodă coagulometrică sau cromogenică.</w:t>
      </w:r>
    </w:p>
    <w:p w14:paraId="0CD6A5B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r w:rsidRPr="00F941DA">
        <w:rPr>
          <w:rFonts w:ascii="Times New Roman" w:eastAsia="Times New Roman" w:hAnsi="Times New Roman" w:cs="Times New Roman"/>
          <w:sz w:val="24"/>
          <w:szCs w:val="24"/>
          <w:u w:val="single"/>
          <w:lang w:eastAsia="ro-RO"/>
        </w:rPr>
        <w:t>Identificarea inhibitorilor</w:t>
      </w:r>
    </w:p>
    <w:p w14:paraId="219F2216" w14:textId="6CB32DEF" w:rsidR="009F1EE3" w:rsidRPr="00F941DA" w:rsidRDefault="009F1EE3" w:rsidP="00D11DF1">
      <w:pPr>
        <w:numPr>
          <w:ilvl w:val="0"/>
          <w:numId w:val="345"/>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determinarea inhibitorilor anti-FVIII sau anti-FIX, testul cel mai </w:t>
      </w:r>
      <w:r w:rsidR="006561A5" w:rsidRPr="00F941DA">
        <w:rPr>
          <w:rFonts w:ascii="Times New Roman" w:eastAsia="Times New Roman" w:hAnsi="Times New Roman" w:cs="Times New Roman"/>
          <w:sz w:val="24"/>
          <w:szCs w:val="24"/>
          <w:lang w:eastAsia="ro-RO"/>
        </w:rPr>
        <w:t>accesibil fiind testul Bethesda</w:t>
      </w:r>
      <w:r w:rsidRPr="00F941DA">
        <w:rPr>
          <w:rFonts w:ascii="Times New Roman" w:eastAsia="Times New Roman" w:hAnsi="Times New Roman" w:cs="Times New Roman"/>
          <w:sz w:val="24"/>
          <w:szCs w:val="24"/>
          <w:lang w:eastAsia="ro-RO"/>
        </w:rPr>
        <w:t>,</w:t>
      </w:r>
      <w:r w:rsidR="006561A5"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la care se asociaza testele de farmacokinetica - testul de recovery şi timpul de înjumătăţire a FVIII şi FIX</w:t>
      </w:r>
    </w:p>
    <w:p w14:paraId="70EB74F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53006C7" w14:textId="77777777" w:rsidR="006561A5" w:rsidRPr="00F941DA" w:rsidRDefault="006561A5"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E80D1BD" w14:textId="77777777" w:rsidR="006561A5" w:rsidRPr="00F941DA" w:rsidRDefault="006561A5"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EFB2A83" w14:textId="77777777" w:rsidR="006561A5" w:rsidRPr="00F941DA" w:rsidRDefault="006561A5"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49A97D0" w14:textId="77777777" w:rsidR="006561A5" w:rsidRPr="00F941DA" w:rsidRDefault="006561A5"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9BEF78E" w14:textId="77777777" w:rsidR="006561A5" w:rsidRPr="00F941DA" w:rsidRDefault="006561A5"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3F312CE" w14:textId="6893A233" w:rsidR="009F1EE3" w:rsidRPr="00F941DA" w:rsidRDefault="009F1EE3" w:rsidP="006561A5">
      <w:pPr>
        <w:autoSpaceDE w:val="0"/>
        <w:autoSpaceDN w:val="0"/>
        <w:adjustRightInd w:val="0"/>
        <w:jc w:val="both"/>
        <w:rPr>
          <w:rFonts w:ascii="Times New Roman" w:hAnsi="Times New Roman" w:cs="Times New Roman"/>
          <w:b/>
          <w:sz w:val="24"/>
          <w:szCs w:val="24"/>
        </w:rPr>
      </w:pPr>
      <w:r w:rsidRPr="00F941DA">
        <w:rPr>
          <w:rFonts w:ascii="Times New Roman" w:hAnsi="Times New Roman" w:cs="Times New Roman"/>
          <w:b/>
          <w:sz w:val="24"/>
          <w:szCs w:val="24"/>
        </w:rPr>
        <w:lastRenderedPageBreak/>
        <w:t>PROTOCOL DE TRATAMENT AL HEMOFILIEI CONGENITALE</w:t>
      </w:r>
    </w:p>
    <w:p w14:paraId="6F25320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0FD953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A. TRATAMENTUL SAU SUBSTITUŢIA PROFILACTICĂ CONTINUĂ</w:t>
      </w:r>
    </w:p>
    <w:p w14:paraId="1B52CBF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26823F7" w14:textId="050D51D3"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Definiţii:</w:t>
      </w:r>
    </w:p>
    <w:p w14:paraId="0038A086" w14:textId="77777777" w:rsidR="009F1EE3" w:rsidRPr="00F941DA" w:rsidRDefault="009F1EE3" w:rsidP="00D11DF1">
      <w:pPr>
        <w:pStyle w:val="ListParagraph"/>
        <w:numPr>
          <w:ilvl w:val="0"/>
          <w:numId w:val="411"/>
        </w:numPr>
        <w:autoSpaceDE w:val="0"/>
        <w:autoSpaceDN w:val="0"/>
        <w:adjustRightInd w:val="0"/>
        <w:ind w:left="709" w:hanging="425"/>
        <w:jc w:val="both"/>
        <w:rPr>
          <w:color w:val="auto"/>
        </w:rPr>
      </w:pPr>
      <w:r w:rsidRPr="00F941DA">
        <w:rPr>
          <w:color w:val="auto"/>
          <w:u w:val="single"/>
        </w:rPr>
        <w:t>Profilaxie primară continuă</w:t>
      </w:r>
      <w:r w:rsidRPr="00F941DA">
        <w:rPr>
          <w:color w:val="auto"/>
        </w:rPr>
        <w:t>: tratament continuu (cel puţin 45 săptămâni/an) regulat iniţiat înainte de apariţia afectării articulare documentată clinic şi/sau imagistic, înainte de apariţia celei de-a doua hemartroze la nivelul articulaţiilor mari*) şi înaintea vârstei de 2 - 3 ani.</w:t>
      </w:r>
    </w:p>
    <w:p w14:paraId="1772F220" w14:textId="77777777" w:rsidR="009F1EE3" w:rsidRPr="00F941DA" w:rsidRDefault="009F1EE3" w:rsidP="00D11DF1">
      <w:pPr>
        <w:pStyle w:val="ListParagraph"/>
        <w:numPr>
          <w:ilvl w:val="0"/>
          <w:numId w:val="411"/>
        </w:numPr>
        <w:autoSpaceDE w:val="0"/>
        <w:autoSpaceDN w:val="0"/>
        <w:adjustRightInd w:val="0"/>
        <w:ind w:left="709" w:hanging="425"/>
        <w:jc w:val="both"/>
        <w:rPr>
          <w:color w:val="auto"/>
        </w:rPr>
      </w:pPr>
      <w:r w:rsidRPr="00F941DA">
        <w:rPr>
          <w:color w:val="auto"/>
          <w:u w:val="single"/>
        </w:rPr>
        <w:t>Profilaxie secundară continuă:</w:t>
      </w:r>
      <w:r w:rsidRPr="00F941DA">
        <w:rPr>
          <w:color w:val="auto"/>
        </w:rPr>
        <w:t xml:space="preserve"> tratament continuu (cel puţin 45 săptămâni/an), regulat, iniţiat după apariţia a două sau mai multe hemartroze la nivelul articulaţiilor mari</w:t>
      </w:r>
      <w:r w:rsidRPr="00F941DA">
        <w:rPr>
          <w:color w:val="auto"/>
          <w:vertAlign w:val="superscript"/>
        </w:rPr>
        <w:t>*)</w:t>
      </w:r>
      <w:r w:rsidRPr="00F941DA">
        <w:rPr>
          <w:color w:val="auto"/>
        </w:rPr>
        <w:t xml:space="preserve"> dar înainte de apariţia afectării articulare documentată clinic şi/sau imagistic.</w:t>
      </w:r>
    </w:p>
    <w:p w14:paraId="5CDF6E1B" w14:textId="77777777" w:rsidR="009F1EE3" w:rsidRPr="00F941DA" w:rsidRDefault="009F1EE3" w:rsidP="00D11DF1">
      <w:pPr>
        <w:pStyle w:val="ListParagraph"/>
        <w:numPr>
          <w:ilvl w:val="0"/>
          <w:numId w:val="411"/>
        </w:numPr>
        <w:autoSpaceDE w:val="0"/>
        <w:autoSpaceDN w:val="0"/>
        <w:adjustRightInd w:val="0"/>
        <w:ind w:left="709" w:hanging="425"/>
        <w:jc w:val="both"/>
        <w:rPr>
          <w:color w:val="auto"/>
        </w:rPr>
      </w:pPr>
      <w:r w:rsidRPr="00F941DA">
        <w:rPr>
          <w:color w:val="auto"/>
          <w:u w:val="single"/>
        </w:rPr>
        <w:t>Profilaxie terţiară:</w:t>
      </w:r>
      <w:r w:rsidRPr="00F941DA">
        <w:rPr>
          <w:color w:val="auto"/>
        </w:rPr>
        <w:t xml:space="preserve"> tratament continuu (cel puţin 45 săptămâni/an), regulat, iniţiat după debutul afectării articulare documentată clinic şi imagistic.</w:t>
      </w:r>
    </w:p>
    <w:p w14:paraId="028FDE9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_____________</w:t>
      </w:r>
    </w:p>
    <w:p w14:paraId="645A5BE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Articulaţii mari: gleznă, genunchi, şold, cot şi umăr.</w:t>
      </w:r>
    </w:p>
    <w:p w14:paraId="7985B1F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90884C2" w14:textId="77777777" w:rsidR="009F1EE3" w:rsidRPr="00F941DA" w:rsidRDefault="009F1EE3" w:rsidP="006B2949">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i/>
          <w:sz w:val="24"/>
          <w:szCs w:val="24"/>
          <w:u w:val="single"/>
          <w:lang w:eastAsia="ro-RO"/>
        </w:rPr>
        <w:t>Tratamentul continuu</w:t>
      </w:r>
      <w:r w:rsidRPr="00F941DA">
        <w:rPr>
          <w:rFonts w:ascii="Times New Roman" w:eastAsia="Times New Roman" w:hAnsi="Times New Roman" w:cs="Times New Roman"/>
          <w:sz w:val="24"/>
          <w:szCs w:val="24"/>
          <w:u w:val="single"/>
          <w:lang w:eastAsia="ro-RO"/>
        </w:rPr>
        <w:t>:</w:t>
      </w:r>
      <w:r w:rsidRPr="00F941DA">
        <w:rPr>
          <w:rFonts w:ascii="Times New Roman" w:eastAsia="Times New Roman" w:hAnsi="Times New Roman" w:cs="Times New Roman"/>
          <w:sz w:val="24"/>
          <w:szCs w:val="24"/>
          <w:lang w:eastAsia="ro-RO"/>
        </w:rPr>
        <w:t xml:space="preserve"> definit ca intenţia de tratament pentru 52 de săptămâni pe an şi un minim de administrări definit a priori pentru cel puţin 45 săptămâni (85%) pe an.</w:t>
      </w:r>
    </w:p>
    <w:p w14:paraId="76D9B30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4E4AF06" w14:textId="77777777" w:rsidR="006B2949" w:rsidRPr="00F941DA" w:rsidRDefault="006B2949"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Obiective</w:t>
      </w:r>
    </w:p>
    <w:p w14:paraId="18B72337" w14:textId="24692B9E" w:rsidR="009F1EE3" w:rsidRPr="00F941DA" w:rsidRDefault="006B2949"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w:t>
      </w:r>
      <w:r w:rsidR="009F1EE3" w:rsidRPr="00F941DA">
        <w:rPr>
          <w:rFonts w:ascii="Times New Roman" w:eastAsia="Times New Roman" w:hAnsi="Times New Roman" w:cs="Times New Roman"/>
          <w:sz w:val="24"/>
          <w:szCs w:val="24"/>
          <w:lang w:eastAsia="ro-RO"/>
        </w:rPr>
        <w:t>revenirea accidentelor hemoragice, ameliorarea bolii cronice articulare, îmbunătăţirea calităţii vieţii pacienţilor cu hemofilie.</w:t>
      </w:r>
    </w:p>
    <w:p w14:paraId="44CEA3A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6696A74" w14:textId="589D6F62"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Criterii de includere</w:t>
      </w:r>
    </w:p>
    <w:p w14:paraId="5525B8BC" w14:textId="4B315B3E"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Toate persoanele cu hemofilie cu forme severe sau moderate cu fenoti</w:t>
      </w:r>
      <w:r w:rsidR="006B2949" w:rsidRPr="00F941DA">
        <w:rPr>
          <w:rFonts w:ascii="Times New Roman" w:eastAsia="Times New Roman" w:hAnsi="Times New Roman" w:cs="Times New Roman"/>
          <w:sz w:val="24"/>
          <w:szCs w:val="24"/>
          <w:lang w:eastAsia="ro-RO"/>
        </w:rPr>
        <w:t>p sever</w:t>
      </w:r>
      <w:r w:rsidRPr="00F941DA">
        <w:rPr>
          <w:rFonts w:ascii="Times New Roman" w:eastAsia="Times New Roman" w:hAnsi="Times New Roman" w:cs="Times New Roman"/>
          <w:sz w:val="24"/>
          <w:szCs w:val="24"/>
          <w:vertAlign w:val="superscript"/>
          <w:lang w:eastAsia="ro-RO"/>
        </w:rPr>
        <w:t>*</w:t>
      </w:r>
      <w:r w:rsidRPr="00F941DA">
        <w:rPr>
          <w:rFonts w:ascii="Times New Roman" w:eastAsia="Times New Roman" w:hAnsi="Times New Roman" w:cs="Times New Roman"/>
          <w:sz w:val="24"/>
          <w:szCs w:val="24"/>
          <w:lang w:eastAsia="ro-RO"/>
        </w:rPr>
        <w:t xml:space="preserve">, indiferent de varstă </w:t>
      </w:r>
    </w:p>
    <w:p w14:paraId="232CE0E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_____________</w:t>
      </w:r>
    </w:p>
    <w:p w14:paraId="0BBD119B" w14:textId="6DB7AF3F" w:rsidR="009F1EE3" w:rsidRPr="00F941DA" w:rsidRDefault="006B2949"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 </w:t>
      </w:r>
      <w:r w:rsidR="009F1EE3" w:rsidRPr="00F941DA">
        <w:rPr>
          <w:rFonts w:ascii="Times New Roman" w:eastAsia="Times New Roman" w:hAnsi="Times New Roman" w:cs="Times New Roman"/>
          <w:sz w:val="20"/>
          <w:szCs w:val="20"/>
          <w:lang w:eastAsia="ro-RO"/>
        </w:rPr>
        <w:t>fenotip sever = cel puţin 4 sângerări într-o perioadă de 6 luni documentat clini</w:t>
      </w:r>
    </w:p>
    <w:p w14:paraId="6F591B4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87981C9" w14:textId="2AC6ED2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Tratament</w:t>
      </w:r>
    </w:p>
    <w:p w14:paraId="7874DEF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Produse:</w:t>
      </w:r>
    </w:p>
    <w:p w14:paraId="369BDAD1" w14:textId="77777777" w:rsidR="009F1EE3" w:rsidRPr="00F941DA" w:rsidRDefault="009F1EE3" w:rsidP="00D11DF1">
      <w:pPr>
        <w:numPr>
          <w:ilvl w:val="0"/>
          <w:numId w:val="346"/>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u w:val="single"/>
          <w:lang w:eastAsia="ro-RO"/>
        </w:rPr>
        <w:t>Hemofilia A:</w:t>
      </w:r>
      <w:r w:rsidRPr="00F941DA">
        <w:rPr>
          <w:rFonts w:ascii="Times New Roman" w:eastAsia="Times New Roman" w:hAnsi="Times New Roman" w:cs="Times New Roman"/>
          <w:sz w:val="24"/>
          <w:szCs w:val="24"/>
          <w:lang w:eastAsia="ro-RO"/>
        </w:rPr>
        <w:t xml:space="preserve"> Factor VIII de coagulare plasmatic sau recombinant ( preparate cu  timp de injumătățire standard-SHL și cu timp de injumătățire prelungit -EHL), preparate non-factor; preparate eliberate din farmaciile cu circuit inchis ale unitaților sanitare prin care se derulează programul național.</w:t>
      </w:r>
    </w:p>
    <w:p w14:paraId="14265946" w14:textId="77777777" w:rsidR="009F1EE3" w:rsidRPr="00F941DA" w:rsidRDefault="009F1EE3" w:rsidP="00D11DF1">
      <w:pPr>
        <w:numPr>
          <w:ilvl w:val="0"/>
          <w:numId w:val="346"/>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u w:val="single"/>
          <w:lang w:eastAsia="ro-RO"/>
        </w:rPr>
        <w:t>Hemofilia B:</w:t>
      </w:r>
      <w:r w:rsidRPr="00F941DA">
        <w:rPr>
          <w:rFonts w:ascii="Times New Roman" w:eastAsia="Times New Roman" w:hAnsi="Times New Roman" w:cs="Times New Roman"/>
          <w:sz w:val="24"/>
          <w:szCs w:val="24"/>
          <w:lang w:eastAsia="ro-RO"/>
        </w:rPr>
        <w:t xml:space="preserve"> Factor IX de coagulare plasmatic sau recombinant ( preparate cu SHL si EHL; preparate eliberate din farmaciile cu circuit inchis ale unitatilor sanitare prin care se derulează programul)</w:t>
      </w:r>
    </w:p>
    <w:p w14:paraId="1E3B81A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Doze:</w:t>
      </w:r>
    </w:p>
    <w:p w14:paraId="6BE90E53" w14:textId="77777777" w:rsidR="009F1EE3" w:rsidRPr="00F941DA" w:rsidRDefault="009F1EE3" w:rsidP="00D11DF1">
      <w:pPr>
        <w:numPr>
          <w:ilvl w:val="0"/>
          <w:numId w:val="34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u w:val="single"/>
          <w:lang w:eastAsia="ro-RO"/>
        </w:rPr>
        <w:t>Hemofilia A:</w:t>
      </w:r>
      <w:r w:rsidRPr="00F941DA">
        <w:rPr>
          <w:rFonts w:ascii="Times New Roman" w:eastAsia="Times New Roman" w:hAnsi="Times New Roman" w:cs="Times New Roman"/>
          <w:sz w:val="24"/>
          <w:szCs w:val="24"/>
          <w:lang w:eastAsia="ro-RO"/>
        </w:rPr>
        <w:t xml:space="preserve"> concentrate de FVIII de coagulare cu 25 - 50 UI factor VIII/kg/doza, de 3 - 4 ori pe săptămână în zile alternative sau chiar zilnic, în funcţie de fenotipul sângerării fiecărui pacient</w:t>
      </w:r>
      <w:r w:rsidRPr="00F941DA">
        <w:rPr>
          <w:rFonts w:ascii="Times New Roman" w:eastAsia="Times New Roman" w:hAnsi="Times New Roman" w:cs="Times New Roman"/>
          <w:sz w:val="24"/>
          <w:szCs w:val="24"/>
          <w:lang w:val="pt-BR" w:eastAsia="ro-RO"/>
        </w:rPr>
        <w:t>: preparatele cu EHL se administrează la interval mai lungi de 2-3 ori pe saptamana, iar tratamentul cu preparate non-factor cu regim de o administrare /1, 2 sau 4 săptămâni</w:t>
      </w:r>
    </w:p>
    <w:p w14:paraId="66D76443" w14:textId="77777777" w:rsidR="009F1EE3" w:rsidRPr="00F941DA" w:rsidRDefault="009F1EE3" w:rsidP="00D11DF1">
      <w:pPr>
        <w:numPr>
          <w:ilvl w:val="0"/>
          <w:numId w:val="34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u w:val="single"/>
          <w:lang w:eastAsia="ro-RO"/>
        </w:rPr>
        <w:t>Hemofilia B:</w:t>
      </w:r>
      <w:r w:rsidRPr="00F941DA">
        <w:rPr>
          <w:rFonts w:ascii="Times New Roman" w:eastAsia="Times New Roman" w:hAnsi="Times New Roman" w:cs="Times New Roman"/>
          <w:sz w:val="24"/>
          <w:szCs w:val="24"/>
          <w:lang w:eastAsia="ro-RO"/>
        </w:rPr>
        <w:t xml:space="preserve"> concentrate de FIX de coagulare cu 25 - 50 UI factor IX/kg/doza de 2 ori pe săptămână la 3 - 4 zile interval sau în funcţie de fenotipul sângerării fiecărui pacient.</w:t>
      </w:r>
      <w:r w:rsidRPr="00F941DA">
        <w:rPr>
          <w:rFonts w:ascii="Times New Roman" w:eastAsia="Times New Roman" w:hAnsi="Times New Roman" w:cs="Times New Roman"/>
          <w:sz w:val="24"/>
          <w:szCs w:val="24"/>
          <w:lang w:val="pt-BR" w:eastAsia="ro-RO"/>
        </w:rPr>
        <w:t>; preparatele cu EHL se administrează la interval mai lungi de 1-2 /săptămână,,</w:t>
      </w:r>
    </w:p>
    <w:p w14:paraId="702E3D9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u w:val="single"/>
          <w:lang w:val="pt-BR" w:eastAsia="ro-RO"/>
        </w:rPr>
      </w:pPr>
      <w:r w:rsidRPr="00F941DA">
        <w:rPr>
          <w:rFonts w:ascii="Times New Roman" w:eastAsia="Times New Roman" w:hAnsi="Times New Roman" w:cs="Times New Roman"/>
          <w:sz w:val="24"/>
          <w:szCs w:val="24"/>
          <w:u w:val="single"/>
          <w:lang w:val="pt-BR" w:eastAsia="ro-RO"/>
        </w:rPr>
        <w:t>In principiu, in functie de fenotipul de sângerare al bolnavului se poate alege regimul :</w:t>
      </w:r>
    </w:p>
    <w:p w14:paraId="38FD0512" w14:textId="69D33D3F" w:rsidR="009F1EE3" w:rsidRPr="00F941DA" w:rsidRDefault="009F1EE3" w:rsidP="00D11DF1">
      <w:pPr>
        <w:pStyle w:val="ListParagraph"/>
        <w:numPr>
          <w:ilvl w:val="0"/>
          <w:numId w:val="412"/>
        </w:numPr>
        <w:autoSpaceDE w:val="0"/>
        <w:autoSpaceDN w:val="0"/>
        <w:adjustRightInd w:val="0"/>
        <w:jc w:val="both"/>
        <w:rPr>
          <w:color w:val="auto"/>
          <w:u w:val="single"/>
          <w:lang w:val="pt-BR"/>
        </w:rPr>
      </w:pPr>
      <w:r w:rsidRPr="00F941DA">
        <w:rPr>
          <w:color w:val="auto"/>
          <w:u w:val="single"/>
          <w:lang w:val="pt-BR"/>
        </w:rPr>
        <w:t>cu doze mari -20-50 UI/kg/doza  (&gt; 4000 UI/kg saptamana )</w:t>
      </w:r>
    </w:p>
    <w:p w14:paraId="5DB86744" w14:textId="67E19883" w:rsidR="009F1EE3" w:rsidRPr="00F941DA" w:rsidRDefault="009F1EE3" w:rsidP="00D11DF1">
      <w:pPr>
        <w:pStyle w:val="ListParagraph"/>
        <w:numPr>
          <w:ilvl w:val="0"/>
          <w:numId w:val="412"/>
        </w:numPr>
        <w:autoSpaceDE w:val="0"/>
        <w:autoSpaceDN w:val="0"/>
        <w:adjustRightInd w:val="0"/>
        <w:jc w:val="both"/>
        <w:rPr>
          <w:color w:val="auto"/>
          <w:u w:val="single"/>
          <w:lang w:val="pt-BR"/>
        </w:rPr>
      </w:pPr>
      <w:r w:rsidRPr="00F941DA">
        <w:rPr>
          <w:color w:val="auto"/>
          <w:u w:val="single"/>
          <w:lang w:val="pt-BR"/>
        </w:rPr>
        <w:t>cu doze intermediare -15-20 UI/kg doza  ( 1500-4000 UI/kg/saptamana</w:t>
      </w:r>
    </w:p>
    <w:p w14:paraId="065E92D8" w14:textId="54A4D8BE" w:rsidR="009F1EE3" w:rsidRPr="00F941DA" w:rsidRDefault="009F1EE3" w:rsidP="00D11DF1">
      <w:pPr>
        <w:pStyle w:val="ListParagraph"/>
        <w:numPr>
          <w:ilvl w:val="0"/>
          <w:numId w:val="412"/>
        </w:numPr>
        <w:autoSpaceDE w:val="0"/>
        <w:autoSpaceDN w:val="0"/>
        <w:adjustRightInd w:val="0"/>
        <w:jc w:val="both"/>
        <w:rPr>
          <w:color w:val="auto"/>
          <w:lang w:val="pt-BR"/>
        </w:rPr>
      </w:pPr>
      <w:r w:rsidRPr="00F941DA">
        <w:rPr>
          <w:color w:val="auto"/>
          <w:u w:val="single"/>
          <w:lang w:val="pt-BR"/>
        </w:rPr>
        <w:t>cu doze mici -10-15 U/kg/doza (1000-1500 UI/kg/sapt ) cu cresterea dozei la nevoie</w:t>
      </w:r>
    </w:p>
    <w:p w14:paraId="7534149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0F99E99" w14:textId="6B497FFC"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F941DA">
        <w:rPr>
          <w:rFonts w:ascii="Times New Roman" w:eastAsia="Times New Roman" w:hAnsi="Times New Roman" w:cs="Times New Roman"/>
          <w:sz w:val="24"/>
          <w:szCs w:val="24"/>
          <w:lang w:eastAsia="ro-RO"/>
        </w:rPr>
        <w:t>Mod de administrare: pe cale intravenoasă, lent. La iniţiere şi la vârste foarte mici intervalul de administrare trebuie stabilit de medicul hematolog sau pediatru cu competenta de hematologie, făcându-se cu doze mai mici şi la interval mai mare, cu escaladare progresivă, în funcţie de fenotipul fiecărui pacient.</w:t>
      </w:r>
      <w:r w:rsidRPr="00F941DA">
        <w:rPr>
          <w:rFonts w:ascii="Times New Roman" w:eastAsia="Times New Roman" w:hAnsi="Times New Roman" w:cs="Times New Roman"/>
          <w:sz w:val="24"/>
          <w:szCs w:val="24"/>
          <w:lang w:val="pt-BR" w:eastAsia="ro-RO"/>
        </w:rPr>
        <w:t>Preparatele non –factor se administrează subcutanat (a se vedea protocolul terapeutic B02BX06)</w:t>
      </w:r>
    </w:p>
    <w:p w14:paraId="73462374" w14:textId="7DBFCCBF"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lastRenderedPageBreak/>
        <w:t>Monitorizarea tratamentului</w:t>
      </w:r>
    </w:p>
    <w:p w14:paraId="64CB0B1B" w14:textId="77777777" w:rsidR="009F1EE3" w:rsidRPr="00F941DA" w:rsidRDefault="009F1EE3" w:rsidP="00D11DF1">
      <w:pPr>
        <w:numPr>
          <w:ilvl w:val="0"/>
          <w:numId w:val="34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Monitorizarea clinică şi paraclinică la cel mult 3 luni a evenimentelor hemoragice şi a statusului articular</w:t>
      </w:r>
    </w:p>
    <w:p w14:paraId="5C75EF49" w14:textId="77777777" w:rsidR="009F1EE3" w:rsidRPr="00F941DA" w:rsidRDefault="009F1EE3" w:rsidP="00D11DF1">
      <w:pPr>
        <w:numPr>
          <w:ilvl w:val="0"/>
          <w:numId w:val="34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Monitorizarea  trebuie sa aibă in vedere controlul personalizat al profilaxiei , concentrația plasmatică a factorului de coagulare  vizată  fiind in mod permanent de minimum  3-5%</w:t>
      </w:r>
    </w:p>
    <w:p w14:paraId="3369B39D" w14:textId="77777777" w:rsidR="009F1EE3" w:rsidRPr="00F941DA" w:rsidRDefault="009F1EE3" w:rsidP="00D11DF1">
      <w:pPr>
        <w:numPr>
          <w:ilvl w:val="0"/>
          <w:numId w:val="34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 cu atenţie, prin examinare clinică şi testele adecvate de laborator, pentru a decela dezvoltarea anticorpilor inhibitori, după cum urmează:</w:t>
      </w:r>
    </w:p>
    <w:p w14:paraId="791C5DAE" w14:textId="77777777" w:rsidR="009F1EE3" w:rsidRPr="00F941DA" w:rsidRDefault="009F1EE3" w:rsidP="00D11DF1">
      <w:pPr>
        <w:numPr>
          <w:ilvl w:val="0"/>
          <w:numId w:val="345"/>
        </w:numPr>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la copii, la iniţierea tratamentului substitutiv, dozarea inhibitorilor trebuie făcută o dată la fiecare 5 zile de expunere până se ajunge la 20 de zile de expunere, ulterior testarea se face la fiecare 10 zile de expunere până la atingerea a 21 - 50 de zile de expunere şi apoi de cel puţin 2 ori pe an până la 150 de zile de expunere; ulterior determinarea inhibitorilor trebuie efectuată cel puţin o dată pe an, înainte de intervenţii chirurgicale sau în caz de răspuns suboptimal; este necesar controlul inhibitorilor şi după substituţii masive (peste 5 zile), la cei cu mutaţii favorizante pentru inhibitori sau post-chirurgical.</w:t>
      </w:r>
    </w:p>
    <w:p w14:paraId="5042DFA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08A3AC5" w14:textId="421EB24C"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Criterii de schimbare a tratamentului</w:t>
      </w:r>
    </w:p>
    <w:p w14:paraId="41FD6724" w14:textId="77777777" w:rsidR="009F1EE3" w:rsidRPr="00F941DA" w:rsidRDefault="009F1EE3" w:rsidP="00D11DF1">
      <w:pPr>
        <w:numPr>
          <w:ilvl w:val="3"/>
          <w:numId w:val="349"/>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Hipersensibilitate la substanţa activă sau la oricare dintre excipienţi sau la proteinele de şoarece sau hamster cu recomandarea schimbării produsului biologic de tratament</w:t>
      </w:r>
    </w:p>
    <w:p w14:paraId="316AA62C" w14:textId="77777777" w:rsidR="009F1EE3" w:rsidRPr="00F941DA" w:rsidRDefault="009F1EE3" w:rsidP="00D11DF1">
      <w:pPr>
        <w:numPr>
          <w:ilvl w:val="3"/>
          <w:numId w:val="349"/>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Modificarea protocolului individual la pacienţii care necesită doze şi ritm crescute de administrare (regim alternativ 1 zi da 1 zi nu sau zilnic)</w:t>
      </w:r>
    </w:p>
    <w:p w14:paraId="6375B482" w14:textId="77777777" w:rsidR="009F1EE3" w:rsidRPr="00F941DA" w:rsidRDefault="009F1EE3" w:rsidP="00D11DF1">
      <w:pPr>
        <w:numPr>
          <w:ilvl w:val="3"/>
          <w:numId w:val="349"/>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Dezvoltarea inhibitorilor anti-FVIII sau anti-FIX de coagulare.</w:t>
      </w:r>
    </w:p>
    <w:p w14:paraId="359AC6DA" w14:textId="77777777" w:rsidR="009F1EE3" w:rsidRPr="00F941DA" w:rsidRDefault="009F1EE3" w:rsidP="009F1EE3">
      <w:pPr>
        <w:autoSpaceDE w:val="0"/>
        <w:autoSpaceDN w:val="0"/>
        <w:adjustRightInd w:val="0"/>
        <w:spacing w:after="0" w:line="240" w:lineRule="auto"/>
        <w:ind w:left="709"/>
        <w:jc w:val="both"/>
        <w:rPr>
          <w:rFonts w:ascii="Times New Roman" w:eastAsia="Times New Roman" w:hAnsi="Times New Roman" w:cs="Times New Roman"/>
          <w:sz w:val="24"/>
          <w:szCs w:val="24"/>
          <w:lang w:eastAsia="ro-RO"/>
        </w:rPr>
      </w:pPr>
    </w:p>
    <w:p w14:paraId="1880A6FA" w14:textId="77777777" w:rsidR="006B2949" w:rsidRPr="00F941DA" w:rsidRDefault="006B2949" w:rsidP="009F1EE3">
      <w:pPr>
        <w:autoSpaceDE w:val="0"/>
        <w:autoSpaceDN w:val="0"/>
        <w:adjustRightInd w:val="0"/>
        <w:spacing w:after="0" w:line="240" w:lineRule="auto"/>
        <w:ind w:left="709"/>
        <w:jc w:val="both"/>
        <w:rPr>
          <w:rFonts w:ascii="Times New Roman" w:eastAsia="Times New Roman" w:hAnsi="Times New Roman" w:cs="Times New Roman"/>
          <w:sz w:val="24"/>
          <w:szCs w:val="24"/>
          <w:lang w:eastAsia="ro-RO"/>
        </w:rPr>
      </w:pPr>
    </w:p>
    <w:p w14:paraId="0DCB7B0E" w14:textId="2A196E4C" w:rsidR="009F1EE3" w:rsidRPr="00F941DA" w:rsidRDefault="006B2949" w:rsidP="009F1EE3">
      <w:pPr>
        <w:autoSpaceDE w:val="0"/>
        <w:autoSpaceDN w:val="0"/>
        <w:adjustRightInd w:val="0"/>
        <w:spacing w:after="0" w:line="240" w:lineRule="auto"/>
        <w:jc w:val="both"/>
        <w:rPr>
          <w:rFonts w:ascii="Times New Roman" w:eastAsia="Times New Roman" w:hAnsi="Times New Roman" w:cs="Times New Roman"/>
          <w:b/>
          <w:strike/>
          <w:sz w:val="24"/>
          <w:szCs w:val="24"/>
          <w:lang w:eastAsia="ro-RO"/>
        </w:rPr>
      </w:pPr>
      <w:r w:rsidRPr="00F941DA">
        <w:rPr>
          <w:rFonts w:ascii="Times New Roman" w:eastAsia="Times New Roman" w:hAnsi="Times New Roman" w:cs="Times New Roman"/>
          <w:b/>
          <w:sz w:val="24"/>
          <w:szCs w:val="24"/>
          <w:lang w:eastAsia="ro-RO"/>
        </w:rPr>
        <w:t xml:space="preserve">B. </w:t>
      </w:r>
      <w:r w:rsidR="009F1EE3" w:rsidRPr="00F941DA">
        <w:rPr>
          <w:rFonts w:ascii="Times New Roman" w:eastAsia="Times New Roman" w:hAnsi="Times New Roman" w:cs="Times New Roman"/>
          <w:b/>
          <w:sz w:val="24"/>
          <w:szCs w:val="24"/>
          <w:lang w:eastAsia="ro-RO"/>
        </w:rPr>
        <w:t>TRATAMENTUL SAU SUBSTITUŢIA PROFILACTICĂ INTERMITENTĂ</w:t>
      </w:r>
    </w:p>
    <w:p w14:paraId="523C841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6A4C63D" w14:textId="1A928DF4"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b/>
          <w:sz w:val="24"/>
          <w:szCs w:val="24"/>
          <w:lang w:eastAsia="ro-RO"/>
        </w:rPr>
        <w:t>Definiţie</w:t>
      </w:r>
      <w:r w:rsidRPr="00F941DA">
        <w:rPr>
          <w:rFonts w:ascii="Times New Roman" w:eastAsia="Times New Roman" w:hAnsi="Times New Roman" w:cs="Times New Roman"/>
          <w:sz w:val="24"/>
          <w:szCs w:val="24"/>
          <w:lang w:eastAsia="ro-RO"/>
        </w:rPr>
        <w:t>:</w:t>
      </w:r>
    </w:p>
    <w:p w14:paraId="2A56087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trike/>
          <w:sz w:val="24"/>
          <w:szCs w:val="24"/>
          <w:lang w:eastAsia="ro-RO"/>
        </w:rPr>
      </w:pPr>
      <w:r w:rsidRPr="00F941DA">
        <w:rPr>
          <w:rFonts w:ascii="Times New Roman" w:eastAsia="Times New Roman" w:hAnsi="Times New Roman" w:cs="Times New Roman"/>
          <w:sz w:val="24"/>
          <w:szCs w:val="24"/>
          <w:u w:val="single"/>
          <w:lang w:eastAsia="ro-RO"/>
        </w:rPr>
        <w:t>Profilaxia intermitentă (periodică):</w:t>
      </w:r>
      <w:r w:rsidRPr="00F941DA">
        <w:rPr>
          <w:rFonts w:ascii="Times New Roman" w:eastAsia="Times New Roman" w:hAnsi="Times New Roman" w:cs="Times New Roman"/>
          <w:sz w:val="24"/>
          <w:szCs w:val="24"/>
          <w:lang w:eastAsia="ro-RO"/>
        </w:rPr>
        <w:t xml:space="preserve">consta din tratament administrat pentru prevenirea sângerărilor pe o perioadă de timp de 12-44 săptămâni/an in forma intermediară si 4-11 săptămâni /an in forma cu durată scurtă </w:t>
      </w:r>
    </w:p>
    <w:p w14:paraId="418FDC9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FD6A6F3" w14:textId="77777777" w:rsidR="006B2949"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xml:space="preserve">Obiective: </w:t>
      </w:r>
    </w:p>
    <w:p w14:paraId="470EE732" w14:textId="5266AB53" w:rsidR="009F1EE3" w:rsidRPr="00F941DA" w:rsidRDefault="006B2949"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w:t>
      </w:r>
      <w:r w:rsidR="009F1EE3" w:rsidRPr="00F941DA">
        <w:rPr>
          <w:rFonts w:ascii="Times New Roman" w:eastAsia="Times New Roman" w:hAnsi="Times New Roman" w:cs="Times New Roman"/>
          <w:sz w:val="24"/>
          <w:szCs w:val="24"/>
          <w:lang w:eastAsia="ro-RO"/>
        </w:rPr>
        <w:t>revenirea accidentelor hemoragice cu ameliorarea bolii cronice articulare sau cu altă localizare cu potenţial risc vital, şi îmbunătăţirea calităţii vieţii pacienţilor cu hemofilie.</w:t>
      </w:r>
    </w:p>
    <w:p w14:paraId="21C84E8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C79FB1F" w14:textId="47C7744E"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Criterii de includere</w:t>
      </w:r>
    </w:p>
    <w:p w14:paraId="0EA398D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Pacienţii cu hemofilie indiferent de vârstă si forma de severitate neincadrati la profilaxia continua :</w:t>
      </w:r>
    </w:p>
    <w:p w14:paraId="352A91D9" w14:textId="77777777" w:rsidR="009F1EE3" w:rsidRPr="00F941DA" w:rsidRDefault="009F1EE3" w:rsidP="00D11DF1">
      <w:pPr>
        <w:numPr>
          <w:ilvl w:val="0"/>
          <w:numId w:val="350"/>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pe perioada curelor de recuperare locomotorie fizio-kinetoterapeutică, perioada stabilită fiind bine documentată.</w:t>
      </w:r>
    </w:p>
    <w:p w14:paraId="3D29F857" w14:textId="77777777" w:rsidR="009F1EE3" w:rsidRPr="00F941DA" w:rsidRDefault="009F1EE3" w:rsidP="00D11DF1">
      <w:pPr>
        <w:numPr>
          <w:ilvl w:val="0"/>
          <w:numId w:val="350"/>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 de articulaţii ţintă (&gt; 4 sângerări într-o articulaţie într-o perioadă de 6 luni) bine documentat.</w:t>
      </w:r>
    </w:p>
    <w:p w14:paraId="0E28F887" w14:textId="77777777" w:rsidR="009F1EE3" w:rsidRPr="00F941DA" w:rsidRDefault="009F1EE3" w:rsidP="00D11DF1">
      <w:pPr>
        <w:numPr>
          <w:ilvl w:val="0"/>
          <w:numId w:val="350"/>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 de efort fizic intensiv (călătorie, ortostatism prelungit, vacanţă/concediu) pe o perioadă care să nu depăşească anual 20 de săptămâni.</w:t>
      </w:r>
    </w:p>
    <w:p w14:paraId="54D2FB21" w14:textId="77777777" w:rsidR="009F1EE3" w:rsidRPr="00F941DA" w:rsidRDefault="009F1EE3" w:rsidP="00D11DF1">
      <w:pPr>
        <w:numPr>
          <w:ilvl w:val="0"/>
          <w:numId w:val="350"/>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prevenirea accidentelor hemoragice cu localizare cu potenţial risc vital bine documentat (vezi tabel nr. 3)</w:t>
      </w:r>
    </w:p>
    <w:p w14:paraId="3CF901A5" w14:textId="77777777" w:rsidR="009F1EE3" w:rsidRPr="00F941DA" w:rsidRDefault="009F1EE3" w:rsidP="00D11DF1">
      <w:pPr>
        <w:numPr>
          <w:ilvl w:val="0"/>
          <w:numId w:val="350"/>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pacienţii la care s-a efectuat protezare articulară</w:t>
      </w:r>
    </w:p>
    <w:p w14:paraId="37C0FCE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1B3A562" w14:textId="49C5B66B"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Tratament</w:t>
      </w:r>
    </w:p>
    <w:p w14:paraId="63DC443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Substituţia se face adaptat la factorul deficitar și fenotipul manifestărilor hemoragice cu:</w:t>
      </w:r>
    </w:p>
    <w:p w14:paraId="1430F05C" w14:textId="77777777" w:rsidR="009F1EE3" w:rsidRPr="00F941DA" w:rsidRDefault="009F1EE3" w:rsidP="00D11DF1">
      <w:pPr>
        <w:numPr>
          <w:ilvl w:val="0"/>
          <w:numId w:val="35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FVIII  SHL sau EHL în hemofilia A ; preparate eliberate din farmaciile cu circuit inchis ale unitatilor sanitare prin care se derulează programul.</w:t>
      </w:r>
    </w:p>
    <w:p w14:paraId="3481BAC3" w14:textId="77777777" w:rsidR="009F1EE3" w:rsidRPr="00F941DA" w:rsidRDefault="009F1EE3" w:rsidP="00D11DF1">
      <w:pPr>
        <w:numPr>
          <w:ilvl w:val="0"/>
          <w:numId w:val="35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FIX  SHL sau EHL în hemofilia B; preparate eliberate din farmaciile cu circuit inchisale unitatilor sanitare prin care se derulează programul.</w:t>
      </w:r>
    </w:p>
    <w:p w14:paraId="6FE68D4C" w14:textId="30D790D7" w:rsidR="009F1EE3" w:rsidRPr="00F941DA" w:rsidRDefault="009F1EE3" w:rsidP="00D11DF1">
      <w:pPr>
        <w:numPr>
          <w:ilvl w:val="0"/>
          <w:numId w:val="352"/>
        </w:numPr>
        <w:autoSpaceDE w:val="0"/>
        <w:autoSpaceDN w:val="0"/>
        <w:adjustRightInd w:val="0"/>
        <w:spacing w:after="0" w:line="240" w:lineRule="auto"/>
        <w:ind w:left="113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durata medie </w:t>
      </w:r>
      <w:r w:rsidRPr="00F941DA">
        <w:rPr>
          <w:rFonts w:ascii="Times New Roman" w:eastAsia="Times New Roman" w:hAnsi="Times New Roman" w:cs="Times New Roman"/>
          <w:sz w:val="24"/>
          <w:szCs w:val="24"/>
          <w:lang w:val="pt-BR" w:eastAsia="ro-RO"/>
        </w:rPr>
        <w:t>in profilaxia  intermitenta intermediara   este</w:t>
      </w:r>
      <w:r w:rsidR="006B2949" w:rsidRPr="00F941DA">
        <w:rPr>
          <w:rFonts w:ascii="Times New Roman" w:eastAsia="Times New Roman" w:hAnsi="Times New Roman" w:cs="Times New Roman"/>
          <w:sz w:val="24"/>
          <w:szCs w:val="24"/>
          <w:lang w:val="pt-BR" w:eastAsia="ro-RO"/>
        </w:rPr>
        <w:t xml:space="preserve"> de până la 45 de săptămâni /an</w:t>
      </w:r>
      <w:r w:rsidRPr="00F941DA">
        <w:rPr>
          <w:rFonts w:ascii="Times New Roman" w:eastAsia="Times New Roman" w:hAnsi="Times New Roman" w:cs="Times New Roman"/>
          <w:sz w:val="24"/>
          <w:szCs w:val="24"/>
          <w:lang w:val="pt-BR" w:eastAsia="ro-RO"/>
        </w:rPr>
        <w:t>, iar in cea de scurta durata</w:t>
      </w:r>
      <w:r w:rsidRPr="00F941DA">
        <w:rPr>
          <w:rFonts w:ascii="Times New Roman" w:eastAsia="Times New Roman" w:hAnsi="Times New Roman" w:cs="Times New Roman"/>
          <w:sz w:val="24"/>
          <w:szCs w:val="24"/>
          <w:lang w:eastAsia="ro-RO"/>
        </w:rPr>
        <w:t xml:space="preserve"> de 4-11  săptămâni </w:t>
      </w:r>
    </w:p>
    <w:p w14:paraId="246545CB" w14:textId="77777777" w:rsidR="006B2949" w:rsidRPr="00F941DA" w:rsidRDefault="006B2949"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7AC7A13B" w14:textId="40F3F7CB"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lastRenderedPageBreak/>
        <w:t>Monitorizarea tratamentului</w:t>
      </w:r>
    </w:p>
    <w:p w14:paraId="578141C1" w14:textId="77777777" w:rsidR="009F1EE3" w:rsidRPr="00F941DA" w:rsidRDefault="009F1EE3" w:rsidP="00D11DF1">
      <w:pPr>
        <w:numPr>
          <w:ilvl w:val="3"/>
          <w:numId w:val="353"/>
        </w:numPr>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Monitorizarea lunară clinică şi paraclinică a evenimentelor hemoragice cu orice localizare sau a statusului articular</w:t>
      </w:r>
    </w:p>
    <w:p w14:paraId="14C4638E" w14:textId="77777777" w:rsidR="009F1EE3" w:rsidRPr="00F941DA" w:rsidRDefault="009F1EE3" w:rsidP="00D11DF1">
      <w:pPr>
        <w:numPr>
          <w:ilvl w:val="3"/>
          <w:numId w:val="353"/>
        </w:numPr>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Monitorizare cu atenţie, prin examinare clinică şi cu testele adecvate de laborator vizându-se o concentrație plasmatică  minimă de factor de 3-5% </w:t>
      </w:r>
    </w:p>
    <w:p w14:paraId="4D2BFB47" w14:textId="77777777" w:rsidR="009F1EE3" w:rsidRPr="00F941DA" w:rsidRDefault="009F1EE3" w:rsidP="00D11DF1">
      <w:pPr>
        <w:numPr>
          <w:ilvl w:val="3"/>
          <w:numId w:val="353"/>
        </w:numPr>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Monitorizarea pentru decelarea dezvoltării anticorpilor inhibitori.</w:t>
      </w:r>
    </w:p>
    <w:p w14:paraId="2B53B19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4D04BFD" w14:textId="5C334E6B"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Criterii de schimbare a tratamentului</w:t>
      </w:r>
    </w:p>
    <w:p w14:paraId="05FFFEDB" w14:textId="77777777" w:rsidR="009F1EE3" w:rsidRPr="00F941DA" w:rsidRDefault="009F1EE3" w:rsidP="00D11DF1">
      <w:pPr>
        <w:numPr>
          <w:ilvl w:val="3"/>
          <w:numId w:val="354"/>
        </w:numPr>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Hipersensibilitate la substanţa activă sau la oricare dintre excipienţi sau la proteinele de şoarece sau hamster cu recomandarea schimbării produsului biologic de tratament</w:t>
      </w:r>
    </w:p>
    <w:p w14:paraId="48E0D826" w14:textId="77777777" w:rsidR="009F1EE3" w:rsidRPr="00F941DA" w:rsidRDefault="009F1EE3" w:rsidP="00D11DF1">
      <w:pPr>
        <w:numPr>
          <w:ilvl w:val="3"/>
          <w:numId w:val="354"/>
        </w:numPr>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Dezvoltarea inhibitorilor anti-FVIII sau anti-FIX de coagulare</w:t>
      </w:r>
    </w:p>
    <w:p w14:paraId="74D0F34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F12FEC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6C60E4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C. TRATAMENTUL "ON DEMAND" (CURATIV) AL ACCIDENTELOR HEMORAGICE ÎN HEMOFILIA CONGENITALĂ FĂRĂ INHIBITORI</w:t>
      </w:r>
    </w:p>
    <w:p w14:paraId="571DE99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8F77BF7" w14:textId="77777777" w:rsidR="006B2949" w:rsidRPr="00F941DA" w:rsidRDefault="006B2949"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Obiective:</w:t>
      </w:r>
      <w:r w:rsidR="009F1EE3" w:rsidRPr="00F941DA">
        <w:rPr>
          <w:rFonts w:ascii="Times New Roman" w:eastAsia="Times New Roman" w:hAnsi="Times New Roman" w:cs="Times New Roman"/>
          <w:b/>
          <w:sz w:val="24"/>
          <w:szCs w:val="24"/>
          <w:lang w:eastAsia="ro-RO"/>
        </w:rPr>
        <w:t xml:space="preserve"> </w:t>
      </w:r>
    </w:p>
    <w:p w14:paraId="319844F7" w14:textId="474F76FE" w:rsidR="009F1EE3" w:rsidRPr="00F941DA" w:rsidRDefault="006B2949"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O</w:t>
      </w:r>
      <w:r w:rsidR="009F1EE3" w:rsidRPr="00F941DA">
        <w:rPr>
          <w:rFonts w:ascii="Times New Roman" w:eastAsia="Times New Roman" w:hAnsi="Times New Roman" w:cs="Times New Roman"/>
          <w:sz w:val="24"/>
          <w:szCs w:val="24"/>
          <w:lang w:eastAsia="ro-RO"/>
        </w:rPr>
        <w:t>prirea evenimentului hemoragic instalat</w:t>
      </w:r>
    </w:p>
    <w:p w14:paraId="399A872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83FD1AF" w14:textId="4E94C09E"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Criterii de includere</w:t>
      </w:r>
    </w:p>
    <w:p w14:paraId="435C23B4" w14:textId="62886FF1" w:rsidR="009F1EE3" w:rsidRPr="00F941DA" w:rsidRDefault="009F1EE3" w:rsidP="00D11DF1">
      <w:pPr>
        <w:pStyle w:val="ListParagraph"/>
        <w:numPr>
          <w:ilvl w:val="0"/>
          <w:numId w:val="413"/>
        </w:numPr>
        <w:autoSpaceDE w:val="0"/>
        <w:autoSpaceDN w:val="0"/>
        <w:adjustRightInd w:val="0"/>
        <w:jc w:val="both"/>
        <w:rPr>
          <w:color w:val="auto"/>
        </w:rPr>
      </w:pPr>
      <w:r w:rsidRPr="00F941DA">
        <w:rPr>
          <w:color w:val="auto"/>
        </w:rPr>
        <w:t xml:space="preserve">Pacienţi cu hemofilie congenitală fără inhibitori, cu episod hemoragic, </w:t>
      </w:r>
    </w:p>
    <w:p w14:paraId="40D2976B" w14:textId="270E072C" w:rsidR="009F1EE3" w:rsidRPr="00F941DA" w:rsidRDefault="009F1EE3" w:rsidP="00D11DF1">
      <w:pPr>
        <w:pStyle w:val="ListParagraph"/>
        <w:numPr>
          <w:ilvl w:val="0"/>
          <w:numId w:val="413"/>
        </w:numPr>
        <w:autoSpaceDE w:val="0"/>
        <w:autoSpaceDN w:val="0"/>
        <w:adjustRightInd w:val="0"/>
        <w:jc w:val="both"/>
        <w:rPr>
          <w:color w:val="auto"/>
        </w:rPr>
      </w:pPr>
      <w:r w:rsidRPr="00F941DA">
        <w:rPr>
          <w:color w:val="auto"/>
        </w:rPr>
        <w:t>Vârsta: orice grupă de vârstă</w:t>
      </w:r>
    </w:p>
    <w:p w14:paraId="6A07B458" w14:textId="118DDF55" w:rsidR="009F1EE3" w:rsidRPr="00F941DA" w:rsidRDefault="009F1EE3" w:rsidP="00D11DF1">
      <w:pPr>
        <w:pStyle w:val="ListParagraph"/>
        <w:numPr>
          <w:ilvl w:val="0"/>
          <w:numId w:val="413"/>
        </w:numPr>
        <w:autoSpaceDE w:val="0"/>
        <w:autoSpaceDN w:val="0"/>
        <w:adjustRightInd w:val="0"/>
        <w:jc w:val="both"/>
        <w:rPr>
          <w:color w:val="auto"/>
        </w:rPr>
      </w:pPr>
      <w:r w:rsidRPr="00F941DA">
        <w:rPr>
          <w:color w:val="auto"/>
        </w:rPr>
        <w:t>Orice grad de severitate</w:t>
      </w:r>
    </w:p>
    <w:p w14:paraId="449E70F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D602A71" w14:textId="5F6BD973"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Tratament</w:t>
      </w:r>
    </w:p>
    <w:p w14:paraId="3D48F6C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331412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Produse:</w:t>
      </w:r>
    </w:p>
    <w:p w14:paraId="039D9332" w14:textId="77777777" w:rsidR="009F1EE3" w:rsidRPr="00F941DA" w:rsidRDefault="009F1EE3" w:rsidP="00D11DF1">
      <w:pPr>
        <w:numPr>
          <w:ilvl w:val="0"/>
          <w:numId w:val="355"/>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u w:val="single"/>
          <w:lang w:eastAsia="ro-RO"/>
        </w:rPr>
        <w:t>Hemofilia A</w:t>
      </w:r>
      <w:r w:rsidRPr="00F941DA">
        <w:rPr>
          <w:rFonts w:ascii="Times New Roman" w:eastAsia="Times New Roman" w:hAnsi="Times New Roman" w:cs="Times New Roman"/>
          <w:sz w:val="24"/>
          <w:szCs w:val="24"/>
          <w:lang w:eastAsia="ro-RO"/>
        </w:rPr>
        <w:t>: Factor VIII de coagulare plasmatic sau recombinant SHL  si cu EHL;.</w:t>
      </w:r>
    </w:p>
    <w:p w14:paraId="4F249BB6" w14:textId="77777777" w:rsidR="009F1EE3" w:rsidRPr="00F941DA" w:rsidRDefault="009F1EE3" w:rsidP="00D11DF1">
      <w:pPr>
        <w:numPr>
          <w:ilvl w:val="0"/>
          <w:numId w:val="355"/>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u w:val="single"/>
          <w:lang w:eastAsia="ro-RO"/>
        </w:rPr>
        <w:t>Hemofilia B</w:t>
      </w:r>
      <w:r w:rsidRPr="00F941DA">
        <w:rPr>
          <w:rFonts w:ascii="Times New Roman" w:eastAsia="Times New Roman" w:hAnsi="Times New Roman" w:cs="Times New Roman"/>
          <w:sz w:val="24"/>
          <w:szCs w:val="24"/>
          <w:lang w:eastAsia="ro-RO"/>
        </w:rPr>
        <w:t xml:space="preserve">: Factor IX de coagulare plasmatic sau recombinant SHL si cu EHL; </w:t>
      </w:r>
    </w:p>
    <w:p w14:paraId="4A7677F3" w14:textId="77777777" w:rsidR="009F1EE3" w:rsidRPr="00F941DA" w:rsidRDefault="009F1EE3" w:rsidP="009F1EE3">
      <w:pPr>
        <w:autoSpaceDE w:val="0"/>
        <w:autoSpaceDN w:val="0"/>
        <w:adjustRightInd w:val="0"/>
        <w:spacing w:after="0" w:line="240" w:lineRule="auto"/>
        <w:ind w:left="720"/>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Doza şi durata terapiei de substituţie depind de severitatea deficitului de factor VIII/IX, de sediul şi gradul hemoragiei şi de starea clinică a pacientului. (Tabel 5, 6)</w:t>
      </w:r>
    </w:p>
    <w:p w14:paraId="0A65B732" w14:textId="77777777" w:rsidR="006B2949" w:rsidRPr="00F941DA" w:rsidRDefault="006B2949" w:rsidP="006B2949">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p>
    <w:p w14:paraId="3DE46F28" w14:textId="77777777" w:rsidR="009F1EE3" w:rsidRPr="00F941DA" w:rsidRDefault="009F1EE3" w:rsidP="006B2949">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941DA">
        <w:rPr>
          <w:rFonts w:ascii="Times New Roman" w:eastAsia="Times New Roman" w:hAnsi="Times New Roman" w:cs="Times New Roman"/>
          <w:b/>
          <w:sz w:val="24"/>
          <w:szCs w:val="24"/>
          <w:u w:val="single"/>
          <w:lang w:eastAsia="ro-RO"/>
        </w:rPr>
        <w:t>Hemofilia A:</w:t>
      </w:r>
    </w:p>
    <w:p w14:paraId="7F892F1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CE166B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Doze:</w:t>
      </w:r>
    </w:p>
    <w:p w14:paraId="7E2E6BFE" w14:textId="77777777" w:rsidR="009F1EE3" w:rsidRPr="00F941DA" w:rsidRDefault="009F1EE3" w:rsidP="00D11DF1">
      <w:pPr>
        <w:numPr>
          <w:ilvl w:val="0"/>
          <w:numId w:val="355"/>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Calcularea dozei necesare de factor VIII se bazează pe următoarea observaţie:</w:t>
      </w:r>
    </w:p>
    <w:p w14:paraId="55F1F698" w14:textId="77777777" w:rsidR="009F1EE3" w:rsidRPr="00F941DA" w:rsidRDefault="009F1EE3" w:rsidP="00D11DF1">
      <w:pPr>
        <w:numPr>
          <w:ilvl w:val="0"/>
          <w:numId w:val="356"/>
        </w:numPr>
        <w:tabs>
          <w:tab w:val="left" w:pos="1276"/>
        </w:tabs>
        <w:autoSpaceDE w:val="0"/>
        <w:autoSpaceDN w:val="0"/>
        <w:adjustRightInd w:val="0"/>
        <w:spacing w:after="0" w:line="240" w:lineRule="auto"/>
        <w:ind w:hanging="25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1 UI de factor VIII/kg creşte activitatea plasmatică a factorului VIII cu 2 UI/dl.</w:t>
      </w:r>
    </w:p>
    <w:p w14:paraId="3E8E00DB" w14:textId="77777777" w:rsidR="009F1EE3" w:rsidRPr="00F941DA" w:rsidRDefault="009F1EE3" w:rsidP="00D11DF1">
      <w:pPr>
        <w:numPr>
          <w:ilvl w:val="0"/>
          <w:numId w:val="355"/>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Astfel, doza necesară per o administrare este determinată utilizând următoarea formulă:</w:t>
      </w:r>
    </w:p>
    <w:p w14:paraId="68C3B104" w14:textId="77777777" w:rsidR="009F1EE3" w:rsidRPr="00F941DA" w:rsidRDefault="009F1EE3" w:rsidP="00D11DF1">
      <w:pPr>
        <w:numPr>
          <w:ilvl w:val="0"/>
          <w:numId w:val="356"/>
        </w:numPr>
        <w:tabs>
          <w:tab w:val="left" w:pos="1276"/>
        </w:tabs>
        <w:autoSpaceDE w:val="0"/>
        <w:autoSpaceDN w:val="0"/>
        <w:adjustRightInd w:val="0"/>
        <w:spacing w:after="0" w:line="240" w:lineRule="auto"/>
        <w:ind w:hanging="25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Unităţi (UI) necesare = greutate (kg) x creşterea dorită de factor VIII (%) x 0,5.</w:t>
      </w:r>
    </w:p>
    <w:p w14:paraId="366AD007" w14:textId="77777777" w:rsidR="009F1EE3" w:rsidRPr="00F941DA" w:rsidRDefault="009F1EE3" w:rsidP="009F1EE3">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2E85FA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781" w:type="dxa"/>
        <w:tblLayout w:type="fixed"/>
        <w:tblCellMar>
          <w:left w:w="105" w:type="dxa"/>
          <w:right w:w="105" w:type="dxa"/>
        </w:tblCellMar>
        <w:tblLook w:val="0000" w:firstRow="0" w:lastRow="0" w:firstColumn="0" w:lastColumn="0" w:noHBand="0" w:noVBand="0"/>
      </w:tblPr>
      <w:tblGrid>
        <w:gridCol w:w="2410"/>
        <w:gridCol w:w="2410"/>
        <w:gridCol w:w="4961"/>
      </w:tblGrid>
      <w:tr w:rsidR="00F941DA" w:rsidRPr="00F941DA" w14:paraId="4543F0CB" w14:textId="77777777" w:rsidTr="006B2949">
        <w:tc>
          <w:tcPr>
            <w:tcW w:w="9781" w:type="dxa"/>
            <w:gridSpan w:val="3"/>
            <w:tcBorders>
              <w:top w:val="nil"/>
              <w:left w:val="nil"/>
              <w:bottom w:val="single" w:sz="6" w:space="0" w:color="auto"/>
              <w:right w:val="nil"/>
            </w:tcBorders>
          </w:tcPr>
          <w:p w14:paraId="27AA246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    Tabel nr. 5 - Nivelul plasmatic de FVIII necesar în funcţie de severitatea episodului hemoragic</w:t>
            </w:r>
          </w:p>
        </w:tc>
      </w:tr>
      <w:tr w:rsidR="00F941DA" w:rsidRPr="00F941DA" w14:paraId="677CAFA2" w14:textId="77777777" w:rsidTr="006B2949">
        <w:tc>
          <w:tcPr>
            <w:tcW w:w="2410" w:type="dxa"/>
            <w:tcBorders>
              <w:top w:val="single" w:sz="6" w:space="0" w:color="000000"/>
              <w:left w:val="single" w:sz="6" w:space="0" w:color="000000"/>
              <w:bottom w:val="single" w:sz="6" w:space="0" w:color="000000"/>
              <w:right w:val="single" w:sz="6" w:space="0" w:color="000000"/>
            </w:tcBorders>
          </w:tcPr>
          <w:p w14:paraId="5A79770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Gravitatea hemoragiei</w:t>
            </w:r>
          </w:p>
        </w:tc>
        <w:tc>
          <w:tcPr>
            <w:tcW w:w="2410" w:type="dxa"/>
            <w:tcBorders>
              <w:top w:val="single" w:sz="6" w:space="0" w:color="000000"/>
              <w:left w:val="single" w:sz="6" w:space="0" w:color="000000"/>
              <w:bottom w:val="single" w:sz="6" w:space="0" w:color="000000"/>
              <w:right w:val="single" w:sz="6" w:space="0" w:color="000000"/>
            </w:tcBorders>
          </w:tcPr>
          <w:p w14:paraId="00D76AB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Nivelul plasmatic de factor VIII necesar</w:t>
            </w:r>
          </w:p>
          <w:p w14:paraId="6325799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din normal sau UI/dl)</w:t>
            </w:r>
          </w:p>
        </w:tc>
        <w:tc>
          <w:tcPr>
            <w:tcW w:w="4961" w:type="dxa"/>
            <w:tcBorders>
              <w:top w:val="single" w:sz="6" w:space="0" w:color="000000"/>
              <w:left w:val="single" w:sz="6" w:space="0" w:color="000000"/>
              <w:bottom w:val="single" w:sz="6" w:space="0" w:color="000000"/>
              <w:right w:val="single" w:sz="6" w:space="0" w:color="000000"/>
            </w:tcBorders>
          </w:tcPr>
          <w:p w14:paraId="2FB5AB6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Frecvenţa de administrare (ore)/durata tratamentului (zile)</w:t>
            </w:r>
          </w:p>
        </w:tc>
      </w:tr>
      <w:tr w:rsidR="00F941DA" w:rsidRPr="00F941DA" w14:paraId="1FD00D61" w14:textId="77777777" w:rsidTr="006B2949">
        <w:tc>
          <w:tcPr>
            <w:tcW w:w="2410" w:type="dxa"/>
            <w:tcBorders>
              <w:top w:val="single" w:sz="6" w:space="0" w:color="000000"/>
              <w:left w:val="single" w:sz="6" w:space="0" w:color="000000"/>
              <w:bottom w:val="nil"/>
              <w:right w:val="single" w:sz="6" w:space="0" w:color="000000"/>
            </w:tcBorders>
          </w:tcPr>
          <w:p w14:paraId="356ABC4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Hemartroze, hemoragii musculare sau orale</w:t>
            </w:r>
          </w:p>
        </w:tc>
        <w:tc>
          <w:tcPr>
            <w:tcW w:w="2410" w:type="dxa"/>
            <w:tcBorders>
              <w:top w:val="single" w:sz="6" w:space="0" w:color="000000"/>
              <w:left w:val="single" w:sz="6" w:space="0" w:color="000000"/>
              <w:bottom w:val="nil"/>
              <w:right w:val="single" w:sz="6" w:space="0" w:color="000000"/>
            </w:tcBorders>
          </w:tcPr>
          <w:p w14:paraId="5AC6F01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20 - 40</w:t>
            </w:r>
          </w:p>
        </w:tc>
        <w:tc>
          <w:tcPr>
            <w:tcW w:w="4961" w:type="dxa"/>
            <w:tcBorders>
              <w:top w:val="single" w:sz="6" w:space="0" w:color="000000"/>
              <w:left w:val="single" w:sz="6" w:space="0" w:color="000000"/>
              <w:bottom w:val="nil"/>
              <w:right w:val="single" w:sz="6" w:space="0" w:color="000000"/>
            </w:tcBorders>
          </w:tcPr>
          <w:p w14:paraId="1CF5E14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administrează injecţii repetate la fiecare 12 - 24 ore (de la 8 la 24 de ore, în cazul pacienţilor cu vârsta sub 6 ani), până la remiterea colecţiei hemoragice confirmată clinic şi imagistic</w:t>
            </w:r>
          </w:p>
        </w:tc>
      </w:tr>
      <w:tr w:rsidR="00F941DA" w:rsidRPr="00F941DA" w14:paraId="12AF3816" w14:textId="77777777" w:rsidTr="006B2949">
        <w:tc>
          <w:tcPr>
            <w:tcW w:w="2410" w:type="dxa"/>
            <w:tcBorders>
              <w:top w:val="nil"/>
              <w:left w:val="single" w:sz="6" w:space="0" w:color="000000"/>
              <w:bottom w:val="nil"/>
              <w:right w:val="single" w:sz="6" w:space="0" w:color="000000"/>
            </w:tcBorders>
          </w:tcPr>
          <w:p w14:paraId="0B9DF8A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Hemoragii musculare sau hematoame extinse</w:t>
            </w:r>
          </w:p>
        </w:tc>
        <w:tc>
          <w:tcPr>
            <w:tcW w:w="2410" w:type="dxa"/>
            <w:tcBorders>
              <w:top w:val="nil"/>
              <w:left w:val="single" w:sz="6" w:space="0" w:color="000000"/>
              <w:bottom w:val="nil"/>
              <w:right w:val="single" w:sz="6" w:space="0" w:color="000000"/>
            </w:tcBorders>
          </w:tcPr>
          <w:p w14:paraId="46585A1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30 - 60</w:t>
            </w:r>
          </w:p>
        </w:tc>
        <w:tc>
          <w:tcPr>
            <w:tcW w:w="4961" w:type="dxa"/>
            <w:tcBorders>
              <w:top w:val="nil"/>
              <w:left w:val="single" w:sz="6" w:space="0" w:color="000000"/>
              <w:bottom w:val="nil"/>
              <w:right w:val="single" w:sz="6" w:space="0" w:color="000000"/>
            </w:tcBorders>
          </w:tcPr>
          <w:p w14:paraId="4685B64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administrează injecţii repetate la fiecare 12 - 24 ore (de la 8 la 24 de ore în cazul pacienţilor cu vârsta sub 6 ani), până la remiterea colecţiei hemoragice confirmată clinic şi imagistic</w:t>
            </w:r>
          </w:p>
        </w:tc>
      </w:tr>
      <w:tr w:rsidR="00F941DA" w:rsidRPr="00F941DA" w14:paraId="4F7AB6A1" w14:textId="77777777" w:rsidTr="006B2949">
        <w:tc>
          <w:tcPr>
            <w:tcW w:w="2410" w:type="dxa"/>
            <w:tcBorders>
              <w:top w:val="nil"/>
              <w:left w:val="single" w:sz="6" w:space="0" w:color="000000"/>
              <w:bottom w:val="single" w:sz="6" w:space="0" w:color="000000"/>
              <w:right w:val="single" w:sz="6" w:space="0" w:color="000000"/>
            </w:tcBorders>
          </w:tcPr>
          <w:p w14:paraId="6707597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Hemoragii care pun viaţa în pericol (cerebral, faringian, zona gâtului, gastrointestinal)</w:t>
            </w:r>
          </w:p>
        </w:tc>
        <w:tc>
          <w:tcPr>
            <w:tcW w:w="2410" w:type="dxa"/>
            <w:tcBorders>
              <w:top w:val="nil"/>
              <w:left w:val="single" w:sz="6" w:space="0" w:color="000000"/>
              <w:bottom w:val="single" w:sz="6" w:space="0" w:color="000000"/>
              <w:right w:val="single" w:sz="6" w:space="0" w:color="000000"/>
            </w:tcBorders>
          </w:tcPr>
          <w:p w14:paraId="200104C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60 - 100 - iniţial</w:t>
            </w:r>
          </w:p>
          <w:p w14:paraId="6220FD2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50 - întreţinere</w:t>
            </w:r>
          </w:p>
        </w:tc>
        <w:tc>
          <w:tcPr>
            <w:tcW w:w="4961" w:type="dxa"/>
            <w:tcBorders>
              <w:top w:val="nil"/>
              <w:left w:val="single" w:sz="6" w:space="0" w:color="000000"/>
              <w:bottom w:val="single" w:sz="6" w:space="0" w:color="000000"/>
              <w:right w:val="single" w:sz="6" w:space="0" w:color="000000"/>
            </w:tcBorders>
          </w:tcPr>
          <w:p w14:paraId="269C266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administrează injecţii repetate la fiecare 8 - 24 de ore (de la 6 la 12 ore în cazul pacienţilor cu vârsta sub 6 ani), până la remiterea colecţiei hemoragice confirmată clinic şi imagistic</w:t>
            </w:r>
          </w:p>
        </w:tc>
      </w:tr>
    </w:tbl>
    <w:p w14:paraId="3F245723" w14:textId="77777777" w:rsidR="009F1EE3" w:rsidRPr="00F941DA" w:rsidRDefault="009F1EE3" w:rsidP="006B2949">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941DA">
        <w:rPr>
          <w:rFonts w:ascii="Times New Roman" w:eastAsia="Times New Roman" w:hAnsi="Times New Roman" w:cs="Times New Roman"/>
          <w:b/>
          <w:sz w:val="24"/>
          <w:szCs w:val="24"/>
          <w:u w:val="single"/>
          <w:lang w:eastAsia="ro-RO"/>
        </w:rPr>
        <w:lastRenderedPageBreak/>
        <w:t>Hemofilia B:</w:t>
      </w:r>
    </w:p>
    <w:p w14:paraId="702F9F2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DFA436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Doze:</w:t>
      </w:r>
    </w:p>
    <w:p w14:paraId="34F9DB4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Calculul dozei necesare de factor IX se bazează pe observaţia conform căreia 1 UI factor IX per kg creşte activitatea plasmatică a factorului IX cu 0,9 % din activitatea normală.</w:t>
      </w:r>
    </w:p>
    <w:p w14:paraId="705D3609" w14:textId="77777777" w:rsidR="009F1EE3" w:rsidRPr="00F941DA" w:rsidRDefault="009F1EE3" w:rsidP="00D11DF1">
      <w:pPr>
        <w:numPr>
          <w:ilvl w:val="0"/>
          <w:numId w:val="357"/>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Astfel, doza necesară per o administrare se calculează utilizând următoarea formulă:</w:t>
      </w:r>
    </w:p>
    <w:p w14:paraId="42EEE6EA" w14:textId="77777777" w:rsidR="009F1EE3" w:rsidRPr="00F941DA" w:rsidRDefault="009F1EE3" w:rsidP="00D11DF1">
      <w:pPr>
        <w:numPr>
          <w:ilvl w:val="0"/>
          <w:numId w:val="356"/>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Unităţi necesare = greutate (kg) x creşterea dorită de factor IX (%) (UI/dl) x 1,1</w:t>
      </w:r>
    </w:p>
    <w:p w14:paraId="621D6B5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781" w:type="dxa"/>
        <w:tblLayout w:type="fixed"/>
        <w:tblCellMar>
          <w:left w:w="105" w:type="dxa"/>
          <w:right w:w="105" w:type="dxa"/>
        </w:tblCellMar>
        <w:tblLook w:val="0000" w:firstRow="0" w:lastRow="0" w:firstColumn="0" w:lastColumn="0" w:noHBand="0" w:noVBand="0"/>
      </w:tblPr>
      <w:tblGrid>
        <w:gridCol w:w="2410"/>
        <w:gridCol w:w="2410"/>
        <w:gridCol w:w="4961"/>
      </w:tblGrid>
      <w:tr w:rsidR="00F941DA" w:rsidRPr="00F941DA" w14:paraId="7E952FEE" w14:textId="77777777" w:rsidTr="006B2949">
        <w:tc>
          <w:tcPr>
            <w:tcW w:w="9781" w:type="dxa"/>
            <w:gridSpan w:val="3"/>
            <w:tcBorders>
              <w:top w:val="nil"/>
              <w:left w:val="nil"/>
              <w:bottom w:val="single" w:sz="6" w:space="0" w:color="auto"/>
              <w:right w:val="nil"/>
            </w:tcBorders>
          </w:tcPr>
          <w:p w14:paraId="1DAC85C9" w14:textId="77777777" w:rsidR="009F1EE3" w:rsidRPr="00F941DA" w:rsidRDefault="009F1EE3" w:rsidP="00C33E54">
            <w:pPr>
              <w:autoSpaceDE w:val="0"/>
              <w:autoSpaceDN w:val="0"/>
              <w:adjustRightInd w:val="0"/>
              <w:spacing w:after="0" w:line="240" w:lineRule="auto"/>
              <w:ind w:hanging="105"/>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Tabel nr. 6 - Nivelul plasmatic de FIX necesar în funcţie de severitatea episodului hemoragic</w:t>
            </w:r>
          </w:p>
        </w:tc>
      </w:tr>
      <w:tr w:rsidR="00F941DA" w:rsidRPr="00F941DA" w14:paraId="29AA494A" w14:textId="77777777" w:rsidTr="006B2949">
        <w:tc>
          <w:tcPr>
            <w:tcW w:w="2410" w:type="dxa"/>
            <w:tcBorders>
              <w:top w:val="single" w:sz="6" w:space="0" w:color="000000"/>
              <w:left w:val="single" w:sz="6" w:space="0" w:color="000000"/>
              <w:bottom w:val="single" w:sz="6" w:space="0" w:color="000000"/>
              <w:right w:val="single" w:sz="6" w:space="0" w:color="000000"/>
            </w:tcBorders>
          </w:tcPr>
          <w:p w14:paraId="3C5CBB5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Gravitatea hemoragiei</w:t>
            </w:r>
          </w:p>
        </w:tc>
        <w:tc>
          <w:tcPr>
            <w:tcW w:w="2410" w:type="dxa"/>
            <w:tcBorders>
              <w:top w:val="single" w:sz="6" w:space="0" w:color="000000"/>
              <w:left w:val="single" w:sz="6" w:space="0" w:color="000000"/>
              <w:bottom w:val="single" w:sz="6" w:space="0" w:color="000000"/>
              <w:right w:val="single" w:sz="6" w:space="0" w:color="000000"/>
            </w:tcBorders>
          </w:tcPr>
          <w:p w14:paraId="4C8BD87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Nivel necesar de factor IX</w:t>
            </w:r>
          </w:p>
          <w:p w14:paraId="2BFB26B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din normal sau în UI/dl)</w:t>
            </w:r>
          </w:p>
        </w:tc>
        <w:tc>
          <w:tcPr>
            <w:tcW w:w="4961" w:type="dxa"/>
            <w:tcBorders>
              <w:top w:val="single" w:sz="6" w:space="0" w:color="000000"/>
              <w:left w:val="single" w:sz="6" w:space="0" w:color="000000"/>
              <w:bottom w:val="single" w:sz="6" w:space="0" w:color="000000"/>
              <w:right w:val="single" w:sz="6" w:space="0" w:color="000000"/>
            </w:tcBorders>
          </w:tcPr>
          <w:p w14:paraId="5D0A09A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Frecvenţa administrării</w:t>
            </w:r>
          </w:p>
          <w:p w14:paraId="6520780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(ore)/Durata terapiei (zile)</w:t>
            </w:r>
          </w:p>
        </w:tc>
      </w:tr>
      <w:tr w:rsidR="00F941DA" w:rsidRPr="00F941DA" w14:paraId="20341DF3" w14:textId="77777777" w:rsidTr="006B2949">
        <w:tc>
          <w:tcPr>
            <w:tcW w:w="2410" w:type="dxa"/>
            <w:tcBorders>
              <w:top w:val="single" w:sz="6" w:space="0" w:color="000000"/>
              <w:left w:val="single" w:sz="6" w:space="0" w:color="000000"/>
              <w:bottom w:val="nil"/>
              <w:right w:val="single" w:sz="6" w:space="0" w:color="000000"/>
            </w:tcBorders>
          </w:tcPr>
          <w:p w14:paraId="04CA691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Hemartroză, sângerare musculară sau sângerare orală</w:t>
            </w:r>
          </w:p>
        </w:tc>
        <w:tc>
          <w:tcPr>
            <w:tcW w:w="2410" w:type="dxa"/>
            <w:tcBorders>
              <w:top w:val="single" w:sz="6" w:space="0" w:color="000000"/>
              <w:left w:val="single" w:sz="6" w:space="0" w:color="000000"/>
              <w:bottom w:val="nil"/>
              <w:right w:val="single" w:sz="6" w:space="0" w:color="000000"/>
            </w:tcBorders>
          </w:tcPr>
          <w:p w14:paraId="642D41B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20 - 40</w:t>
            </w:r>
          </w:p>
        </w:tc>
        <w:tc>
          <w:tcPr>
            <w:tcW w:w="4961" w:type="dxa"/>
            <w:tcBorders>
              <w:top w:val="single" w:sz="6" w:space="0" w:color="000000"/>
              <w:left w:val="single" w:sz="6" w:space="0" w:color="000000"/>
              <w:bottom w:val="nil"/>
              <w:right w:val="single" w:sz="6" w:space="0" w:color="000000"/>
            </w:tcBorders>
          </w:tcPr>
          <w:p w14:paraId="373FA89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administrează injecţii repetate la intervale de 24 ore, până la remiterea colecţiei hemoragice confirmată clinic şi imagistic</w:t>
            </w:r>
          </w:p>
        </w:tc>
      </w:tr>
      <w:tr w:rsidR="00F941DA" w:rsidRPr="00F941DA" w14:paraId="2906C494" w14:textId="77777777" w:rsidTr="006B2949">
        <w:tc>
          <w:tcPr>
            <w:tcW w:w="2410" w:type="dxa"/>
            <w:tcBorders>
              <w:top w:val="nil"/>
              <w:left w:val="single" w:sz="6" w:space="0" w:color="000000"/>
              <w:bottom w:val="nil"/>
              <w:right w:val="single" w:sz="6" w:space="0" w:color="000000"/>
            </w:tcBorders>
          </w:tcPr>
          <w:p w14:paraId="0A6DAC6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Sângerare musculară mai extinsă sau hematom compresiv</w:t>
            </w:r>
          </w:p>
        </w:tc>
        <w:tc>
          <w:tcPr>
            <w:tcW w:w="2410" w:type="dxa"/>
            <w:tcBorders>
              <w:top w:val="nil"/>
              <w:left w:val="single" w:sz="6" w:space="0" w:color="000000"/>
              <w:bottom w:val="nil"/>
              <w:right w:val="single" w:sz="6" w:space="0" w:color="000000"/>
            </w:tcBorders>
          </w:tcPr>
          <w:p w14:paraId="2C7AA21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30 - 60</w:t>
            </w:r>
          </w:p>
        </w:tc>
        <w:tc>
          <w:tcPr>
            <w:tcW w:w="4961" w:type="dxa"/>
            <w:tcBorders>
              <w:top w:val="nil"/>
              <w:left w:val="single" w:sz="6" w:space="0" w:color="000000"/>
              <w:bottom w:val="nil"/>
              <w:right w:val="single" w:sz="6" w:space="0" w:color="000000"/>
            </w:tcBorders>
          </w:tcPr>
          <w:p w14:paraId="77A8FD3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administrează injecţii repetate la intervale de 24 ore, până la remiterea colecţiei hemoragice confirmată clinic şi imagistic</w:t>
            </w:r>
          </w:p>
        </w:tc>
      </w:tr>
      <w:tr w:rsidR="00F941DA" w:rsidRPr="00F941DA" w14:paraId="55C863AC" w14:textId="77777777" w:rsidTr="006B2949">
        <w:tc>
          <w:tcPr>
            <w:tcW w:w="2410" w:type="dxa"/>
            <w:tcBorders>
              <w:top w:val="nil"/>
              <w:left w:val="single" w:sz="6" w:space="0" w:color="000000"/>
              <w:bottom w:val="single" w:sz="6" w:space="0" w:color="000000"/>
              <w:right w:val="single" w:sz="6" w:space="0" w:color="000000"/>
            </w:tcBorders>
          </w:tcPr>
          <w:p w14:paraId="03B0320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Hemoragii ameninţătoare de viaţă</w:t>
            </w:r>
          </w:p>
        </w:tc>
        <w:tc>
          <w:tcPr>
            <w:tcW w:w="2410" w:type="dxa"/>
            <w:tcBorders>
              <w:top w:val="nil"/>
              <w:left w:val="single" w:sz="6" w:space="0" w:color="000000"/>
              <w:bottom w:val="single" w:sz="6" w:space="0" w:color="000000"/>
              <w:right w:val="single" w:sz="6" w:space="0" w:color="000000"/>
            </w:tcBorders>
          </w:tcPr>
          <w:p w14:paraId="197B8B8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60 - 100</w:t>
            </w:r>
          </w:p>
        </w:tc>
        <w:tc>
          <w:tcPr>
            <w:tcW w:w="4961" w:type="dxa"/>
            <w:tcBorders>
              <w:top w:val="nil"/>
              <w:left w:val="single" w:sz="6" w:space="0" w:color="000000"/>
              <w:bottom w:val="single" w:sz="6" w:space="0" w:color="000000"/>
              <w:right w:val="single" w:sz="6" w:space="0" w:color="000000"/>
            </w:tcBorders>
          </w:tcPr>
          <w:p w14:paraId="33A4D69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administrează injecţii repetate la intervale de 8 - 24 ore, până la remiterea colecţiei hemoragice confirmată clinic şi imagistic</w:t>
            </w:r>
          </w:p>
        </w:tc>
      </w:tr>
    </w:tbl>
    <w:p w14:paraId="03A4A60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E81837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Mod de administrare: pe cale intravenoasă, lent. Intervalul de administrare trebuie stabilit la indicaţia medicului hematolog sau pediatru cu competența in domeniul hematologiei.</w:t>
      </w:r>
    </w:p>
    <w:p w14:paraId="299DB69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trike/>
          <w:sz w:val="24"/>
          <w:szCs w:val="24"/>
          <w:lang w:eastAsia="ro-RO"/>
        </w:rPr>
      </w:pPr>
    </w:p>
    <w:p w14:paraId="22736FF7" w14:textId="5EEB05E5"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Monitorizarea tratamentului</w:t>
      </w:r>
    </w:p>
    <w:p w14:paraId="419B22C8" w14:textId="77777777" w:rsidR="009F1EE3" w:rsidRPr="00F941DA" w:rsidRDefault="009F1EE3" w:rsidP="00D11DF1">
      <w:pPr>
        <w:numPr>
          <w:ilvl w:val="3"/>
          <w:numId w:val="358"/>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Evaluarea răspunsului la tratament</w:t>
      </w:r>
    </w:p>
    <w:p w14:paraId="77923A81" w14:textId="77777777" w:rsidR="009F1EE3" w:rsidRPr="00F941DA" w:rsidRDefault="009F1EE3" w:rsidP="00D11DF1">
      <w:pPr>
        <w:numPr>
          <w:ilvl w:val="3"/>
          <w:numId w:val="358"/>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Monitorizarea clinică şi paraclinică a evenimentelor hemoragice şi a statusului articular</w:t>
      </w:r>
    </w:p>
    <w:p w14:paraId="3FDB5DA0" w14:textId="77777777" w:rsidR="009F1EE3" w:rsidRPr="00F941DA" w:rsidRDefault="009F1EE3" w:rsidP="00D11DF1">
      <w:pPr>
        <w:numPr>
          <w:ilvl w:val="3"/>
          <w:numId w:val="358"/>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 cu atenţie, prin examinare clinică şi testele adecvate de laborator, pentru a decela dezvoltarea anticorpilor inhibitori.</w:t>
      </w:r>
    </w:p>
    <w:p w14:paraId="5DA3993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Tratamentul "on demand" se administrează până la dispariţia hemartrozei/hematomului/sângerării confirmate clinic şi/sau imagistic (ecografie, CT, RMN etc. în funcţie de situaţie)</w:t>
      </w:r>
    </w:p>
    <w:p w14:paraId="6839C7D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BB57747" w14:textId="794E1354"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Criterii de schimbare a tratamentului</w:t>
      </w:r>
    </w:p>
    <w:p w14:paraId="4BAD9A49" w14:textId="77777777" w:rsidR="009F1EE3" w:rsidRPr="00F941DA" w:rsidRDefault="009F1EE3" w:rsidP="00D11DF1">
      <w:pPr>
        <w:numPr>
          <w:ilvl w:val="3"/>
          <w:numId w:val="359"/>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Hipersensibilitate la substanţa activă sau la oricare dintre excipienţi sau la proteinele de şoarece sau hamster cu recomandarea schimbării produsului biologic de tratament</w:t>
      </w:r>
    </w:p>
    <w:p w14:paraId="5E04C4E6" w14:textId="77777777" w:rsidR="009F1EE3" w:rsidRPr="00F941DA" w:rsidRDefault="009F1EE3" w:rsidP="00D11DF1">
      <w:pPr>
        <w:numPr>
          <w:ilvl w:val="3"/>
          <w:numId w:val="359"/>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Dezvoltarea inhibitorilor anti-FVIII/IX</w:t>
      </w:r>
    </w:p>
    <w:p w14:paraId="169B84A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73C809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D. TRATAMENTUL DE SUBSTITUŢIE ÎN CAZUL INTERVENŢIILOR CHIRURGICALE ŞI ORTOPEDICE PENTRU HEMOFILIA CONGENITALĂ FĂRĂ INHIBITORI</w:t>
      </w:r>
    </w:p>
    <w:p w14:paraId="171DE1B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0A3FB3A" w14:textId="77777777" w:rsidR="006B2949"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xml:space="preserve">Obiective: </w:t>
      </w:r>
    </w:p>
    <w:p w14:paraId="706A1B66" w14:textId="3C9BC084" w:rsidR="009F1EE3" w:rsidRPr="00F941DA" w:rsidRDefault="006B2949"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w:t>
      </w:r>
      <w:r w:rsidR="009F1EE3" w:rsidRPr="00F941DA">
        <w:rPr>
          <w:rFonts w:ascii="Times New Roman" w:eastAsia="Times New Roman" w:hAnsi="Times New Roman" w:cs="Times New Roman"/>
          <w:sz w:val="24"/>
          <w:szCs w:val="24"/>
          <w:lang w:eastAsia="ro-RO"/>
        </w:rPr>
        <w:t>sigurarea hemostazei în cursul intervenţiilor chirurgicale şi ortopedice</w:t>
      </w:r>
    </w:p>
    <w:p w14:paraId="228DA80E" w14:textId="77777777" w:rsidR="006B2949" w:rsidRPr="00F941DA" w:rsidRDefault="006B2949"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1AA0F0B" w14:textId="3E356C6F"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xml:space="preserve">Criterii de includere    </w:t>
      </w:r>
    </w:p>
    <w:p w14:paraId="640FDD8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 indiferent de vârstă, cu hemofilie congenitală fără inhibitori care necesită intervenţii chirurgicale sau ortopedice.</w:t>
      </w:r>
    </w:p>
    <w:p w14:paraId="4FB3722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781" w:type="dxa"/>
        <w:tblLayout w:type="fixed"/>
        <w:tblCellMar>
          <w:left w:w="105" w:type="dxa"/>
          <w:right w:w="105" w:type="dxa"/>
        </w:tblCellMar>
        <w:tblLook w:val="0000" w:firstRow="0" w:lastRow="0" w:firstColumn="0" w:lastColumn="0" w:noHBand="0" w:noVBand="0"/>
      </w:tblPr>
      <w:tblGrid>
        <w:gridCol w:w="851"/>
        <w:gridCol w:w="8930"/>
      </w:tblGrid>
      <w:tr w:rsidR="00F941DA" w:rsidRPr="00F941DA" w14:paraId="45ED3032" w14:textId="77777777" w:rsidTr="006B2949">
        <w:tc>
          <w:tcPr>
            <w:tcW w:w="9781" w:type="dxa"/>
            <w:gridSpan w:val="2"/>
            <w:tcBorders>
              <w:top w:val="nil"/>
              <w:left w:val="nil"/>
              <w:bottom w:val="single" w:sz="6" w:space="0" w:color="auto"/>
              <w:right w:val="nil"/>
            </w:tcBorders>
          </w:tcPr>
          <w:p w14:paraId="322EBBF3" w14:textId="77777777" w:rsidR="009F1EE3" w:rsidRPr="00F941DA" w:rsidRDefault="009F1EE3" w:rsidP="006B2949">
            <w:pPr>
              <w:autoSpaceDE w:val="0"/>
              <w:autoSpaceDN w:val="0"/>
              <w:adjustRightInd w:val="0"/>
              <w:spacing w:after="0" w:line="240" w:lineRule="auto"/>
              <w:ind w:hanging="68"/>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Tabel nr. 7 - Definiţia invazivităţii intervenţiei</w:t>
            </w:r>
          </w:p>
        </w:tc>
      </w:tr>
      <w:tr w:rsidR="00F941DA" w:rsidRPr="00F941DA" w14:paraId="0CD87348" w14:textId="77777777" w:rsidTr="006B2949">
        <w:tc>
          <w:tcPr>
            <w:tcW w:w="851" w:type="dxa"/>
            <w:tcBorders>
              <w:top w:val="single" w:sz="6" w:space="0" w:color="000000"/>
              <w:left w:val="single" w:sz="6" w:space="0" w:color="000000"/>
              <w:bottom w:val="single" w:sz="6" w:space="0" w:color="000000"/>
              <w:right w:val="single" w:sz="6" w:space="0" w:color="000000"/>
            </w:tcBorders>
          </w:tcPr>
          <w:p w14:paraId="375EBC9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Minore </w:t>
            </w:r>
          </w:p>
        </w:tc>
        <w:tc>
          <w:tcPr>
            <w:tcW w:w="8930" w:type="dxa"/>
            <w:tcBorders>
              <w:top w:val="single" w:sz="6" w:space="0" w:color="000000"/>
              <w:left w:val="single" w:sz="6" w:space="0" w:color="000000"/>
              <w:bottom w:val="single" w:sz="6" w:space="0" w:color="000000"/>
              <w:right w:val="single" w:sz="6" w:space="0" w:color="000000"/>
            </w:tcBorders>
          </w:tcPr>
          <w:p w14:paraId="4876B3B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Orice procedură operativă invazivă unde sunt manipulate numai pielea, mucoasele sau ţesutul conjunctiv superficial, de exemplu: implantarea pompelor în ţesutul subcutanat, biopsii cutanate sau proceduri dentare simple.</w:t>
            </w:r>
          </w:p>
        </w:tc>
      </w:tr>
      <w:tr w:rsidR="00F941DA" w:rsidRPr="00F941DA" w14:paraId="3EC3BD84" w14:textId="77777777" w:rsidTr="006B2949">
        <w:tc>
          <w:tcPr>
            <w:tcW w:w="851" w:type="dxa"/>
            <w:tcBorders>
              <w:top w:val="single" w:sz="6" w:space="0" w:color="000000"/>
              <w:left w:val="single" w:sz="6" w:space="0" w:color="000000"/>
              <w:bottom w:val="single" w:sz="6" w:space="0" w:color="000000"/>
              <w:right w:val="single" w:sz="6" w:space="0" w:color="000000"/>
            </w:tcBorders>
          </w:tcPr>
          <w:p w14:paraId="66CB4CC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Majore</w:t>
            </w:r>
          </w:p>
        </w:tc>
        <w:tc>
          <w:tcPr>
            <w:tcW w:w="8930" w:type="dxa"/>
            <w:tcBorders>
              <w:top w:val="single" w:sz="6" w:space="0" w:color="000000"/>
              <w:left w:val="single" w:sz="6" w:space="0" w:color="000000"/>
              <w:bottom w:val="single" w:sz="6" w:space="0" w:color="000000"/>
              <w:right w:val="single" w:sz="6" w:space="0" w:color="000000"/>
            </w:tcBorders>
          </w:tcPr>
          <w:p w14:paraId="204E1E6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Orice procedură invazivă care necesită anestezie generală şi/sau în cazul unuia/asocierii următoarelor proceduri:</w:t>
            </w:r>
          </w:p>
          <w:p w14:paraId="6FF2202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abordarea chirurgicală a unei cavităţi</w:t>
            </w:r>
          </w:p>
          <w:p w14:paraId="36C848D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traversarea chirurgicală a unei bariere mezenchimale (de exemplu, pleura, peritoneu sau dura mater)</w:t>
            </w:r>
          </w:p>
          <w:p w14:paraId="3CA0384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deschiderea unui strat de fascie</w:t>
            </w:r>
          </w:p>
          <w:p w14:paraId="699AD3A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excizarea unui organ</w:t>
            </w:r>
          </w:p>
          <w:p w14:paraId="73B696C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modificarea anatomiei normale viscerale</w:t>
            </w:r>
          </w:p>
        </w:tc>
      </w:tr>
    </w:tbl>
    <w:p w14:paraId="1B971A3F" w14:textId="198D475E"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lastRenderedPageBreak/>
        <w:t>Tratament</w:t>
      </w:r>
    </w:p>
    <w:p w14:paraId="0ED6B10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Produse:</w:t>
      </w:r>
    </w:p>
    <w:p w14:paraId="5D52916A" w14:textId="77777777" w:rsidR="009F1EE3" w:rsidRPr="00F941DA" w:rsidRDefault="009F1EE3" w:rsidP="00D11DF1">
      <w:pPr>
        <w:numPr>
          <w:ilvl w:val="0"/>
          <w:numId w:val="360"/>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Hemofilia A: Factor VIII de coagulare plasmatic sau recombinant  SHL sau EHL; La cei cu tratament non-factor in faza de menținere cu o doză fixă, stabilită, intervențiile minore se pot face , in funcție de evoluție, fără întreruperea tratamentului cu  preparatul non-factor utilizat , in timp ce la interventiile majore se recomandă preparatele de factori de coagulare plasmatic sau recombinant SHL sau EHL</w:t>
      </w:r>
    </w:p>
    <w:p w14:paraId="43A185F8" w14:textId="77777777" w:rsidR="009F1EE3" w:rsidRPr="00F941DA" w:rsidRDefault="009F1EE3" w:rsidP="00D11DF1">
      <w:pPr>
        <w:numPr>
          <w:ilvl w:val="0"/>
          <w:numId w:val="360"/>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Hemofilia B: Factor IX de coagulare plasmatic sau recombinant SHL sau EHL;.</w:t>
      </w:r>
    </w:p>
    <w:p w14:paraId="5BF7A6C1" w14:textId="77777777" w:rsidR="006B2949" w:rsidRPr="00F941DA" w:rsidRDefault="006B2949" w:rsidP="009F1EE3">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p>
    <w:p w14:paraId="269D5B9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941DA">
        <w:rPr>
          <w:rFonts w:ascii="Times New Roman" w:eastAsia="Times New Roman" w:hAnsi="Times New Roman" w:cs="Times New Roman"/>
          <w:b/>
          <w:sz w:val="24"/>
          <w:szCs w:val="24"/>
          <w:u w:val="single"/>
          <w:lang w:eastAsia="ro-RO"/>
        </w:rPr>
        <w:t>Hemofilia A:</w:t>
      </w:r>
    </w:p>
    <w:p w14:paraId="7DCFFAF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Doza: este dependentă de gradul de invazivitate a intervenţiei, crescând în cantitate şi durată de la intervenţii minore la cele majore (Tabel 8, 9)</w:t>
      </w:r>
    </w:p>
    <w:p w14:paraId="2EDC7FCC" w14:textId="77777777" w:rsidR="009F1EE3" w:rsidRPr="00F941DA" w:rsidRDefault="009F1EE3" w:rsidP="00D11DF1">
      <w:pPr>
        <w:numPr>
          <w:ilvl w:val="0"/>
          <w:numId w:val="36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Calcularea dozei necesare de factor VIII se bazează pe următoarea observaţie:</w:t>
      </w:r>
    </w:p>
    <w:p w14:paraId="5C1F7E76" w14:textId="77777777" w:rsidR="009F1EE3" w:rsidRPr="00F941DA" w:rsidRDefault="009F1EE3" w:rsidP="00D11DF1">
      <w:pPr>
        <w:numPr>
          <w:ilvl w:val="0"/>
          <w:numId w:val="362"/>
        </w:numPr>
        <w:tabs>
          <w:tab w:val="left" w:pos="993"/>
        </w:tabs>
        <w:autoSpaceDE w:val="0"/>
        <w:autoSpaceDN w:val="0"/>
        <w:adjustRightInd w:val="0"/>
        <w:spacing w:after="0" w:line="240" w:lineRule="auto"/>
        <w:ind w:hanging="11"/>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1 UI de factor VIII/kg creşte activitatea plasmatică a factorului VIII cu 2 UI/dl.</w:t>
      </w:r>
    </w:p>
    <w:p w14:paraId="3F436E67" w14:textId="77777777" w:rsidR="009F1EE3" w:rsidRPr="00F941DA" w:rsidRDefault="009F1EE3" w:rsidP="00D11DF1">
      <w:pPr>
        <w:numPr>
          <w:ilvl w:val="0"/>
          <w:numId w:val="36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Doza necesară per 1 administrare este determinată utilizând următoarea formulă:</w:t>
      </w:r>
    </w:p>
    <w:p w14:paraId="18EF30B9" w14:textId="77777777" w:rsidR="009F1EE3" w:rsidRPr="00F941DA" w:rsidRDefault="009F1EE3" w:rsidP="00D11DF1">
      <w:pPr>
        <w:numPr>
          <w:ilvl w:val="0"/>
          <w:numId w:val="362"/>
        </w:numPr>
        <w:tabs>
          <w:tab w:val="left" w:pos="993"/>
        </w:tabs>
        <w:autoSpaceDE w:val="0"/>
        <w:autoSpaceDN w:val="0"/>
        <w:adjustRightInd w:val="0"/>
        <w:spacing w:after="0" w:line="240" w:lineRule="auto"/>
        <w:ind w:hanging="11"/>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Unităţi (UI) necesare = greutate (kg) x creşterea dorită de factor VIII (%) x 0,5.</w:t>
      </w:r>
    </w:p>
    <w:p w14:paraId="2B2CF1B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781" w:type="dxa"/>
        <w:tblLayout w:type="fixed"/>
        <w:tblCellMar>
          <w:left w:w="105" w:type="dxa"/>
          <w:right w:w="105" w:type="dxa"/>
        </w:tblCellMar>
        <w:tblLook w:val="0000" w:firstRow="0" w:lastRow="0" w:firstColumn="0" w:lastColumn="0" w:noHBand="0" w:noVBand="0"/>
      </w:tblPr>
      <w:tblGrid>
        <w:gridCol w:w="1843"/>
        <w:gridCol w:w="2515"/>
        <w:gridCol w:w="5423"/>
      </w:tblGrid>
      <w:tr w:rsidR="00F941DA" w:rsidRPr="00F941DA" w14:paraId="77D6408D" w14:textId="77777777" w:rsidTr="00C33E54">
        <w:tc>
          <w:tcPr>
            <w:tcW w:w="9781" w:type="dxa"/>
            <w:gridSpan w:val="3"/>
            <w:tcBorders>
              <w:top w:val="nil"/>
              <w:left w:val="nil"/>
              <w:bottom w:val="single" w:sz="6" w:space="0" w:color="auto"/>
              <w:right w:val="nil"/>
            </w:tcBorders>
          </w:tcPr>
          <w:p w14:paraId="7642B2E7" w14:textId="77777777" w:rsidR="009F1EE3" w:rsidRPr="00F941DA" w:rsidRDefault="009F1EE3" w:rsidP="00C33E54">
            <w:pPr>
              <w:autoSpaceDE w:val="0"/>
              <w:autoSpaceDN w:val="0"/>
              <w:adjustRightInd w:val="0"/>
              <w:spacing w:after="0" w:line="240" w:lineRule="auto"/>
              <w:ind w:hanging="105"/>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Tabel nr. 8 - Nivelul plasmatic de FVIII necesar în funcţie de tipul de intervenţie chirurgicală</w:t>
            </w:r>
          </w:p>
        </w:tc>
      </w:tr>
      <w:tr w:rsidR="00F941DA" w:rsidRPr="00F941DA" w14:paraId="31FE210F" w14:textId="77777777" w:rsidTr="00C33E54">
        <w:tc>
          <w:tcPr>
            <w:tcW w:w="1843" w:type="dxa"/>
            <w:tcBorders>
              <w:top w:val="single" w:sz="6" w:space="0" w:color="000000"/>
              <w:left w:val="single" w:sz="6" w:space="0" w:color="000000"/>
              <w:bottom w:val="single" w:sz="6" w:space="0" w:color="000000"/>
              <w:right w:val="single" w:sz="6" w:space="0" w:color="000000"/>
            </w:tcBorders>
          </w:tcPr>
          <w:p w14:paraId="71774C2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Tipul de intervenţie</w:t>
            </w:r>
          </w:p>
          <w:p w14:paraId="08B1091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Chirurgicală</w:t>
            </w:r>
          </w:p>
        </w:tc>
        <w:tc>
          <w:tcPr>
            <w:tcW w:w="2515" w:type="dxa"/>
            <w:tcBorders>
              <w:top w:val="single" w:sz="6" w:space="0" w:color="000000"/>
              <w:left w:val="single" w:sz="6" w:space="0" w:color="000000"/>
              <w:bottom w:val="single" w:sz="6" w:space="0" w:color="000000"/>
              <w:right w:val="single" w:sz="6" w:space="0" w:color="000000"/>
            </w:tcBorders>
          </w:tcPr>
          <w:p w14:paraId="0AB5EB7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Nivelul plasmatic de factor VIII necesar</w:t>
            </w:r>
          </w:p>
          <w:p w14:paraId="00169AE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din normal sau UI/dl)</w:t>
            </w:r>
          </w:p>
        </w:tc>
        <w:tc>
          <w:tcPr>
            <w:tcW w:w="5423" w:type="dxa"/>
            <w:tcBorders>
              <w:top w:val="single" w:sz="6" w:space="0" w:color="000000"/>
              <w:left w:val="single" w:sz="6" w:space="0" w:color="000000"/>
              <w:bottom w:val="single" w:sz="6" w:space="0" w:color="000000"/>
              <w:right w:val="single" w:sz="6" w:space="0" w:color="000000"/>
            </w:tcBorders>
          </w:tcPr>
          <w:p w14:paraId="7E4180F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Frecvenţa de administrare (ore)/durata tratamentului (zile)</w:t>
            </w:r>
          </w:p>
        </w:tc>
      </w:tr>
      <w:tr w:rsidR="00F941DA" w:rsidRPr="00F941DA" w14:paraId="4D04D5BF" w14:textId="77777777" w:rsidTr="00C33E54">
        <w:tc>
          <w:tcPr>
            <w:tcW w:w="1843" w:type="dxa"/>
            <w:tcBorders>
              <w:top w:val="single" w:sz="6" w:space="0" w:color="000000"/>
              <w:left w:val="single" w:sz="6" w:space="0" w:color="000000"/>
              <w:bottom w:val="nil"/>
              <w:right w:val="single" w:sz="6" w:space="0" w:color="000000"/>
            </w:tcBorders>
          </w:tcPr>
          <w:p w14:paraId="7D47181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Minore</w:t>
            </w:r>
          </w:p>
          <w:p w14:paraId="2B73E37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Incluzând extracţiile dentare</w:t>
            </w:r>
          </w:p>
        </w:tc>
        <w:tc>
          <w:tcPr>
            <w:tcW w:w="2515" w:type="dxa"/>
            <w:tcBorders>
              <w:top w:val="single" w:sz="6" w:space="0" w:color="000000"/>
              <w:left w:val="single" w:sz="6" w:space="0" w:color="000000"/>
              <w:bottom w:val="nil"/>
              <w:right w:val="single" w:sz="6" w:space="0" w:color="000000"/>
            </w:tcBorders>
          </w:tcPr>
          <w:p w14:paraId="17E99C8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30 - 60</w:t>
            </w:r>
          </w:p>
          <w:p w14:paraId="7825BFA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(pre, intra şi postoperator)</w:t>
            </w:r>
          </w:p>
        </w:tc>
        <w:tc>
          <w:tcPr>
            <w:tcW w:w="5423" w:type="dxa"/>
            <w:tcBorders>
              <w:top w:val="single" w:sz="6" w:space="0" w:color="000000"/>
              <w:left w:val="single" w:sz="6" w:space="0" w:color="000000"/>
              <w:bottom w:val="nil"/>
              <w:right w:val="single" w:sz="6" w:space="0" w:color="000000"/>
            </w:tcBorders>
          </w:tcPr>
          <w:p w14:paraId="5B364BB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administrează injecţii repetate la fiecare 12 ore (de la 12 la 24 de ore în cazul pacienţilor cu vârsta sub 6 ani), până când se obţine cicatrizarea.</w:t>
            </w:r>
          </w:p>
        </w:tc>
      </w:tr>
      <w:tr w:rsidR="00F941DA" w:rsidRPr="00F941DA" w14:paraId="00D413D7" w14:textId="77777777" w:rsidTr="00C33E54">
        <w:tc>
          <w:tcPr>
            <w:tcW w:w="1843" w:type="dxa"/>
            <w:tcBorders>
              <w:top w:val="nil"/>
              <w:left w:val="single" w:sz="6" w:space="0" w:color="000000"/>
              <w:bottom w:val="single" w:sz="6" w:space="0" w:color="000000"/>
              <w:right w:val="single" w:sz="6" w:space="0" w:color="000000"/>
            </w:tcBorders>
          </w:tcPr>
          <w:p w14:paraId="4D88E7C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Majore</w:t>
            </w:r>
          </w:p>
        </w:tc>
        <w:tc>
          <w:tcPr>
            <w:tcW w:w="2515" w:type="dxa"/>
            <w:tcBorders>
              <w:top w:val="nil"/>
              <w:left w:val="single" w:sz="6" w:space="0" w:color="000000"/>
              <w:bottom w:val="single" w:sz="6" w:space="0" w:color="000000"/>
              <w:right w:val="single" w:sz="6" w:space="0" w:color="000000"/>
            </w:tcBorders>
          </w:tcPr>
          <w:p w14:paraId="1830FD5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80 - 100</w:t>
            </w:r>
          </w:p>
          <w:p w14:paraId="2A7394A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(pre, intra şi post operator)</w:t>
            </w:r>
          </w:p>
        </w:tc>
        <w:tc>
          <w:tcPr>
            <w:tcW w:w="5423" w:type="dxa"/>
            <w:tcBorders>
              <w:top w:val="nil"/>
              <w:left w:val="single" w:sz="6" w:space="0" w:color="000000"/>
              <w:bottom w:val="single" w:sz="6" w:space="0" w:color="000000"/>
              <w:right w:val="single" w:sz="6" w:space="0" w:color="000000"/>
            </w:tcBorders>
          </w:tcPr>
          <w:p w14:paraId="2F19836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administrează injecţii repetate la fiecare 8 - 12 ore (de la 6 până la 24 de ore, în cazul pacienţilor cu vârsta sub 6 ani) cu menţinerea nivelului plasmatic de 80 - 100% până când se obţine cicatrizarea, apoi se continuă tratamentul timp de cel puţin 10 - 14 zile, pentru a menţine un nivel al activităţii Factorului VIII de 30 - 60% (UI/dl).</w:t>
            </w:r>
          </w:p>
        </w:tc>
      </w:tr>
    </w:tbl>
    <w:p w14:paraId="6309E2C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D4D53D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941DA">
        <w:rPr>
          <w:rFonts w:ascii="Times New Roman" w:eastAsia="Times New Roman" w:hAnsi="Times New Roman" w:cs="Times New Roman"/>
          <w:b/>
          <w:sz w:val="24"/>
          <w:szCs w:val="24"/>
          <w:u w:val="single"/>
          <w:lang w:eastAsia="ro-RO"/>
        </w:rPr>
        <w:t>Hemofilia B:</w:t>
      </w:r>
    </w:p>
    <w:p w14:paraId="6A9748B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Doze:</w:t>
      </w:r>
    </w:p>
    <w:p w14:paraId="48CD388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Calculul dozei necesare de factor IX se bazează pe observaţia conform căreia 1 UI factor IX per kg creşte activitatea plasmatică a factorului IX cu 0,9 din activitatea normală.</w:t>
      </w:r>
    </w:p>
    <w:p w14:paraId="03FE2E52" w14:textId="77777777" w:rsidR="009F1EE3" w:rsidRPr="00F941DA" w:rsidRDefault="009F1EE3" w:rsidP="00D11DF1">
      <w:pPr>
        <w:numPr>
          <w:ilvl w:val="0"/>
          <w:numId w:val="36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Doza necesară per 1 administrare se calculează utilizând următoarea formulă:</w:t>
      </w:r>
    </w:p>
    <w:p w14:paraId="4943B7C3" w14:textId="77777777" w:rsidR="009F1EE3" w:rsidRPr="00F941DA" w:rsidRDefault="009F1EE3" w:rsidP="00D11DF1">
      <w:pPr>
        <w:numPr>
          <w:ilvl w:val="0"/>
          <w:numId w:val="362"/>
        </w:numPr>
        <w:tabs>
          <w:tab w:val="left" w:pos="1276"/>
        </w:tabs>
        <w:autoSpaceDE w:val="0"/>
        <w:autoSpaceDN w:val="0"/>
        <w:adjustRightInd w:val="0"/>
        <w:spacing w:after="0" w:line="240" w:lineRule="auto"/>
        <w:ind w:firstLine="27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Unităţi necesare = greutate (kg) x creşterea dorită de factor IX (%) (UI/dl) x 1,1</w:t>
      </w:r>
    </w:p>
    <w:p w14:paraId="45ED819E" w14:textId="77777777" w:rsidR="009F1EE3" w:rsidRPr="00F941DA" w:rsidRDefault="009F1EE3" w:rsidP="009F1EE3">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F7BA81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781" w:type="dxa"/>
        <w:tblLayout w:type="fixed"/>
        <w:tblCellMar>
          <w:left w:w="105" w:type="dxa"/>
          <w:right w:w="105" w:type="dxa"/>
        </w:tblCellMar>
        <w:tblLook w:val="0000" w:firstRow="0" w:lastRow="0" w:firstColumn="0" w:lastColumn="0" w:noHBand="0" w:noVBand="0"/>
      </w:tblPr>
      <w:tblGrid>
        <w:gridCol w:w="1948"/>
        <w:gridCol w:w="2410"/>
        <w:gridCol w:w="5423"/>
      </w:tblGrid>
      <w:tr w:rsidR="00F941DA" w:rsidRPr="00F941DA" w14:paraId="7CDE8957" w14:textId="77777777" w:rsidTr="00C33E54">
        <w:tc>
          <w:tcPr>
            <w:tcW w:w="9781" w:type="dxa"/>
            <w:gridSpan w:val="3"/>
            <w:tcBorders>
              <w:top w:val="nil"/>
              <w:left w:val="nil"/>
              <w:bottom w:val="single" w:sz="6" w:space="0" w:color="auto"/>
              <w:right w:val="nil"/>
            </w:tcBorders>
          </w:tcPr>
          <w:p w14:paraId="25EC7F5B" w14:textId="77777777" w:rsidR="009F1EE3" w:rsidRPr="00F941DA" w:rsidRDefault="009F1EE3" w:rsidP="00C33E54">
            <w:pPr>
              <w:autoSpaceDE w:val="0"/>
              <w:autoSpaceDN w:val="0"/>
              <w:adjustRightInd w:val="0"/>
              <w:spacing w:after="0" w:line="240" w:lineRule="auto"/>
              <w:ind w:hanging="105"/>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Tabel nr. 9 - Nivelul plasmatic de FIX necesar în funcţie de tipul intervenţiei chirurgicale</w:t>
            </w:r>
          </w:p>
        </w:tc>
      </w:tr>
      <w:tr w:rsidR="00F941DA" w:rsidRPr="00F941DA" w14:paraId="1E03D998" w14:textId="77777777" w:rsidTr="00C33E54">
        <w:tc>
          <w:tcPr>
            <w:tcW w:w="1948" w:type="dxa"/>
            <w:tcBorders>
              <w:top w:val="single" w:sz="6" w:space="0" w:color="000000"/>
              <w:left w:val="single" w:sz="6" w:space="0" w:color="000000"/>
              <w:bottom w:val="single" w:sz="6" w:space="0" w:color="000000"/>
              <w:right w:val="single" w:sz="6" w:space="0" w:color="000000"/>
            </w:tcBorders>
          </w:tcPr>
          <w:p w14:paraId="0047D32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Tipul de intervenţie</w:t>
            </w:r>
          </w:p>
          <w:p w14:paraId="5E7C657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Chirurgicală</w:t>
            </w:r>
          </w:p>
        </w:tc>
        <w:tc>
          <w:tcPr>
            <w:tcW w:w="2410" w:type="dxa"/>
            <w:tcBorders>
              <w:top w:val="single" w:sz="6" w:space="0" w:color="000000"/>
              <w:left w:val="single" w:sz="6" w:space="0" w:color="000000"/>
              <w:bottom w:val="single" w:sz="6" w:space="0" w:color="000000"/>
              <w:right w:val="single" w:sz="6" w:space="0" w:color="000000"/>
            </w:tcBorders>
          </w:tcPr>
          <w:p w14:paraId="654C9DE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Nivelul plasmatic de factor IX necesar</w:t>
            </w:r>
          </w:p>
          <w:p w14:paraId="4753A1A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din normal sau UI/dl)</w:t>
            </w:r>
          </w:p>
        </w:tc>
        <w:tc>
          <w:tcPr>
            <w:tcW w:w="5423" w:type="dxa"/>
            <w:tcBorders>
              <w:top w:val="single" w:sz="6" w:space="0" w:color="000000"/>
              <w:left w:val="single" w:sz="6" w:space="0" w:color="000000"/>
              <w:bottom w:val="single" w:sz="6" w:space="0" w:color="000000"/>
              <w:right w:val="single" w:sz="6" w:space="0" w:color="000000"/>
            </w:tcBorders>
          </w:tcPr>
          <w:p w14:paraId="6E6E717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Frecvenţa de administrare (ore)/durata tratamentului (zile)</w:t>
            </w:r>
          </w:p>
        </w:tc>
      </w:tr>
      <w:tr w:rsidR="00F941DA" w:rsidRPr="00F941DA" w14:paraId="3F2E1A2D" w14:textId="77777777" w:rsidTr="00C33E54">
        <w:tc>
          <w:tcPr>
            <w:tcW w:w="1948" w:type="dxa"/>
            <w:tcBorders>
              <w:top w:val="single" w:sz="6" w:space="0" w:color="000000"/>
              <w:left w:val="single" w:sz="6" w:space="0" w:color="000000"/>
              <w:bottom w:val="nil"/>
              <w:right w:val="single" w:sz="6" w:space="0" w:color="000000"/>
            </w:tcBorders>
          </w:tcPr>
          <w:p w14:paraId="14BF5D5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Minore, inclusiv extracţia dentară</w:t>
            </w:r>
          </w:p>
        </w:tc>
        <w:tc>
          <w:tcPr>
            <w:tcW w:w="2410" w:type="dxa"/>
            <w:tcBorders>
              <w:top w:val="single" w:sz="6" w:space="0" w:color="000000"/>
              <w:left w:val="single" w:sz="6" w:space="0" w:color="000000"/>
              <w:bottom w:val="nil"/>
              <w:right w:val="single" w:sz="6" w:space="0" w:color="000000"/>
            </w:tcBorders>
          </w:tcPr>
          <w:p w14:paraId="0C6C59C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30 - 60</w:t>
            </w:r>
          </w:p>
          <w:p w14:paraId="33BDD1B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(pre, intra şi postoperator)</w:t>
            </w:r>
          </w:p>
        </w:tc>
        <w:tc>
          <w:tcPr>
            <w:tcW w:w="5423" w:type="dxa"/>
            <w:tcBorders>
              <w:top w:val="single" w:sz="6" w:space="0" w:color="000000"/>
              <w:left w:val="single" w:sz="6" w:space="0" w:color="000000"/>
              <w:bottom w:val="nil"/>
              <w:right w:val="single" w:sz="6" w:space="0" w:color="000000"/>
            </w:tcBorders>
          </w:tcPr>
          <w:p w14:paraId="1423DEF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administrează injecţii repetate la intervale de 24 ore până se obţine cicatrizarea</w:t>
            </w:r>
          </w:p>
        </w:tc>
      </w:tr>
      <w:tr w:rsidR="00F941DA" w:rsidRPr="00F941DA" w14:paraId="39434D1E" w14:textId="77777777" w:rsidTr="00C33E54">
        <w:tc>
          <w:tcPr>
            <w:tcW w:w="1948" w:type="dxa"/>
            <w:tcBorders>
              <w:top w:val="nil"/>
              <w:left w:val="single" w:sz="6" w:space="0" w:color="000000"/>
              <w:bottom w:val="single" w:sz="6" w:space="0" w:color="000000"/>
              <w:right w:val="single" w:sz="6" w:space="0" w:color="000000"/>
            </w:tcBorders>
          </w:tcPr>
          <w:p w14:paraId="66AF05C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Majore</w:t>
            </w:r>
          </w:p>
        </w:tc>
        <w:tc>
          <w:tcPr>
            <w:tcW w:w="2410" w:type="dxa"/>
            <w:tcBorders>
              <w:top w:val="nil"/>
              <w:left w:val="single" w:sz="6" w:space="0" w:color="000000"/>
              <w:bottom w:val="single" w:sz="6" w:space="0" w:color="000000"/>
              <w:right w:val="single" w:sz="6" w:space="0" w:color="000000"/>
            </w:tcBorders>
          </w:tcPr>
          <w:p w14:paraId="637D0CB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80 - 100</w:t>
            </w:r>
          </w:p>
          <w:p w14:paraId="4F5E950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(pre, intra şi post operator)</w:t>
            </w:r>
          </w:p>
        </w:tc>
        <w:tc>
          <w:tcPr>
            <w:tcW w:w="5423" w:type="dxa"/>
            <w:tcBorders>
              <w:top w:val="nil"/>
              <w:left w:val="single" w:sz="6" w:space="0" w:color="000000"/>
              <w:bottom w:val="single" w:sz="6" w:space="0" w:color="000000"/>
              <w:right w:val="single" w:sz="6" w:space="0" w:color="000000"/>
            </w:tcBorders>
          </w:tcPr>
          <w:p w14:paraId="7A87729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Se administrează injecţii repetate la fiecare 8 - 24 ore (de la 6 până la 24 de ore, în cazul pacienţilor cu vârsta sub 6 ani) cu menţinerea nivelului plasmatic de 80 - 100% până când se obţine cicatrizarea, apoi terapie pentru cel puţin încă 10 - 14 zile, pentru menţinerea unei activităţi a F IX de 30% - 60%.</w:t>
            </w:r>
          </w:p>
        </w:tc>
      </w:tr>
    </w:tbl>
    <w:p w14:paraId="65F237F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859BDD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Mod de administrare: pe cale intravenoasă, lent. Intervalul de administrare trebuie stabilit la indicaţia medicului </w:t>
      </w:r>
    </w:p>
    <w:p w14:paraId="45D3F8E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hematolog sau pediatru cu competența in domeniul hematologiei.</w:t>
      </w:r>
    </w:p>
    <w:p w14:paraId="4D31F6BE" w14:textId="77777777" w:rsidR="00C33E54" w:rsidRPr="00F941DA" w:rsidRDefault="00C33E54"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400AAE10" w14:textId="6E299B26"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Monitorizarea tratamentului</w:t>
      </w:r>
    </w:p>
    <w:p w14:paraId="74C4853C" w14:textId="77777777" w:rsidR="009F1EE3" w:rsidRPr="00F941DA" w:rsidRDefault="009F1EE3" w:rsidP="00D11DF1">
      <w:pPr>
        <w:numPr>
          <w:ilvl w:val="3"/>
          <w:numId w:val="363"/>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evaluarea eficienţei hemostatice a tratamentului (Tabel 10)</w:t>
      </w:r>
    </w:p>
    <w:p w14:paraId="32383E71" w14:textId="77777777" w:rsidR="009F1EE3" w:rsidRPr="00F941DA" w:rsidRDefault="009F1EE3" w:rsidP="00D11DF1">
      <w:pPr>
        <w:numPr>
          <w:ilvl w:val="3"/>
          <w:numId w:val="363"/>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monitorizarea exactă a pierderilor de sânge intra - şi postoperatorii</w:t>
      </w:r>
    </w:p>
    <w:p w14:paraId="32C04167" w14:textId="77777777" w:rsidR="009F1EE3" w:rsidRPr="00F941DA" w:rsidRDefault="009F1EE3" w:rsidP="00D11DF1">
      <w:pPr>
        <w:numPr>
          <w:ilvl w:val="3"/>
          <w:numId w:val="363"/>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monitorizarea precisă a terapiei de substituţie prin evaluarea zilnică a activităţii plasmatice a factorului VIII/IX.</w:t>
      </w:r>
    </w:p>
    <w:p w14:paraId="1499E9C8" w14:textId="77777777" w:rsidR="009F1EE3" w:rsidRPr="00F941DA" w:rsidRDefault="009F1EE3" w:rsidP="00D11DF1">
      <w:pPr>
        <w:numPr>
          <w:ilvl w:val="3"/>
          <w:numId w:val="363"/>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 cu atenţie, prin teste de laborator, a ratei de recovery şi a anticorpilor inhibitori anti FVIII/FIX</w:t>
      </w:r>
    </w:p>
    <w:p w14:paraId="6FAA5D9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5D4818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781" w:type="dxa"/>
        <w:tblLayout w:type="fixed"/>
        <w:tblCellMar>
          <w:left w:w="105" w:type="dxa"/>
          <w:right w:w="105" w:type="dxa"/>
        </w:tblCellMar>
        <w:tblLook w:val="0000" w:firstRow="0" w:lastRow="0" w:firstColumn="0" w:lastColumn="0" w:noHBand="0" w:noVBand="0"/>
      </w:tblPr>
      <w:tblGrid>
        <w:gridCol w:w="1665"/>
        <w:gridCol w:w="8116"/>
      </w:tblGrid>
      <w:tr w:rsidR="00F941DA" w:rsidRPr="00F941DA" w14:paraId="2E656300" w14:textId="77777777" w:rsidTr="00C33E54">
        <w:tc>
          <w:tcPr>
            <w:tcW w:w="9781" w:type="dxa"/>
            <w:gridSpan w:val="2"/>
            <w:tcBorders>
              <w:top w:val="nil"/>
              <w:left w:val="nil"/>
              <w:bottom w:val="single" w:sz="6" w:space="0" w:color="auto"/>
              <w:right w:val="nil"/>
            </w:tcBorders>
          </w:tcPr>
          <w:p w14:paraId="747B046B" w14:textId="77777777" w:rsidR="009F1EE3" w:rsidRPr="00F941DA" w:rsidRDefault="009F1EE3" w:rsidP="00C33E54">
            <w:pPr>
              <w:autoSpaceDE w:val="0"/>
              <w:autoSpaceDN w:val="0"/>
              <w:adjustRightInd w:val="0"/>
              <w:spacing w:after="0" w:line="240" w:lineRule="auto"/>
              <w:ind w:hanging="105"/>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Tabelul nr. 10 - Definirea evaluării eficienţei hemostatice în cazul procedurilor chirurgicale</w:t>
            </w:r>
          </w:p>
        </w:tc>
      </w:tr>
      <w:tr w:rsidR="00F941DA" w:rsidRPr="00F941DA" w14:paraId="7511E84C" w14:textId="77777777" w:rsidTr="00C33E54">
        <w:tc>
          <w:tcPr>
            <w:tcW w:w="1665" w:type="dxa"/>
            <w:tcBorders>
              <w:top w:val="single" w:sz="6" w:space="0" w:color="000000"/>
              <w:left w:val="single" w:sz="6" w:space="0" w:color="000000"/>
              <w:bottom w:val="single" w:sz="6" w:space="0" w:color="000000"/>
              <w:right w:val="single" w:sz="6" w:space="0" w:color="000000"/>
            </w:tcBorders>
          </w:tcPr>
          <w:p w14:paraId="0293C0A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Tipul de răspuns</w:t>
            </w:r>
          </w:p>
        </w:tc>
        <w:tc>
          <w:tcPr>
            <w:tcW w:w="8116" w:type="dxa"/>
            <w:tcBorders>
              <w:top w:val="single" w:sz="6" w:space="0" w:color="000000"/>
              <w:left w:val="single" w:sz="6" w:space="0" w:color="000000"/>
              <w:bottom w:val="single" w:sz="6" w:space="0" w:color="000000"/>
              <w:right w:val="single" w:sz="6" w:space="0" w:color="000000"/>
            </w:tcBorders>
          </w:tcPr>
          <w:p w14:paraId="7952B5B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Definiţia răspunsului</w:t>
            </w:r>
          </w:p>
        </w:tc>
      </w:tr>
      <w:tr w:rsidR="00F941DA" w:rsidRPr="00F941DA" w14:paraId="7EDF988F" w14:textId="77777777" w:rsidTr="00C33E54">
        <w:tc>
          <w:tcPr>
            <w:tcW w:w="1665" w:type="dxa"/>
            <w:tcBorders>
              <w:top w:val="single" w:sz="6" w:space="0" w:color="000000"/>
              <w:left w:val="single" w:sz="6" w:space="0" w:color="000000"/>
              <w:bottom w:val="nil"/>
              <w:right w:val="single" w:sz="6" w:space="0" w:color="000000"/>
            </w:tcBorders>
          </w:tcPr>
          <w:p w14:paraId="4B09B30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Excelent</w:t>
            </w:r>
          </w:p>
        </w:tc>
        <w:tc>
          <w:tcPr>
            <w:tcW w:w="8116" w:type="dxa"/>
            <w:tcBorders>
              <w:top w:val="single" w:sz="6" w:space="0" w:color="000000"/>
              <w:left w:val="single" w:sz="6" w:space="0" w:color="000000"/>
              <w:bottom w:val="nil"/>
              <w:right w:val="single" w:sz="6" w:space="0" w:color="000000"/>
            </w:tcBorders>
          </w:tcPr>
          <w:p w14:paraId="4E250FE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Intra- şi postoperator pierderile de sânge sunt similare (10%) cu cele ale pacientului fără hemofilie</w:t>
            </w:r>
          </w:p>
        </w:tc>
      </w:tr>
      <w:tr w:rsidR="00F941DA" w:rsidRPr="00F941DA" w14:paraId="33D992D4" w14:textId="77777777" w:rsidTr="00C33E54">
        <w:tc>
          <w:tcPr>
            <w:tcW w:w="1665" w:type="dxa"/>
            <w:tcBorders>
              <w:top w:val="nil"/>
              <w:left w:val="single" w:sz="6" w:space="0" w:color="000000"/>
              <w:bottom w:val="nil"/>
              <w:right w:val="single" w:sz="6" w:space="0" w:color="000000"/>
            </w:tcBorders>
          </w:tcPr>
          <w:p w14:paraId="62EC940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8116" w:type="dxa"/>
            <w:tcBorders>
              <w:top w:val="nil"/>
              <w:left w:val="single" w:sz="6" w:space="0" w:color="000000"/>
              <w:bottom w:val="nil"/>
              <w:right w:val="single" w:sz="6" w:space="0" w:color="000000"/>
            </w:tcBorders>
          </w:tcPr>
          <w:p w14:paraId="28F7573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fără doze suplimentare de FVIII sau FIX faţă de cele estimate</w:t>
            </w:r>
          </w:p>
        </w:tc>
      </w:tr>
      <w:tr w:rsidR="00F941DA" w:rsidRPr="00F941DA" w14:paraId="27EE031F" w14:textId="77777777" w:rsidTr="00C33E54">
        <w:tc>
          <w:tcPr>
            <w:tcW w:w="1665" w:type="dxa"/>
            <w:tcBorders>
              <w:top w:val="nil"/>
              <w:left w:val="single" w:sz="6" w:space="0" w:color="000000"/>
              <w:bottom w:val="single" w:sz="6" w:space="0" w:color="000000"/>
              <w:right w:val="single" w:sz="6" w:space="0" w:color="000000"/>
            </w:tcBorders>
          </w:tcPr>
          <w:p w14:paraId="3CE28B2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8116" w:type="dxa"/>
            <w:tcBorders>
              <w:top w:val="nil"/>
              <w:left w:val="single" w:sz="6" w:space="0" w:color="000000"/>
              <w:bottom w:val="single" w:sz="6" w:space="0" w:color="000000"/>
              <w:right w:val="single" w:sz="6" w:space="0" w:color="000000"/>
            </w:tcBorders>
          </w:tcPr>
          <w:p w14:paraId="5A025E7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nevoia de transfuzii de sânge similară cu cea a pacientului fără hemofilie</w:t>
            </w:r>
          </w:p>
        </w:tc>
      </w:tr>
      <w:tr w:rsidR="00F941DA" w:rsidRPr="00F941DA" w14:paraId="10DD9CE1" w14:textId="77777777" w:rsidTr="00C33E54">
        <w:tc>
          <w:tcPr>
            <w:tcW w:w="1665" w:type="dxa"/>
            <w:tcBorders>
              <w:top w:val="single" w:sz="6" w:space="0" w:color="000000"/>
              <w:left w:val="single" w:sz="6" w:space="0" w:color="000000"/>
              <w:bottom w:val="nil"/>
              <w:right w:val="single" w:sz="6" w:space="0" w:color="000000"/>
            </w:tcBorders>
          </w:tcPr>
          <w:p w14:paraId="70FA8F9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Bun</w:t>
            </w:r>
          </w:p>
        </w:tc>
        <w:tc>
          <w:tcPr>
            <w:tcW w:w="8116" w:type="dxa"/>
            <w:tcBorders>
              <w:top w:val="single" w:sz="6" w:space="0" w:color="000000"/>
              <w:left w:val="single" w:sz="6" w:space="0" w:color="000000"/>
              <w:bottom w:val="nil"/>
              <w:right w:val="single" w:sz="6" w:space="0" w:color="000000"/>
            </w:tcBorders>
          </w:tcPr>
          <w:p w14:paraId="5763205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Intra- şi postoperator pierderea de sânge este uşor crescută faţă de pacientul fără hemofilie (între 10 - 25%) dar diferenţa este evaluată de chirurg/anestezist ca fiind nesemnificativă clinic</w:t>
            </w:r>
          </w:p>
        </w:tc>
      </w:tr>
      <w:tr w:rsidR="00F941DA" w:rsidRPr="00F941DA" w14:paraId="03CB966C" w14:textId="77777777" w:rsidTr="00C33E54">
        <w:tc>
          <w:tcPr>
            <w:tcW w:w="1665" w:type="dxa"/>
            <w:tcBorders>
              <w:top w:val="nil"/>
              <w:left w:val="single" w:sz="6" w:space="0" w:color="000000"/>
              <w:bottom w:val="nil"/>
              <w:right w:val="single" w:sz="6" w:space="0" w:color="000000"/>
            </w:tcBorders>
          </w:tcPr>
          <w:p w14:paraId="20D8185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8116" w:type="dxa"/>
            <w:tcBorders>
              <w:top w:val="nil"/>
              <w:left w:val="single" w:sz="6" w:space="0" w:color="000000"/>
              <w:bottom w:val="nil"/>
              <w:right w:val="single" w:sz="6" w:space="0" w:color="000000"/>
            </w:tcBorders>
          </w:tcPr>
          <w:p w14:paraId="1D2A88B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fără doze suplimentare de FVIII sau FIX faţă de cele estimate</w:t>
            </w:r>
          </w:p>
        </w:tc>
      </w:tr>
      <w:tr w:rsidR="00F941DA" w:rsidRPr="00F941DA" w14:paraId="72D5C284" w14:textId="77777777" w:rsidTr="00C33E54">
        <w:tc>
          <w:tcPr>
            <w:tcW w:w="1665" w:type="dxa"/>
            <w:tcBorders>
              <w:top w:val="nil"/>
              <w:left w:val="single" w:sz="6" w:space="0" w:color="000000"/>
              <w:bottom w:val="single" w:sz="6" w:space="0" w:color="000000"/>
              <w:right w:val="single" w:sz="6" w:space="0" w:color="000000"/>
            </w:tcBorders>
          </w:tcPr>
          <w:p w14:paraId="34565AB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8116" w:type="dxa"/>
            <w:tcBorders>
              <w:top w:val="nil"/>
              <w:left w:val="single" w:sz="6" w:space="0" w:color="000000"/>
              <w:bottom w:val="single" w:sz="6" w:space="0" w:color="000000"/>
              <w:right w:val="single" w:sz="6" w:space="0" w:color="000000"/>
            </w:tcBorders>
          </w:tcPr>
          <w:p w14:paraId="6FE3022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nevoia de transfuzii de sânge similară cu cea a pacientului fără hemofilie</w:t>
            </w:r>
          </w:p>
        </w:tc>
      </w:tr>
      <w:tr w:rsidR="00F941DA" w:rsidRPr="00F941DA" w14:paraId="006186BF" w14:textId="77777777" w:rsidTr="00C33E54">
        <w:tc>
          <w:tcPr>
            <w:tcW w:w="1665" w:type="dxa"/>
            <w:tcBorders>
              <w:top w:val="single" w:sz="6" w:space="0" w:color="000000"/>
              <w:left w:val="single" w:sz="6" w:space="0" w:color="000000"/>
              <w:bottom w:val="nil"/>
              <w:right w:val="single" w:sz="6" w:space="0" w:color="000000"/>
            </w:tcBorders>
          </w:tcPr>
          <w:p w14:paraId="0D943F0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Satisfăcător</w:t>
            </w:r>
          </w:p>
        </w:tc>
        <w:tc>
          <w:tcPr>
            <w:tcW w:w="8116" w:type="dxa"/>
            <w:tcBorders>
              <w:top w:val="single" w:sz="6" w:space="0" w:color="000000"/>
              <w:left w:val="single" w:sz="6" w:space="0" w:color="000000"/>
              <w:bottom w:val="nil"/>
              <w:right w:val="single" w:sz="6" w:space="0" w:color="000000"/>
            </w:tcBorders>
          </w:tcPr>
          <w:p w14:paraId="0B420FB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Intra- şi postoperator pierderile de sânge sunt crescute cu 25 - 50% faţă de pacientul fără hemofilie şi este nevoie de tratament adiţional:</w:t>
            </w:r>
          </w:p>
        </w:tc>
      </w:tr>
      <w:tr w:rsidR="00F941DA" w:rsidRPr="00F941DA" w14:paraId="153C7FB9" w14:textId="77777777" w:rsidTr="00C33E54">
        <w:tc>
          <w:tcPr>
            <w:tcW w:w="1665" w:type="dxa"/>
            <w:tcBorders>
              <w:top w:val="nil"/>
              <w:left w:val="single" w:sz="6" w:space="0" w:color="000000"/>
              <w:bottom w:val="nil"/>
              <w:right w:val="single" w:sz="6" w:space="0" w:color="000000"/>
            </w:tcBorders>
          </w:tcPr>
          <w:p w14:paraId="387B07C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8116" w:type="dxa"/>
            <w:tcBorders>
              <w:top w:val="nil"/>
              <w:left w:val="single" w:sz="6" w:space="0" w:color="000000"/>
              <w:bottom w:val="nil"/>
              <w:right w:val="single" w:sz="6" w:space="0" w:color="000000"/>
            </w:tcBorders>
          </w:tcPr>
          <w:p w14:paraId="62E5640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doze suplimentare de FVIII sau FIX faţă de cele estimate</w:t>
            </w:r>
          </w:p>
        </w:tc>
      </w:tr>
      <w:tr w:rsidR="00F941DA" w:rsidRPr="00F941DA" w14:paraId="2D103FED" w14:textId="77777777" w:rsidTr="00C33E54">
        <w:tc>
          <w:tcPr>
            <w:tcW w:w="1665" w:type="dxa"/>
            <w:tcBorders>
              <w:top w:val="nil"/>
              <w:left w:val="single" w:sz="6" w:space="0" w:color="000000"/>
              <w:bottom w:val="single" w:sz="6" w:space="0" w:color="000000"/>
              <w:right w:val="single" w:sz="6" w:space="0" w:color="000000"/>
            </w:tcBorders>
          </w:tcPr>
          <w:p w14:paraId="4CFCA1B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8116" w:type="dxa"/>
            <w:tcBorders>
              <w:top w:val="nil"/>
              <w:left w:val="single" w:sz="6" w:space="0" w:color="000000"/>
              <w:bottom w:val="single" w:sz="6" w:space="0" w:color="000000"/>
              <w:right w:val="single" w:sz="6" w:space="0" w:color="000000"/>
            </w:tcBorders>
          </w:tcPr>
          <w:p w14:paraId="12D5BF1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necesar de transfuzii de sânge de 2 ori mai mare faţă de pacientul fără hemofilie</w:t>
            </w:r>
          </w:p>
        </w:tc>
      </w:tr>
      <w:tr w:rsidR="00F941DA" w:rsidRPr="00F941DA" w14:paraId="5CE87A78" w14:textId="77777777" w:rsidTr="00C33E54">
        <w:tc>
          <w:tcPr>
            <w:tcW w:w="1665" w:type="dxa"/>
            <w:tcBorders>
              <w:top w:val="single" w:sz="6" w:space="0" w:color="000000"/>
              <w:left w:val="single" w:sz="6" w:space="0" w:color="000000"/>
              <w:bottom w:val="nil"/>
              <w:right w:val="single" w:sz="6" w:space="0" w:color="000000"/>
            </w:tcBorders>
          </w:tcPr>
          <w:p w14:paraId="637142E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Prost/Fără răspuns</w:t>
            </w:r>
          </w:p>
        </w:tc>
        <w:tc>
          <w:tcPr>
            <w:tcW w:w="8116" w:type="dxa"/>
            <w:tcBorders>
              <w:top w:val="single" w:sz="6" w:space="0" w:color="000000"/>
              <w:left w:val="single" w:sz="6" w:space="0" w:color="000000"/>
              <w:bottom w:val="nil"/>
              <w:right w:val="single" w:sz="6" w:space="0" w:color="000000"/>
            </w:tcBorders>
          </w:tcPr>
          <w:p w14:paraId="0B1FC58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Intra- şi postoperator pierderea de sânge este substanţial semnificativ crescută (&gt; 50%) faţă de pacientul fără hemofilie şi care nu este explicată de existenţa unei afecţiuni medicale/chirurgicale alta decât hemofilia</w:t>
            </w:r>
          </w:p>
        </w:tc>
      </w:tr>
      <w:tr w:rsidR="00F941DA" w:rsidRPr="00F941DA" w14:paraId="06681EC3" w14:textId="77777777" w:rsidTr="00C33E54">
        <w:tc>
          <w:tcPr>
            <w:tcW w:w="1665" w:type="dxa"/>
            <w:tcBorders>
              <w:top w:val="nil"/>
              <w:left w:val="single" w:sz="6" w:space="0" w:color="000000"/>
              <w:bottom w:val="nil"/>
              <w:right w:val="single" w:sz="6" w:space="0" w:color="000000"/>
            </w:tcBorders>
          </w:tcPr>
          <w:p w14:paraId="5DAF258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8116" w:type="dxa"/>
            <w:tcBorders>
              <w:top w:val="nil"/>
              <w:left w:val="single" w:sz="6" w:space="0" w:color="000000"/>
              <w:bottom w:val="nil"/>
              <w:right w:val="single" w:sz="6" w:space="0" w:color="000000"/>
            </w:tcBorders>
          </w:tcPr>
          <w:p w14:paraId="2340C23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hipotensiune sau transfer neaşteptat la ATI datorită sângerărilor</w:t>
            </w:r>
          </w:p>
        </w:tc>
      </w:tr>
      <w:tr w:rsidR="00F941DA" w:rsidRPr="00F941DA" w14:paraId="23EE721B" w14:textId="77777777" w:rsidTr="00C33E54">
        <w:tc>
          <w:tcPr>
            <w:tcW w:w="1665" w:type="dxa"/>
            <w:tcBorders>
              <w:top w:val="nil"/>
              <w:left w:val="single" w:sz="6" w:space="0" w:color="000000"/>
              <w:bottom w:val="nil"/>
              <w:right w:val="single" w:sz="6" w:space="0" w:color="000000"/>
            </w:tcBorders>
          </w:tcPr>
          <w:p w14:paraId="6370E3B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8116" w:type="dxa"/>
            <w:tcBorders>
              <w:top w:val="nil"/>
              <w:left w:val="single" w:sz="6" w:space="0" w:color="000000"/>
              <w:bottom w:val="nil"/>
              <w:right w:val="single" w:sz="6" w:space="0" w:color="000000"/>
            </w:tcBorders>
          </w:tcPr>
          <w:p w14:paraId="7CDC211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sau</w:t>
            </w:r>
          </w:p>
        </w:tc>
      </w:tr>
      <w:tr w:rsidR="00F941DA" w:rsidRPr="00F941DA" w14:paraId="5643322D" w14:textId="77777777" w:rsidTr="00C33E54">
        <w:tc>
          <w:tcPr>
            <w:tcW w:w="1665" w:type="dxa"/>
            <w:tcBorders>
              <w:top w:val="nil"/>
              <w:left w:val="single" w:sz="6" w:space="0" w:color="000000"/>
              <w:bottom w:val="single" w:sz="6" w:space="0" w:color="000000"/>
              <w:right w:val="single" w:sz="6" w:space="0" w:color="000000"/>
            </w:tcBorders>
          </w:tcPr>
          <w:p w14:paraId="0D9C4E4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8116" w:type="dxa"/>
            <w:tcBorders>
              <w:top w:val="nil"/>
              <w:left w:val="single" w:sz="6" w:space="0" w:color="000000"/>
              <w:bottom w:val="single" w:sz="6" w:space="0" w:color="000000"/>
              <w:right w:val="single" w:sz="6" w:space="0" w:color="000000"/>
            </w:tcBorders>
          </w:tcPr>
          <w:p w14:paraId="4074A74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creştere substanţială a necesarului de transfuzii de &gt; 2 ori faţă de necesarul anticipat</w:t>
            </w:r>
          </w:p>
        </w:tc>
      </w:tr>
    </w:tbl>
    <w:p w14:paraId="6AE8D63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16DFA95" w14:textId="1E6D9141"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Criterii de schimbare a tratamentului</w:t>
      </w:r>
    </w:p>
    <w:p w14:paraId="7332E571" w14:textId="77777777" w:rsidR="009F1EE3" w:rsidRPr="00F941DA" w:rsidRDefault="009F1EE3" w:rsidP="00D11DF1">
      <w:pPr>
        <w:numPr>
          <w:ilvl w:val="3"/>
          <w:numId w:val="364"/>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Hipersensibilitate la substanţa activă sau la oricare dintre excipienţi sau la proteinele de şoarece sau hamster cu recomandarea schimbării produsului biologic de tratament</w:t>
      </w:r>
    </w:p>
    <w:p w14:paraId="02990C8D" w14:textId="77777777" w:rsidR="009F1EE3" w:rsidRPr="00F941DA" w:rsidRDefault="009F1EE3" w:rsidP="00D11DF1">
      <w:pPr>
        <w:numPr>
          <w:ilvl w:val="3"/>
          <w:numId w:val="364"/>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Dezvoltarea inhibitorilor anti FVIII sau anti FIX</w:t>
      </w:r>
    </w:p>
    <w:p w14:paraId="44833CD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9C1BFB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 PROTOCOL DE TRATAMENT AL HEMOFILIEI CONGENITALE CU INHIBITORI</w:t>
      </w:r>
    </w:p>
    <w:p w14:paraId="18E609B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C0F4064" w14:textId="6C6A38B0"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Definiţia afecţiunii</w:t>
      </w:r>
    </w:p>
    <w:p w14:paraId="00261BCA" w14:textId="77777777" w:rsidR="009F1EE3" w:rsidRPr="00F941DA" w:rsidRDefault="009F1EE3" w:rsidP="00D11DF1">
      <w:pPr>
        <w:numPr>
          <w:ilvl w:val="3"/>
          <w:numId w:val="36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Apariţia alloanticorpilor inhibitori anti-FVIII sau anti-FIX la valori </w:t>
      </w:r>
      <w:r w:rsidRPr="00F941DA">
        <w:rPr>
          <w:rFonts w:ascii="Times New Roman" w:eastAsia="Times New Roman" w:hAnsi="Times New Roman" w:cs="Times New Roman"/>
          <w:sz w:val="24"/>
          <w:szCs w:val="24"/>
          <w:u w:val="single"/>
          <w:lang w:eastAsia="ro-RO"/>
        </w:rPr>
        <w:t>&gt;</w:t>
      </w:r>
      <w:r w:rsidRPr="00F941DA">
        <w:rPr>
          <w:rFonts w:ascii="Times New Roman" w:eastAsia="Times New Roman" w:hAnsi="Times New Roman" w:cs="Times New Roman"/>
          <w:sz w:val="24"/>
          <w:szCs w:val="24"/>
          <w:lang w:eastAsia="ro-RO"/>
        </w:rPr>
        <w:t xml:space="preserve"> 0,6 UB/ml ; este cea mai severă complicaţie asociată tratamentului hemofiliei. Ea trebuie suspectată ori de câte ori pacientul nu mai răspunde la tratamentul cu factori de coagulare</w:t>
      </w:r>
    </w:p>
    <w:p w14:paraId="5104D798" w14:textId="77777777" w:rsidR="009F1EE3" w:rsidRPr="00F941DA" w:rsidRDefault="009F1EE3" w:rsidP="00D11DF1">
      <w:pPr>
        <w:numPr>
          <w:ilvl w:val="3"/>
          <w:numId w:val="36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Incidenţa dezvoltării inhibitorilor este de 20 - 30% la pacienţii cu hemofilie A formă severă, 5 - 10% la cei cu forme moderate, uşoare şi de &lt; 5% la pacienţii cu hemofilie B</w:t>
      </w:r>
    </w:p>
    <w:p w14:paraId="41CFB970" w14:textId="77777777" w:rsidR="009F1EE3" w:rsidRPr="00F941DA" w:rsidRDefault="009F1EE3" w:rsidP="00D11DF1">
      <w:pPr>
        <w:numPr>
          <w:ilvl w:val="3"/>
          <w:numId w:val="36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Inhibitorii se diferenţiază în funcţie de nivelul de răspuns</w:t>
      </w:r>
    </w:p>
    <w:p w14:paraId="5909D008" w14:textId="43F2A26D" w:rsidR="009F1EE3" w:rsidRPr="00F941DA" w:rsidRDefault="009F1EE3" w:rsidP="00D11DF1">
      <w:pPr>
        <w:numPr>
          <w:ilvl w:val="0"/>
          <w:numId w:val="366"/>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Titru înalt (high responder) </w:t>
      </w:r>
      <w:r w:rsidRPr="00F941DA">
        <w:rPr>
          <w:rFonts w:ascii="Times New Roman" w:eastAsia="Times New Roman" w:hAnsi="Times New Roman" w:cs="Times New Roman"/>
          <w:sz w:val="24"/>
          <w:szCs w:val="24"/>
          <w:u w:val="single"/>
          <w:lang w:eastAsia="ro-RO"/>
        </w:rPr>
        <w:t>&gt;</w:t>
      </w:r>
      <w:r w:rsidRPr="00F941DA">
        <w:rPr>
          <w:rFonts w:ascii="Times New Roman" w:eastAsia="Times New Roman" w:hAnsi="Times New Roman" w:cs="Times New Roman"/>
          <w:sz w:val="24"/>
          <w:szCs w:val="24"/>
          <w:lang w:eastAsia="ro-RO"/>
        </w:rPr>
        <w:t xml:space="preserve"> 5 BU; de obicei cu răspuns anamnestic</w:t>
      </w:r>
      <w:r w:rsidR="00C33E54" w:rsidRPr="00F941DA">
        <w:rPr>
          <w:rFonts w:ascii="Times New Roman" w:eastAsia="Times New Roman" w:hAnsi="Times New Roman" w:cs="Times New Roman"/>
          <w:sz w:val="24"/>
          <w:szCs w:val="24"/>
          <w:vertAlign w:val="superscript"/>
          <w:lang w:eastAsia="ro-RO"/>
        </w:rPr>
        <w:t>*</w:t>
      </w:r>
      <w:r w:rsidRPr="00F941DA">
        <w:rPr>
          <w:rFonts w:ascii="Times New Roman" w:eastAsia="Times New Roman" w:hAnsi="Times New Roman" w:cs="Times New Roman"/>
          <w:sz w:val="24"/>
          <w:szCs w:val="24"/>
          <w:lang w:eastAsia="ro-RO"/>
        </w:rPr>
        <w:t xml:space="preserve"> la FVIII</w:t>
      </w:r>
    </w:p>
    <w:p w14:paraId="5FE513CD" w14:textId="3F20AA12" w:rsidR="009F1EE3" w:rsidRPr="00F941DA" w:rsidRDefault="009F1EE3" w:rsidP="00D11DF1">
      <w:pPr>
        <w:numPr>
          <w:ilvl w:val="0"/>
          <w:numId w:val="366"/>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Titru scăzut (low responder) &lt; 5 BU; fără răspuns anamnestic la FVIII</w:t>
      </w:r>
      <w:r w:rsidR="00C33E54"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(Există inhibitori tranzitori cu titru &lt; 5 UB care pot dispare spontan)</w:t>
      </w:r>
    </w:p>
    <w:p w14:paraId="723594F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_____________</w:t>
      </w:r>
    </w:p>
    <w:p w14:paraId="0CA07404" w14:textId="4E4E07CA"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În absenţa expunerii la FVIII/IX, titrul inhibitorilor poate scădea până la o valoare chiar nedetectabilă. La reexpunerea de FVIII/IX, titrul creşte în 4 - 7 zile = răspuns anamnestic)</w:t>
      </w:r>
    </w:p>
    <w:p w14:paraId="028F7E6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5F194DA" w14:textId="228DA235"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Protocol de diagnostic în hemofilia congenitală cu inhibitori</w:t>
      </w:r>
    </w:p>
    <w:p w14:paraId="2FE86210" w14:textId="77777777" w:rsidR="009F1EE3" w:rsidRPr="00F941DA" w:rsidRDefault="009F1EE3" w:rsidP="00D11DF1">
      <w:pPr>
        <w:numPr>
          <w:ilvl w:val="3"/>
          <w:numId w:val="367"/>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Testul de recovery şi determinarea inhibitorilor prin tehnica Bethesda</w:t>
      </w:r>
    </w:p>
    <w:p w14:paraId="0106DBC1" w14:textId="77777777" w:rsidR="009F1EE3" w:rsidRPr="00F941DA" w:rsidRDefault="009F1EE3" w:rsidP="00D11DF1">
      <w:pPr>
        <w:numPr>
          <w:ilvl w:val="3"/>
          <w:numId w:val="367"/>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Ritmul lor de testare trebuie să fie la iniţierea profilaxiei:</w:t>
      </w:r>
    </w:p>
    <w:p w14:paraId="7F2929B7" w14:textId="77777777" w:rsidR="009F1EE3" w:rsidRPr="00F941DA" w:rsidRDefault="009F1EE3" w:rsidP="00D11DF1">
      <w:pPr>
        <w:numPr>
          <w:ilvl w:val="0"/>
          <w:numId w:val="368"/>
        </w:numPr>
        <w:tabs>
          <w:tab w:val="left" w:pos="993"/>
        </w:tabs>
        <w:autoSpaceDE w:val="0"/>
        <w:autoSpaceDN w:val="0"/>
        <w:adjustRightInd w:val="0"/>
        <w:spacing w:after="0" w:line="240" w:lineRule="auto"/>
        <w:ind w:hanging="11"/>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o dată la 5 administrări - până la 20 de expuneri (exposure day -ED)</w:t>
      </w:r>
    </w:p>
    <w:p w14:paraId="693250EF" w14:textId="77777777" w:rsidR="009F1EE3" w:rsidRPr="00F941DA" w:rsidRDefault="009F1EE3" w:rsidP="00D11DF1">
      <w:pPr>
        <w:numPr>
          <w:ilvl w:val="0"/>
          <w:numId w:val="368"/>
        </w:numPr>
        <w:tabs>
          <w:tab w:val="left" w:pos="993"/>
        </w:tabs>
        <w:autoSpaceDE w:val="0"/>
        <w:autoSpaceDN w:val="0"/>
        <w:adjustRightInd w:val="0"/>
        <w:spacing w:after="0" w:line="240" w:lineRule="auto"/>
        <w:ind w:hanging="11"/>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o dată la 10 administrări - în intervalul 20 - 50 de EDs</w:t>
      </w:r>
    </w:p>
    <w:p w14:paraId="4A57C527" w14:textId="77777777" w:rsidR="009F1EE3" w:rsidRPr="00F941DA" w:rsidRDefault="009F1EE3" w:rsidP="00D11DF1">
      <w:pPr>
        <w:numPr>
          <w:ilvl w:val="0"/>
          <w:numId w:val="368"/>
        </w:numPr>
        <w:tabs>
          <w:tab w:val="left" w:pos="993"/>
        </w:tabs>
        <w:autoSpaceDE w:val="0"/>
        <w:autoSpaceDN w:val="0"/>
        <w:adjustRightInd w:val="0"/>
        <w:spacing w:after="0" w:line="240" w:lineRule="auto"/>
        <w:ind w:hanging="11"/>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cel puţin de 2 ori - în intervalul 50 - 150 EDs</w:t>
      </w:r>
    </w:p>
    <w:p w14:paraId="24334B53" w14:textId="77777777" w:rsidR="009F1EE3" w:rsidRPr="00F941DA" w:rsidRDefault="009F1EE3" w:rsidP="00D11DF1">
      <w:pPr>
        <w:numPr>
          <w:ilvl w:val="0"/>
          <w:numId w:val="368"/>
        </w:numPr>
        <w:tabs>
          <w:tab w:val="left" w:pos="993"/>
        </w:tabs>
        <w:autoSpaceDE w:val="0"/>
        <w:autoSpaceDN w:val="0"/>
        <w:adjustRightInd w:val="0"/>
        <w:spacing w:after="0" w:line="240" w:lineRule="auto"/>
        <w:ind w:hanging="11"/>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apoi, cel puţin anual</w:t>
      </w:r>
    </w:p>
    <w:p w14:paraId="5EDD870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F2A8B3B" w14:textId="77777777" w:rsidR="00C33E54" w:rsidRPr="00F941DA" w:rsidRDefault="00C33E54"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5E2C34C4" w14:textId="77777777" w:rsidR="00C33E54" w:rsidRPr="00F941DA" w:rsidRDefault="00C33E54"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60F13757" w14:textId="77777777" w:rsidR="00C33E54" w:rsidRPr="00F941DA" w:rsidRDefault="00C33E54"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73928D4E" w14:textId="1DFAEB50"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lastRenderedPageBreak/>
        <w:t>Protocol de tratament în hemofilia congenitală cu inhibitori</w:t>
      </w:r>
    </w:p>
    <w:p w14:paraId="3E222677" w14:textId="20E4F347" w:rsidR="00C33E54" w:rsidRPr="00F941DA" w:rsidRDefault="00C33E54"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 </w:t>
      </w:r>
    </w:p>
    <w:p w14:paraId="3F21335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E.1 TRATAMENTUL  ON  DEMAND </w:t>
      </w:r>
    </w:p>
    <w:p w14:paraId="0A55A923" w14:textId="77777777" w:rsidR="00C33E54" w:rsidRPr="00F941DA" w:rsidRDefault="00C33E54"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7BC585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Scopul</w:t>
      </w:r>
    </w:p>
    <w:p w14:paraId="0F95EE7B" w14:textId="13465BFD"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Oprirea hemoragiilor provocate de inhibitori, prevenirea unor noi sângerări</w:t>
      </w:r>
    </w:p>
    <w:p w14:paraId="05EA9551" w14:textId="0D43BC33"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Eliminarea inhibitorului/inhibitorilor, prevenirea formării acestuia/acestora</w:t>
      </w:r>
    </w:p>
    <w:p w14:paraId="136EF37C" w14:textId="7A97A858"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Oprirea sângerării (obiectiv imediat)</w:t>
      </w:r>
    </w:p>
    <w:p w14:paraId="227F923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31954B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b/>
          <w:sz w:val="24"/>
          <w:szCs w:val="24"/>
          <w:lang w:eastAsia="ro-RO"/>
        </w:rPr>
        <w:t xml:space="preserve">Alegerea atitudinii terapeutice </w:t>
      </w:r>
      <w:r w:rsidRPr="00F941DA">
        <w:rPr>
          <w:rFonts w:ascii="Times New Roman" w:eastAsia="Times New Roman" w:hAnsi="Times New Roman" w:cs="Times New Roman"/>
          <w:sz w:val="24"/>
          <w:szCs w:val="24"/>
          <w:lang w:eastAsia="ro-RO"/>
        </w:rPr>
        <w:t>depinde de:</w:t>
      </w:r>
    </w:p>
    <w:p w14:paraId="4DD30F26" w14:textId="77777777" w:rsidR="009F1EE3" w:rsidRPr="00F941DA" w:rsidRDefault="009F1EE3" w:rsidP="00D11DF1">
      <w:pPr>
        <w:numPr>
          <w:ilvl w:val="3"/>
          <w:numId w:val="369"/>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gradul de severitate al sângerării</w:t>
      </w:r>
    </w:p>
    <w:p w14:paraId="34F90085" w14:textId="77777777" w:rsidR="009F1EE3" w:rsidRPr="00F941DA" w:rsidRDefault="009F1EE3" w:rsidP="00D11DF1">
      <w:pPr>
        <w:numPr>
          <w:ilvl w:val="3"/>
          <w:numId w:val="369"/>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titrul inhibitorului</w:t>
      </w:r>
    </w:p>
    <w:p w14:paraId="4F95AE61" w14:textId="77777777" w:rsidR="009F1EE3" w:rsidRPr="00F941DA" w:rsidRDefault="009F1EE3" w:rsidP="00D11DF1">
      <w:pPr>
        <w:numPr>
          <w:ilvl w:val="3"/>
          <w:numId w:val="369"/>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responsivitatea anamnestică precedentă    </w:t>
      </w:r>
    </w:p>
    <w:p w14:paraId="07FA23DC" w14:textId="77777777" w:rsidR="00C33E54" w:rsidRPr="00F941DA" w:rsidRDefault="00C33E54"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C4FA4B1" w14:textId="343411D0" w:rsidR="009F1EE3" w:rsidRPr="00F941DA" w:rsidRDefault="00C33E54"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Produse utilizate</w:t>
      </w:r>
      <w:r w:rsidR="009F1EE3" w:rsidRPr="00F941DA">
        <w:rPr>
          <w:rFonts w:ascii="Times New Roman" w:eastAsia="Times New Roman" w:hAnsi="Times New Roman" w:cs="Times New Roman"/>
          <w:b/>
          <w:sz w:val="24"/>
          <w:szCs w:val="24"/>
          <w:lang w:eastAsia="ro-RO"/>
        </w:rPr>
        <w:t>:</w:t>
      </w:r>
    </w:p>
    <w:p w14:paraId="566DF1E4" w14:textId="69AFF577" w:rsidR="009F1EE3" w:rsidRPr="00F941DA" w:rsidRDefault="009F1EE3" w:rsidP="00D11DF1">
      <w:pPr>
        <w:numPr>
          <w:ilvl w:val="3"/>
          <w:numId w:val="37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Concentrat de complex protrombinic activat (APCC); </w:t>
      </w:r>
    </w:p>
    <w:p w14:paraId="52E59EA1" w14:textId="3B027E31" w:rsidR="009F1EE3" w:rsidRPr="00F941DA" w:rsidRDefault="009F1EE3" w:rsidP="00D11DF1">
      <w:pPr>
        <w:numPr>
          <w:ilvl w:val="3"/>
          <w:numId w:val="37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Factor VII de coagula</w:t>
      </w:r>
      <w:r w:rsidR="00C33E54" w:rsidRPr="00F941DA">
        <w:rPr>
          <w:rFonts w:ascii="Times New Roman" w:eastAsia="Times New Roman" w:hAnsi="Times New Roman" w:cs="Times New Roman"/>
          <w:sz w:val="24"/>
          <w:szCs w:val="24"/>
          <w:lang w:eastAsia="ro-RO"/>
        </w:rPr>
        <w:t>re activat recombinant (rFVIIa)</w:t>
      </w:r>
      <w:r w:rsidRPr="00F941DA">
        <w:rPr>
          <w:rFonts w:ascii="Times New Roman" w:eastAsia="Times New Roman" w:hAnsi="Times New Roman" w:cs="Times New Roman"/>
          <w:sz w:val="24"/>
          <w:szCs w:val="24"/>
          <w:lang w:eastAsia="ro-RO"/>
        </w:rPr>
        <w:t xml:space="preserve">.   </w:t>
      </w:r>
    </w:p>
    <w:p w14:paraId="4E03686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3C9BA3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941DA">
        <w:rPr>
          <w:rFonts w:ascii="Times New Roman" w:eastAsia="Times New Roman" w:hAnsi="Times New Roman" w:cs="Times New Roman"/>
          <w:i/>
          <w:sz w:val="24"/>
          <w:szCs w:val="24"/>
          <w:lang w:eastAsia="ro-RO"/>
        </w:rPr>
        <w:t>Hemofilia A</w:t>
      </w:r>
    </w:p>
    <w:p w14:paraId="1BE811E4" w14:textId="77777777" w:rsidR="00C33E54" w:rsidRPr="00F941DA" w:rsidRDefault="00C33E54" w:rsidP="009F1EE3">
      <w:pPr>
        <w:autoSpaceDE w:val="0"/>
        <w:autoSpaceDN w:val="0"/>
        <w:adjustRightInd w:val="0"/>
        <w:spacing w:after="0" w:line="240" w:lineRule="auto"/>
        <w:jc w:val="both"/>
        <w:rPr>
          <w:rFonts w:ascii="Times New Roman" w:eastAsia="Times New Roman" w:hAnsi="Times New Roman" w:cs="Times New Roman"/>
          <w:i/>
          <w:sz w:val="24"/>
          <w:szCs w:val="24"/>
          <w:lang w:eastAsia="ro-RO"/>
        </w:rPr>
      </w:pPr>
    </w:p>
    <w:p w14:paraId="38ED9337" w14:textId="4C9C1BEC"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941DA">
        <w:rPr>
          <w:rFonts w:ascii="Times New Roman" w:eastAsia="Times New Roman" w:hAnsi="Times New Roman" w:cs="Times New Roman"/>
          <w:i/>
          <w:sz w:val="24"/>
          <w:szCs w:val="24"/>
          <w:lang w:eastAsia="ro-RO"/>
        </w:rPr>
        <w:t>Pacienţii cu titru mic (&lt; 5 UB):</w:t>
      </w:r>
    </w:p>
    <w:p w14:paraId="0D357B00" w14:textId="77777777" w:rsidR="009F1EE3" w:rsidRPr="00F941DA" w:rsidRDefault="009F1EE3" w:rsidP="00D11DF1">
      <w:pPr>
        <w:numPr>
          <w:ilvl w:val="3"/>
          <w:numId w:val="371"/>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prima intenţie: FVIII/FIX 75 - 100 U/kg greutate corporală/zi</w:t>
      </w:r>
    </w:p>
    <w:p w14:paraId="57BC768E" w14:textId="77777777" w:rsidR="009F1EE3" w:rsidRPr="00F941DA" w:rsidRDefault="009F1EE3" w:rsidP="00D11DF1">
      <w:pPr>
        <w:numPr>
          <w:ilvl w:val="3"/>
          <w:numId w:val="371"/>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dacă sângerarea nu se opreşte după tratamentul de prima intenţie, se administrează agenţi de tip "bypass":</w:t>
      </w:r>
    </w:p>
    <w:p w14:paraId="741D1154" w14:textId="77777777" w:rsidR="009F1EE3" w:rsidRPr="00F941DA" w:rsidRDefault="009F1EE3" w:rsidP="00D11DF1">
      <w:pPr>
        <w:numPr>
          <w:ilvl w:val="3"/>
          <w:numId w:val="371"/>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rFVIIa: 90 μg/kgc/doza în bolus intravenos (pe durata a 2 - 5 minute), la intervale de 2 - 3 ore sau 270 μg/kgc priza unică pe 24 de ore, până la încetarea sângerării. După aceea, intervalul dintre doze poate fi crescut succesiv la 4, 6, 8 sau 12 ore pentru perioada de timp în care tratamentul este considerat necesar </w:t>
      </w:r>
    </w:p>
    <w:p w14:paraId="103C6E67" w14:textId="2AFE3682" w:rsidR="009F1EE3" w:rsidRPr="00F941DA" w:rsidRDefault="009F1EE3" w:rsidP="00D11DF1">
      <w:pPr>
        <w:numPr>
          <w:ilvl w:val="3"/>
          <w:numId w:val="371"/>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concentrat de complex protrombinic activat (APCC): 50 - 100 U/kgc/doza la 12 ore până la oprirea hemoragiei. Doza zilnică de APCC nu poate depăşi 200 U/kgc şi se efectuează pentru perioada de timp în care tratamentul este considerat necesar (până la dispariţia colecţiei sanguine). Se perfuzează încet, intravenos, fără a se depăşi o rată de injecţie/perfuzie de 2 U/kg corp/minut.</w:t>
      </w:r>
    </w:p>
    <w:p w14:paraId="7964210F" w14:textId="3103138C"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i/>
          <w:sz w:val="24"/>
          <w:szCs w:val="24"/>
          <w:lang w:eastAsia="ro-RO"/>
        </w:rPr>
        <w:t>Pacienţii cu</w:t>
      </w:r>
      <w:r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i/>
          <w:sz w:val="24"/>
          <w:szCs w:val="24"/>
          <w:lang w:eastAsia="ro-RO"/>
        </w:rPr>
        <w:t>titru mare (</w:t>
      </w:r>
      <w:r w:rsidRPr="00F941DA">
        <w:rPr>
          <w:rFonts w:ascii="Times New Roman" w:eastAsia="Times New Roman" w:hAnsi="Times New Roman" w:cs="Times New Roman"/>
          <w:i/>
          <w:sz w:val="24"/>
          <w:szCs w:val="24"/>
          <w:u w:val="single"/>
          <w:lang w:eastAsia="ro-RO"/>
        </w:rPr>
        <w:t>&gt;</w:t>
      </w:r>
      <w:r w:rsidRPr="00F941DA">
        <w:rPr>
          <w:rFonts w:ascii="Times New Roman" w:eastAsia="Times New Roman" w:hAnsi="Times New Roman" w:cs="Times New Roman"/>
          <w:i/>
          <w:sz w:val="24"/>
          <w:szCs w:val="24"/>
          <w:lang w:eastAsia="ro-RO"/>
        </w:rPr>
        <w:t xml:space="preserve"> 5 UB sau &lt; 5 UB dar cu răspuns anamnestic):</w:t>
      </w:r>
    </w:p>
    <w:p w14:paraId="11552CC5" w14:textId="77777777" w:rsidR="009F1EE3" w:rsidRPr="00F941DA" w:rsidRDefault="009F1EE3" w:rsidP="00D11DF1">
      <w:pPr>
        <w:numPr>
          <w:ilvl w:val="3"/>
          <w:numId w:val="372"/>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rFVIIa: 90 μg/kgc/doza în bolus intravenos (pe durata a 2 - 5 minute), la intervale de 2 - 3 ore sau 270 μg/kgc priză unică pe 24 de ore, până la încetarea sângerării. După aceea, intervalul dintre doze poate fi crescut succesiv la 4, 6, 8 sau 12 ore pentru perioada de timp în care tratamentul este considerat necesar (până la dispariţia colecţiei sanguine).</w:t>
      </w:r>
    </w:p>
    <w:p w14:paraId="0BA33FD6" w14:textId="77777777" w:rsidR="009F1EE3" w:rsidRPr="00F941DA" w:rsidRDefault="009F1EE3" w:rsidP="00D11DF1">
      <w:pPr>
        <w:numPr>
          <w:ilvl w:val="3"/>
          <w:numId w:val="372"/>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concentrat de complex protrombinic activat (APCC): 50 - 100 U/kgc/doza la 12 ore până la oprirea hemoragiei. Doza zilnică de APCC nu poate depăşi 200 U/kgc şi se efectuează pentru perioada de timp în care tratamentul este considerat necesar (până la dispariţia colecţiei sanguine). Se perfuzează încet, intravenos, fără a se depăşi o rată de injecţie/perfuzie de 2 U/kg corp/minut.</w:t>
      </w:r>
    </w:p>
    <w:p w14:paraId="10D4A60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8048316" w14:textId="757DD085" w:rsidR="00C33E54" w:rsidRPr="00F941DA" w:rsidRDefault="00C33E54" w:rsidP="009F1EE3">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941DA">
        <w:rPr>
          <w:rFonts w:ascii="Times New Roman" w:eastAsia="Times New Roman" w:hAnsi="Times New Roman" w:cs="Times New Roman"/>
          <w:i/>
          <w:sz w:val="24"/>
          <w:szCs w:val="24"/>
          <w:lang w:eastAsia="ro-RO"/>
        </w:rPr>
        <w:t xml:space="preserve">Hemofilia  B </w:t>
      </w:r>
    </w:p>
    <w:p w14:paraId="34432ED1" w14:textId="77777777" w:rsidR="009F1EE3" w:rsidRPr="00F941DA" w:rsidRDefault="009F1EE3" w:rsidP="00D11DF1">
      <w:pPr>
        <w:numPr>
          <w:ilvl w:val="3"/>
          <w:numId w:val="373"/>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rFVIIa: 90 μg/kgc/doza în bolus intravenos (pe durata a 2 - 5 minute), la intervale de 2 - 3 ore sau 270 μg/kgc priză unică pe 24 de ore, până la încetarea sângerării. După aceea, intervalul dintre doze poate fi crescut succesiv la 4, 6, 8 sau 12 ore pentru perioada de timp în care tratamentul este considerat necesar </w:t>
      </w:r>
    </w:p>
    <w:p w14:paraId="1067C6B8" w14:textId="77777777" w:rsidR="009F1EE3" w:rsidRPr="00F941DA" w:rsidRDefault="009F1EE3" w:rsidP="00D11DF1">
      <w:pPr>
        <w:numPr>
          <w:ilvl w:val="3"/>
          <w:numId w:val="373"/>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concentrat de complex protrombinic activat (APCC): 50 - 100 U/kgc/doză la 12 ore până la oprirea hemoragiei. Doza zilnică de APCC nu poate depăşi 200 U/kgc şi se efectuează pentru perioada de timp în care tratamentul este considerat necesar (până la dispariţia colecţiei sanguine). Se perfuzează încet, intravenos, fără a se depăşi o rată de injecţie/perfuzie de 2 U/kg corp/minut. </w:t>
      </w:r>
    </w:p>
    <w:p w14:paraId="783F3C8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În cazul  aparitiei sindromului nefrotic asociat concentratelor cu conţinut de FIX utilizate anterior, precum şi în cazul anafilaxiei, se va folosi rFVIIa.</w:t>
      </w:r>
    </w:p>
    <w:p w14:paraId="2D03313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E84AB3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ATENŢIE!!!</w:t>
      </w:r>
    </w:p>
    <w:p w14:paraId="72A9C78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ineficienţei unuia dintre preparate, se recomandă înlocuirea acestuia cu celălalt! Deci este foarte important ca ambele medicamente să fie disponibile în spital!</w:t>
      </w:r>
    </w:p>
    <w:p w14:paraId="76578E6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7FE1C7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Pacienţii cu sângerări frecvente pot reacţiona slab la ambele preparate! De aceea, în cazul unor hemoragii severe care pun viaţa în pericol, în cazul în care nu a putut fi obţinută o hemostază eficientă în ciuda administrării ambelor preparate de tip bypass în doze maxime şi cu frecvenţă maximă, poate fi salvatoare de viaţă utilizarea unei terapii combinate,in regim secvential, care presupune administrarea concomitentă a APCC şi a rFVIIa, prin alternarea lor din 6 în 6 ore (modul de administrare cel mai frecvent utilizat), nedepăşind dozele maxime recomandate.</w:t>
      </w:r>
    </w:p>
    <w:p w14:paraId="0A9608F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8E2FDD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Eficienţa medicaţiei de tip bypass nu poate fi prevăzută cu siguranţă, neputând fi monitorizată, în unele cazuri provocând tromboembolism (mai ales în cazul tratamentului combinat care poate fi efectuat numai în condiţii intraspitaliceşti, sub supravegherea unui specialist în tratamentul tulburărilor de coagulare, hematolog sau  pediatrie cu competenta in domeniu). În acelaşi timp, este important ca pe lângă examenul fizic - efectuat cel puţin o dată pe zi - în spitalul unde este internat pacientul să existe şi un laborator pentru investigaţiile CID sau pentru testele de tromboză.</w:t>
      </w:r>
    </w:p>
    <w:p w14:paraId="7731029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E3D1A65" w14:textId="1025DA6E"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Monitorizarea tratamentului</w:t>
      </w:r>
    </w:p>
    <w:p w14:paraId="792A6FBA" w14:textId="77777777" w:rsidR="009F1EE3" w:rsidRPr="00F941DA" w:rsidRDefault="009F1EE3" w:rsidP="00D11DF1">
      <w:pPr>
        <w:numPr>
          <w:ilvl w:val="3"/>
          <w:numId w:val="374"/>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Severitatea sângerării şi răspunsul clinic la tratament trebuie să orienteze dozele necesare</w:t>
      </w:r>
    </w:p>
    <w:p w14:paraId="6C0D2702" w14:textId="77777777" w:rsidR="009F1EE3" w:rsidRPr="00F941DA" w:rsidRDefault="009F1EE3" w:rsidP="00D11DF1">
      <w:pPr>
        <w:numPr>
          <w:ilvl w:val="3"/>
          <w:numId w:val="374"/>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Pacienţii trebuie monitorizaţi cu atenţie, în special pentru riscul de CID sau accidente trombotice</w:t>
      </w:r>
    </w:p>
    <w:p w14:paraId="4F9E5C0E" w14:textId="77777777" w:rsidR="009F1EE3" w:rsidRPr="00F941DA" w:rsidRDefault="009F1EE3" w:rsidP="00D11DF1">
      <w:pPr>
        <w:numPr>
          <w:ilvl w:val="3"/>
          <w:numId w:val="374"/>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Monitorizarea prin: teste de coagulare globală, CAT, TEG</w:t>
      </w:r>
    </w:p>
    <w:p w14:paraId="093E6752" w14:textId="77777777" w:rsidR="009F1EE3" w:rsidRPr="00F941DA" w:rsidRDefault="009F1EE3" w:rsidP="00D11DF1">
      <w:pPr>
        <w:numPr>
          <w:ilvl w:val="3"/>
          <w:numId w:val="374"/>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Monitorizarea clinică şi paraclinică a evenimentelor hemoragice şi a statusului articular</w:t>
      </w:r>
    </w:p>
    <w:p w14:paraId="3A0E6D49" w14:textId="77777777" w:rsidR="009F1EE3" w:rsidRPr="00F941DA" w:rsidRDefault="009F1EE3" w:rsidP="00D11DF1">
      <w:pPr>
        <w:numPr>
          <w:ilvl w:val="3"/>
          <w:numId w:val="374"/>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Monitorizarea cu atenţie, prin examinare clinică şi testele adecvate de laborator, pentru a vizualiza dinamica anticorpilor inhibitori.</w:t>
      </w:r>
    </w:p>
    <w:p w14:paraId="568361B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94854F1" w14:textId="173975F8"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Criterii de excludere din tratament</w:t>
      </w:r>
    </w:p>
    <w:p w14:paraId="36EF6284" w14:textId="77777777" w:rsidR="009F1EE3" w:rsidRPr="00F941DA" w:rsidRDefault="009F1EE3" w:rsidP="00D11DF1">
      <w:pPr>
        <w:numPr>
          <w:ilvl w:val="3"/>
          <w:numId w:val="375"/>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Hipersensibilitate la substanţa activă sau la oricare dintre excipienţi</w:t>
      </w:r>
    </w:p>
    <w:p w14:paraId="18A327F0" w14:textId="77777777" w:rsidR="009F1EE3" w:rsidRPr="00F941DA" w:rsidRDefault="009F1EE3" w:rsidP="00D11DF1">
      <w:pPr>
        <w:numPr>
          <w:ilvl w:val="3"/>
          <w:numId w:val="375"/>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Coagulare intravasculară diseminată</w:t>
      </w:r>
    </w:p>
    <w:p w14:paraId="463FEEB0" w14:textId="77777777" w:rsidR="009F1EE3" w:rsidRPr="00F941DA" w:rsidRDefault="009F1EE3" w:rsidP="00D11DF1">
      <w:pPr>
        <w:numPr>
          <w:ilvl w:val="3"/>
          <w:numId w:val="375"/>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Ischemie coronariană acută, tromboză acută şi/sau embolie</w:t>
      </w:r>
    </w:p>
    <w:p w14:paraId="1DB4C13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A65F8D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r w:rsidRPr="00F941DA">
        <w:rPr>
          <w:rFonts w:ascii="Times New Roman" w:eastAsia="Times New Roman" w:hAnsi="Times New Roman" w:cs="Times New Roman"/>
          <w:sz w:val="24"/>
          <w:szCs w:val="24"/>
          <w:u w:val="single"/>
          <w:lang w:eastAsia="ro-RO"/>
        </w:rPr>
        <w:t>E.2 TRATAMENTUL  DE  INDUCERE A TOLERANTEI  IMUNE (ITI)</w:t>
      </w:r>
    </w:p>
    <w:p w14:paraId="7507DBA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98221B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Inducerea toleranţei imune este standardul de abordare  al hemofiliei cu inhibitori ; este  un obiectiv  cu rezultul vizat pe termen lung</w:t>
      </w:r>
    </w:p>
    <w:p w14:paraId="2054E63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6B58077" w14:textId="77777777" w:rsidR="00C33E54" w:rsidRPr="00F941DA" w:rsidRDefault="009F1EE3" w:rsidP="00C33E54">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xml:space="preserve">Indicaţii: </w:t>
      </w:r>
    </w:p>
    <w:p w14:paraId="7410994E" w14:textId="3A390B3B" w:rsidR="009F1EE3" w:rsidRPr="00F941DA" w:rsidRDefault="00C33E54" w:rsidP="00C33E54">
      <w:pPr>
        <w:autoSpaceDE w:val="0"/>
        <w:autoSpaceDN w:val="0"/>
        <w:adjustRightInd w:val="0"/>
        <w:spacing w:after="0" w:line="240" w:lineRule="auto"/>
        <w:contextualSpacing/>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w:t>
      </w:r>
      <w:r w:rsidR="009F1EE3" w:rsidRPr="00F941DA">
        <w:rPr>
          <w:rFonts w:ascii="Times New Roman" w:eastAsia="Times New Roman" w:hAnsi="Times New Roman" w:cs="Times New Roman"/>
          <w:sz w:val="24"/>
          <w:szCs w:val="24"/>
          <w:lang w:eastAsia="ro-RO"/>
        </w:rPr>
        <w:t>emofilie cu inhibitori  se iniţiază cât mai precoce după apariţia inhibitorilor. Factori de predicție optimă pentru reusită sunt vârstă mică ,titru de inhibitori pre ITI</w:t>
      </w:r>
      <w:r w:rsidR="009F1EE3" w:rsidRPr="00F941DA">
        <w:rPr>
          <w:rFonts w:ascii="Times New Roman" w:eastAsia="Times New Roman" w:hAnsi="Times New Roman" w:cs="Times New Roman"/>
          <w:sz w:val="24"/>
          <w:szCs w:val="24"/>
          <w:lang w:val="pt-BR" w:eastAsia="ro-RO"/>
        </w:rPr>
        <w:t xml:space="preserve"> &lt;10UB, istoric &lt;200UB  . Recomandăm </w:t>
      </w:r>
      <w:r w:rsidR="009F1EE3" w:rsidRPr="00F941DA">
        <w:rPr>
          <w:rFonts w:ascii="Times New Roman" w:eastAsia="Times New Roman" w:hAnsi="Times New Roman" w:cs="Times New Roman"/>
          <w:sz w:val="24"/>
          <w:szCs w:val="24"/>
          <w:lang w:eastAsia="ro-RO"/>
        </w:rPr>
        <w:t>pacienții de vârstă pediatrica  1 - 18 ani şi  cei &gt; 18 ani la care s-a iniţiat ITI înainte de împlinirea vârstei de 18 ani, cu inhibitori &lt; 10UI , din familie cooperantă cu medicul curant şi cu accesibilitatea patului venos al pacientului asigurată.</w:t>
      </w:r>
    </w:p>
    <w:p w14:paraId="3970B5F8" w14:textId="77777777" w:rsidR="00C33E54" w:rsidRPr="00F941DA" w:rsidRDefault="00C33E54" w:rsidP="00C33E54">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BD6308F" w14:textId="77777777" w:rsidR="009F1EE3" w:rsidRPr="00F941DA" w:rsidRDefault="009F1EE3" w:rsidP="00C33E5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După administrarea de FIX, apar adesea reacţii anafilactice severe şi/sau se dezvoltă sindromul nefrotic. Din această cauză, tratamentul de inducere a toleranţei imune (ITI) se efectuează cu prudenţă în cazul hemofiliei de tip B.</w:t>
      </w:r>
    </w:p>
    <w:p w14:paraId="3401B546" w14:textId="77777777" w:rsidR="00C33E54" w:rsidRPr="00F941DA" w:rsidRDefault="00C33E54" w:rsidP="00C33E54">
      <w:pPr>
        <w:autoSpaceDE w:val="0"/>
        <w:autoSpaceDN w:val="0"/>
        <w:adjustRightInd w:val="0"/>
        <w:spacing w:after="0" w:line="240" w:lineRule="auto"/>
        <w:contextualSpacing/>
        <w:jc w:val="both"/>
        <w:rPr>
          <w:rFonts w:ascii="Times New Roman" w:eastAsia="Times New Roman" w:hAnsi="Times New Roman" w:cs="Times New Roman"/>
          <w:sz w:val="24"/>
          <w:szCs w:val="24"/>
          <w:lang w:eastAsia="ro-RO"/>
        </w:rPr>
      </w:pPr>
    </w:p>
    <w:p w14:paraId="2311B518" w14:textId="77777777" w:rsidR="009F1EE3" w:rsidRPr="00F941DA" w:rsidRDefault="009F1EE3" w:rsidP="00C33E54">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Tratament</w:t>
      </w:r>
    </w:p>
    <w:p w14:paraId="795D16B5" w14:textId="77777777" w:rsidR="009F1EE3" w:rsidRPr="00F941DA" w:rsidRDefault="009F1EE3" w:rsidP="00C33E5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Exista mai multe regimuri terapeutice: cu doze mari de 200UI/kg/zi , cu doze moderat-ridicat de 100UI/kg/zi, cu doze joase de 35-45 UI/kg/zi de 3 ori /saptamana si cu doze foarte joase de 10-25 UI/kg/zi de 3 ori/saptamana .</w:t>
      </w:r>
    </w:p>
    <w:p w14:paraId="40941187" w14:textId="77777777" w:rsidR="00C33E54" w:rsidRPr="00F941DA" w:rsidRDefault="009F1EE3" w:rsidP="009F1EE3">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941DA">
        <w:rPr>
          <w:rFonts w:ascii="Times New Roman" w:eastAsia="Times New Roman" w:hAnsi="Times New Roman" w:cs="Times New Roman"/>
          <w:i/>
          <w:sz w:val="24"/>
          <w:szCs w:val="24"/>
          <w:lang w:eastAsia="ro-RO"/>
        </w:rPr>
        <w:t xml:space="preserve"> </w:t>
      </w:r>
    </w:p>
    <w:p w14:paraId="033D186A" w14:textId="0B712C62"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b/>
          <w:sz w:val="24"/>
          <w:szCs w:val="24"/>
          <w:lang w:eastAsia="ro-RO"/>
        </w:rPr>
        <w:lastRenderedPageBreak/>
        <w:t>Produse utilizate</w:t>
      </w:r>
      <w:r w:rsidRPr="00F941DA">
        <w:rPr>
          <w:rFonts w:ascii="Times New Roman" w:eastAsia="Times New Roman" w:hAnsi="Times New Roman" w:cs="Times New Roman"/>
          <w:sz w:val="24"/>
          <w:szCs w:val="24"/>
          <w:lang w:eastAsia="ro-RO"/>
        </w:rPr>
        <w:t>:</w:t>
      </w:r>
    </w:p>
    <w:p w14:paraId="59DE5B52" w14:textId="77777777" w:rsidR="009F1EE3" w:rsidRPr="00F941DA" w:rsidRDefault="009F1EE3" w:rsidP="00D11DF1">
      <w:pPr>
        <w:numPr>
          <w:ilvl w:val="0"/>
          <w:numId w:val="40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Se recomandă efectuarea ITI cu produsul care a determinat apariţia anticorpilor inhibitori sau cu produse cu FVIII care conţin şi Factor von Willebrand</w:t>
      </w:r>
    </w:p>
    <w:p w14:paraId="4262373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i/>
          <w:sz w:val="24"/>
          <w:szCs w:val="24"/>
          <w:lang w:eastAsia="ro-RO"/>
        </w:rPr>
        <w:t xml:space="preserve"> </w:t>
      </w:r>
      <w:r w:rsidRPr="00F941DA">
        <w:rPr>
          <w:rFonts w:ascii="Times New Roman" w:eastAsia="Times New Roman" w:hAnsi="Times New Roman" w:cs="Times New Roman"/>
          <w:b/>
          <w:sz w:val="24"/>
          <w:szCs w:val="24"/>
          <w:lang w:eastAsia="ro-RO"/>
        </w:rPr>
        <w:t xml:space="preserve">Doze </w:t>
      </w:r>
      <w:r w:rsidRPr="00F941DA">
        <w:rPr>
          <w:rFonts w:ascii="Times New Roman" w:eastAsia="Times New Roman" w:hAnsi="Times New Roman" w:cs="Times New Roman"/>
          <w:sz w:val="24"/>
          <w:szCs w:val="24"/>
          <w:lang w:eastAsia="ro-RO"/>
        </w:rPr>
        <w:t>( pentru regimul cu doze mari cu rezultate optime ):</w:t>
      </w:r>
    </w:p>
    <w:p w14:paraId="4CEC8B46" w14:textId="77777777" w:rsidR="009F1EE3" w:rsidRPr="00F941DA" w:rsidRDefault="009F1EE3" w:rsidP="00D11DF1">
      <w:pPr>
        <w:numPr>
          <w:ilvl w:val="0"/>
          <w:numId w:val="376"/>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pentru pacienţii cu titru mic de inhibitori (&lt; 5 BU): la copii -FVIII/FIX 50 - 100 UI/kg/zi de 3 ori /săptămână și  la adult-50 UI/kg/zi de 3 ori/săptămână</w:t>
      </w:r>
    </w:p>
    <w:p w14:paraId="29A7DDEA" w14:textId="77777777" w:rsidR="009F1EE3" w:rsidRPr="00F941DA" w:rsidRDefault="009F1EE3" w:rsidP="00D11DF1">
      <w:pPr>
        <w:numPr>
          <w:ilvl w:val="0"/>
          <w:numId w:val="376"/>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pentru pacienţii cu titru mare (</w:t>
      </w:r>
      <w:r w:rsidRPr="00F941DA">
        <w:rPr>
          <w:rFonts w:ascii="Times New Roman" w:eastAsia="Times New Roman" w:hAnsi="Times New Roman" w:cs="Times New Roman"/>
          <w:sz w:val="24"/>
          <w:szCs w:val="24"/>
          <w:u w:val="single"/>
          <w:lang w:eastAsia="ro-RO"/>
        </w:rPr>
        <w:t>&gt;</w:t>
      </w:r>
      <w:r w:rsidRPr="00F941DA">
        <w:rPr>
          <w:rFonts w:ascii="Times New Roman" w:eastAsia="Times New Roman" w:hAnsi="Times New Roman" w:cs="Times New Roman"/>
          <w:sz w:val="24"/>
          <w:szCs w:val="24"/>
          <w:lang w:eastAsia="ro-RO"/>
        </w:rPr>
        <w:t xml:space="preserve"> 5 BU):la copii -FVIII/FIX 100 - 200 U/kgc/doză x 2 doze pe zi, zilnic și la adulți 100-150 U/Kg/zi, zilnic</w:t>
      </w:r>
    </w:p>
    <w:p w14:paraId="27F9198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A55EAE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b/>
          <w:sz w:val="24"/>
          <w:szCs w:val="24"/>
          <w:lang w:eastAsia="ro-RO"/>
        </w:rPr>
        <w:t>Durata:</w:t>
      </w:r>
      <w:r w:rsidRPr="00F941DA">
        <w:rPr>
          <w:rFonts w:ascii="Times New Roman" w:eastAsia="Times New Roman" w:hAnsi="Times New Roman" w:cs="Times New Roman"/>
          <w:sz w:val="24"/>
          <w:szCs w:val="24"/>
          <w:lang w:eastAsia="ro-RO"/>
        </w:rPr>
        <w:t xml:space="preserve"> cel puţin 6 luni, fără a putea fi precizată exact, deoarece depinde de farmacocinetica factorului FVIII/FIX administrat şi de valoarea indicelui de recuperare. Produsul va fi administrat până la normalizarea timpului de înjumătăţire, respectiv până la dispariţia inhibitorului: în unele cazuri luni de zile, chiar până la 1 - 1,5 ani. Dezvoltarea toleranţei imune poate fi susţinută prin începerea - imediat după apariţia alloanticorpilor a - tratamentului pentru inducerea toleranţei imune. După obţinerea toleranţei imune, factorul FVIII/FIX poate fi administrat în scop profilactic de cel puţin trei ori pe săptămână pentru FVIII, respectiv de două ori pe săptămână pentru FIX, în vederea prevenirii reapariţiei inhibitorilor (conform protocolului de substituţie profilactică continuă).</w:t>
      </w:r>
    </w:p>
    <w:p w14:paraId="6D2147A1" w14:textId="77777777" w:rsidR="009F1EE3" w:rsidRPr="00F941DA" w:rsidRDefault="009F1EE3" w:rsidP="009F1EE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inducerii toleranţei imune pentru pacienţii cu hemofilie B cu inhibitori, există un risc crescut de apariţie a unor reacţii anafilactice sau a sindromului nefrotic în timpul ITI, în special datorită deleţiilor mari din gene. De aceea, tratamentul acestor pacienţi se va face în continuare doar cu rFVIIa, evitându-se expunerea la antigenul FIX regăsit în anumite produse.</w:t>
      </w:r>
    </w:p>
    <w:p w14:paraId="0FC051E5" w14:textId="77777777" w:rsidR="00C33E54" w:rsidRPr="00F941DA" w:rsidRDefault="00C33E54" w:rsidP="009F1EE3">
      <w:pPr>
        <w:autoSpaceDE w:val="0"/>
        <w:autoSpaceDN w:val="0"/>
        <w:adjustRightInd w:val="0"/>
        <w:spacing w:after="0" w:line="240" w:lineRule="auto"/>
        <w:jc w:val="both"/>
        <w:rPr>
          <w:rFonts w:ascii="Times New Roman" w:eastAsia="Times New Roman" w:hAnsi="Times New Roman" w:cs="Times New Roman"/>
          <w:i/>
          <w:sz w:val="24"/>
          <w:szCs w:val="24"/>
          <w:lang w:eastAsia="ro-RO"/>
        </w:rPr>
      </w:pPr>
    </w:p>
    <w:p w14:paraId="30C5CFAB" w14:textId="3D942AD2" w:rsidR="009F1EE3" w:rsidRPr="00F941DA" w:rsidRDefault="00C33E54"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ATENŢIE!!!</w:t>
      </w:r>
    </w:p>
    <w:p w14:paraId="2FBCA76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Tratamentul de inducere a toleranţei imune (ITI) nu trebuie întrerupt nici măcar pentru o administrare.</w:t>
      </w:r>
    </w:p>
    <w:p w14:paraId="208EE916" w14:textId="77777777" w:rsidR="00C33E54" w:rsidRPr="00F941DA" w:rsidRDefault="00C33E54"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36F749B" w14:textId="783B934D"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Monitorizare</w:t>
      </w:r>
    </w:p>
    <w:p w14:paraId="15D95C1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Monitorizarea cuprinde pe lângă urmărirea clinică şi:</w:t>
      </w:r>
    </w:p>
    <w:p w14:paraId="4EAF9D79" w14:textId="77777777" w:rsidR="009F1EE3" w:rsidRPr="00F941DA" w:rsidRDefault="009F1EE3" w:rsidP="00D11DF1">
      <w:pPr>
        <w:numPr>
          <w:ilvl w:val="0"/>
          <w:numId w:val="37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dinamica inhibitorilor</w:t>
      </w:r>
    </w:p>
    <w:p w14:paraId="42391C19" w14:textId="77777777" w:rsidR="009F1EE3" w:rsidRPr="00F941DA" w:rsidRDefault="009F1EE3" w:rsidP="00D11DF1">
      <w:pPr>
        <w:numPr>
          <w:ilvl w:val="0"/>
          <w:numId w:val="37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testul de recovery</w:t>
      </w:r>
    </w:p>
    <w:p w14:paraId="23F7CF90" w14:textId="77777777" w:rsidR="009F1EE3" w:rsidRPr="00F941DA" w:rsidRDefault="009F1EE3" w:rsidP="00D11DF1">
      <w:pPr>
        <w:numPr>
          <w:ilvl w:val="0"/>
          <w:numId w:val="37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timpul de înjumătăţire al factorului VIII/IX</w:t>
      </w:r>
    </w:p>
    <w:p w14:paraId="74E2910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2E322A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Evaluarea rezultatului inducerii toleranţei imune (în funcţie de parametrii farmacocinetici mai sus menţionaţi):</w:t>
      </w:r>
    </w:p>
    <w:p w14:paraId="4EB4F114" w14:textId="77777777" w:rsidR="009F1EE3" w:rsidRPr="00F941DA" w:rsidRDefault="009F1EE3" w:rsidP="00D11DF1">
      <w:pPr>
        <w:numPr>
          <w:ilvl w:val="0"/>
          <w:numId w:val="37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Succesul total al ITI  este definit prin:</w:t>
      </w:r>
    </w:p>
    <w:p w14:paraId="0E915DA4" w14:textId="77777777" w:rsidR="009F1EE3" w:rsidRPr="00F941DA" w:rsidRDefault="009F1EE3" w:rsidP="00D11DF1">
      <w:pPr>
        <w:numPr>
          <w:ilvl w:val="0"/>
          <w:numId w:val="379"/>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titrul inhibitorului sub 0,6 BU,</w:t>
      </w:r>
    </w:p>
    <w:p w14:paraId="79C21A17" w14:textId="77777777" w:rsidR="009F1EE3" w:rsidRPr="00F941DA" w:rsidRDefault="009F1EE3" w:rsidP="00D11DF1">
      <w:pPr>
        <w:numPr>
          <w:ilvl w:val="0"/>
          <w:numId w:val="379"/>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indicele de recovery al FVIII depăşeşte 66%,</w:t>
      </w:r>
    </w:p>
    <w:p w14:paraId="266FE96E" w14:textId="77777777" w:rsidR="009F1EE3" w:rsidRPr="00F941DA" w:rsidRDefault="009F1EE3" w:rsidP="00D11DF1">
      <w:pPr>
        <w:numPr>
          <w:ilvl w:val="0"/>
          <w:numId w:val="379"/>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timpul de înjumătăţire al FVIII depăşeşte 6 ore .</w:t>
      </w:r>
    </w:p>
    <w:p w14:paraId="2E5AEB37" w14:textId="77777777" w:rsidR="009F1EE3" w:rsidRPr="00F941DA" w:rsidRDefault="009F1EE3" w:rsidP="00D11DF1">
      <w:pPr>
        <w:numPr>
          <w:ilvl w:val="0"/>
          <w:numId w:val="37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Succesul parţial al ITI dacă:</w:t>
      </w:r>
    </w:p>
    <w:p w14:paraId="70FE770B" w14:textId="77777777" w:rsidR="009F1EE3" w:rsidRPr="00F941DA" w:rsidRDefault="009F1EE3" w:rsidP="00D11DF1">
      <w:pPr>
        <w:numPr>
          <w:ilvl w:val="0"/>
          <w:numId w:val="380"/>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titrul inhibitorului scade sub 5 BU,</w:t>
      </w:r>
    </w:p>
    <w:p w14:paraId="6D29C792" w14:textId="77777777" w:rsidR="009F1EE3" w:rsidRPr="00F941DA" w:rsidRDefault="009F1EE3" w:rsidP="00D11DF1">
      <w:pPr>
        <w:numPr>
          <w:ilvl w:val="0"/>
          <w:numId w:val="380"/>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indicele de recuperare a FVIII nu depăşeşte 66%,</w:t>
      </w:r>
    </w:p>
    <w:p w14:paraId="76DA1F80" w14:textId="77777777" w:rsidR="009F1EE3" w:rsidRPr="00F941DA" w:rsidRDefault="009F1EE3" w:rsidP="00D11DF1">
      <w:pPr>
        <w:numPr>
          <w:ilvl w:val="0"/>
          <w:numId w:val="380"/>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timpul de înjumătăţire al FVIII nu depăşeşte 6 ore,</w:t>
      </w:r>
    </w:p>
    <w:p w14:paraId="28F76E42" w14:textId="77777777" w:rsidR="009F1EE3" w:rsidRPr="00F941DA" w:rsidRDefault="009F1EE3" w:rsidP="00D11DF1">
      <w:pPr>
        <w:numPr>
          <w:ilvl w:val="0"/>
          <w:numId w:val="380"/>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există răspuns clinic la administrarea FVIII,</w:t>
      </w:r>
    </w:p>
    <w:p w14:paraId="374D9E16" w14:textId="77777777" w:rsidR="009F1EE3" w:rsidRPr="00F941DA" w:rsidRDefault="009F1EE3" w:rsidP="00D11DF1">
      <w:pPr>
        <w:numPr>
          <w:ilvl w:val="0"/>
          <w:numId w:val="380"/>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titrul inhibitorului nu creşte peste 5 BU după un tratament la nevoie (on demand) de 6 luni sau un tratament profilactic de 12 luni.</w:t>
      </w:r>
    </w:p>
    <w:p w14:paraId="37B6901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Rezultatele farmacocinetice sunt nefavorabile în situaţia în care criteriile succesului (total sau parţial) nu sunt îndeplinite în termen de  2 ani.</w:t>
      </w:r>
    </w:p>
    <w:p w14:paraId="71C314AD" w14:textId="7C48DEA3" w:rsidR="009F1EE3" w:rsidRPr="00F941DA" w:rsidRDefault="009F1EE3" w:rsidP="00D11DF1">
      <w:pPr>
        <w:pStyle w:val="ListParagraph"/>
        <w:numPr>
          <w:ilvl w:val="0"/>
          <w:numId w:val="414"/>
        </w:numPr>
        <w:autoSpaceDE w:val="0"/>
        <w:autoSpaceDN w:val="0"/>
        <w:adjustRightInd w:val="0"/>
        <w:jc w:val="both"/>
        <w:rPr>
          <w:color w:val="auto"/>
        </w:rPr>
      </w:pPr>
      <w:r w:rsidRPr="00F941DA">
        <w:rPr>
          <w:color w:val="auto"/>
        </w:rPr>
        <w:t>in cazul în care inducerea toleranţei imune este de succes, doza de FVIII se va reduce treptat (timp de cel puţin 6 luni) până la atingerea dozei profilactice.</w:t>
      </w:r>
    </w:p>
    <w:p w14:paraId="63FD2BE1" w14:textId="12921166" w:rsidR="009F1EE3" w:rsidRPr="00F941DA" w:rsidRDefault="009F1EE3" w:rsidP="00D11DF1">
      <w:pPr>
        <w:pStyle w:val="ListParagraph"/>
        <w:numPr>
          <w:ilvl w:val="0"/>
          <w:numId w:val="414"/>
        </w:numPr>
        <w:autoSpaceDE w:val="0"/>
        <w:autoSpaceDN w:val="0"/>
        <w:adjustRightInd w:val="0"/>
        <w:jc w:val="both"/>
        <w:rPr>
          <w:color w:val="auto"/>
        </w:rPr>
      </w:pPr>
      <w:r w:rsidRPr="00F941DA">
        <w:rPr>
          <w:color w:val="auto"/>
        </w:rPr>
        <w:t>in caz de răspuns parţial sau non-răspuns al ITI :</w:t>
      </w:r>
    </w:p>
    <w:p w14:paraId="02893A79" w14:textId="77777777" w:rsidR="009F1EE3" w:rsidRPr="00F941DA" w:rsidRDefault="009F1EE3" w:rsidP="00D11DF1">
      <w:pPr>
        <w:numPr>
          <w:ilvl w:val="0"/>
          <w:numId w:val="381"/>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daca anterior a fost utilizat un protocol cu doze mici, se poate încerca creşterea dozei.</w:t>
      </w:r>
    </w:p>
    <w:p w14:paraId="6594DE5D" w14:textId="77777777" w:rsidR="009F1EE3" w:rsidRPr="00F941DA" w:rsidRDefault="009F1EE3" w:rsidP="00D11DF1">
      <w:pPr>
        <w:numPr>
          <w:ilvl w:val="0"/>
          <w:numId w:val="381"/>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preparatul recombinant poate fi înlocuit cu un produs care conţine şi factorul von Willebrand (FVIII/FVW).</w:t>
      </w:r>
    </w:p>
    <w:p w14:paraId="1B238EA6" w14:textId="77777777" w:rsidR="009F1EE3" w:rsidRPr="00F941DA" w:rsidRDefault="009F1EE3" w:rsidP="00D11DF1">
      <w:pPr>
        <w:numPr>
          <w:ilvl w:val="0"/>
          <w:numId w:val="381"/>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se poate încerca administrarea de imunomodulatoare rituximab )</w:t>
      </w:r>
    </w:p>
    <w:p w14:paraId="3E24404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10F70FD" w14:textId="77777777" w:rsidR="00C33E54" w:rsidRPr="00F941DA" w:rsidRDefault="00C33E54"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FC2088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 xml:space="preserve">E.3  PROFILAXIA  IN HEMOFILIA  CU  INHIBITORI                              </w:t>
      </w:r>
    </w:p>
    <w:p w14:paraId="21CE1A1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ACC495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Numeroase studii europene cu privire la statusul articular au confirmat faptul că, faţă de pacienţii care suferă de hemofilie fără inhibitori, cei cu inhibitori prezintă mai frecvent episoade de sângerare ale sistemului osteo-articular şi muscular, necesitând mai des tratament intraspitalicesc, cu apariţia precoce a complicaţiilor care conduc la reducerea mobilităţii articulare şi ankiloza acestora.De aceea se recomanda tratamentul de preventia a accidentelor hemoragice</w:t>
      </w:r>
    </w:p>
    <w:p w14:paraId="0A2645A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86E740C" w14:textId="77777777" w:rsidR="00C33E54" w:rsidRPr="00F941DA" w:rsidRDefault="009F1EE3" w:rsidP="00C33E54">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xml:space="preserve">Obiective: </w:t>
      </w:r>
    </w:p>
    <w:p w14:paraId="794BEB2A" w14:textId="4F34BF29" w:rsidR="009F1EE3" w:rsidRPr="00F941DA" w:rsidRDefault="00C33E54" w:rsidP="00C33E5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w:t>
      </w:r>
      <w:r w:rsidR="009F1EE3" w:rsidRPr="00F941DA">
        <w:rPr>
          <w:rFonts w:ascii="Times New Roman" w:eastAsia="Times New Roman" w:hAnsi="Times New Roman" w:cs="Times New Roman"/>
          <w:sz w:val="24"/>
          <w:szCs w:val="24"/>
          <w:lang w:eastAsia="ro-RO"/>
        </w:rPr>
        <w:t>revenţia accidentelor hemoragice, ameliorarea bolii cronice articulare, îmbunătăţirea calităţii vieţii pacienţilor cu hemofilie şi anticorpi inhibitori</w:t>
      </w:r>
    </w:p>
    <w:p w14:paraId="35966BED" w14:textId="77777777" w:rsidR="00C33E54" w:rsidRPr="00F941DA" w:rsidRDefault="00C33E54" w:rsidP="00C33E54">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6B72961" w14:textId="77777777" w:rsidR="00C33E54" w:rsidRPr="00F941DA" w:rsidRDefault="009F1EE3" w:rsidP="00C33E5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b/>
          <w:sz w:val="24"/>
          <w:szCs w:val="24"/>
          <w:lang w:eastAsia="ro-RO"/>
        </w:rPr>
        <w:t>Criterii de includere:</w:t>
      </w:r>
    </w:p>
    <w:p w14:paraId="7089AAFB" w14:textId="1C5F275E" w:rsidR="009F1EE3" w:rsidRPr="00F941DA" w:rsidRDefault="00C33E54" w:rsidP="00C33E5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w:t>
      </w:r>
      <w:r w:rsidR="009F1EE3" w:rsidRPr="00F941DA">
        <w:rPr>
          <w:rFonts w:ascii="Times New Roman" w:eastAsia="Times New Roman" w:hAnsi="Times New Roman" w:cs="Times New Roman"/>
          <w:sz w:val="24"/>
          <w:szCs w:val="24"/>
          <w:lang w:eastAsia="ro-RO"/>
        </w:rPr>
        <w:t>ersoane de vârstă pediatrică  cu inhibitori cu fenotip sever de manifestare , la care ITI a eșuat sau ITI nu s-a putut efectua</w:t>
      </w:r>
    </w:p>
    <w:p w14:paraId="10A0487C" w14:textId="77777777" w:rsidR="00C33E54" w:rsidRPr="00F941DA" w:rsidRDefault="00C33E54" w:rsidP="00C33E54">
      <w:pPr>
        <w:autoSpaceDE w:val="0"/>
        <w:autoSpaceDN w:val="0"/>
        <w:adjustRightInd w:val="0"/>
        <w:spacing w:after="0" w:line="240" w:lineRule="auto"/>
        <w:contextualSpacing/>
        <w:jc w:val="both"/>
        <w:rPr>
          <w:rFonts w:ascii="Times New Roman" w:eastAsia="Times New Roman" w:hAnsi="Times New Roman" w:cs="Times New Roman"/>
          <w:sz w:val="24"/>
          <w:szCs w:val="24"/>
          <w:lang w:eastAsia="ro-RO"/>
        </w:rPr>
      </w:pPr>
    </w:p>
    <w:p w14:paraId="6C7161C8" w14:textId="09760B68" w:rsidR="009F1EE3" w:rsidRPr="00F941DA" w:rsidRDefault="009F1EE3" w:rsidP="00C33E54">
      <w:pPr>
        <w:autoSpaceDE w:val="0"/>
        <w:autoSpaceDN w:val="0"/>
        <w:adjustRightInd w:val="0"/>
        <w:spacing w:after="0" w:line="240" w:lineRule="auto"/>
        <w:contextualSpacing/>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Tratament </w:t>
      </w:r>
    </w:p>
    <w:p w14:paraId="54C12692" w14:textId="4961C243" w:rsidR="009F1EE3" w:rsidRPr="00F941DA" w:rsidRDefault="009F1EE3" w:rsidP="00D11DF1">
      <w:pPr>
        <w:pStyle w:val="ListParagraph"/>
        <w:numPr>
          <w:ilvl w:val="0"/>
          <w:numId w:val="416"/>
        </w:numPr>
        <w:autoSpaceDE w:val="0"/>
        <w:autoSpaceDN w:val="0"/>
        <w:adjustRightInd w:val="0"/>
        <w:contextualSpacing/>
        <w:jc w:val="both"/>
        <w:rPr>
          <w:color w:val="auto"/>
        </w:rPr>
      </w:pPr>
      <w:r w:rsidRPr="00F941DA">
        <w:rPr>
          <w:i/>
          <w:color w:val="auto"/>
        </w:rPr>
        <w:t>Profilaxia secundară intermitentă</w:t>
      </w:r>
      <w:r w:rsidRPr="00F941DA">
        <w:rPr>
          <w:color w:val="auto"/>
        </w:rPr>
        <w:t xml:space="preserve"> se adresează pacienţilor în anumite situaţii (specificate la IIIB) . Tratamentul sau substituţia</w:t>
      </w:r>
      <w:r w:rsidRPr="00F941DA">
        <w:rPr>
          <w:strike/>
          <w:color w:val="auto"/>
        </w:rPr>
        <w:t xml:space="preserve"> </w:t>
      </w:r>
      <w:r w:rsidRPr="00F941DA">
        <w:rPr>
          <w:color w:val="auto"/>
        </w:rPr>
        <w:t xml:space="preserve">profilactică intermitenta/de scurtă durată). Se pot administra ambele tipuri de agenţi de bypass, atât rFVIIa (factor VII activat recombinant), cât şi APCC (concentrat de complex protrombinic activat); </w:t>
      </w:r>
    </w:p>
    <w:p w14:paraId="10F1A50E" w14:textId="77777777" w:rsidR="009F1EE3" w:rsidRPr="00F941DA" w:rsidRDefault="009F1EE3" w:rsidP="00D11DF1">
      <w:pPr>
        <w:numPr>
          <w:ilvl w:val="0"/>
          <w:numId w:val="383"/>
        </w:numPr>
        <w:tabs>
          <w:tab w:val="left" w:pos="993"/>
        </w:tabs>
        <w:autoSpaceDE w:val="0"/>
        <w:autoSpaceDN w:val="0"/>
        <w:adjustRightInd w:val="0"/>
        <w:spacing w:after="0" w:line="240" w:lineRule="auto"/>
        <w:ind w:hanging="11"/>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APCC: 50 - 100 U/kgc/doză de 3 ori pe săptămână</w:t>
      </w:r>
    </w:p>
    <w:p w14:paraId="2155C0C9" w14:textId="77777777" w:rsidR="009F1EE3" w:rsidRPr="00F941DA" w:rsidRDefault="009F1EE3" w:rsidP="00D11DF1">
      <w:pPr>
        <w:numPr>
          <w:ilvl w:val="0"/>
          <w:numId w:val="383"/>
        </w:numPr>
        <w:tabs>
          <w:tab w:val="left" w:pos="993"/>
        </w:tabs>
        <w:autoSpaceDE w:val="0"/>
        <w:autoSpaceDN w:val="0"/>
        <w:adjustRightInd w:val="0"/>
        <w:spacing w:after="0" w:line="240" w:lineRule="auto"/>
        <w:ind w:hanging="11"/>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rFVIIa: 90 - 180 μg/kgc de 3 ori pe săptămână    </w:t>
      </w:r>
    </w:p>
    <w:p w14:paraId="70097D42" w14:textId="77777777" w:rsidR="00C33E54" w:rsidRPr="00F941DA" w:rsidRDefault="00C33E54"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1D1A96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Durata de administrare este cea prevăzută la cap. II lit. B.</w:t>
      </w:r>
    </w:p>
    <w:p w14:paraId="135D7C3D" w14:textId="77777777" w:rsidR="009F1EE3" w:rsidRPr="00F941DA" w:rsidRDefault="009F1EE3" w:rsidP="00D11DF1">
      <w:pPr>
        <w:pStyle w:val="ListParagraph"/>
        <w:numPr>
          <w:ilvl w:val="0"/>
          <w:numId w:val="415"/>
        </w:numPr>
        <w:autoSpaceDE w:val="0"/>
        <w:autoSpaceDN w:val="0"/>
        <w:adjustRightInd w:val="0"/>
        <w:contextualSpacing/>
        <w:jc w:val="both"/>
        <w:rPr>
          <w:color w:val="auto"/>
        </w:rPr>
      </w:pPr>
      <w:r w:rsidRPr="00F941DA">
        <w:rPr>
          <w:i/>
          <w:color w:val="auto"/>
        </w:rPr>
        <w:t>Profilaxia secundară pe termen lung</w:t>
      </w:r>
      <w:r w:rsidRPr="00F941DA">
        <w:rPr>
          <w:color w:val="auto"/>
        </w:rPr>
        <w:t xml:space="preserve"> se efectuează cu APCC şi se recomandă în următoarele cazuri:</w:t>
      </w:r>
    </w:p>
    <w:p w14:paraId="0473E823" w14:textId="77777777" w:rsidR="009F1EE3" w:rsidRPr="00F941DA" w:rsidRDefault="009F1EE3" w:rsidP="00D11DF1">
      <w:pPr>
        <w:numPr>
          <w:ilvl w:val="0"/>
          <w:numId w:val="384"/>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prezenţa unor inhibitori persistenţi, asociaţi cu un tratament nereuşit de inducere a toleranţei imune (ITI), sau</w:t>
      </w:r>
    </w:p>
    <w:p w14:paraId="6D9D2E20" w14:textId="77777777" w:rsidR="009F1EE3" w:rsidRPr="00F941DA" w:rsidRDefault="009F1EE3" w:rsidP="00D11DF1">
      <w:pPr>
        <w:numPr>
          <w:ilvl w:val="0"/>
          <w:numId w:val="384"/>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pacienţii care urmează protocolul ITI până se obţine toleranţă satisfăcătoare (titru inhibitori &lt; 0,6 UB, recovery F VIII/IX &gt; 66%, T ½ FVIII/FIX </w:t>
      </w:r>
      <w:r w:rsidRPr="00F941DA">
        <w:rPr>
          <w:rFonts w:ascii="Times New Roman" w:eastAsia="Times New Roman" w:hAnsi="Times New Roman" w:cs="Times New Roman"/>
          <w:sz w:val="24"/>
          <w:szCs w:val="24"/>
          <w:u w:val="single"/>
          <w:lang w:eastAsia="ro-RO"/>
        </w:rPr>
        <w:t>&gt;</w:t>
      </w:r>
      <w:r w:rsidRPr="00F941DA">
        <w:rPr>
          <w:rFonts w:ascii="Times New Roman" w:eastAsia="Times New Roman" w:hAnsi="Times New Roman" w:cs="Times New Roman"/>
          <w:sz w:val="24"/>
          <w:szCs w:val="24"/>
          <w:lang w:eastAsia="ro-RO"/>
        </w:rPr>
        <w:t xml:space="preserve"> 6 ore) sau</w:t>
      </w:r>
    </w:p>
    <w:p w14:paraId="41FF704B" w14:textId="77777777" w:rsidR="009F1EE3" w:rsidRPr="00F941DA" w:rsidRDefault="009F1EE3" w:rsidP="00D11DF1">
      <w:pPr>
        <w:numPr>
          <w:ilvl w:val="0"/>
          <w:numId w:val="384"/>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la pacienţii pediatrici la care, din motive obiective, nu se poate efectua tratamentul de inducere a toleranţei imune (ITI).</w:t>
      </w:r>
    </w:p>
    <w:p w14:paraId="7F83D20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F1D15C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xml:space="preserve"> Doze APCC:</w:t>
      </w:r>
    </w:p>
    <w:p w14:paraId="19D97F30" w14:textId="77777777" w:rsidR="009F1EE3" w:rsidRPr="00F941DA" w:rsidRDefault="009F1EE3" w:rsidP="00D11DF1">
      <w:pPr>
        <w:numPr>
          <w:ilvl w:val="0"/>
          <w:numId w:val="385"/>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Iniţial: 50 U/kgc/doza de 3 ori pe săptămână, timp de 8 - 12 săptămâni</w:t>
      </w:r>
    </w:p>
    <w:p w14:paraId="47F10CB5" w14:textId="77777777" w:rsidR="009F1EE3" w:rsidRPr="00F941DA" w:rsidRDefault="009F1EE3" w:rsidP="00D11DF1">
      <w:pPr>
        <w:numPr>
          <w:ilvl w:val="0"/>
          <w:numId w:val="385"/>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Dacă răspunsul terapeutic este satisfăcător/favorabil după 8 - 12 săptămâni (definit ca o reducere de cel puţin 50% a frecvenţei hemoragiilor cu îmbunătăţirea semnificativă a calităţii vieţii), tratamentul profilactic va fi continuat cu aceeaşi doză timp de încă 8 - 12 săptămâni, după care va fi reevaluată eficacităţii tratamentului.</w:t>
      </w:r>
    </w:p>
    <w:p w14:paraId="05816568" w14:textId="77777777" w:rsidR="009F1EE3" w:rsidRPr="00F941DA" w:rsidRDefault="009F1EE3" w:rsidP="00D11DF1">
      <w:pPr>
        <w:numPr>
          <w:ilvl w:val="0"/>
          <w:numId w:val="385"/>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Dacă răspunsul terapeutic este parţial (definit ca reducerea numărului episoadelor de sângerare cu cel puţin 50%, fără îmbunătăţirea semnificativă a calităţii vieţii), se va creşte doza de APCC la 85 U/kgc/doza de 3 ori pe săptămână sau la fiecare a doua zi (dacă este necesar) timp de 8 - 12 săptămâni. </w:t>
      </w:r>
    </w:p>
    <w:p w14:paraId="501BFE9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D03402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Dacă după această perioadă:</w:t>
      </w:r>
    </w:p>
    <w:p w14:paraId="60C0C25A" w14:textId="77777777" w:rsidR="009F1EE3" w:rsidRPr="00F941DA" w:rsidRDefault="009F1EE3" w:rsidP="00D11DF1">
      <w:pPr>
        <w:numPr>
          <w:ilvl w:val="1"/>
          <w:numId w:val="386"/>
        </w:numPr>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răspunsul terapeutic este satisfăcător/favorabil, schema terapeutică va fi continuată neschimbat cu această doză timp de încă 8 - 12 săptămâni, după care pacientul va fi reevaluat.</w:t>
      </w:r>
    </w:p>
    <w:p w14:paraId="5DECDAA6" w14:textId="77777777" w:rsidR="009F1EE3" w:rsidRPr="00F941DA" w:rsidRDefault="009F1EE3" w:rsidP="00D11DF1">
      <w:pPr>
        <w:numPr>
          <w:ilvl w:val="1"/>
          <w:numId w:val="386"/>
        </w:numPr>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răspunsul terapeutic este parţial şi sângerările apar frecvent în zilele în care pacientului nu i s-a administrat APCC, se creşte frecvenţa administrării APCC cu păstrarea aceleiaşi doze de 85 U/kgc/zi timp de încă 8 - 12 săptămâni. Dacă după această perioadă răspunsul terapeutic este:</w:t>
      </w:r>
    </w:p>
    <w:p w14:paraId="628CF7FB" w14:textId="77777777" w:rsidR="009F1EE3" w:rsidRPr="00F941DA" w:rsidRDefault="009F1EE3" w:rsidP="00D11DF1">
      <w:pPr>
        <w:numPr>
          <w:ilvl w:val="1"/>
          <w:numId w:val="38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satisfăcător/favorabil: tratamentul va fi continuat neschimbat în această formă</w:t>
      </w:r>
    </w:p>
    <w:p w14:paraId="551244AE" w14:textId="77777777" w:rsidR="009F1EE3" w:rsidRPr="00F941DA" w:rsidRDefault="009F1EE3" w:rsidP="00D11DF1">
      <w:pPr>
        <w:numPr>
          <w:ilvl w:val="1"/>
          <w:numId w:val="38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parţial: doza profilactică de APCC poate fi crescută la maximum 100 U/kgc/zi. Dacă nici cu această doză nu se obţine un răspuns terapeutic adecvat, tratamentul profilactic cu APCC se va întrerupe şi se va căuta o altă posibilitate terapeutică.</w:t>
      </w:r>
    </w:p>
    <w:p w14:paraId="38E1A1A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În timpul tratamentului profilactic de lungă durată cu APCC, se recomandă efectuarea la un interval de 8 - 12 săptămâni a dozării titrului inhibitorilor.</w:t>
      </w:r>
    </w:p>
    <w:p w14:paraId="4303405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 situatia eșecului tratamentului cu APCC, a aparitiei reactiilor adverse se recomanda rFVII a</w:t>
      </w:r>
    </w:p>
    <w:p w14:paraId="6EC8E83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C810A7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O soluție terapeutică pentru persoanele cu haemofilie A cu inhibitori cu  titru mare poate fi </w:t>
      </w:r>
      <w:r w:rsidRPr="00F941DA">
        <w:rPr>
          <w:rFonts w:ascii="Times New Roman" w:eastAsia="Times New Roman" w:hAnsi="Times New Roman" w:cs="Times New Roman"/>
          <w:i/>
          <w:sz w:val="24"/>
          <w:szCs w:val="24"/>
          <w:lang w:eastAsia="ro-RO"/>
        </w:rPr>
        <w:t xml:space="preserve">profilaxia continuă cu preparate non-factor </w:t>
      </w:r>
      <w:r w:rsidRPr="00F941DA">
        <w:rPr>
          <w:rFonts w:ascii="Times New Roman" w:eastAsia="Times New Roman" w:hAnsi="Times New Roman" w:cs="Times New Roman"/>
          <w:sz w:val="24"/>
          <w:szCs w:val="24"/>
          <w:lang w:eastAsia="ro-RO"/>
        </w:rPr>
        <w:t>de exemplu Emicizumab ( pentru indicatii, criterii de includere, tratament, monitorizare a se vedea protocolul terapeutic B02BX06)</w:t>
      </w:r>
    </w:p>
    <w:p w14:paraId="6D7BC04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F8BB14B" w14:textId="07D0BD30" w:rsidR="009F1EE3" w:rsidRPr="00F941DA" w:rsidRDefault="009F1EE3" w:rsidP="00D11DF1">
      <w:pPr>
        <w:pStyle w:val="ListParagraph"/>
        <w:numPr>
          <w:ilvl w:val="0"/>
          <w:numId w:val="417"/>
        </w:numPr>
        <w:autoSpaceDE w:val="0"/>
        <w:autoSpaceDN w:val="0"/>
        <w:adjustRightInd w:val="0"/>
        <w:ind w:left="284" w:hanging="284"/>
        <w:jc w:val="both"/>
        <w:rPr>
          <w:i/>
          <w:color w:val="auto"/>
        </w:rPr>
      </w:pPr>
      <w:r w:rsidRPr="00F941DA">
        <w:rPr>
          <w:i/>
          <w:color w:val="auto"/>
        </w:rPr>
        <w:t xml:space="preserve">Profilaxia în timpul toleranţei imune </w:t>
      </w:r>
    </w:p>
    <w:p w14:paraId="51F31FA9"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28991B1E" w14:textId="77777777" w:rsidR="00F941DA"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b/>
          <w:sz w:val="24"/>
          <w:szCs w:val="24"/>
          <w:lang w:eastAsia="ro-RO"/>
        </w:rPr>
        <w:t>Criterii de includere:</w:t>
      </w:r>
      <w:r w:rsidRPr="00F941DA">
        <w:rPr>
          <w:rFonts w:ascii="Times New Roman" w:eastAsia="Times New Roman" w:hAnsi="Times New Roman" w:cs="Times New Roman"/>
          <w:sz w:val="24"/>
          <w:szCs w:val="24"/>
          <w:lang w:eastAsia="ro-RO"/>
        </w:rPr>
        <w:t xml:space="preserve"> </w:t>
      </w:r>
    </w:p>
    <w:p w14:paraId="0F4FAA7E" w14:textId="54E0DFB6" w:rsidR="00F941DA"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 în protocol ITI cu sângerăr</w:t>
      </w:r>
      <w:r w:rsidR="00F941DA" w:rsidRPr="00F941DA">
        <w:rPr>
          <w:rFonts w:ascii="Times New Roman" w:eastAsia="Times New Roman" w:hAnsi="Times New Roman" w:cs="Times New Roman"/>
          <w:sz w:val="24"/>
          <w:szCs w:val="24"/>
          <w:lang w:eastAsia="ro-RO"/>
        </w:rPr>
        <w:t xml:space="preserve">i frecvente sau cu risc vital  </w:t>
      </w:r>
    </w:p>
    <w:p w14:paraId="19288D9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Doza APCC: 50 - 200 U/kgc/zi de 2 ori pe săptămână</w:t>
      </w:r>
    </w:p>
    <w:p w14:paraId="43CD07E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BB573F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Se va evalua:</w:t>
      </w:r>
    </w:p>
    <w:p w14:paraId="6B2EFABC" w14:textId="77777777" w:rsidR="009F1EE3" w:rsidRPr="00F941DA" w:rsidRDefault="009F1EE3" w:rsidP="00D11DF1">
      <w:pPr>
        <w:numPr>
          <w:ilvl w:val="0"/>
          <w:numId w:val="38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Indicele de recovery  al FVIII care trebuie monitorizat atunci când inhibitorul scade la 10 BU.</w:t>
      </w:r>
    </w:p>
    <w:p w14:paraId="0455F1FD" w14:textId="77777777" w:rsidR="009F1EE3" w:rsidRPr="00F941DA" w:rsidRDefault="009F1EE3" w:rsidP="00D11DF1">
      <w:pPr>
        <w:numPr>
          <w:ilvl w:val="0"/>
          <w:numId w:val="38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În cazul unei evoluții favorabile  (titru inhibitori &lt; 0,6 UB, recovery FVIII/IX &gt; 66%, T ½ FVIII/FIX </w:t>
      </w:r>
      <w:r w:rsidRPr="00F941DA">
        <w:rPr>
          <w:rFonts w:ascii="Times New Roman" w:eastAsia="Times New Roman" w:hAnsi="Times New Roman" w:cs="Times New Roman"/>
          <w:sz w:val="24"/>
          <w:szCs w:val="24"/>
          <w:u w:val="single"/>
          <w:lang w:eastAsia="ro-RO"/>
        </w:rPr>
        <w:t>&gt;</w:t>
      </w:r>
      <w:r w:rsidRPr="00F941DA">
        <w:rPr>
          <w:rFonts w:ascii="Times New Roman" w:eastAsia="Times New Roman" w:hAnsi="Times New Roman" w:cs="Times New Roman"/>
          <w:sz w:val="24"/>
          <w:szCs w:val="24"/>
          <w:lang w:eastAsia="ro-RO"/>
        </w:rPr>
        <w:t xml:space="preserve"> 6 ore) terapia bypass poate fi întreruptă.</w:t>
      </w:r>
    </w:p>
    <w:p w14:paraId="183AAD0D"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70313BC4" w14:textId="7712685D"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Monitorizarea tratamentului</w:t>
      </w:r>
    </w:p>
    <w:p w14:paraId="2BCECBA2" w14:textId="77777777" w:rsidR="009F1EE3" w:rsidRPr="00F941DA" w:rsidRDefault="009F1EE3" w:rsidP="00D11DF1">
      <w:pPr>
        <w:numPr>
          <w:ilvl w:val="3"/>
          <w:numId w:val="389"/>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Monitorizarea clinică şi paraclinică a evenimentelor hemoragice şi a statusului articular</w:t>
      </w:r>
    </w:p>
    <w:p w14:paraId="3766E264" w14:textId="77777777" w:rsidR="009F1EE3" w:rsidRPr="00F941DA" w:rsidRDefault="009F1EE3" w:rsidP="00D11DF1">
      <w:pPr>
        <w:numPr>
          <w:ilvl w:val="3"/>
          <w:numId w:val="389"/>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 cu atenţie, prin examinare clinică şi teste adecvate de laborator (teste de coagulare globale, TEG, CAT)</w:t>
      </w:r>
    </w:p>
    <w:p w14:paraId="0107D652" w14:textId="77777777" w:rsidR="009F1EE3" w:rsidRPr="00F941DA" w:rsidRDefault="009F1EE3" w:rsidP="00D11DF1">
      <w:pPr>
        <w:numPr>
          <w:ilvl w:val="3"/>
          <w:numId w:val="389"/>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Monitorizarea dinamicii anticorpilor inhibitori.</w:t>
      </w:r>
    </w:p>
    <w:p w14:paraId="24B5BFE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B90295B" w14:textId="1E0D898A"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Criterii de excludere din tratament</w:t>
      </w:r>
    </w:p>
    <w:p w14:paraId="148F79FD" w14:textId="77777777" w:rsidR="009F1EE3" w:rsidRPr="00F941DA" w:rsidRDefault="009F1EE3" w:rsidP="00D11DF1">
      <w:pPr>
        <w:numPr>
          <w:ilvl w:val="3"/>
          <w:numId w:val="39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Hipersensibilitate la substanţa activă sau la oricare dintre excipienţi</w:t>
      </w:r>
    </w:p>
    <w:p w14:paraId="5F47ACC2" w14:textId="77777777" w:rsidR="009F1EE3" w:rsidRPr="00F941DA" w:rsidRDefault="009F1EE3" w:rsidP="00D11DF1">
      <w:pPr>
        <w:numPr>
          <w:ilvl w:val="3"/>
          <w:numId w:val="39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Coagulare intravasculară diseminată</w:t>
      </w:r>
    </w:p>
    <w:p w14:paraId="5BBB841D" w14:textId="77777777" w:rsidR="009F1EE3" w:rsidRPr="00F941DA" w:rsidRDefault="009F1EE3" w:rsidP="00D11DF1">
      <w:pPr>
        <w:numPr>
          <w:ilvl w:val="3"/>
          <w:numId w:val="39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Ischemie coronariană acută, tromboză acută şi/sau embolie</w:t>
      </w:r>
    </w:p>
    <w:p w14:paraId="43C82D1E" w14:textId="77777777" w:rsidR="009F1EE3" w:rsidRPr="00F941DA" w:rsidRDefault="009F1EE3" w:rsidP="00D11DF1">
      <w:pPr>
        <w:numPr>
          <w:ilvl w:val="3"/>
          <w:numId w:val="39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Neresponsivitate (hemostază absentă sau incompletă) la unul din cei doi agenţi de by-pass pentru pacienţii cu inhibitori</w:t>
      </w:r>
    </w:p>
    <w:p w14:paraId="7177B6E8" w14:textId="77777777" w:rsidR="009F1EE3" w:rsidRPr="00F941DA" w:rsidRDefault="009F1EE3" w:rsidP="00D11DF1">
      <w:pPr>
        <w:numPr>
          <w:ilvl w:val="3"/>
          <w:numId w:val="39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Tratamentul de substituţie în cazul intervenţiilor chirurgicale şi ortopedice în hemofilia congenitală cu inhibitori</w:t>
      </w:r>
    </w:p>
    <w:p w14:paraId="18B0C86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1052DCC" w14:textId="77777777" w:rsidR="009F1EE3" w:rsidRPr="00F941DA" w:rsidRDefault="009F1EE3" w:rsidP="009F1EE3">
      <w:pPr>
        <w:spacing w:after="0" w:line="240" w:lineRule="auto"/>
        <w:contextualSpacing/>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E.4 TRATAMENTUL DE  SUBSTITUTIE  LA  PERSOANELE  CU  HEMOFILIE CU INHIBITORI IN CAZUL INTERVENTIILOR  CHIRURGICALE</w:t>
      </w:r>
    </w:p>
    <w:p w14:paraId="4EBADA2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D5827D4" w14:textId="77777777" w:rsidR="00F941DA"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xml:space="preserve">Obiective: </w:t>
      </w:r>
    </w:p>
    <w:p w14:paraId="714FEB59" w14:textId="080E3C63" w:rsidR="009F1EE3" w:rsidRPr="00F941DA" w:rsidRDefault="00F941DA"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w:t>
      </w:r>
      <w:r w:rsidR="009F1EE3" w:rsidRPr="00F941DA">
        <w:rPr>
          <w:rFonts w:ascii="Times New Roman" w:eastAsia="Times New Roman" w:hAnsi="Times New Roman" w:cs="Times New Roman"/>
          <w:sz w:val="24"/>
          <w:szCs w:val="24"/>
          <w:lang w:eastAsia="ro-RO"/>
        </w:rPr>
        <w:t>sigurarea hemostazei în cursul intervenţiilor chirurgicale şi ortopedice</w:t>
      </w:r>
    </w:p>
    <w:p w14:paraId="2488DABE"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204A5BA" w14:textId="252F597D"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b/>
          <w:sz w:val="24"/>
          <w:szCs w:val="24"/>
          <w:lang w:eastAsia="ro-RO"/>
        </w:rPr>
        <w:t>Criterii de includere:</w:t>
      </w:r>
      <w:r w:rsidRPr="00F941DA">
        <w:rPr>
          <w:rFonts w:ascii="Times New Roman" w:eastAsia="Times New Roman" w:hAnsi="Times New Roman" w:cs="Times New Roman"/>
          <w:sz w:val="24"/>
          <w:szCs w:val="24"/>
          <w:lang w:eastAsia="ro-RO"/>
        </w:rPr>
        <w:t xml:space="preserve"> pacienţii cu hemofilie şi anticorpi inhibitori anti-FVIII sau anti-FIX care necesită intervenţii chirurgicale sau ortopedice</w:t>
      </w:r>
    </w:p>
    <w:p w14:paraId="751619C1"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FBAF383" w14:textId="6BE6F4E0" w:rsidR="009F1EE3" w:rsidRPr="00F941DA" w:rsidRDefault="00F941DA"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Tratament</w:t>
      </w:r>
    </w:p>
    <w:p w14:paraId="021CB47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i/>
          <w:sz w:val="24"/>
          <w:szCs w:val="24"/>
          <w:lang w:eastAsia="ro-RO"/>
        </w:rPr>
        <w:t>Produse</w:t>
      </w:r>
      <w:r w:rsidRPr="00F941DA">
        <w:rPr>
          <w:rFonts w:ascii="Times New Roman" w:eastAsia="Times New Roman" w:hAnsi="Times New Roman" w:cs="Times New Roman"/>
          <w:sz w:val="24"/>
          <w:szCs w:val="24"/>
          <w:lang w:eastAsia="ro-RO"/>
        </w:rPr>
        <w:t>:</w:t>
      </w:r>
    </w:p>
    <w:p w14:paraId="22451FB1" w14:textId="77777777" w:rsidR="009F1EE3" w:rsidRPr="00F941DA" w:rsidRDefault="009F1EE3" w:rsidP="00D11DF1">
      <w:pPr>
        <w:numPr>
          <w:ilvl w:val="3"/>
          <w:numId w:val="39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Concentrat de complex protrombinic activat (APCC) ;.</w:t>
      </w:r>
    </w:p>
    <w:p w14:paraId="50DD7B94" w14:textId="77777777" w:rsidR="009F1EE3" w:rsidRPr="00F941DA" w:rsidRDefault="009F1EE3" w:rsidP="00D11DF1">
      <w:pPr>
        <w:numPr>
          <w:ilvl w:val="3"/>
          <w:numId w:val="39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Factor VII de coagulare activat recombinant (rFVIIa) ; </w:t>
      </w:r>
    </w:p>
    <w:p w14:paraId="5BDAC90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35F4A2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941DA">
        <w:rPr>
          <w:rFonts w:ascii="Times New Roman" w:eastAsia="Times New Roman" w:hAnsi="Times New Roman" w:cs="Times New Roman"/>
          <w:i/>
          <w:sz w:val="24"/>
          <w:szCs w:val="24"/>
          <w:lang w:eastAsia="ro-RO"/>
        </w:rPr>
        <w:t>Doze:</w:t>
      </w:r>
    </w:p>
    <w:p w14:paraId="29AD1CAE" w14:textId="77777777" w:rsidR="009F1EE3" w:rsidRPr="00F941DA" w:rsidRDefault="009F1EE3" w:rsidP="00D11DF1">
      <w:pPr>
        <w:numPr>
          <w:ilvl w:val="0"/>
          <w:numId w:val="392"/>
        </w:numPr>
        <w:autoSpaceDE w:val="0"/>
        <w:autoSpaceDN w:val="0"/>
        <w:adjustRightInd w:val="0"/>
        <w:spacing w:after="0" w:line="240" w:lineRule="auto"/>
        <w:ind w:left="567" w:hanging="207"/>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Concentrat de complex protrombinic activat (APCC)</w:t>
      </w:r>
    </w:p>
    <w:p w14:paraId="7131F69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Doza de încărcare pre-operator este de 100 UIkg corp. Având grijă să nu se depăşească doza maximă zilnică de 200 UI/kg corp/24 de ore, se pot administra 50 U/kg corp, 75 U/kg corp sau 100 U/kg corp, la intervale de 6 ore, 8 ore sau respectiv 12 ore timp de minim 2 - 3 zile post-operator. Ulterior se poate continua cu o doză totală de 100 - 150 UI/kg corp/24 de ore. Durata tratamentului post-operator pentru intervenţiile chirurgicale majore este de minim 14 zile.</w:t>
      </w:r>
    </w:p>
    <w:p w14:paraId="24CD94E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i/>
          <w:sz w:val="24"/>
          <w:szCs w:val="24"/>
          <w:lang w:eastAsia="ro-RO"/>
        </w:rPr>
        <w:lastRenderedPageBreak/>
        <w:t>Mod de administrare</w:t>
      </w:r>
      <w:r w:rsidRPr="00F941DA">
        <w:rPr>
          <w:rFonts w:ascii="Times New Roman" w:eastAsia="Times New Roman" w:hAnsi="Times New Roman" w:cs="Times New Roman"/>
          <w:sz w:val="24"/>
          <w:szCs w:val="24"/>
          <w:lang w:eastAsia="ro-RO"/>
        </w:rPr>
        <w:t>: perfuzaţi încet, intravenos. Nu trebuie să se depăşească o rată de injecţie/perfuzie de 2 U/kg corp şi minut.</w:t>
      </w:r>
    </w:p>
    <w:p w14:paraId="7DD58B8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4568354" w14:textId="77777777" w:rsidR="009F1EE3" w:rsidRPr="00F941DA" w:rsidRDefault="009F1EE3" w:rsidP="00D11DF1">
      <w:pPr>
        <w:numPr>
          <w:ilvl w:val="0"/>
          <w:numId w:val="392"/>
        </w:num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r w:rsidRPr="00F941DA">
        <w:rPr>
          <w:rFonts w:ascii="Times New Roman" w:eastAsia="Times New Roman" w:hAnsi="Times New Roman" w:cs="Times New Roman"/>
          <w:sz w:val="24"/>
          <w:szCs w:val="24"/>
          <w:u w:val="single"/>
          <w:lang w:eastAsia="ro-RO"/>
        </w:rPr>
        <w:t>Factor VII de coagulare activat recombinant (rFVIIa)</w:t>
      </w:r>
    </w:p>
    <w:p w14:paraId="05F8D38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Imediat înainte de intervenţie trebuie administrată o doză iniţială de 90 μg/kg. Doza trebuie repetată după 2 ore şi apoi la intervale de 2 - 3 ore în primele 24 - 48 de ore, în funcţie de tipul intervenţiei efectuate şi de starea clinică a pacientului.</w:t>
      </w:r>
    </w:p>
    <w:p w14:paraId="35D6D93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intervenţiile chirurgicale majore, administrarea trebuie continuată la intervale de 2 - 4 ore timp de 6 - 7 zile. Ulterior, intervalul dintre doze poate fi crescut la 6 - 8 ore timp de încă 2 săptămâni de tratament. Pacienţii supuşi unor intervenţii chirurgicale majore pot fi trataţi timp de minim 14 zile.</w:t>
      </w:r>
    </w:p>
    <w:p w14:paraId="1747D249"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E5845FD" w14:textId="28F69892"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i/>
          <w:sz w:val="24"/>
          <w:szCs w:val="24"/>
          <w:lang w:eastAsia="ro-RO"/>
        </w:rPr>
        <w:t>Mod de administrare</w:t>
      </w:r>
      <w:r w:rsidRPr="00F941DA">
        <w:rPr>
          <w:rFonts w:ascii="Times New Roman" w:eastAsia="Times New Roman" w:hAnsi="Times New Roman" w:cs="Times New Roman"/>
          <w:sz w:val="24"/>
          <w:szCs w:val="24"/>
          <w:lang w:eastAsia="ro-RO"/>
        </w:rPr>
        <w:t>: administrare intravenoasă în bolus, pe durata a 2 - 5 minute.</w:t>
      </w:r>
    </w:p>
    <w:p w14:paraId="6B81AC1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8B2C1A5" w14:textId="164D27A5"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Monitorizarea tratamentului</w:t>
      </w:r>
    </w:p>
    <w:p w14:paraId="2CBBBD12" w14:textId="77777777" w:rsidR="009F1EE3" w:rsidRPr="00F941DA" w:rsidRDefault="009F1EE3" w:rsidP="00D11DF1">
      <w:pPr>
        <w:numPr>
          <w:ilvl w:val="3"/>
          <w:numId w:val="393"/>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Severitatea sângerării şi răspunsul clinic la tratament trebuie să orienteze dozele necesare;</w:t>
      </w:r>
    </w:p>
    <w:p w14:paraId="3951251F" w14:textId="77777777" w:rsidR="009F1EE3" w:rsidRPr="00F941DA" w:rsidRDefault="009F1EE3" w:rsidP="00D11DF1">
      <w:pPr>
        <w:numPr>
          <w:ilvl w:val="3"/>
          <w:numId w:val="393"/>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Pacienţii trebuie monitorizaţi cu atenţie, în special pentru riscul de CID sau accidente trombotice;</w:t>
      </w:r>
    </w:p>
    <w:p w14:paraId="7909D7F8" w14:textId="77777777" w:rsidR="009F1EE3" w:rsidRPr="00F941DA" w:rsidRDefault="009F1EE3" w:rsidP="00D11DF1">
      <w:pPr>
        <w:numPr>
          <w:ilvl w:val="3"/>
          <w:numId w:val="393"/>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Monitorizarea clinică şi paraclinică a evenimentelor hemoragice şi a statusului articular;</w:t>
      </w:r>
    </w:p>
    <w:p w14:paraId="09AF50C4" w14:textId="77777777" w:rsidR="009F1EE3" w:rsidRPr="00F941DA" w:rsidRDefault="009F1EE3" w:rsidP="00D11DF1">
      <w:pPr>
        <w:numPr>
          <w:ilvl w:val="3"/>
          <w:numId w:val="393"/>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 cu atenţie, prin examinare clinică şi testele adecvate de laborator (coagulare globală, TEG, CAT);</w:t>
      </w:r>
    </w:p>
    <w:p w14:paraId="25BA127F" w14:textId="77777777" w:rsidR="009F1EE3" w:rsidRPr="00F941DA" w:rsidRDefault="009F1EE3" w:rsidP="00D11DF1">
      <w:pPr>
        <w:numPr>
          <w:ilvl w:val="3"/>
          <w:numId w:val="393"/>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Urmărirea dinamicii anticorpilor inhibitori.</w:t>
      </w:r>
    </w:p>
    <w:p w14:paraId="6E645AD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AFCE51C" w14:textId="395B0BAB"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Criterii de excludere din tratament</w:t>
      </w:r>
    </w:p>
    <w:p w14:paraId="72EE2D46" w14:textId="77777777" w:rsidR="009F1EE3" w:rsidRPr="00F941DA" w:rsidRDefault="009F1EE3" w:rsidP="00D11DF1">
      <w:pPr>
        <w:numPr>
          <w:ilvl w:val="3"/>
          <w:numId w:val="394"/>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Hipersensibilitate la substanţa activă sau la oricare dintre excipienţi</w:t>
      </w:r>
    </w:p>
    <w:p w14:paraId="364BC8EC" w14:textId="77777777" w:rsidR="009F1EE3" w:rsidRPr="00F941DA" w:rsidRDefault="009F1EE3" w:rsidP="00D11DF1">
      <w:pPr>
        <w:numPr>
          <w:ilvl w:val="3"/>
          <w:numId w:val="394"/>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Coagulare intravasculară diseminată</w:t>
      </w:r>
    </w:p>
    <w:p w14:paraId="1467CE31" w14:textId="77777777" w:rsidR="009F1EE3" w:rsidRPr="00F941DA" w:rsidRDefault="009F1EE3" w:rsidP="00D11DF1">
      <w:pPr>
        <w:numPr>
          <w:ilvl w:val="3"/>
          <w:numId w:val="394"/>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Ischemie coronariană acută, tromboză acută şi/sau embolie</w:t>
      </w:r>
    </w:p>
    <w:p w14:paraId="6D5DFA1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94FA7A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r w:rsidRPr="00F941DA">
        <w:rPr>
          <w:rFonts w:ascii="Times New Roman" w:eastAsia="Times New Roman" w:hAnsi="Times New Roman" w:cs="Times New Roman"/>
          <w:sz w:val="24"/>
          <w:szCs w:val="24"/>
          <w:u w:val="single"/>
          <w:lang w:eastAsia="ro-RO"/>
        </w:rPr>
        <w:t>HEMOFILIA DOBÂNDITĂ</w:t>
      </w:r>
    </w:p>
    <w:p w14:paraId="0FDFC28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635ACFA" w14:textId="18B36E8B"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Definiţie</w:t>
      </w:r>
    </w:p>
    <w:p w14:paraId="2439ABB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Hemofilia dobândită este o afecţiune care apare la un moment dat la pacienţii fără antecedente personale (şi familiale) pentru hemoragii. În această situaţie, organismul uman dezvoltă autoanticorpi (anticorpi inhibitori) împotriva propriilor factori de coagulare endogeni (cel mai adesea factorul VIII), având ca rezultat reducerea semnificativă a activităţii factorului respectiv şi consecutiv alterarea coagulării.</w:t>
      </w:r>
    </w:p>
    <w:p w14:paraId="537C79F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96002AC" w14:textId="36A4949A"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Incidenţa</w:t>
      </w:r>
    </w:p>
    <w:p w14:paraId="235369B0" w14:textId="77777777" w:rsidR="009F1EE3" w:rsidRPr="00F941DA" w:rsidRDefault="009F1EE3" w:rsidP="00D11DF1">
      <w:pPr>
        <w:numPr>
          <w:ilvl w:val="3"/>
          <w:numId w:val="39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0,2 - 1,5:1.000.000 de locuitori</w:t>
      </w:r>
    </w:p>
    <w:p w14:paraId="520A3950" w14:textId="77777777" w:rsidR="009F1EE3" w:rsidRPr="00F941DA" w:rsidRDefault="009F1EE3" w:rsidP="00D11DF1">
      <w:pPr>
        <w:numPr>
          <w:ilvl w:val="3"/>
          <w:numId w:val="39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80 - 90% dintre aceste cazuri prezintă hemoragii grave</w:t>
      </w:r>
    </w:p>
    <w:p w14:paraId="6D458AA0" w14:textId="77777777" w:rsidR="009F1EE3" w:rsidRPr="00F941DA" w:rsidRDefault="009F1EE3" w:rsidP="00D11DF1">
      <w:pPr>
        <w:numPr>
          <w:ilvl w:val="3"/>
          <w:numId w:val="39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8 - 22% din cazuri au evoluţie fatală</w:t>
      </w:r>
    </w:p>
    <w:p w14:paraId="1FE410CA" w14:textId="77777777" w:rsidR="009F1EE3" w:rsidRPr="00F941DA" w:rsidRDefault="009F1EE3" w:rsidP="00D11DF1">
      <w:pPr>
        <w:numPr>
          <w:ilvl w:val="3"/>
          <w:numId w:val="39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50% din cazuri asociază coexistenţa altor afecţiuni sistemice (autoimune, oncologice, infecţii, secundar medicamentos, post-partum)</w:t>
      </w:r>
    </w:p>
    <w:p w14:paraId="0B64E82F" w14:textId="77777777" w:rsidR="009F1EE3" w:rsidRPr="00F941DA" w:rsidRDefault="009F1EE3" w:rsidP="00D11DF1">
      <w:pPr>
        <w:numPr>
          <w:ilvl w:val="3"/>
          <w:numId w:val="39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50% din cazuri sunt idiopatice</w:t>
      </w:r>
    </w:p>
    <w:p w14:paraId="392BFB8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75D93E7" w14:textId="62E5A412"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Tablou clinic</w:t>
      </w:r>
    </w:p>
    <w:p w14:paraId="0BFFFCA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Manifestările clinice sunt foarte variate, severitate simptomatologiei neputând fi corelată cu rezultatele testelor de laborator. Gravitatea episodului hemoragic nu depinde de titrul anticorpilor inhibitori, nefiind direct proporţională cu acesta! În prezenţa unei anamneze hemofilice negative, apar sângerări masive necontrolate, după intervenţiile chirurgicale sau în mod spontan, la nivelul ţesutului conjunctiv moale, al pielii şi al mucoaselor. Spre deosebire de hemofilia congenitală forma severă, hemartrozele sunt rare. Evoluţia este gravă, cu o rată a mortalităţii între 8 - 22%.</w:t>
      </w:r>
    </w:p>
    <w:p w14:paraId="768C768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ED4355C"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E0FD6B3"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5ACB79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Conform convenţiilor internaţionale:</w:t>
      </w:r>
    </w:p>
    <w:p w14:paraId="4E0B264B" w14:textId="77777777" w:rsidR="009F1EE3" w:rsidRPr="00F941DA" w:rsidRDefault="009F1EE3" w:rsidP="00D11DF1">
      <w:pPr>
        <w:numPr>
          <w:ilvl w:val="0"/>
          <w:numId w:val="4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un titru mare de anticorpi (high-responder) se defineşte printr-o valoare peste 5 BU</w:t>
      </w:r>
    </w:p>
    <w:p w14:paraId="1CC8E550" w14:textId="77777777" w:rsidR="009F1EE3" w:rsidRPr="00F941DA" w:rsidRDefault="009F1EE3" w:rsidP="00D11DF1">
      <w:pPr>
        <w:numPr>
          <w:ilvl w:val="0"/>
          <w:numId w:val="4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un titru mic de anticorpi (low-responderi) se defineşte printr-o valoare sub 5 BU</w:t>
      </w:r>
    </w:p>
    <w:p w14:paraId="6211EE46" w14:textId="77777777" w:rsidR="009F1EE3" w:rsidRPr="00F941DA" w:rsidRDefault="009F1EE3" w:rsidP="00D11DF1">
      <w:pPr>
        <w:numPr>
          <w:ilvl w:val="0"/>
          <w:numId w:val="38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Tratament</w:t>
      </w:r>
    </w:p>
    <w:p w14:paraId="50AC676B"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1085E46" w14:textId="77777777" w:rsidR="00F941DA"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b/>
          <w:sz w:val="24"/>
          <w:szCs w:val="24"/>
          <w:lang w:eastAsia="ro-RO"/>
        </w:rPr>
        <w:t>Obiective si scheme terapeutice</w:t>
      </w:r>
      <w:r w:rsidRPr="00F941DA">
        <w:rPr>
          <w:rFonts w:ascii="Times New Roman" w:eastAsia="Times New Roman" w:hAnsi="Times New Roman" w:cs="Times New Roman"/>
          <w:sz w:val="24"/>
          <w:szCs w:val="24"/>
          <w:lang w:eastAsia="ro-RO"/>
        </w:rPr>
        <w:t xml:space="preserve">: </w:t>
      </w:r>
    </w:p>
    <w:p w14:paraId="024C589D"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4EEE6D1" w14:textId="39155435"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Oprirea sângerării:</w:t>
      </w:r>
    </w:p>
    <w:p w14:paraId="3C19D5A4" w14:textId="77777777" w:rsidR="009F1EE3" w:rsidRPr="00F941DA" w:rsidRDefault="009F1EE3" w:rsidP="00D11DF1">
      <w:pPr>
        <w:numPr>
          <w:ilvl w:val="0"/>
          <w:numId w:val="396"/>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Pacienţii cu titru mare (</w:t>
      </w:r>
      <w:r w:rsidRPr="00F941DA">
        <w:rPr>
          <w:rFonts w:ascii="Times New Roman" w:eastAsia="Times New Roman" w:hAnsi="Times New Roman" w:cs="Times New Roman"/>
          <w:sz w:val="24"/>
          <w:szCs w:val="24"/>
          <w:u w:val="single"/>
          <w:lang w:eastAsia="ro-RO"/>
        </w:rPr>
        <w:t>&gt;</w:t>
      </w:r>
      <w:r w:rsidRPr="00F941DA">
        <w:rPr>
          <w:rFonts w:ascii="Times New Roman" w:eastAsia="Times New Roman" w:hAnsi="Times New Roman" w:cs="Times New Roman"/>
          <w:sz w:val="24"/>
          <w:szCs w:val="24"/>
          <w:lang w:eastAsia="ro-RO"/>
        </w:rPr>
        <w:t xml:space="preserve"> 5 UB) şi a unor hemoragii moderate sau masive, se recomandă tratamentele asociate (by-passing):</w:t>
      </w:r>
    </w:p>
    <w:p w14:paraId="4625B5C4" w14:textId="77777777" w:rsidR="009F1EE3" w:rsidRPr="00F941DA" w:rsidRDefault="009F1EE3" w:rsidP="00D11DF1">
      <w:pPr>
        <w:numPr>
          <w:ilvl w:val="3"/>
          <w:numId w:val="397"/>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rFVIIa: 90 μg/kgc/doza în bolus intravenos (pe durata a 2 - 5 minute), la intervale de 2 - 3 ore sau 270 μg/kgc priza unică pe 24 de ore, până la încetarea sângerării. După aceea, intervalul dintre doze poate fi crescut succesiv la 4, 6, 8 sau 12 ore pentru perioada de timp în care tratamentul este considerat necesar.</w:t>
      </w:r>
    </w:p>
    <w:p w14:paraId="2FBAFB18" w14:textId="77777777" w:rsidR="009F1EE3" w:rsidRPr="00F941DA" w:rsidRDefault="009F1EE3" w:rsidP="00D11DF1">
      <w:pPr>
        <w:numPr>
          <w:ilvl w:val="3"/>
          <w:numId w:val="397"/>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concentrat de complex protrombinic activat (APCC): 50 - 100 U/kgc/doza la 12 ore până la oprirea hemoragiei. Doza zilnică de APCC nu poate depăşi 200 U/kgc şi se efectuează pentru perioada de timp în care tratamentul este considerat necesar. Se perfuzează încet, intravenos, fără a se depăşi o rată de injecţie/perfuzie de 2 U/kg corp/minut.</w:t>
      </w:r>
    </w:p>
    <w:p w14:paraId="274BC8FB" w14:textId="39AAF986" w:rsidR="009F1EE3" w:rsidRPr="00F941DA" w:rsidRDefault="009F1EE3" w:rsidP="00D11DF1">
      <w:pPr>
        <w:numPr>
          <w:ilvl w:val="0"/>
          <w:numId w:val="396"/>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Pacienţii cu titru mic (&lt; 5 UB), cu hemoragii uşoare sau dacă preparatul de tip by-pass nu este disponibil:</w:t>
      </w:r>
      <w:r w:rsidR="00F941DA" w:rsidRPr="00F941DA">
        <w:rPr>
          <w:rFonts w:ascii="Times New Roman" w:eastAsia="Times New Roman" w:hAnsi="Times New Roman" w:cs="Times New Roman"/>
          <w:sz w:val="24"/>
          <w:szCs w:val="24"/>
          <w:lang w:eastAsia="ro-RO"/>
        </w:rPr>
        <w:t xml:space="preserve"> </w:t>
      </w:r>
      <w:r w:rsidRPr="00F941DA">
        <w:rPr>
          <w:rFonts w:ascii="Times New Roman" w:eastAsia="Times New Roman" w:hAnsi="Times New Roman" w:cs="Times New Roman"/>
          <w:sz w:val="24"/>
          <w:szCs w:val="24"/>
          <w:lang w:eastAsia="ro-RO"/>
        </w:rPr>
        <w:t>concentrate de FVIII/FIX, alegând una dintre următoarele 2 variante:</w:t>
      </w:r>
    </w:p>
    <w:p w14:paraId="216A18A8" w14:textId="77777777" w:rsidR="009F1EE3" w:rsidRPr="00F941DA" w:rsidRDefault="009F1EE3" w:rsidP="00D11DF1">
      <w:pPr>
        <w:numPr>
          <w:ilvl w:val="3"/>
          <w:numId w:val="398"/>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Se administrează doza de 100 - 200 U/kgc. Dacă răspunsul terapeutic este favorabil (definit clinic prin stoparea sângerării, iar paraclinic prin reducerea/corectarea valorii APTT iniţial prelungit), tratamentul se va continua zilnic, cel puţin 2 - 3 zile.</w:t>
      </w:r>
    </w:p>
    <w:p w14:paraId="7E40A5D7" w14:textId="77777777" w:rsidR="009F1EE3" w:rsidRPr="00F941DA" w:rsidRDefault="009F1EE3" w:rsidP="00D11DF1">
      <w:pPr>
        <w:numPr>
          <w:ilvl w:val="3"/>
          <w:numId w:val="398"/>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Administrarea unei doze "de neutralizare a inhibitorului" calculată după formula: 20 U/kgc/1 UB + 40 U/kgc, care are ca scop obţinerea unei activităţi a FVIII/FIX de 20 - 50 U/ml; apoi se continuă la intervale de 6 - 8 ore în bolusuri cu doza de 20 - 50 U/kgc sau 3 - 4 U/kgc în perfuzie continuă, în funcţie de evoluţia valorii factorilor FVIII/IX.</w:t>
      </w:r>
    </w:p>
    <w:p w14:paraId="11272DE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717E57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Dacă în primele 24 ore tratamentul cu concentrate de FVIII/IX nu este eficient, se va trece la preparatul by-pass:</w:t>
      </w:r>
    </w:p>
    <w:p w14:paraId="5ACB8A3B" w14:textId="77777777" w:rsidR="009F1EE3" w:rsidRPr="00F941DA" w:rsidRDefault="009F1EE3" w:rsidP="00D11DF1">
      <w:pPr>
        <w:numPr>
          <w:ilvl w:val="3"/>
          <w:numId w:val="399"/>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rFVIIa: 90 μg/kgc/doza în bolus intravenos (pe durata a 2 - 5 minute), la intervale de 2 - 3 ore sau 270 μg/kgc priza unică pe 24 de ore, până la încetarea sângerării. După aceea, intervalul dintre doze poate fi crescut succesiv la 4, 6, 8 sau 12 ore pentru perioada de timp în care tratamentul este considerat necesar.</w:t>
      </w:r>
    </w:p>
    <w:p w14:paraId="4D82DE83" w14:textId="77777777" w:rsidR="009F1EE3" w:rsidRPr="00F941DA" w:rsidRDefault="009F1EE3" w:rsidP="00D11DF1">
      <w:pPr>
        <w:numPr>
          <w:ilvl w:val="3"/>
          <w:numId w:val="399"/>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concentrat de complex protrombinic activat (APCC): 50 - 100 U/kgc/doză la 12 ore până la oprirea hemoragiei. Doza zilnică de APCC nu poate depăşi 200 U/kgc şi se efectuează pentru perioada de timp în care tratamentul este considerat necesar. Se perfuzează încet, intravenos, fără a se depăşi o rată de injecţie/perfuzie de 2 U/kg corp/minut.</w:t>
      </w:r>
    </w:p>
    <w:p w14:paraId="309F22B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403286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Pentru situaţiile grave, cu iminenţă de deces, la care tratamentul mai sus menţionat eşuează, se recomandă eliminarea anticorpilor inhibitori prin proceduri de plasmafereză şi imunoadsorbţie, urmate de administrarea de concentrate de factor de coagulare.</w:t>
      </w:r>
    </w:p>
    <w:p w14:paraId="68330A6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9222633" w14:textId="2343E28F"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Eradicarea şi prevenirea sintezei autoanticorpilor inhibitori este un obiectiv important .</w:t>
      </w:r>
    </w:p>
    <w:p w14:paraId="7E2028C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Tratamentul constă în administrarea unor medicamente imunosupresoare (de exemplu: corticosteroizii, azatioprina, ciclofosfamida), la care se asociază tratamentul specific, acolo unde este cazul, al altor afecţiuni sistemice asociate.</w:t>
      </w:r>
    </w:p>
    <w:p w14:paraId="32C9214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Cele 2 tipuri de tratament, atât cel pentru oprirea sângerării, cât şi cel pentru eradicarea şi prevenirea sintezei autoanticorpilor inhibitori, trebuiesc iniţiate concomitent.</w:t>
      </w:r>
    </w:p>
    <w:p w14:paraId="690D6EB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E573C05"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3A6953B"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8B7FDBB"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58DCE2B"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C2B1C4A"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35C38FE" w14:textId="77777777" w:rsidR="009F1EE3" w:rsidRPr="00F941DA" w:rsidRDefault="009F1EE3" w:rsidP="00D11DF1">
      <w:pPr>
        <w:numPr>
          <w:ilvl w:val="2"/>
          <w:numId w:val="340"/>
        </w:numPr>
        <w:autoSpaceDE w:val="0"/>
        <w:autoSpaceDN w:val="0"/>
        <w:adjustRightInd w:val="0"/>
        <w:spacing w:after="0" w:line="240" w:lineRule="auto"/>
        <w:ind w:left="284" w:hanging="284"/>
        <w:jc w:val="both"/>
        <w:rPr>
          <w:rFonts w:ascii="Times New Roman" w:eastAsia="Times New Roman" w:hAnsi="Times New Roman" w:cs="Times New Roman"/>
          <w:b/>
          <w:sz w:val="24"/>
          <w:szCs w:val="24"/>
          <w:u w:val="single"/>
          <w:lang w:eastAsia="ro-RO"/>
        </w:rPr>
      </w:pPr>
      <w:r w:rsidRPr="00F941DA">
        <w:rPr>
          <w:rFonts w:ascii="Times New Roman" w:eastAsia="Times New Roman" w:hAnsi="Times New Roman" w:cs="Times New Roman"/>
          <w:b/>
          <w:sz w:val="24"/>
          <w:szCs w:val="24"/>
          <w:u w:val="single"/>
          <w:lang w:eastAsia="ro-RO"/>
        </w:rPr>
        <w:lastRenderedPageBreak/>
        <w:t>BOALA VON WILLEBRAND</w:t>
      </w:r>
    </w:p>
    <w:p w14:paraId="4403470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5DFCB4F" w14:textId="44BAF7DA" w:rsidR="006561A5" w:rsidRPr="00F941DA" w:rsidRDefault="006561A5" w:rsidP="00F941DA">
      <w:pPr>
        <w:autoSpaceDE w:val="0"/>
        <w:autoSpaceDN w:val="0"/>
        <w:adjustRightInd w:val="0"/>
        <w:jc w:val="both"/>
        <w:rPr>
          <w:rFonts w:ascii="Times New Roman" w:hAnsi="Times New Roman" w:cs="Times New Roman"/>
          <w:b/>
          <w:sz w:val="24"/>
          <w:szCs w:val="24"/>
        </w:rPr>
      </w:pPr>
      <w:r w:rsidRPr="00F941DA">
        <w:rPr>
          <w:rFonts w:ascii="Times New Roman" w:hAnsi="Times New Roman" w:cs="Times New Roman"/>
          <w:b/>
          <w:sz w:val="24"/>
          <w:szCs w:val="24"/>
        </w:rPr>
        <w:t xml:space="preserve">DATE GENERALE </w:t>
      </w:r>
    </w:p>
    <w:p w14:paraId="76FD2B6D" w14:textId="158751A5"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Boala von Willebrand (BVW) este cea mai frecventă coagulopatie congenitală, care poate fi transmisă autosomal dominant sau recesiv, şi care este definită prin sinteza cantitativ redusă (tipul 1 şi 3 al bolii) sau calitativ anormală (tipul 2 de boală) a factorului von Willebrand. Datorită faptului că gena care comandă producerea acestui factor în organism se situează pe braţul scurt al cromozomului 12, boala se manifestă atât la bărbaţi, cât şi la femei, cu o frecvenţă mai mare a simptomatologiei la sexul feminin. Factorul von Willebrand este una dintre cele mai mari glicoproteine din organism, fiind sintetizat în celulele endoteliale şi în megakariocite. Are un rol foarte important atât în hemostaza primară prin favorizarea aderării trombocitelor la peretele vascular lezat, cât şi în hemostaza secundară, prin transportul şi stabilizarea factorului VIII în torentul circulator sanguin. De aceea, în boala von Willebrand, deşi Factorul VIII este produs în cantitate normală, deficitul/absenţa factorului von Willebrand determină distrugerea rapidă a factorului VIII în circulaţia sanguină.</w:t>
      </w:r>
    </w:p>
    <w:p w14:paraId="6977DB8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62E79E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Transmiterea bolii poate fi:</w:t>
      </w:r>
    </w:p>
    <w:p w14:paraId="3006756C" w14:textId="77777777" w:rsidR="009F1EE3" w:rsidRPr="00F941DA" w:rsidRDefault="009F1EE3" w:rsidP="00D11DF1">
      <w:pPr>
        <w:numPr>
          <w:ilvl w:val="3"/>
          <w:numId w:val="40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Autozomal dominanta (tipul 1; subtipurile 2A, 2B şi 2M)</w:t>
      </w:r>
    </w:p>
    <w:p w14:paraId="02D36B0F" w14:textId="77777777" w:rsidR="009F1EE3" w:rsidRPr="00F941DA" w:rsidRDefault="009F1EE3" w:rsidP="00D11DF1">
      <w:pPr>
        <w:numPr>
          <w:ilvl w:val="3"/>
          <w:numId w:val="40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Autozomal recesivă (tipul 3, subtipul 2N şi o variantă rară a subtipului 2A (IIC))</w:t>
      </w:r>
    </w:p>
    <w:p w14:paraId="03BEC21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829BE0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Clasificarea BVW</w:t>
      </w:r>
    </w:p>
    <w:p w14:paraId="046D290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Clasificarea BVW (Sadler et al. 2006), conform Grupului de lucru pentru boala von Willebrand din cadrul Societăţii Internaţionale de Tromboză şi Hemofilie (ISTH), distinge trei tipuri principale ale BVW: tipurile 1 şi 3 includ defectele cantitative ale FVW, iar tipul 2 defectele calitative ale acestuia.</w:t>
      </w:r>
    </w:p>
    <w:p w14:paraId="6ACB7EB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676" w:type="dxa"/>
        <w:tblLayout w:type="fixed"/>
        <w:tblCellMar>
          <w:left w:w="105" w:type="dxa"/>
          <w:right w:w="105" w:type="dxa"/>
        </w:tblCellMar>
        <w:tblLook w:val="0000" w:firstRow="0" w:lastRow="0" w:firstColumn="0" w:lastColumn="0" w:noHBand="0" w:noVBand="0"/>
      </w:tblPr>
      <w:tblGrid>
        <w:gridCol w:w="2552"/>
        <w:gridCol w:w="709"/>
        <w:gridCol w:w="6415"/>
      </w:tblGrid>
      <w:tr w:rsidR="00F941DA" w:rsidRPr="00F941DA" w14:paraId="0E538F1E" w14:textId="77777777" w:rsidTr="00F941DA">
        <w:tc>
          <w:tcPr>
            <w:tcW w:w="2552" w:type="dxa"/>
            <w:tcBorders>
              <w:top w:val="single" w:sz="6" w:space="0" w:color="000000"/>
              <w:left w:val="nil"/>
              <w:bottom w:val="single" w:sz="6" w:space="0" w:color="000000"/>
              <w:right w:val="nil"/>
            </w:tcBorders>
          </w:tcPr>
          <w:p w14:paraId="1BC9A49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Tipul bolii von Willebrand</w:t>
            </w:r>
          </w:p>
        </w:tc>
        <w:tc>
          <w:tcPr>
            <w:tcW w:w="709" w:type="dxa"/>
            <w:tcBorders>
              <w:top w:val="single" w:sz="6" w:space="0" w:color="000000"/>
              <w:left w:val="nil"/>
              <w:bottom w:val="single" w:sz="6" w:space="0" w:color="000000"/>
              <w:right w:val="nil"/>
            </w:tcBorders>
          </w:tcPr>
          <w:p w14:paraId="21BB70B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6415" w:type="dxa"/>
            <w:tcBorders>
              <w:top w:val="single" w:sz="6" w:space="0" w:color="000000"/>
              <w:left w:val="nil"/>
              <w:bottom w:val="single" w:sz="6" w:space="0" w:color="000000"/>
              <w:right w:val="nil"/>
            </w:tcBorders>
          </w:tcPr>
          <w:p w14:paraId="2EE124F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Caracteristică</w:t>
            </w:r>
          </w:p>
        </w:tc>
      </w:tr>
      <w:tr w:rsidR="00F941DA" w:rsidRPr="00F941DA" w14:paraId="6CD2661A" w14:textId="77777777" w:rsidTr="00F941DA">
        <w:tc>
          <w:tcPr>
            <w:tcW w:w="2552" w:type="dxa"/>
            <w:tcBorders>
              <w:top w:val="single" w:sz="6" w:space="0" w:color="000000"/>
              <w:left w:val="nil"/>
              <w:bottom w:val="single" w:sz="6" w:space="0" w:color="000000"/>
              <w:right w:val="nil"/>
            </w:tcBorders>
          </w:tcPr>
          <w:p w14:paraId="36A629A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1</w:t>
            </w:r>
          </w:p>
          <w:p w14:paraId="1F987E2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(60 - 80% din cazuri, autozomal dominant)</w:t>
            </w:r>
          </w:p>
        </w:tc>
        <w:tc>
          <w:tcPr>
            <w:tcW w:w="709" w:type="dxa"/>
            <w:tcBorders>
              <w:top w:val="single" w:sz="6" w:space="0" w:color="000000"/>
              <w:left w:val="nil"/>
              <w:bottom w:val="single" w:sz="6" w:space="0" w:color="000000"/>
              <w:right w:val="nil"/>
            </w:tcBorders>
          </w:tcPr>
          <w:p w14:paraId="382D590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6415" w:type="dxa"/>
            <w:tcBorders>
              <w:top w:val="single" w:sz="6" w:space="0" w:color="000000"/>
              <w:left w:val="nil"/>
              <w:bottom w:val="single" w:sz="6" w:space="0" w:color="000000"/>
              <w:right w:val="nil"/>
            </w:tcBorders>
          </w:tcPr>
          <w:p w14:paraId="3EBCD20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Lipsa parţială a FVW, defect cantitativ</w:t>
            </w:r>
          </w:p>
        </w:tc>
      </w:tr>
      <w:tr w:rsidR="00F941DA" w:rsidRPr="00F941DA" w14:paraId="05CC6BDB" w14:textId="77777777" w:rsidTr="00F941DA">
        <w:tc>
          <w:tcPr>
            <w:tcW w:w="2552" w:type="dxa"/>
            <w:tcBorders>
              <w:top w:val="single" w:sz="6" w:space="0" w:color="000000"/>
              <w:left w:val="nil"/>
              <w:bottom w:val="single" w:sz="6" w:space="0" w:color="000000"/>
              <w:right w:val="nil"/>
            </w:tcBorders>
          </w:tcPr>
          <w:p w14:paraId="5EA3F48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2</w:t>
            </w:r>
          </w:p>
          <w:p w14:paraId="52E9778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(15 - 30% din cazuri)</w:t>
            </w:r>
          </w:p>
        </w:tc>
        <w:tc>
          <w:tcPr>
            <w:tcW w:w="709" w:type="dxa"/>
            <w:tcBorders>
              <w:top w:val="single" w:sz="6" w:space="0" w:color="000000"/>
              <w:left w:val="nil"/>
              <w:bottom w:val="single" w:sz="6" w:space="0" w:color="000000"/>
              <w:right w:val="nil"/>
            </w:tcBorders>
          </w:tcPr>
          <w:p w14:paraId="619A3EC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6415" w:type="dxa"/>
            <w:tcBorders>
              <w:top w:val="single" w:sz="6" w:space="0" w:color="000000"/>
              <w:left w:val="nil"/>
              <w:bottom w:val="single" w:sz="6" w:space="0" w:color="000000"/>
              <w:right w:val="nil"/>
            </w:tcBorders>
          </w:tcPr>
          <w:p w14:paraId="7566DA2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Defecte calitative ale FVW</w:t>
            </w:r>
          </w:p>
        </w:tc>
      </w:tr>
      <w:tr w:rsidR="00F941DA" w:rsidRPr="00F941DA" w14:paraId="06DB8253" w14:textId="77777777" w:rsidTr="00F941DA">
        <w:tc>
          <w:tcPr>
            <w:tcW w:w="2552" w:type="dxa"/>
            <w:tcBorders>
              <w:top w:val="single" w:sz="6" w:space="0" w:color="000000"/>
              <w:left w:val="nil"/>
              <w:bottom w:val="single" w:sz="6" w:space="0" w:color="000000"/>
              <w:right w:val="nil"/>
            </w:tcBorders>
          </w:tcPr>
          <w:p w14:paraId="0E5267E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709" w:type="dxa"/>
            <w:tcBorders>
              <w:top w:val="single" w:sz="6" w:space="0" w:color="000000"/>
              <w:left w:val="nil"/>
              <w:bottom w:val="single" w:sz="6" w:space="0" w:color="000000"/>
              <w:right w:val="nil"/>
            </w:tcBorders>
          </w:tcPr>
          <w:p w14:paraId="0A69F83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2A</w:t>
            </w:r>
          </w:p>
        </w:tc>
        <w:tc>
          <w:tcPr>
            <w:tcW w:w="6415" w:type="dxa"/>
            <w:tcBorders>
              <w:top w:val="single" w:sz="6" w:space="0" w:color="000000"/>
              <w:left w:val="nil"/>
              <w:bottom w:val="single" w:sz="6" w:space="0" w:color="000000"/>
              <w:right w:val="nil"/>
            </w:tcBorders>
          </w:tcPr>
          <w:p w14:paraId="1E643F4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Adeziune trombocitară redusă dependentă de VWF, asociată cu absenţa selectivă a HMWM (multimerii mari ai factorului von Willebrand)</w:t>
            </w:r>
          </w:p>
        </w:tc>
      </w:tr>
      <w:tr w:rsidR="00F941DA" w:rsidRPr="00F941DA" w14:paraId="28404926" w14:textId="77777777" w:rsidTr="00F941DA">
        <w:tc>
          <w:tcPr>
            <w:tcW w:w="2552" w:type="dxa"/>
            <w:tcBorders>
              <w:top w:val="single" w:sz="6" w:space="0" w:color="000000"/>
              <w:left w:val="nil"/>
              <w:bottom w:val="single" w:sz="6" w:space="0" w:color="000000"/>
              <w:right w:val="nil"/>
            </w:tcBorders>
          </w:tcPr>
          <w:p w14:paraId="2E23583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709" w:type="dxa"/>
            <w:tcBorders>
              <w:top w:val="single" w:sz="6" w:space="0" w:color="000000"/>
              <w:left w:val="nil"/>
              <w:bottom w:val="single" w:sz="6" w:space="0" w:color="000000"/>
              <w:right w:val="nil"/>
            </w:tcBorders>
          </w:tcPr>
          <w:p w14:paraId="1CFCC47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2B</w:t>
            </w:r>
          </w:p>
        </w:tc>
        <w:tc>
          <w:tcPr>
            <w:tcW w:w="6415" w:type="dxa"/>
            <w:tcBorders>
              <w:top w:val="single" w:sz="6" w:space="0" w:color="000000"/>
              <w:left w:val="nil"/>
              <w:bottom w:val="single" w:sz="6" w:space="0" w:color="000000"/>
              <w:right w:val="nil"/>
            </w:tcBorders>
          </w:tcPr>
          <w:p w14:paraId="280A252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Afinitate crescută a FVW pentru receptorul GPIb al trombocitelor</w:t>
            </w:r>
          </w:p>
        </w:tc>
      </w:tr>
      <w:tr w:rsidR="00F941DA" w:rsidRPr="00F941DA" w14:paraId="09D2E827" w14:textId="77777777" w:rsidTr="00F941DA">
        <w:tc>
          <w:tcPr>
            <w:tcW w:w="2552" w:type="dxa"/>
            <w:tcBorders>
              <w:top w:val="single" w:sz="6" w:space="0" w:color="000000"/>
              <w:left w:val="nil"/>
              <w:bottom w:val="single" w:sz="6" w:space="0" w:color="000000"/>
              <w:right w:val="nil"/>
            </w:tcBorders>
          </w:tcPr>
          <w:p w14:paraId="4542F39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709" w:type="dxa"/>
            <w:tcBorders>
              <w:top w:val="single" w:sz="6" w:space="0" w:color="000000"/>
              <w:left w:val="nil"/>
              <w:bottom w:val="single" w:sz="6" w:space="0" w:color="000000"/>
              <w:right w:val="nil"/>
            </w:tcBorders>
          </w:tcPr>
          <w:p w14:paraId="34870DC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2M</w:t>
            </w:r>
          </w:p>
        </w:tc>
        <w:tc>
          <w:tcPr>
            <w:tcW w:w="6415" w:type="dxa"/>
            <w:tcBorders>
              <w:top w:val="single" w:sz="6" w:space="0" w:color="000000"/>
              <w:left w:val="nil"/>
              <w:bottom w:val="single" w:sz="6" w:space="0" w:color="000000"/>
              <w:right w:val="nil"/>
            </w:tcBorders>
          </w:tcPr>
          <w:p w14:paraId="3C28F1D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Adeziune trombocitară redusă dependentă de VWF care nu este asociată cu absenţa selectivă a HMWM (multimerii mari ai factorului von Willebrand)</w:t>
            </w:r>
          </w:p>
        </w:tc>
      </w:tr>
      <w:tr w:rsidR="00F941DA" w:rsidRPr="00F941DA" w14:paraId="36571F85" w14:textId="77777777" w:rsidTr="00F941DA">
        <w:tc>
          <w:tcPr>
            <w:tcW w:w="2552" w:type="dxa"/>
            <w:tcBorders>
              <w:top w:val="single" w:sz="6" w:space="0" w:color="000000"/>
              <w:left w:val="nil"/>
              <w:bottom w:val="single" w:sz="6" w:space="0" w:color="000000"/>
              <w:right w:val="nil"/>
            </w:tcBorders>
          </w:tcPr>
          <w:p w14:paraId="7B20DD3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709" w:type="dxa"/>
            <w:tcBorders>
              <w:top w:val="single" w:sz="6" w:space="0" w:color="000000"/>
              <w:left w:val="nil"/>
              <w:bottom w:val="single" w:sz="6" w:space="0" w:color="000000"/>
              <w:right w:val="nil"/>
            </w:tcBorders>
          </w:tcPr>
          <w:p w14:paraId="36D4220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2N</w:t>
            </w:r>
          </w:p>
        </w:tc>
        <w:tc>
          <w:tcPr>
            <w:tcW w:w="6415" w:type="dxa"/>
            <w:tcBorders>
              <w:top w:val="single" w:sz="6" w:space="0" w:color="000000"/>
              <w:left w:val="nil"/>
              <w:bottom w:val="single" w:sz="6" w:space="0" w:color="000000"/>
              <w:right w:val="nil"/>
            </w:tcBorders>
          </w:tcPr>
          <w:p w14:paraId="032B7C9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Capacitate semnificativ redusă de legare a FVIII</w:t>
            </w:r>
          </w:p>
        </w:tc>
      </w:tr>
      <w:tr w:rsidR="00F941DA" w:rsidRPr="00F941DA" w14:paraId="38C66B9E" w14:textId="77777777" w:rsidTr="00F941DA">
        <w:tc>
          <w:tcPr>
            <w:tcW w:w="2552" w:type="dxa"/>
            <w:tcBorders>
              <w:top w:val="single" w:sz="6" w:space="0" w:color="000000"/>
              <w:left w:val="nil"/>
              <w:bottom w:val="single" w:sz="6" w:space="0" w:color="000000"/>
              <w:right w:val="nil"/>
            </w:tcBorders>
          </w:tcPr>
          <w:p w14:paraId="4760FE6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3</w:t>
            </w:r>
          </w:p>
          <w:p w14:paraId="6F0D3C3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(1 - 5% din cazuri, autozomal recesiv)</w:t>
            </w:r>
          </w:p>
        </w:tc>
        <w:tc>
          <w:tcPr>
            <w:tcW w:w="709" w:type="dxa"/>
            <w:tcBorders>
              <w:top w:val="single" w:sz="6" w:space="0" w:color="000000"/>
              <w:left w:val="nil"/>
              <w:bottom w:val="single" w:sz="6" w:space="0" w:color="000000"/>
              <w:right w:val="nil"/>
            </w:tcBorders>
          </w:tcPr>
          <w:p w14:paraId="69CAFE2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6415" w:type="dxa"/>
            <w:tcBorders>
              <w:top w:val="single" w:sz="6" w:space="0" w:color="000000"/>
              <w:left w:val="nil"/>
              <w:bottom w:val="single" w:sz="6" w:space="0" w:color="000000"/>
              <w:right w:val="nil"/>
            </w:tcBorders>
          </w:tcPr>
          <w:p w14:paraId="2B856D7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Lipsa totală a FVW</w:t>
            </w:r>
          </w:p>
        </w:tc>
      </w:tr>
      <w:tr w:rsidR="00F941DA" w:rsidRPr="00F941DA" w14:paraId="534CD428" w14:textId="77777777" w:rsidTr="00F941DA">
        <w:tc>
          <w:tcPr>
            <w:tcW w:w="2552" w:type="dxa"/>
            <w:tcBorders>
              <w:top w:val="single" w:sz="6" w:space="0" w:color="000000"/>
              <w:left w:val="nil"/>
              <w:bottom w:val="single" w:sz="6" w:space="0" w:color="000000"/>
              <w:right w:val="nil"/>
            </w:tcBorders>
          </w:tcPr>
          <w:p w14:paraId="2F1B550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Tipul plachetar al BVW</w:t>
            </w:r>
          </w:p>
        </w:tc>
        <w:tc>
          <w:tcPr>
            <w:tcW w:w="709" w:type="dxa"/>
            <w:tcBorders>
              <w:top w:val="single" w:sz="6" w:space="0" w:color="000000"/>
              <w:left w:val="nil"/>
              <w:bottom w:val="single" w:sz="6" w:space="0" w:color="000000"/>
              <w:right w:val="nil"/>
            </w:tcBorders>
          </w:tcPr>
          <w:p w14:paraId="4698E19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6415" w:type="dxa"/>
            <w:tcBorders>
              <w:top w:val="single" w:sz="6" w:space="0" w:color="000000"/>
              <w:left w:val="nil"/>
              <w:bottom w:val="single" w:sz="6" w:space="0" w:color="000000"/>
              <w:right w:val="nil"/>
            </w:tcBorders>
          </w:tcPr>
          <w:p w14:paraId="7212B8E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Trombocitopatie "de tip plachetar", receptorul GPIb al trombocitelor leagă puternic HMWM-urile (multimerii mari ai factorului von Willebrand).</w:t>
            </w:r>
          </w:p>
        </w:tc>
      </w:tr>
    </w:tbl>
    <w:p w14:paraId="4573D2C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76A0AB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Tabloul clinic al BVW</w:t>
      </w:r>
    </w:p>
    <w:p w14:paraId="0A2AC47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Gravitatea episoadelor hemoragice variază de la forme uşoare până la forme severe cu risc vital, mai ales la pacienţii cu tipul 3 de boală. Localizările cele mai frecvente sunt la nivelul mucoaselor (epistaxis, hemoragii gastro-intestinale, gingivale după extracţii dentare). Meno-metroragiile sunt des întâlnite la femei, care pot necesita asocierea pe termen lung a tratamentului substitutiv hemostatic, cu suplimente de fier şi contraceptive orale. Mai rar, pacienţii pot prezenta hematurie sau hemartroze.</w:t>
      </w:r>
    </w:p>
    <w:p w14:paraId="25BFA78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489C20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Diagnosticul BVW</w:t>
      </w:r>
    </w:p>
    <w:p w14:paraId="73E548E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Pentru diagnosticul bolii von Willebrand se efectuează o serie de teste succesive prin care se confirmă diagnosticul (PT, APTT, antigenul factorului von Willebrand, factor VIII).</w:t>
      </w:r>
    </w:p>
    <w:p w14:paraId="3E2BA9C1"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17F81A1"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C1C1C1E" w14:textId="413E8A7C" w:rsidR="009F1EE3" w:rsidRPr="00F941DA" w:rsidRDefault="009F1EE3" w:rsidP="00F941DA">
      <w:pPr>
        <w:autoSpaceDE w:val="0"/>
        <w:autoSpaceDN w:val="0"/>
        <w:adjustRightInd w:val="0"/>
        <w:jc w:val="both"/>
        <w:rPr>
          <w:rFonts w:ascii="Times New Roman" w:hAnsi="Times New Roman" w:cs="Times New Roman"/>
          <w:b/>
          <w:sz w:val="24"/>
          <w:szCs w:val="24"/>
        </w:rPr>
      </w:pPr>
      <w:r w:rsidRPr="00F941DA">
        <w:rPr>
          <w:rFonts w:ascii="Times New Roman" w:hAnsi="Times New Roman" w:cs="Times New Roman"/>
          <w:b/>
          <w:sz w:val="24"/>
          <w:szCs w:val="24"/>
        </w:rPr>
        <w:t>TRATAMENTUL SUBSTITUTIV ÎN BOALA VON WILLEBRAND</w:t>
      </w:r>
    </w:p>
    <w:p w14:paraId="4D6F7DE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93E841A" w14:textId="739CE975"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lastRenderedPageBreak/>
        <w:t>Obiective:</w:t>
      </w:r>
    </w:p>
    <w:p w14:paraId="7E5EAA37" w14:textId="77777777" w:rsidR="009F1EE3" w:rsidRPr="00F941DA" w:rsidRDefault="009F1EE3" w:rsidP="00D11DF1">
      <w:pPr>
        <w:numPr>
          <w:ilvl w:val="0"/>
          <w:numId w:val="402"/>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oprirea sângerării</w:t>
      </w:r>
    </w:p>
    <w:p w14:paraId="10B4F8D8" w14:textId="77777777" w:rsidR="009F1EE3" w:rsidRPr="00F941DA" w:rsidRDefault="009F1EE3" w:rsidP="00D11DF1">
      <w:pPr>
        <w:numPr>
          <w:ilvl w:val="0"/>
          <w:numId w:val="402"/>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profilaxia sângerărilor în cazurile severe de hemoragie (tipul 3 de boală)</w:t>
      </w:r>
    </w:p>
    <w:p w14:paraId="09BB2980" w14:textId="77777777" w:rsidR="009F1EE3" w:rsidRPr="00F941DA" w:rsidRDefault="009F1EE3" w:rsidP="00D11DF1">
      <w:pPr>
        <w:numPr>
          <w:ilvl w:val="0"/>
          <w:numId w:val="402"/>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profilaxia sângerărilor în cazul intervenţiilor chirurgicale şi al recuperării fiziokinetoterapie sau după episoadele hemoragice cu risc vital, indiferent de localizare.</w:t>
      </w:r>
    </w:p>
    <w:p w14:paraId="6C33BB5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7A7AA8A" w14:textId="65B523E3"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Criterii de includere:</w:t>
      </w:r>
    </w:p>
    <w:p w14:paraId="16463C3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Pentru tratamentul "on demand":</w:t>
      </w:r>
    </w:p>
    <w:p w14:paraId="1F7FBEED" w14:textId="77777777" w:rsidR="009F1EE3" w:rsidRPr="00F941DA" w:rsidRDefault="009F1EE3" w:rsidP="00D11DF1">
      <w:pPr>
        <w:numPr>
          <w:ilvl w:val="0"/>
          <w:numId w:val="403"/>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episoade uşoare de hemoragie care nu au răspuns la tratamentul cu DDAVP, indiferent de tipul bolii von Willebrand şi de vârstă</w:t>
      </w:r>
    </w:p>
    <w:p w14:paraId="02CC5A80" w14:textId="77777777" w:rsidR="009F1EE3" w:rsidRPr="00F941DA" w:rsidRDefault="009F1EE3" w:rsidP="00D11DF1">
      <w:pPr>
        <w:numPr>
          <w:ilvl w:val="0"/>
          <w:numId w:val="403"/>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episoade moderate sau severe de hemoragie, indiferent de tipul bolii von Willebrand şi de vârstă.</w:t>
      </w:r>
    </w:p>
    <w:p w14:paraId="74B8902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Pentru tratamentul profilactic:</w:t>
      </w:r>
    </w:p>
    <w:p w14:paraId="677F1617" w14:textId="77777777" w:rsidR="009F1EE3" w:rsidRPr="00F941DA" w:rsidRDefault="009F1EE3" w:rsidP="00D11DF1">
      <w:pPr>
        <w:numPr>
          <w:ilvl w:val="0"/>
          <w:numId w:val="404"/>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tratament profilactic de lungă durată cu un concentrat cu conţinut de FVIII/FVW: 20 - 30 UI/kgc de două - trei ori pe săptămână, la pacienţii cu formă severă de boală, cu vârsta sub 18 ani şi cei peste 18 ani care au beneficiat anterior de profilaxie</w:t>
      </w:r>
    </w:p>
    <w:p w14:paraId="117F4CBF" w14:textId="77777777" w:rsidR="009F1EE3" w:rsidRPr="00F941DA" w:rsidRDefault="009F1EE3" w:rsidP="00D11DF1">
      <w:pPr>
        <w:numPr>
          <w:ilvl w:val="0"/>
          <w:numId w:val="404"/>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tratament profilactic de scurtă durată cu un concentrat cu conţinut de FVIII/FVW înainte, intra- şi post-intervenţii sângerânde (ortopedice, chirurgicale, stomatologice)</w:t>
      </w:r>
    </w:p>
    <w:p w14:paraId="5BAFED70" w14:textId="77777777" w:rsidR="009F1EE3" w:rsidRPr="00F941DA" w:rsidRDefault="009F1EE3" w:rsidP="00D11DF1">
      <w:pPr>
        <w:numPr>
          <w:ilvl w:val="0"/>
          <w:numId w:val="404"/>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tratament profilactic de scurtă durată cu un concentrat cu conţinut de FVIII/FVW în perioada fiziokinetoterapiei recuperatorii</w:t>
      </w:r>
    </w:p>
    <w:p w14:paraId="0734C86B"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EF96579" w14:textId="712EBB5D"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b/>
          <w:sz w:val="24"/>
          <w:szCs w:val="24"/>
          <w:lang w:eastAsia="ro-RO"/>
        </w:rPr>
        <w:t>Produse utilizate</w:t>
      </w:r>
      <w:r w:rsidRPr="00F941DA">
        <w:rPr>
          <w:rFonts w:ascii="Times New Roman" w:eastAsia="Times New Roman" w:hAnsi="Times New Roman" w:cs="Times New Roman"/>
          <w:sz w:val="24"/>
          <w:szCs w:val="24"/>
          <w:lang w:eastAsia="ro-RO"/>
        </w:rPr>
        <w:t>:</w:t>
      </w:r>
    </w:p>
    <w:p w14:paraId="10B69A11" w14:textId="77777777" w:rsidR="009F1EE3" w:rsidRPr="00F941DA" w:rsidRDefault="009F1EE3" w:rsidP="00D11DF1">
      <w:pPr>
        <w:numPr>
          <w:ilvl w:val="0"/>
          <w:numId w:val="405"/>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 xml:space="preserve">Concentrate derivate plasmatic sau recombinante care conţin FVIII şi FvW cu raport FvW/FVIII </w:t>
      </w:r>
      <w:r w:rsidRPr="00F941DA">
        <w:rPr>
          <w:rFonts w:ascii="Times New Roman" w:eastAsia="Times New Roman" w:hAnsi="Times New Roman" w:cs="Times New Roman"/>
          <w:sz w:val="24"/>
          <w:szCs w:val="24"/>
          <w:u w:val="single"/>
          <w:lang w:eastAsia="ro-RO"/>
        </w:rPr>
        <w:t>&gt;</w:t>
      </w:r>
      <w:r w:rsidRPr="00F941DA">
        <w:rPr>
          <w:rFonts w:ascii="Times New Roman" w:eastAsia="Times New Roman" w:hAnsi="Times New Roman" w:cs="Times New Roman"/>
          <w:sz w:val="24"/>
          <w:szCs w:val="24"/>
          <w:lang w:eastAsia="ro-RO"/>
        </w:rPr>
        <w:t xml:space="preserve"> 0,91 </w:t>
      </w:r>
      <w:r w:rsidRPr="00F941DA">
        <w:rPr>
          <w:rFonts w:ascii="Times New Roman" w:eastAsia="Times New Roman" w:hAnsi="Times New Roman" w:cs="Times New Roman"/>
          <w:sz w:val="24"/>
          <w:szCs w:val="24"/>
          <w:u w:val="single"/>
          <w:lang w:eastAsia="ro-RO"/>
        </w:rPr>
        <w:t>+</w:t>
      </w:r>
      <w:r w:rsidRPr="00F941DA">
        <w:rPr>
          <w:rFonts w:ascii="Times New Roman" w:eastAsia="Times New Roman" w:hAnsi="Times New Roman" w:cs="Times New Roman"/>
          <w:sz w:val="24"/>
          <w:szCs w:val="24"/>
          <w:lang w:eastAsia="ro-RO"/>
        </w:rPr>
        <w:t xml:space="preserve"> 0,2; </w:t>
      </w:r>
    </w:p>
    <w:p w14:paraId="11DE801A" w14:textId="77777777"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568E7DB9" w14:textId="1700B9A4" w:rsidR="00F941DA" w:rsidRPr="00F941DA" w:rsidRDefault="00F941DA"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 xml:space="preserve">Doze utilizate    </w:t>
      </w:r>
    </w:p>
    <w:p w14:paraId="0A456C6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Tratamentul bolii von Willebrand cu concentrate FVIII/FvW în cantitate crescută</w:t>
      </w:r>
    </w:p>
    <w:tbl>
      <w:tblPr>
        <w:tblW w:w="9781" w:type="dxa"/>
        <w:tblInd w:w="-8" w:type="dxa"/>
        <w:tblLayout w:type="fixed"/>
        <w:tblCellMar>
          <w:left w:w="105" w:type="dxa"/>
          <w:right w:w="105" w:type="dxa"/>
        </w:tblCellMar>
        <w:tblLook w:val="0000" w:firstRow="0" w:lastRow="0" w:firstColumn="0" w:lastColumn="0" w:noHBand="0" w:noVBand="0"/>
      </w:tblPr>
      <w:tblGrid>
        <w:gridCol w:w="2807"/>
        <w:gridCol w:w="992"/>
        <w:gridCol w:w="1588"/>
        <w:gridCol w:w="4394"/>
      </w:tblGrid>
      <w:tr w:rsidR="00F941DA" w:rsidRPr="00F941DA" w14:paraId="0EED2744" w14:textId="77777777" w:rsidTr="00F941DA">
        <w:tc>
          <w:tcPr>
            <w:tcW w:w="2807" w:type="dxa"/>
            <w:tcBorders>
              <w:top w:val="single" w:sz="6" w:space="0" w:color="000000"/>
              <w:left w:val="single" w:sz="6" w:space="0" w:color="000000"/>
              <w:bottom w:val="single" w:sz="6" w:space="0" w:color="000000"/>
              <w:right w:val="single" w:sz="6" w:space="0" w:color="000000"/>
            </w:tcBorders>
          </w:tcPr>
          <w:p w14:paraId="245BA8E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Tratament</w:t>
            </w:r>
          </w:p>
        </w:tc>
        <w:tc>
          <w:tcPr>
            <w:tcW w:w="992" w:type="dxa"/>
            <w:tcBorders>
              <w:top w:val="single" w:sz="6" w:space="0" w:color="000000"/>
              <w:left w:val="single" w:sz="6" w:space="0" w:color="000000"/>
              <w:bottom w:val="single" w:sz="6" w:space="0" w:color="000000"/>
              <w:right w:val="single" w:sz="6" w:space="0" w:color="000000"/>
            </w:tcBorders>
          </w:tcPr>
          <w:p w14:paraId="6B6B22F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Doza</w:t>
            </w:r>
          </w:p>
          <w:p w14:paraId="082A6742"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(UI/kgc)</w:t>
            </w:r>
          </w:p>
        </w:tc>
        <w:tc>
          <w:tcPr>
            <w:tcW w:w="1588" w:type="dxa"/>
            <w:tcBorders>
              <w:top w:val="single" w:sz="6" w:space="0" w:color="000000"/>
              <w:left w:val="single" w:sz="6" w:space="0" w:color="000000"/>
              <w:bottom w:val="single" w:sz="6" w:space="0" w:color="000000"/>
              <w:right w:val="single" w:sz="6" w:space="0" w:color="000000"/>
            </w:tcBorders>
          </w:tcPr>
          <w:p w14:paraId="5DC8018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Frecvenţa administrărilor</w:t>
            </w:r>
          </w:p>
        </w:tc>
        <w:tc>
          <w:tcPr>
            <w:tcW w:w="4394" w:type="dxa"/>
            <w:tcBorders>
              <w:top w:val="single" w:sz="6" w:space="0" w:color="000000"/>
              <w:left w:val="single" w:sz="6" w:space="0" w:color="000000"/>
              <w:bottom w:val="single" w:sz="6" w:space="0" w:color="000000"/>
              <w:right w:val="single" w:sz="6" w:space="0" w:color="000000"/>
            </w:tcBorders>
          </w:tcPr>
          <w:p w14:paraId="5CF06F5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Obiectiv</w:t>
            </w:r>
          </w:p>
        </w:tc>
      </w:tr>
      <w:tr w:rsidR="00F941DA" w:rsidRPr="00F941DA" w14:paraId="0D5E11D9" w14:textId="77777777" w:rsidTr="00F941DA">
        <w:tc>
          <w:tcPr>
            <w:tcW w:w="2807" w:type="dxa"/>
            <w:tcBorders>
              <w:top w:val="single" w:sz="6" w:space="0" w:color="000000"/>
              <w:left w:val="single" w:sz="6" w:space="0" w:color="000000"/>
              <w:bottom w:val="single" w:sz="6" w:space="0" w:color="000000"/>
              <w:right w:val="single" w:sz="6" w:space="0" w:color="000000"/>
            </w:tcBorders>
          </w:tcPr>
          <w:p w14:paraId="3B08256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Sângerări spontane</w:t>
            </w:r>
          </w:p>
        </w:tc>
        <w:tc>
          <w:tcPr>
            <w:tcW w:w="992" w:type="dxa"/>
            <w:tcBorders>
              <w:top w:val="single" w:sz="6" w:space="0" w:color="000000"/>
              <w:left w:val="single" w:sz="6" w:space="0" w:color="000000"/>
              <w:bottom w:val="single" w:sz="6" w:space="0" w:color="000000"/>
              <w:right w:val="single" w:sz="6" w:space="0" w:color="000000"/>
            </w:tcBorders>
          </w:tcPr>
          <w:p w14:paraId="4290E2F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20 - 30</w:t>
            </w:r>
          </w:p>
        </w:tc>
        <w:tc>
          <w:tcPr>
            <w:tcW w:w="1588" w:type="dxa"/>
            <w:tcBorders>
              <w:top w:val="single" w:sz="6" w:space="0" w:color="000000"/>
              <w:left w:val="single" w:sz="6" w:space="0" w:color="000000"/>
              <w:bottom w:val="single" w:sz="6" w:space="0" w:color="000000"/>
              <w:right w:val="single" w:sz="6" w:space="0" w:color="000000"/>
            </w:tcBorders>
          </w:tcPr>
          <w:p w14:paraId="4B60478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doza unică pe zi</w:t>
            </w:r>
          </w:p>
        </w:tc>
        <w:tc>
          <w:tcPr>
            <w:tcW w:w="4394" w:type="dxa"/>
            <w:tcBorders>
              <w:top w:val="single" w:sz="6" w:space="0" w:color="000000"/>
              <w:left w:val="single" w:sz="6" w:space="0" w:color="000000"/>
              <w:bottom w:val="single" w:sz="6" w:space="0" w:color="000000"/>
              <w:right w:val="single" w:sz="6" w:space="0" w:color="000000"/>
            </w:tcBorders>
          </w:tcPr>
          <w:p w14:paraId="47A483B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FVIII: C &gt; 30% până la vindecare</w:t>
            </w:r>
          </w:p>
        </w:tc>
      </w:tr>
      <w:tr w:rsidR="00F941DA" w:rsidRPr="00F941DA" w14:paraId="08181B1E" w14:textId="77777777" w:rsidTr="00F941DA">
        <w:tc>
          <w:tcPr>
            <w:tcW w:w="2807" w:type="dxa"/>
            <w:tcBorders>
              <w:top w:val="single" w:sz="6" w:space="0" w:color="000000"/>
              <w:left w:val="single" w:sz="6" w:space="0" w:color="000000"/>
              <w:bottom w:val="single" w:sz="6" w:space="0" w:color="000000"/>
              <w:right w:val="single" w:sz="6" w:space="0" w:color="000000"/>
            </w:tcBorders>
          </w:tcPr>
          <w:p w14:paraId="6CDF69C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 xml:space="preserve">Extracţii dentare </w:t>
            </w:r>
          </w:p>
        </w:tc>
        <w:tc>
          <w:tcPr>
            <w:tcW w:w="992" w:type="dxa"/>
            <w:tcBorders>
              <w:top w:val="single" w:sz="6" w:space="0" w:color="000000"/>
              <w:left w:val="single" w:sz="6" w:space="0" w:color="000000"/>
              <w:bottom w:val="single" w:sz="6" w:space="0" w:color="000000"/>
              <w:right w:val="single" w:sz="6" w:space="0" w:color="000000"/>
            </w:tcBorders>
          </w:tcPr>
          <w:p w14:paraId="51EAD19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20 - 30</w:t>
            </w:r>
          </w:p>
        </w:tc>
        <w:tc>
          <w:tcPr>
            <w:tcW w:w="1588" w:type="dxa"/>
            <w:tcBorders>
              <w:top w:val="single" w:sz="6" w:space="0" w:color="000000"/>
              <w:left w:val="single" w:sz="6" w:space="0" w:color="000000"/>
              <w:bottom w:val="single" w:sz="6" w:space="0" w:color="000000"/>
              <w:right w:val="single" w:sz="6" w:space="0" w:color="000000"/>
            </w:tcBorders>
          </w:tcPr>
          <w:p w14:paraId="38783C7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doză unică pe zi</w:t>
            </w:r>
          </w:p>
        </w:tc>
        <w:tc>
          <w:tcPr>
            <w:tcW w:w="4394" w:type="dxa"/>
            <w:tcBorders>
              <w:top w:val="single" w:sz="6" w:space="0" w:color="000000"/>
              <w:left w:val="single" w:sz="6" w:space="0" w:color="000000"/>
              <w:bottom w:val="single" w:sz="6" w:space="0" w:color="000000"/>
              <w:right w:val="single" w:sz="6" w:space="0" w:color="000000"/>
            </w:tcBorders>
          </w:tcPr>
          <w:p w14:paraId="77B57A0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FVIII: C &gt; 30% cel puţin 1 - 3 zile</w:t>
            </w:r>
          </w:p>
        </w:tc>
      </w:tr>
      <w:tr w:rsidR="00F941DA" w:rsidRPr="00F941DA" w14:paraId="6C42D1FD" w14:textId="77777777" w:rsidTr="00F941DA">
        <w:tc>
          <w:tcPr>
            <w:tcW w:w="2807" w:type="dxa"/>
            <w:tcBorders>
              <w:top w:val="single" w:sz="6" w:space="0" w:color="000000"/>
              <w:left w:val="single" w:sz="6" w:space="0" w:color="000000"/>
              <w:bottom w:val="single" w:sz="6" w:space="0" w:color="000000"/>
              <w:right w:val="single" w:sz="6" w:space="0" w:color="000000"/>
            </w:tcBorders>
          </w:tcPr>
          <w:p w14:paraId="1FD5120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Intervenţii chirurgicale uşoare</w:t>
            </w:r>
          </w:p>
        </w:tc>
        <w:tc>
          <w:tcPr>
            <w:tcW w:w="992" w:type="dxa"/>
            <w:tcBorders>
              <w:top w:val="single" w:sz="6" w:space="0" w:color="000000"/>
              <w:left w:val="single" w:sz="6" w:space="0" w:color="000000"/>
              <w:bottom w:val="single" w:sz="6" w:space="0" w:color="000000"/>
              <w:right w:val="single" w:sz="6" w:space="0" w:color="000000"/>
            </w:tcBorders>
          </w:tcPr>
          <w:p w14:paraId="4C20B4D6"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30 - 50</w:t>
            </w:r>
          </w:p>
        </w:tc>
        <w:tc>
          <w:tcPr>
            <w:tcW w:w="1588" w:type="dxa"/>
            <w:tcBorders>
              <w:top w:val="single" w:sz="6" w:space="0" w:color="000000"/>
              <w:left w:val="single" w:sz="6" w:space="0" w:color="000000"/>
              <w:bottom w:val="single" w:sz="6" w:space="0" w:color="000000"/>
              <w:right w:val="single" w:sz="6" w:space="0" w:color="000000"/>
            </w:tcBorders>
          </w:tcPr>
          <w:p w14:paraId="1DC654F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doză unică pe zi</w:t>
            </w:r>
          </w:p>
        </w:tc>
        <w:tc>
          <w:tcPr>
            <w:tcW w:w="4394" w:type="dxa"/>
            <w:tcBorders>
              <w:top w:val="single" w:sz="6" w:space="0" w:color="000000"/>
              <w:left w:val="single" w:sz="6" w:space="0" w:color="000000"/>
              <w:bottom w:val="single" w:sz="6" w:space="0" w:color="000000"/>
              <w:right w:val="single" w:sz="6" w:space="0" w:color="000000"/>
            </w:tcBorders>
          </w:tcPr>
          <w:p w14:paraId="5CB6CF7D"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FVIII: C &gt; 30% până la vindecarea completă a plăgii</w:t>
            </w:r>
          </w:p>
        </w:tc>
      </w:tr>
      <w:tr w:rsidR="00F941DA" w:rsidRPr="00F941DA" w14:paraId="41AC5218" w14:textId="77777777" w:rsidTr="00F941DA">
        <w:tc>
          <w:tcPr>
            <w:tcW w:w="2807" w:type="dxa"/>
            <w:tcBorders>
              <w:top w:val="single" w:sz="6" w:space="0" w:color="000000"/>
              <w:left w:val="single" w:sz="6" w:space="0" w:color="000000"/>
              <w:bottom w:val="single" w:sz="6" w:space="0" w:color="000000"/>
              <w:right w:val="single" w:sz="6" w:space="0" w:color="000000"/>
            </w:tcBorders>
          </w:tcPr>
          <w:p w14:paraId="5A7EC01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Intervenţii chirurgicale majore</w:t>
            </w:r>
          </w:p>
        </w:tc>
        <w:tc>
          <w:tcPr>
            <w:tcW w:w="992" w:type="dxa"/>
            <w:tcBorders>
              <w:top w:val="single" w:sz="6" w:space="0" w:color="000000"/>
              <w:left w:val="single" w:sz="6" w:space="0" w:color="000000"/>
              <w:bottom w:val="single" w:sz="6" w:space="0" w:color="000000"/>
              <w:right w:val="single" w:sz="6" w:space="0" w:color="000000"/>
            </w:tcBorders>
          </w:tcPr>
          <w:p w14:paraId="4B9CCCE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40 - 60</w:t>
            </w:r>
          </w:p>
        </w:tc>
        <w:tc>
          <w:tcPr>
            <w:tcW w:w="1588" w:type="dxa"/>
            <w:tcBorders>
              <w:top w:val="single" w:sz="6" w:space="0" w:color="000000"/>
              <w:left w:val="single" w:sz="6" w:space="0" w:color="000000"/>
              <w:bottom w:val="single" w:sz="6" w:space="0" w:color="000000"/>
              <w:right w:val="single" w:sz="6" w:space="0" w:color="000000"/>
            </w:tcBorders>
          </w:tcPr>
          <w:p w14:paraId="596DDF3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doză unică pe zi</w:t>
            </w:r>
          </w:p>
        </w:tc>
        <w:tc>
          <w:tcPr>
            <w:tcW w:w="4394" w:type="dxa"/>
            <w:tcBorders>
              <w:top w:val="single" w:sz="6" w:space="0" w:color="000000"/>
              <w:left w:val="single" w:sz="6" w:space="0" w:color="000000"/>
              <w:bottom w:val="single" w:sz="6" w:space="0" w:color="000000"/>
              <w:right w:val="single" w:sz="6" w:space="0" w:color="000000"/>
            </w:tcBorders>
          </w:tcPr>
          <w:p w14:paraId="6718E8EA"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941DA">
              <w:rPr>
                <w:rFonts w:ascii="Times New Roman" w:eastAsia="Times New Roman" w:hAnsi="Times New Roman" w:cs="Times New Roman"/>
                <w:sz w:val="20"/>
                <w:szCs w:val="20"/>
                <w:lang w:eastAsia="ro-RO"/>
              </w:rPr>
              <w:t>FVIII: C &gt; 50% până la vindecarea completă a plăgii</w:t>
            </w:r>
          </w:p>
        </w:tc>
      </w:tr>
    </w:tbl>
    <w:p w14:paraId="0AD62A9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52C2AA9"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r w:rsidRPr="00F941DA">
        <w:rPr>
          <w:rFonts w:ascii="Times New Roman" w:eastAsia="Times New Roman" w:hAnsi="Times New Roman" w:cs="Times New Roman"/>
          <w:sz w:val="24"/>
          <w:szCs w:val="24"/>
          <w:u w:val="single"/>
          <w:lang w:eastAsia="ro-RO"/>
        </w:rPr>
        <w:t>Abordarea terapeutică în cazul femeilor cu boala von Willebrand în timpul sarcinii, naşterii şi perioadei post-partum:</w:t>
      </w:r>
    </w:p>
    <w:p w14:paraId="1A6D6665"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Nivelul FVIII/FVW variază diferit în timpul sarcinii şi în perioada post-partum, depinzând inclusiv de tipul bolii von Willebrand, după cum urmează:</w:t>
      </w:r>
    </w:p>
    <w:p w14:paraId="71FDF1BA" w14:textId="77777777" w:rsidR="009F1EE3" w:rsidRPr="00F941DA" w:rsidRDefault="009F1EE3" w:rsidP="00D11DF1">
      <w:pPr>
        <w:numPr>
          <w:ilvl w:val="3"/>
          <w:numId w:val="40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Având în vedere faptul că în timpul sarcinii are loc o creştere a nivelului de FVIII/FVW, sângerările în această perioadă sunt extreme de rare pentru tipul 1 şi 2 al bolii. Totuşi, valorile trebuie monitorizate periodic, mai ales în ultimele 10 zile înainte de naştere. Dacă nivelul de FVIII &gt; 50% riscul de sângerare post-partum este minim, iar dacă este &lt; 20% există o probabilitate mare de sângerare.</w:t>
      </w:r>
    </w:p>
    <w:p w14:paraId="362F5FE3" w14:textId="77777777" w:rsidR="009F1EE3" w:rsidRPr="00F941DA" w:rsidRDefault="009F1EE3" w:rsidP="00D11DF1">
      <w:pPr>
        <w:numPr>
          <w:ilvl w:val="3"/>
          <w:numId w:val="40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Pentru pacientele cu forma severă de boala von Willebrand (tipul 3) nu există modificări semnificative ale nivelului de FVIII/FVW în timpul sarcinii.</w:t>
      </w:r>
    </w:p>
    <w:p w14:paraId="527E4FEB" w14:textId="77777777" w:rsidR="009F1EE3" w:rsidRPr="00F941DA" w:rsidRDefault="009F1EE3" w:rsidP="00D11DF1">
      <w:pPr>
        <w:numPr>
          <w:ilvl w:val="3"/>
          <w:numId w:val="40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Pentru subtipul 2B al bolii, trombocitopenia se poate agrava în timpul sarcinii.</w:t>
      </w:r>
    </w:p>
    <w:p w14:paraId="52CCDD03" w14:textId="77777777" w:rsidR="009F1EE3" w:rsidRPr="00F941DA" w:rsidRDefault="009F1EE3" w:rsidP="00D11DF1">
      <w:pPr>
        <w:numPr>
          <w:ilvl w:val="3"/>
          <w:numId w:val="40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primele 3 - 10 zile ale perioadei postpartum nivelul de FVW scade foarte rapid, cu risc major de sângerare, de aceea lăuzele cu boala von Willebrand necesită monitorizare intraspitalicească timp de 7 - 10 zile post-partum. Ca urmare, este foarte importantă menţinerea unor nivele plasmatice de FVIII/FvW de &gt; 50% atât antepartum, cât şi post-partum cel puţin 7 - 10 zile.</w:t>
      </w:r>
    </w:p>
    <w:p w14:paraId="1847927C"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CCB6316" w14:textId="6298B265"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Monitorizarea tratamentului</w:t>
      </w:r>
    </w:p>
    <w:p w14:paraId="71A4F3C5" w14:textId="77777777" w:rsidR="009F1EE3" w:rsidRPr="00F941DA" w:rsidRDefault="009F1EE3" w:rsidP="00D11DF1">
      <w:pPr>
        <w:numPr>
          <w:ilvl w:val="3"/>
          <w:numId w:val="406"/>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monitorizarea lunară, clinic şi paraclinic, a evenimentelor hemoragice şi a statusului articular la pacienţii cu forme severe</w:t>
      </w:r>
    </w:p>
    <w:p w14:paraId="6028AFEB" w14:textId="77777777" w:rsidR="009F1EE3" w:rsidRPr="00F941DA" w:rsidRDefault="009F1EE3" w:rsidP="00D11DF1">
      <w:pPr>
        <w:numPr>
          <w:ilvl w:val="3"/>
          <w:numId w:val="406"/>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monitorizarea periodică, clinic şi paraclinic, a evenimentelor hemoragice şi a statusului articular la ceilalţi pacienţi, în funcţie de fenotipul bolii</w:t>
      </w:r>
    </w:p>
    <w:p w14:paraId="13F1C52E" w14:textId="77777777" w:rsidR="009F1EE3" w:rsidRPr="00F941DA" w:rsidRDefault="009F1EE3" w:rsidP="00D11DF1">
      <w:pPr>
        <w:numPr>
          <w:ilvl w:val="3"/>
          <w:numId w:val="406"/>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lastRenderedPageBreak/>
        <w:t>monitorizarea dezvoltării anticorpilor inhibitori.</w:t>
      </w:r>
    </w:p>
    <w:p w14:paraId="3D26446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01A592B" w14:textId="1FE52FC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Criterii de schimbare a tratamentului</w:t>
      </w:r>
    </w:p>
    <w:p w14:paraId="0DDB79E0" w14:textId="77777777" w:rsidR="009F1EE3" w:rsidRPr="00F941DA" w:rsidRDefault="009F1EE3" w:rsidP="00D11DF1">
      <w:pPr>
        <w:numPr>
          <w:ilvl w:val="0"/>
          <w:numId w:val="40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reacţii de hipersensibilitate la substanţa activă sau la oricare dintre excipienţi</w:t>
      </w:r>
    </w:p>
    <w:p w14:paraId="37DF4325" w14:textId="77777777" w:rsidR="009F1EE3" w:rsidRPr="00F941DA" w:rsidRDefault="009F1EE3" w:rsidP="00D11DF1">
      <w:pPr>
        <w:numPr>
          <w:ilvl w:val="0"/>
          <w:numId w:val="40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apariţia inhibitorilor anti-FVIII/FVW</w:t>
      </w:r>
    </w:p>
    <w:p w14:paraId="0B1FB03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9B764B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F941DA">
        <w:rPr>
          <w:rFonts w:ascii="Times New Roman" w:eastAsia="Times New Roman" w:hAnsi="Times New Roman" w:cs="Times New Roman"/>
          <w:b/>
          <w:sz w:val="24"/>
          <w:szCs w:val="24"/>
          <w:lang w:eastAsia="ro-RO"/>
        </w:rPr>
        <w:t>OBSERVAŢII FINALE</w:t>
      </w:r>
    </w:p>
    <w:p w14:paraId="6B9F0E8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1. Cine prescrie medicaţia</w:t>
      </w:r>
    </w:p>
    <w:p w14:paraId="4FFC3EC8" w14:textId="77777777" w:rsidR="009F1EE3" w:rsidRPr="00F941DA" w:rsidRDefault="009F1EE3" w:rsidP="00F941D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Medicii prescriptori sunt: medicii cu specialitatea, hematologie pediatrie sau medicină internă, cu atestare din partea unui serviciu de hematologie, pentru cazurile în care nu există medic pediatru sau hematolog.</w:t>
      </w:r>
    </w:p>
    <w:p w14:paraId="1B01694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030B4D8"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2. Unde se face prescripţia</w:t>
      </w:r>
    </w:p>
    <w:p w14:paraId="0796731A" w14:textId="77777777" w:rsidR="009F1EE3" w:rsidRPr="00F941DA" w:rsidRDefault="009F1EE3" w:rsidP="00F941D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Prescrierea medicamentelor de substituţie specifice acestor afecţiuni se face în unităţile sanitare nominalizate pentru derularea PN de hemofilie, cu îndeplinirea criteriilor minimale şi anume, în condiţii de:</w:t>
      </w:r>
    </w:p>
    <w:p w14:paraId="31CA5B80" w14:textId="77777777" w:rsidR="009F1EE3" w:rsidRPr="00F941DA" w:rsidRDefault="009F1EE3" w:rsidP="00D11DF1">
      <w:pPr>
        <w:numPr>
          <w:ilvl w:val="0"/>
          <w:numId w:val="40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spitalizare continuă</w:t>
      </w:r>
    </w:p>
    <w:p w14:paraId="3B251A09" w14:textId="77777777" w:rsidR="009F1EE3" w:rsidRPr="00F941DA" w:rsidRDefault="009F1EE3" w:rsidP="00D11DF1">
      <w:pPr>
        <w:numPr>
          <w:ilvl w:val="0"/>
          <w:numId w:val="40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spitalizare de zi sau ambulator de specialitate.</w:t>
      </w:r>
    </w:p>
    <w:p w14:paraId="1964B1A0"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6FEFF3F"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3. Pe ce durată de timp se poate face prescripţia</w:t>
      </w:r>
    </w:p>
    <w:p w14:paraId="3F92EF99" w14:textId="77777777" w:rsidR="009F1EE3" w:rsidRPr="00F941DA" w:rsidRDefault="009F1EE3" w:rsidP="00F941D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În cazul pacienţilor care nu beneficiază de profilaxie continuă/intermitentă, care pot prezenta eventuale episoade hemoragice uşoare sau moderate, se poate elibera medicaţia substitutivă corespunzătoare pentru 2 - 3 zile la domiciliu, cu obligativitatea revenirii la medicul curant pentru reevaluare, cu posibilitatea prelungirii tratamentului la nevoie.</w:t>
      </w:r>
    </w:p>
    <w:p w14:paraId="02FEA703"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E59DD2D" w14:textId="77777777" w:rsidR="009F1EE3" w:rsidRPr="00F941DA" w:rsidRDefault="009F1EE3" w:rsidP="00F941D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Tratamentul profilactic (de lungă sau scurtă durată) se poate elibera la domiciliu pentru o perioadă de maxim 3 luni, numai în cazurile în care există o colaborare între medicul de familie al pacientului şi medicul specialist curant (pediatru/hematolog/medic de medicină internă atestat). În această situaţie, medicul curant are obligativitatea monitorizării clinice la domiciliu a pacientului lunar sau ori de câte ori este nevoie şi comunicarea către medicul specialist a situaţiei pacientului lunar sau ori de câte ori este nevoie. Condiţia este dovedirea tratamentului (prin returnarea flacoanelor folosite, respectiv prin aplicarea în Caietul de Monitorizare al Bolnavului hemofilic al etichetei de identificare a preparatului utilizat, sau altele).</w:t>
      </w:r>
    </w:p>
    <w:p w14:paraId="5887054E"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EE358C7"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4. Unde se face administrarea tratamentului</w:t>
      </w:r>
    </w:p>
    <w:p w14:paraId="02D1A329" w14:textId="27DA845D" w:rsidR="009F1EE3" w:rsidRPr="00F941DA" w:rsidRDefault="009F1EE3" w:rsidP="00F941D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41DA">
        <w:rPr>
          <w:rFonts w:ascii="Times New Roman" w:eastAsia="Times New Roman" w:hAnsi="Times New Roman" w:cs="Times New Roman"/>
          <w:sz w:val="24"/>
          <w:szCs w:val="24"/>
          <w:lang w:eastAsia="ro-RO"/>
        </w:rPr>
        <w:t>Tratamentul poate fi administrat în orice unitate sanitară sau la domiciliu de către tutorele legal sau personalul medical instruiţi în cazul copiilor mici, sau chiar de către pacient în cazul copiilor mari, adolescenţilor/adulţilor instruiţi.</w:t>
      </w:r>
      <w:r w:rsidR="00F941DA">
        <w:rPr>
          <w:rFonts w:ascii="Times New Roman" w:eastAsia="Times New Roman" w:hAnsi="Times New Roman" w:cs="Times New Roman"/>
          <w:sz w:val="24"/>
          <w:szCs w:val="24"/>
          <w:lang w:eastAsia="ro-RO"/>
        </w:rPr>
        <w:t>”</w:t>
      </w:r>
    </w:p>
    <w:p w14:paraId="3F6D1FB4" w14:textId="77777777" w:rsidR="009F1EE3" w:rsidRPr="00F941DA" w:rsidRDefault="009F1EE3" w:rsidP="009F1EE3">
      <w:pPr>
        <w:autoSpaceDE w:val="0"/>
        <w:autoSpaceDN w:val="0"/>
        <w:adjustRightInd w:val="0"/>
        <w:spacing w:after="0" w:line="240" w:lineRule="auto"/>
        <w:jc w:val="both"/>
        <w:rPr>
          <w:rFonts w:ascii="Times New Roman" w:eastAsia="Times New Roman" w:hAnsi="Times New Roman" w:cs="Times New Roman"/>
          <w:b/>
          <w:bCs/>
          <w:sz w:val="24"/>
          <w:szCs w:val="24"/>
          <w:lang w:val="pt-BR" w:eastAsia="ro-RO"/>
        </w:rPr>
      </w:pPr>
    </w:p>
    <w:p w14:paraId="0C6D83AD" w14:textId="77777777" w:rsidR="009F1EE3" w:rsidRPr="00F941DA" w:rsidRDefault="009F1EE3" w:rsidP="003872F6">
      <w:pPr>
        <w:pStyle w:val="al"/>
        <w:spacing w:before="240" w:line="276" w:lineRule="auto"/>
        <w:rPr>
          <w:lang w:val="ro-RO"/>
        </w:rPr>
      </w:pPr>
    </w:p>
    <w:p w14:paraId="26E83E50" w14:textId="77777777" w:rsidR="009F1EE3" w:rsidRPr="00F941DA" w:rsidRDefault="009F1EE3" w:rsidP="003872F6">
      <w:pPr>
        <w:pStyle w:val="al"/>
        <w:spacing w:before="240" w:line="276" w:lineRule="auto"/>
        <w:rPr>
          <w:lang w:val="ro-RO"/>
        </w:rPr>
      </w:pPr>
    </w:p>
    <w:p w14:paraId="00C56A5F" w14:textId="77777777" w:rsidR="009F1EE3" w:rsidRPr="00F941DA" w:rsidRDefault="009F1EE3" w:rsidP="003872F6">
      <w:pPr>
        <w:pStyle w:val="al"/>
        <w:spacing w:before="240" w:line="276" w:lineRule="auto"/>
        <w:rPr>
          <w:lang w:val="ro-RO"/>
        </w:rPr>
      </w:pPr>
    </w:p>
    <w:p w14:paraId="72DF308A" w14:textId="77777777" w:rsidR="009F1EE3" w:rsidRPr="00F941DA" w:rsidRDefault="009F1EE3" w:rsidP="003872F6">
      <w:pPr>
        <w:pStyle w:val="al"/>
        <w:spacing w:before="240" w:line="276" w:lineRule="auto"/>
        <w:rPr>
          <w:lang w:val="ro-RO"/>
        </w:rPr>
      </w:pPr>
    </w:p>
    <w:p w14:paraId="77561D48" w14:textId="77777777" w:rsidR="009F1EE3" w:rsidRPr="00F941DA" w:rsidRDefault="009F1EE3" w:rsidP="003872F6">
      <w:pPr>
        <w:pStyle w:val="al"/>
        <w:spacing w:before="240" w:line="276" w:lineRule="auto"/>
        <w:rPr>
          <w:lang w:val="ro-RO"/>
        </w:rPr>
      </w:pPr>
    </w:p>
    <w:p w14:paraId="04A4EFC8" w14:textId="77777777" w:rsidR="003872F6" w:rsidRDefault="003872F6" w:rsidP="003872F6">
      <w:pPr>
        <w:rPr>
          <w:rFonts w:ascii="Times New Roman" w:eastAsia="Times New Roman" w:hAnsi="Times New Roman" w:cs="Times New Roman"/>
          <w:sz w:val="24"/>
          <w:szCs w:val="24"/>
        </w:rPr>
      </w:pPr>
    </w:p>
    <w:p w14:paraId="0514ABCC" w14:textId="77777777" w:rsidR="00F941DA" w:rsidRPr="00F941DA" w:rsidRDefault="00F941DA" w:rsidP="003872F6"/>
    <w:p w14:paraId="7627B06E" w14:textId="4649018F" w:rsidR="003064E4" w:rsidRPr="00F941DA" w:rsidRDefault="003064E4" w:rsidP="009F1EE3">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La anexa nr. 2, protocolul terapeut</w:t>
      </w:r>
      <w:r w:rsidR="00D83042" w:rsidRPr="00F941DA">
        <w:rPr>
          <w:rFonts w:eastAsia="Arial"/>
          <w:b/>
          <w:bCs/>
          <w:color w:val="auto"/>
          <w:lang w:val="en-US"/>
        </w:rPr>
        <w:t xml:space="preserve">ic corespunzător poziţiei nr. </w:t>
      </w:r>
      <w:r w:rsidR="00E758C6" w:rsidRPr="00F941DA">
        <w:rPr>
          <w:rFonts w:eastAsia="Arial"/>
          <w:b/>
          <w:bCs/>
          <w:color w:val="auto"/>
          <w:lang w:val="en-US"/>
        </w:rPr>
        <w:t>7</w:t>
      </w:r>
      <w:r w:rsidR="0091650C" w:rsidRPr="00F941DA">
        <w:rPr>
          <w:rFonts w:eastAsia="Arial"/>
          <w:b/>
          <w:bCs/>
          <w:color w:val="auto"/>
          <w:lang w:val="en-US"/>
        </w:rPr>
        <w:t xml:space="preserve"> cod (</w:t>
      </w:r>
      <w:r w:rsidR="00E758C6" w:rsidRPr="00F941DA">
        <w:rPr>
          <w:rFonts w:eastAsia="Arial"/>
          <w:b/>
          <w:bCs/>
          <w:color w:val="auto"/>
          <w:lang w:val="en-US"/>
        </w:rPr>
        <w:t>H005E</w:t>
      </w:r>
      <w:r w:rsidR="0091650C" w:rsidRPr="00F941DA">
        <w:rPr>
          <w:rFonts w:eastAsia="Arial"/>
          <w:b/>
          <w:bCs/>
          <w:color w:val="auto"/>
          <w:lang w:val="en-US"/>
        </w:rPr>
        <w:t xml:space="preserve">): </w:t>
      </w:r>
      <w:r w:rsidR="00663317" w:rsidRPr="00F941DA">
        <w:rPr>
          <w:rFonts w:eastAsia="Arial"/>
          <w:b/>
          <w:bCs/>
          <w:color w:val="auto"/>
          <w:lang w:val="en-US"/>
        </w:rPr>
        <w:t>ACROMEGALIE ŞI GIGANTISM</w:t>
      </w:r>
      <w:r w:rsidRPr="00F941DA">
        <w:rPr>
          <w:rFonts w:eastAsia="Arial"/>
          <w:b/>
          <w:bCs/>
          <w:color w:val="auto"/>
          <w:lang w:val="en-US"/>
        </w:rPr>
        <w:t xml:space="preserve"> se modifică și se înlocuiește cu următorul protocol:</w:t>
      </w:r>
    </w:p>
    <w:p w14:paraId="6BA856E2" w14:textId="77777777" w:rsidR="003064E4" w:rsidRPr="00F941DA" w:rsidRDefault="003064E4" w:rsidP="003064E4">
      <w:pPr>
        <w:pStyle w:val="ListParagraph"/>
        <w:tabs>
          <w:tab w:val="left" w:pos="426"/>
        </w:tabs>
        <w:jc w:val="both"/>
        <w:rPr>
          <w:rFonts w:eastAsia="Arial"/>
          <w:b/>
          <w:bCs/>
          <w:color w:val="auto"/>
          <w:lang w:val="en-US"/>
        </w:rPr>
      </w:pPr>
    </w:p>
    <w:p w14:paraId="69F2325F" w14:textId="2B06D0EC" w:rsidR="00C26335" w:rsidRPr="00F941DA" w:rsidRDefault="0091650C" w:rsidP="00663317">
      <w:p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eastAsia="Arial" w:hAnsi="Times New Roman" w:cs="Times New Roman"/>
          <w:b/>
          <w:bCs/>
          <w:sz w:val="24"/>
          <w:szCs w:val="24"/>
          <w:lang w:val="en-US"/>
        </w:rPr>
        <w:t xml:space="preserve">”Protocol terapeutic corespunzător poziției nr. </w:t>
      </w:r>
      <w:r w:rsidR="00663317" w:rsidRPr="00F941DA">
        <w:rPr>
          <w:rFonts w:ascii="Times New Roman" w:eastAsia="Arial" w:hAnsi="Times New Roman" w:cs="Times New Roman"/>
          <w:b/>
          <w:bCs/>
          <w:sz w:val="24"/>
          <w:szCs w:val="24"/>
          <w:lang w:val="en-US"/>
        </w:rPr>
        <w:t>7 cod (H005E): ACROMEGALIE ŞI GIGANTISM</w:t>
      </w:r>
    </w:p>
    <w:p w14:paraId="69BF2337" w14:textId="77777777" w:rsidR="00083B52" w:rsidRPr="00F941DA" w:rsidRDefault="00083B52" w:rsidP="00083B52">
      <w:pPr>
        <w:tabs>
          <w:tab w:val="left" w:pos="426"/>
        </w:tabs>
        <w:spacing w:line="276" w:lineRule="auto"/>
        <w:jc w:val="both"/>
        <w:rPr>
          <w:rFonts w:ascii="Times New Roman" w:eastAsia="Arial" w:hAnsi="Times New Roman" w:cs="Times New Roman"/>
          <w:b/>
          <w:bCs/>
          <w:sz w:val="24"/>
          <w:szCs w:val="24"/>
          <w:lang w:val="en-US"/>
        </w:rPr>
      </w:pPr>
    </w:p>
    <w:p w14:paraId="64B6DBA1"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I. Criterii de diagnostic:</w:t>
      </w:r>
    </w:p>
    <w:p w14:paraId="5614A9D8" w14:textId="77777777" w:rsidR="00083B52" w:rsidRPr="00F941DA" w:rsidRDefault="00083B52" w:rsidP="00D11DF1">
      <w:pPr>
        <w:numPr>
          <w:ilvl w:val="4"/>
          <w:numId w:val="159"/>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Examen clinic endocrinologic: manifestări clinice tipice de acromegalie şi/sau afecţiuni asociate: hiperhidroza, artralgii, astenie, cefalee, extremităţi în curs de lărgire; hipertensiune arterială, diabet zaharat, sindrom de apnee în somn, sindrom de tunel carpian; semne date de expansiunea tumorii hipofizare: sindrom neurooftalmic, cefalee, semne de insuficienţă hipofizară etc.</w:t>
      </w:r>
    </w:p>
    <w:p w14:paraId="71C4B50F" w14:textId="77777777" w:rsidR="00083B52" w:rsidRPr="00F941DA" w:rsidRDefault="00083B52" w:rsidP="00D11DF1">
      <w:pPr>
        <w:numPr>
          <w:ilvl w:val="4"/>
          <w:numId w:val="159"/>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Determinarea hormonului de creştere (GH) în cursul probei de toleranţă orală la glucoză (OGTT) sau media GH seric bazal, minim 4 determinări la interval de 4 ore (la pacienţii diabetici)</w:t>
      </w:r>
    </w:p>
    <w:p w14:paraId="2262E860" w14:textId="77777777" w:rsidR="00083B52" w:rsidRPr="00F941DA" w:rsidRDefault="00083B52" w:rsidP="00D11DF1">
      <w:pPr>
        <w:numPr>
          <w:ilvl w:val="4"/>
          <w:numId w:val="159"/>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Determinarea insulin-like growth factor (IGF1) cu referinţă faţă de grupele de vârstă şi sex din România.</w:t>
      </w:r>
    </w:p>
    <w:p w14:paraId="47798251" w14:textId="77777777" w:rsidR="00083B52" w:rsidRPr="00F941DA" w:rsidRDefault="00083B52" w:rsidP="00D11DF1">
      <w:pPr>
        <w:numPr>
          <w:ilvl w:val="4"/>
          <w:numId w:val="159"/>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Imagistica - ideal rezonanţă magnetică nucleară (IRM), sau tomografie computerizată (CT) hipofizară, sau de regiunea suspectată de tumoră secretantă de GH/GHRH, preferabil cu substanţă de contrast.</w:t>
      </w:r>
    </w:p>
    <w:p w14:paraId="1B89364B" w14:textId="77777777" w:rsidR="00083B52" w:rsidRPr="00F941DA" w:rsidRDefault="00083B52" w:rsidP="00D11DF1">
      <w:pPr>
        <w:numPr>
          <w:ilvl w:val="4"/>
          <w:numId w:val="159"/>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Examen histopatologic ± imunohistochimie.</w:t>
      </w:r>
    </w:p>
    <w:p w14:paraId="79F49F0E"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25345D4B" w14:textId="26EF39D6"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bCs/>
          <w:sz w:val="24"/>
          <w:szCs w:val="24"/>
        </w:rPr>
        <w:t>Diagnosticul pozitiv</w:t>
      </w:r>
      <w:r w:rsidRPr="00F941DA">
        <w:rPr>
          <w:rFonts w:ascii="Times New Roman" w:hAnsi="Times New Roman" w:cs="Times New Roman"/>
          <w:sz w:val="24"/>
          <w:szCs w:val="24"/>
        </w:rPr>
        <w:t xml:space="preserve"> de acromegalie activă se pune pe baza semnelor clinice şi se certifică prin GH nesupresibil sub 0,4 ng/ml în cursul OGTT şi IGF1 crescut pentru vârstă şi sex (vezi punctul 3 anterior). În cazul pacienţilor cu diabet zaharat, în loc de OGTT se calculează media/24 h a GH bazal; o valoare peste 1 ng/ml confirmă acromegalia activă cu risc crescut pentru complicaţii.</w:t>
      </w:r>
    </w:p>
    <w:p w14:paraId="64EBD96A"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Aceste cut-off-uri nu se aplică la pacienţii cu vârsta sub 18 ani, la care rezultatele se vor interpreta în funcţie de stadiul pubertar, vârstă şi sex.</w:t>
      </w:r>
    </w:p>
    <w:p w14:paraId="7F66EBE0" w14:textId="5A22B29A"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Există şi cazuri de acromegalie cu discordanţă între GH şi IGF1, ceea ce nu exclude tratamentul bolii.</w:t>
      </w:r>
    </w:p>
    <w:p w14:paraId="3BE43AE5" w14:textId="00A2C271"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bCs/>
          <w:sz w:val="24"/>
          <w:szCs w:val="24"/>
        </w:rPr>
        <w:t>Diagnosticul etiologic</w:t>
      </w:r>
      <w:r w:rsidRPr="00F941DA">
        <w:rPr>
          <w:rFonts w:ascii="Times New Roman" w:hAnsi="Times New Roman" w:cs="Times New Roman"/>
          <w:sz w:val="24"/>
          <w:szCs w:val="24"/>
        </w:rPr>
        <w:t xml:space="preserve"> se face prin imagistica tumorii hipofizare sau extrahipofizare, care în majoritatea cazurilor este un macroadenom hipofizar (diametru &gt; 1 cm), rareori un microadenom. </w:t>
      </w:r>
    </w:p>
    <w:p w14:paraId="446B668A" w14:textId="7F0A11CF"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bCs/>
          <w:sz w:val="24"/>
          <w:szCs w:val="24"/>
        </w:rPr>
        <w:t>Diagnosticul de certitudine</w:t>
      </w:r>
      <w:r w:rsidRPr="00F941DA">
        <w:rPr>
          <w:rFonts w:ascii="Times New Roman" w:hAnsi="Times New Roman" w:cs="Times New Roman"/>
          <w:sz w:val="24"/>
          <w:szCs w:val="24"/>
        </w:rPr>
        <w:t xml:space="preserve"> este cel histopatologic, cu imunohistochimia care evidenţiază celulele somatotrope.</w:t>
      </w:r>
    </w:p>
    <w:p w14:paraId="405A3995"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67498B41"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II. Tratament</w:t>
      </w:r>
    </w:p>
    <w:p w14:paraId="0B7035A0"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Obiective:</w:t>
      </w:r>
    </w:p>
    <w:p w14:paraId="6AC5FC03" w14:textId="77777777" w:rsidR="00083B52" w:rsidRPr="00F941DA" w:rsidRDefault="00083B52" w:rsidP="00D11DF1">
      <w:pPr>
        <w:numPr>
          <w:ilvl w:val="1"/>
          <w:numId w:val="160"/>
        </w:numPr>
        <w:autoSpaceDE w:val="0"/>
        <w:autoSpaceDN w:val="0"/>
        <w:adjustRightInd w:val="0"/>
        <w:spacing w:after="0" w:line="240" w:lineRule="auto"/>
        <w:ind w:left="284" w:hanging="284"/>
        <w:jc w:val="both"/>
        <w:rPr>
          <w:rFonts w:ascii="Times New Roman" w:hAnsi="Times New Roman" w:cs="Times New Roman"/>
          <w:sz w:val="24"/>
          <w:szCs w:val="24"/>
        </w:rPr>
      </w:pPr>
      <w:r w:rsidRPr="00F941DA">
        <w:rPr>
          <w:rFonts w:ascii="Times New Roman" w:hAnsi="Times New Roman" w:cs="Times New Roman"/>
          <w:sz w:val="24"/>
          <w:szCs w:val="24"/>
        </w:rPr>
        <w:t>înlăturarea tumorii,</w:t>
      </w:r>
    </w:p>
    <w:p w14:paraId="4861E478" w14:textId="77777777" w:rsidR="00083B52" w:rsidRPr="00F941DA" w:rsidRDefault="00083B52" w:rsidP="00D11DF1">
      <w:pPr>
        <w:numPr>
          <w:ilvl w:val="1"/>
          <w:numId w:val="160"/>
        </w:numPr>
        <w:autoSpaceDE w:val="0"/>
        <w:autoSpaceDN w:val="0"/>
        <w:adjustRightInd w:val="0"/>
        <w:spacing w:after="0" w:line="240" w:lineRule="auto"/>
        <w:ind w:left="284" w:hanging="284"/>
        <w:jc w:val="both"/>
        <w:rPr>
          <w:rFonts w:ascii="Times New Roman" w:hAnsi="Times New Roman" w:cs="Times New Roman"/>
          <w:sz w:val="24"/>
          <w:szCs w:val="24"/>
        </w:rPr>
      </w:pPr>
      <w:r w:rsidRPr="00F941DA">
        <w:rPr>
          <w:rFonts w:ascii="Times New Roman" w:hAnsi="Times New Roman" w:cs="Times New Roman"/>
          <w:sz w:val="24"/>
          <w:szCs w:val="24"/>
        </w:rPr>
        <w:t>inhibarea hipersecreţiei de GH şi normalizarea nivelurilor IGF-1,</w:t>
      </w:r>
    </w:p>
    <w:p w14:paraId="6E86A04A" w14:textId="77777777" w:rsidR="00083B52" w:rsidRPr="00F941DA" w:rsidRDefault="00083B52" w:rsidP="00D11DF1">
      <w:pPr>
        <w:numPr>
          <w:ilvl w:val="1"/>
          <w:numId w:val="160"/>
        </w:numPr>
        <w:autoSpaceDE w:val="0"/>
        <w:autoSpaceDN w:val="0"/>
        <w:adjustRightInd w:val="0"/>
        <w:spacing w:after="0" w:line="240" w:lineRule="auto"/>
        <w:ind w:left="284" w:hanging="284"/>
        <w:jc w:val="both"/>
        <w:rPr>
          <w:rFonts w:ascii="Times New Roman" w:hAnsi="Times New Roman" w:cs="Times New Roman"/>
          <w:sz w:val="24"/>
          <w:szCs w:val="24"/>
        </w:rPr>
      </w:pPr>
      <w:r w:rsidRPr="00F941DA">
        <w:rPr>
          <w:rFonts w:ascii="Times New Roman" w:hAnsi="Times New Roman" w:cs="Times New Roman"/>
          <w:sz w:val="24"/>
          <w:szCs w:val="24"/>
        </w:rPr>
        <w:t>prevenirea sau corectarea complicaţiilor pentru a asigura o durată de viaţă egală cu a populaţiei generale.</w:t>
      </w:r>
    </w:p>
    <w:p w14:paraId="3DC028C6"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0FE9115E"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Metode terapeutice:</w:t>
      </w:r>
    </w:p>
    <w:p w14:paraId="7B4C0A07" w14:textId="77777777" w:rsidR="00083B52" w:rsidRPr="00F941DA" w:rsidRDefault="00083B52" w:rsidP="00D11DF1">
      <w:pPr>
        <w:numPr>
          <w:ilvl w:val="0"/>
          <w:numId w:val="161"/>
        </w:numPr>
        <w:autoSpaceDE w:val="0"/>
        <w:autoSpaceDN w:val="0"/>
        <w:adjustRightInd w:val="0"/>
        <w:spacing w:after="0" w:line="240" w:lineRule="auto"/>
        <w:ind w:left="360"/>
        <w:jc w:val="both"/>
        <w:rPr>
          <w:rFonts w:ascii="Times New Roman" w:hAnsi="Times New Roman" w:cs="Times New Roman"/>
          <w:sz w:val="24"/>
          <w:szCs w:val="24"/>
        </w:rPr>
      </w:pPr>
      <w:r w:rsidRPr="00F941DA">
        <w:rPr>
          <w:rFonts w:ascii="Times New Roman" w:hAnsi="Times New Roman" w:cs="Times New Roman"/>
          <w:sz w:val="24"/>
          <w:szCs w:val="24"/>
        </w:rPr>
        <w:t>chirurgia tumorii hipofizare</w:t>
      </w:r>
    </w:p>
    <w:p w14:paraId="2F29A84E" w14:textId="77777777" w:rsidR="00083B52" w:rsidRPr="00F941DA" w:rsidRDefault="00083B52" w:rsidP="00D11DF1">
      <w:pPr>
        <w:numPr>
          <w:ilvl w:val="0"/>
          <w:numId w:val="161"/>
        </w:numPr>
        <w:autoSpaceDE w:val="0"/>
        <w:autoSpaceDN w:val="0"/>
        <w:adjustRightInd w:val="0"/>
        <w:spacing w:after="0" w:line="240" w:lineRule="auto"/>
        <w:ind w:left="360"/>
        <w:jc w:val="both"/>
        <w:rPr>
          <w:rFonts w:ascii="Times New Roman" w:hAnsi="Times New Roman" w:cs="Times New Roman"/>
          <w:sz w:val="24"/>
          <w:szCs w:val="24"/>
        </w:rPr>
      </w:pPr>
      <w:r w:rsidRPr="00F941DA">
        <w:rPr>
          <w:rFonts w:ascii="Times New Roman" w:hAnsi="Times New Roman" w:cs="Times New Roman"/>
          <w:sz w:val="24"/>
          <w:szCs w:val="24"/>
        </w:rPr>
        <w:t>tratamentul medicamentos (de scădere a secreţiei de GH, de scădere a IGF1)</w:t>
      </w:r>
    </w:p>
    <w:p w14:paraId="6C2A7241" w14:textId="77777777" w:rsidR="00083B52" w:rsidRPr="00F941DA" w:rsidRDefault="00083B52" w:rsidP="00D11DF1">
      <w:pPr>
        <w:numPr>
          <w:ilvl w:val="0"/>
          <w:numId w:val="161"/>
        </w:numPr>
        <w:autoSpaceDE w:val="0"/>
        <w:autoSpaceDN w:val="0"/>
        <w:adjustRightInd w:val="0"/>
        <w:spacing w:after="0" w:line="240" w:lineRule="auto"/>
        <w:ind w:left="360"/>
        <w:jc w:val="both"/>
        <w:rPr>
          <w:rFonts w:ascii="Times New Roman" w:hAnsi="Times New Roman" w:cs="Times New Roman"/>
          <w:sz w:val="24"/>
          <w:szCs w:val="24"/>
        </w:rPr>
      </w:pPr>
      <w:r w:rsidRPr="00F941DA">
        <w:rPr>
          <w:rFonts w:ascii="Times New Roman" w:hAnsi="Times New Roman" w:cs="Times New Roman"/>
          <w:sz w:val="24"/>
          <w:szCs w:val="24"/>
        </w:rPr>
        <w:t>radioterapia hipofizară</w:t>
      </w:r>
    </w:p>
    <w:p w14:paraId="336E111D"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5E4ED334"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209355C9"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bCs/>
          <w:sz w:val="24"/>
          <w:szCs w:val="24"/>
        </w:rPr>
        <w:lastRenderedPageBreak/>
        <w:t>1. Chirurgia hipofizară transsfenoidală</w:t>
      </w:r>
      <w:r w:rsidRPr="00F941DA">
        <w:rPr>
          <w:rFonts w:ascii="Times New Roman" w:hAnsi="Times New Roman" w:cs="Times New Roman"/>
          <w:sz w:val="24"/>
          <w:szCs w:val="24"/>
        </w:rPr>
        <w:t xml:space="preserve"> este tratamentul de elecţie pentru:</w:t>
      </w:r>
    </w:p>
    <w:p w14:paraId="4F4EC81A" w14:textId="77777777" w:rsidR="00083B52" w:rsidRPr="00F941DA" w:rsidRDefault="00083B52" w:rsidP="00D11DF1">
      <w:pPr>
        <w:numPr>
          <w:ilvl w:val="0"/>
          <w:numId w:val="162"/>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microadenoamele şi macroadenoamele hipofizare secretante de GH neinvazive (fără extensie în sinusul cavernos sau osoasă)</w:t>
      </w:r>
    </w:p>
    <w:p w14:paraId="1C5F5D3F" w14:textId="77777777" w:rsidR="00083B52" w:rsidRPr="00F941DA" w:rsidRDefault="00083B52" w:rsidP="00D11DF1">
      <w:pPr>
        <w:numPr>
          <w:ilvl w:val="0"/>
          <w:numId w:val="162"/>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atunci când tumora determină simptome compresive, în absenţa contraindicaţiilor.</w:t>
      </w:r>
    </w:p>
    <w:p w14:paraId="1188FE86"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4F991CD7"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În cazul macroadenoamelor, inclusiv celor cu extensie paraselară, a căror evoluţie locală sau a căror secreţie nu poate fi controlată medicamentos, reducerea volumului tumoral prin chirurgie hipofizară poate reprezenta o măsura necesară pentru controlul adecvat al bolii.</w:t>
      </w:r>
    </w:p>
    <w:p w14:paraId="3FF44CDB"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Chirurgia transsfenoidală poate fi repetată la pacientul cu rest tumoral intraselar.</w:t>
      </w:r>
    </w:p>
    <w:p w14:paraId="1A3544DA"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Complicaţiile chirurgiei transsfenoidale sunt rare şi cuprind: fistula cu scurgere de lichid cefalorahidian, pareza oculomotorie tranzitorie, deteriorarea câmpului vizual, diabetul insipid postoperator, afectarea arterei carotide şi epistaxisul (apar la mai puţin de 1% dintre pacienţi).</w:t>
      </w:r>
    </w:p>
    <w:p w14:paraId="089F2A21"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Contraindicaţiile chirurgiei sunt cardiomiopatia severă cu insuficienţă cardiacă, boală respiratorie severă sau alte afecţiuni cu risc anestezic/chirurgical crescut.</w:t>
      </w:r>
    </w:p>
    <w:p w14:paraId="5D1FD9AD"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Chirurgia transfrontală este foarte rar indicată.</w:t>
      </w:r>
    </w:p>
    <w:p w14:paraId="29EEA9B3"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10DD139E" w14:textId="2A983628"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2. Tratamentul medicamentos reprezintă prima sau a doua linie de intervenţie terapeutică:</w:t>
      </w:r>
    </w:p>
    <w:p w14:paraId="0C465BF5"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sz w:val="24"/>
          <w:szCs w:val="24"/>
        </w:rPr>
        <w:t>a)</w:t>
      </w:r>
      <w:r w:rsidRPr="00F941DA">
        <w:rPr>
          <w:rFonts w:ascii="Times New Roman" w:hAnsi="Times New Roman" w:cs="Times New Roman"/>
          <w:sz w:val="24"/>
          <w:szCs w:val="24"/>
        </w:rPr>
        <w:t xml:space="preserve"> </w:t>
      </w:r>
      <w:r w:rsidRPr="00F941DA">
        <w:rPr>
          <w:rFonts w:ascii="Times New Roman" w:hAnsi="Times New Roman" w:cs="Times New Roman"/>
          <w:b/>
          <w:bCs/>
          <w:sz w:val="24"/>
          <w:szCs w:val="24"/>
        </w:rPr>
        <w:t xml:space="preserve">Agoniştii dopaminergici </w:t>
      </w:r>
      <w:r w:rsidRPr="00F941DA">
        <w:rPr>
          <w:rFonts w:ascii="Times New Roman" w:hAnsi="Times New Roman" w:cs="Times New Roman"/>
          <w:sz w:val="24"/>
          <w:szCs w:val="24"/>
        </w:rPr>
        <w:t>(Bromocriptina, Cabergolina). Monoterapia cu Cabergolina s-a dovedit a fi eficace la mai puţin de 10% dintre pacienţi. Indicaţii:</w:t>
      </w:r>
    </w:p>
    <w:p w14:paraId="02428B64" w14:textId="77777777" w:rsidR="00083B52" w:rsidRPr="00F941DA" w:rsidRDefault="00083B52" w:rsidP="00D11DF1">
      <w:pPr>
        <w:numPr>
          <w:ilvl w:val="0"/>
          <w:numId w:val="163"/>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când pacientul preferă medicaţia orală</w:t>
      </w:r>
    </w:p>
    <w:p w14:paraId="4DEA3672" w14:textId="77777777" w:rsidR="00083B52" w:rsidRPr="00F941DA" w:rsidRDefault="00083B52" w:rsidP="00D11DF1">
      <w:pPr>
        <w:numPr>
          <w:ilvl w:val="0"/>
          <w:numId w:val="163"/>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la pacienţi cu niveluri mult crescute ale prolactinei şi/sau niveluri GH modest crescute şi IGF-1 &lt;2,5 x LSN (limita superioară a normalului).</w:t>
      </w:r>
    </w:p>
    <w:p w14:paraId="2D379952" w14:textId="77777777" w:rsidR="00083B52" w:rsidRPr="00F941DA" w:rsidRDefault="00083B52" w:rsidP="00D11DF1">
      <w:pPr>
        <w:numPr>
          <w:ilvl w:val="0"/>
          <w:numId w:val="163"/>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ca terapie adiţională la pacienţii parţial responsivi la o doză maximală de analogi de somatostatin sau combinaţie analog de somatostatin şi Pegvisomant sau Pegvisomant în doză maximală</w:t>
      </w:r>
    </w:p>
    <w:p w14:paraId="4901AA77" w14:textId="77777777" w:rsidR="00083B52" w:rsidRPr="00F941DA" w:rsidRDefault="00083B52" w:rsidP="00D11DF1">
      <w:pPr>
        <w:numPr>
          <w:ilvl w:val="0"/>
          <w:numId w:val="163"/>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doza de Cabergolină recomandată: 2 - 4 mg/săptămână.</w:t>
      </w:r>
    </w:p>
    <w:p w14:paraId="68A032F2" w14:textId="2E7701EA"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Există dovezi că tratamentul cu doze mari de cabergolină pe perioade lungi de timp sunt asociate cu apariţia disfuncţiilor valvulare cardiace. Deşi la pacienţii care primesc dozele convenţionale din tumorile hipofizare nu s-au găsit valvulopatii, se recomandă ca pacienţii care primesc Cabergolină pe o perioadă mai mare de 5 ani să fie monitorizaţi ecocardiografic anual prin efectuarea de ecocardiografie.</w:t>
      </w:r>
    </w:p>
    <w:p w14:paraId="64CF686B"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sz w:val="24"/>
          <w:szCs w:val="24"/>
        </w:rPr>
        <w:t>b)</w:t>
      </w:r>
      <w:r w:rsidRPr="00F941DA">
        <w:rPr>
          <w:rFonts w:ascii="Times New Roman" w:hAnsi="Times New Roman" w:cs="Times New Roman"/>
          <w:sz w:val="24"/>
          <w:szCs w:val="24"/>
        </w:rPr>
        <w:t xml:space="preserve"> </w:t>
      </w:r>
      <w:r w:rsidRPr="00F941DA">
        <w:rPr>
          <w:rFonts w:ascii="Times New Roman" w:hAnsi="Times New Roman" w:cs="Times New Roman"/>
          <w:b/>
          <w:bCs/>
          <w:sz w:val="24"/>
          <w:szCs w:val="24"/>
        </w:rPr>
        <w:t xml:space="preserve">Analogii de somatostatin </w:t>
      </w:r>
      <w:r w:rsidRPr="00F941DA">
        <w:rPr>
          <w:rFonts w:ascii="Times New Roman" w:hAnsi="Times New Roman" w:cs="Times New Roman"/>
          <w:sz w:val="24"/>
          <w:szCs w:val="24"/>
        </w:rPr>
        <w:t>(octreotid, lanreotid, pasireotid) se leagă de receptorii de somatostatin, având efect antisecretor pentru GH şi de reducere a volumului tumoral.</w:t>
      </w:r>
    </w:p>
    <w:p w14:paraId="03E5D067"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Octreotidul şi Lanreotidul par a fi echivalenţi din punctul de vedere al controlului simptomatologiei şi al scăderii hipersecreţiei de GH.</w:t>
      </w:r>
    </w:p>
    <w:p w14:paraId="0C5402C8" w14:textId="2D58EEB2"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Efecte adverse: abdominale în primele luni de tratament. Frecvent apar multipli calculi biliari mici şi sediment biliar, dar rar se produce colecistită. Scăderea secreţiei de insulină cu agravarea diabetului poate surveni la unii dintre pacienţi. Au existat câteva cazuri de pancreatită. La analogii de somatostatin de generaţia a II-a (Pasireotid), modificările metabolismului glucidic sunt mai frecvente şi mai severe.</w:t>
      </w:r>
    </w:p>
    <w:p w14:paraId="0DFB5726"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sz w:val="24"/>
          <w:szCs w:val="24"/>
        </w:rPr>
        <w:t>c)</w:t>
      </w:r>
      <w:r w:rsidRPr="00F941DA">
        <w:rPr>
          <w:rFonts w:ascii="Times New Roman" w:hAnsi="Times New Roman" w:cs="Times New Roman"/>
          <w:sz w:val="24"/>
          <w:szCs w:val="24"/>
        </w:rPr>
        <w:t xml:space="preserve"> </w:t>
      </w:r>
      <w:r w:rsidRPr="00F941DA">
        <w:rPr>
          <w:rFonts w:ascii="Times New Roman" w:hAnsi="Times New Roman" w:cs="Times New Roman"/>
          <w:b/>
          <w:bCs/>
          <w:sz w:val="24"/>
          <w:szCs w:val="24"/>
        </w:rPr>
        <w:t>Antagonistul receptorului de GH (Pegvisomant)</w:t>
      </w:r>
      <w:r w:rsidRPr="00F941DA">
        <w:rPr>
          <w:rFonts w:ascii="Times New Roman" w:hAnsi="Times New Roman" w:cs="Times New Roman"/>
          <w:sz w:val="24"/>
          <w:szCs w:val="24"/>
        </w:rPr>
        <w:t xml:space="preserve"> se leagă de receptorii celulari de suprafaţă ai hormonului de creştere, blocând legarea acestuia. </w:t>
      </w:r>
    </w:p>
    <w:p w14:paraId="7E4B11E3"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Pegvisomant este indicat în tratamentul pacienţilor adulţi cu acromegalie, care au răspuns insuficient la metodele chirurgicale şi/sau radioterapeutice şi la care tratamentul adecvat cu analogi de somatostatină nu a dus la normalizarea concentraţiei de IGF1 sau nu a fost tolerat.</w:t>
      </w:r>
    </w:p>
    <w:p w14:paraId="20FA1D70"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lastRenderedPageBreak/>
        <w:t>Poate fi administrat în monoterapie sau în combinaţie cu un agonist de somatostatin şi/sau Cabergolină.</w:t>
      </w:r>
    </w:p>
    <w:p w14:paraId="364821C9"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Efecte adverse: anomalii ale funcţiei hepatice, cefalee şi</w:t>
      </w:r>
      <w:r w:rsidRPr="00F941DA" w:rsidDel="00EC6BC7">
        <w:rPr>
          <w:rFonts w:ascii="Times New Roman" w:hAnsi="Times New Roman" w:cs="Times New Roman"/>
          <w:sz w:val="24"/>
          <w:szCs w:val="24"/>
        </w:rPr>
        <w:t xml:space="preserve"> </w:t>
      </w:r>
      <w:r w:rsidRPr="00F941DA">
        <w:rPr>
          <w:rFonts w:ascii="Times New Roman" w:hAnsi="Times New Roman" w:cs="Times New Roman"/>
          <w:sz w:val="24"/>
          <w:szCs w:val="24"/>
        </w:rPr>
        <w:t xml:space="preserve">artralgii. Precautii si atentionari: dimensiunile tumorii pot creşte rar (&lt; 2% din pacienţi), posibil ca fenomen de rebound dupa oprirea analogului de somatostatină, sau, mai degraba, datorită absenţei tratamentului cu acesta. </w:t>
      </w:r>
    </w:p>
    <w:p w14:paraId="0844FC88"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59989F15"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bCs/>
          <w:sz w:val="24"/>
          <w:szCs w:val="24"/>
        </w:rPr>
        <w:t>3. Radioterapia hipofizară</w:t>
      </w:r>
      <w:r w:rsidRPr="00F941DA">
        <w:rPr>
          <w:rFonts w:ascii="Times New Roman" w:hAnsi="Times New Roman" w:cs="Times New Roman"/>
          <w:sz w:val="24"/>
          <w:szCs w:val="24"/>
        </w:rPr>
        <w:t xml:space="preserve"> este o metodă de a treia linie terapeutică; este indicată la pacienţii la care nu s-a obţinut normalizarea nivelurilor hormonale prin chirurgie şi tratament medicamentos, sau în cazul în care acestea nu sunt disponibile sau tolerate. Radioterapia poate fi luată în considerare în orice moment al terapiei după insuccesul chirurgiei transsfenoidale sau dacă intervenţia chirurgicală este contraindicată.</w:t>
      </w:r>
    </w:p>
    <w:p w14:paraId="4F1BD2E0"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Radioterapia stereotactică este preferată radioterapiei convenţionale.</w:t>
      </w:r>
    </w:p>
    <w:p w14:paraId="7975CAF1"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Eficacitatea şi efectele adverse ale radioterapiei se monitorizează anual. </w:t>
      </w:r>
    </w:p>
    <w:p w14:paraId="36F76B26"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Complicaţiile radioterapiei: insuficienţă hipofizară, nevrită optică, complicaţii cerebrovasculare, </w:t>
      </w:r>
    </w:p>
    <w:p w14:paraId="4CD66459"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creşterea riscului de apariţie a unor tumori secundare.</w:t>
      </w:r>
    </w:p>
    <w:p w14:paraId="57D4987A"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Indiferent de tehnica aleasă, insuficienţa hipofizară este cea mai frecventa complicaţie si se amplifică odată cu trecera timpului, ajungând la rate de 25-50% după 5 ani. Un răspuns complet la radioterapie poate apărea abia după 10-15 ani de la intervenţie.</w:t>
      </w:r>
      <w:r w:rsidRPr="00F941DA" w:rsidDel="00E42507">
        <w:rPr>
          <w:rFonts w:ascii="Times New Roman" w:hAnsi="Times New Roman" w:cs="Times New Roman"/>
          <w:sz w:val="24"/>
          <w:szCs w:val="24"/>
        </w:rPr>
        <w:t xml:space="preserve"> </w:t>
      </w:r>
    </w:p>
    <w:p w14:paraId="11EA5A9D"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p>
    <w:p w14:paraId="12A3176A" w14:textId="2C627639"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PROTOCOL DE TRATAMENT</w:t>
      </w:r>
    </w:p>
    <w:p w14:paraId="64537562" w14:textId="585E2C71"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Indicaţii: </w:t>
      </w:r>
    </w:p>
    <w:p w14:paraId="70CB1A66" w14:textId="77777777" w:rsidR="00083B52" w:rsidRPr="00F941DA" w:rsidRDefault="00083B52" w:rsidP="00D11DF1">
      <w:pPr>
        <w:numPr>
          <w:ilvl w:val="0"/>
          <w:numId w:val="181"/>
        </w:numPr>
        <w:autoSpaceDE w:val="0"/>
        <w:autoSpaceDN w:val="0"/>
        <w:adjustRightInd w:val="0"/>
        <w:spacing w:after="0" w:line="240" w:lineRule="auto"/>
        <w:ind w:left="284" w:hanging="284"/>
        <w:jc w:val="both"/>
        <w:rPr>
          <w:rFonts w:ascii="Times New Roman" w:hAnsi="Times New Roman" w:cs="Times New Roman"/>
          <w:sz w:val="24"/>
          <w:szCs w:val="24"/>
        </w:rPr>
      </w:pPr>
      <w:r w:rsidRPr="00F941DA">
        <w:rPr>
          <w:rFonts w:ascii="Times New Roman" w:hAnsi="Times New Roman" w:cs="Times New Roman"/>
          <w:sz w:val="24"/>
          <w:szCs w:val="24"/>
        </w:rPr>
        <w:t xml:space="preserve">Chirurgia transsfenoidală reprezintă prima opțiune la majoritatea pacienților, indiferent de mărimea tumorii, oferind șansa de vindecare a bolii. Ea poate fi practicată și in vederea reducerii masei tumorale la acei pacienți la care invazia locală face puțin probabilă excizia în totalitate a masei tumorale; </w:t>
      </w:r>
    </w:p>
    <w:p w14:paraId="3AC0A72D" w14:textId="77777777" w:rsidR="00083B52" w:rsidRPr="00F941DA" w:rsidRDefault="00083B52" w:rsidP="00D11DF1">
      <w:pPr>
        <w:numPr>
          <w:ilvl w:val="0"/>
          <w:numId w:val="181"/>
        </w:numPr>
        <w:autoSpaceDE w:val="0"/>
        <w:autoSpaceDN w:val="0"/>
        <w:adjustRightInd w:val="0"/>
        <w:spacing w:after="0" w:line="240" w:lineRule="auto"/>
        <w:ind w:left="284" w:hanging="284"/>
        <w:jc w:val="both"/>
        <w:rPr>
          <w:rFonts w:ascii="Times New Roman" w:hAnsi="Times New Roman" w:cs="Times New Roman"/>
          <w:sz w:val="24"/>
          <w:szCs w:val="24"/>
        </w:rPr>
      </w:pPr>
      <w:r w:rsidRPr="00F941DA">
        <w:rPr>
          <w:rFonts w:ascii="Times New Roman" w:hAnsi="Times New Roman" w:cs="Times New Roman"/>
          <w:sz w:val="24"/>
          <w:szCs w:val="24"/>
        </w:rPr>
        <w:t>În cazul tumorilor cu sindrom neurooftalmic, apoplexie hipofizară (care necesită decompresie) sau hipertensiune intracraniană, chirurgia se practică cu prioritate.</w:t>
      </w:r>
    </w:p>
    <w:p w14:paraId="0BDA4763" w14:textId="77777777" w:rsidR="00083B52" w:rsidRPr="00F941DA" w:rsidRDefault="00083B52" w:rsidP="00D11DF1">
      <w:pPr>
        <w:numPr>
          <w:ilvl w:val="0"/>
          <w:numId w:val="181"/>
        </w:numPr>
        <w:autoSpaceDE w:val="0"/>
        <w:autoSpaceDN w:val="0"/>
        <w:adjustRightInd w:val="0"/>
        <w:spacing w:after="0" w:line="240" w:lineRule="auto"/>
        <w:ind w:left="284" w:hanging="284"/>
        <w:jc w:val="both"/>
        <w:rPr>
          <w:rFonts w:ascii="Times New Roman" w:hAnsi="Times New Roman" w:cs="Times New Roman"/>
          <w:sz w:val="24"/>
          <w:szCs w:val="24"/>
        </w:rPr>
      </w:pPr>
      <w:r w:rsidRPr="00F941DA">
        <w:rPr>
          <w:rFonts w:ascii="Times New Roman" w:hAnsi="Times New Roman" w:cs="Times New Roman"/>
          <w:sz w:val="24"/>
          <w:szCs w:val="24"/>
        </w:rPr>
        <w:t>Indiferent de mărimea tumorii, în caz de sindrom sever de apnee de somn (documentat prin polisomnografie, cu indice apnee-hipopnee peste 30) sau insuficienţă cardiacă cu debit cardiac crescut, se poate opta pentru tratament cu analogi de somatostatin pana la normalizarea parametrilor clinici pentru maxim 6 luni, cu scopul de a reduce riscul operator.</w:t>
      </w:r>
    </w:p>
    <w:p w14:paraId="4FF152DE" w14:textId="77777777" w:rsidR="00083B52" w:rsidRPr="00F941DA" w:rsidRDefault="00083B52" w:rsidP="00D11DF1">
      <w:pPr>
        <w:numPr>
          <w:ilvl w:val="0"/>
          <w:numId w:val="181"/>
        </w:numPr>
        <w:autoSpaceDE w:val="0"/>
        <w:autoSpaceDN w:val="0"/>
        <w:adjustRightInd w:val="0"/>
        <w:spacing w:after="0" w:line="240" w:lineRule="auto"/>
        <w:ind w:left="284" w:hanging="284"/>
        <w:jc w:val="both"/>
        <w:rPr>
          <w:rFonts w:ascii="Times New Roman" w:hAnsi="Times New Roman" w:cs="Times New Roman"/>
          <w:sz w:val="24"/>
          <w:szCs w:val="24"/>
        </w:rPr>
      </w:pPr>
      <w:r w:rsidRPr="00F941DA">
        <w:rPr>
          <w:rFonts w:ascii="Times New Roman" w:hAnsi="Times New Roman" w:cs="Times New Roman"/>
          <w:sz w:val="24"/>
          <w:szCs w:val="24"/>
        </w:rPr>
        <w:t xml:space="preserve">Postoperator, în cazul în care rezecţia nu este completă şi boala nu este controlată, se va opta pentru </w:t>
      </w:r>
    </w:p>
    <w:p w14:paraId="7804E76F" w14:textId="77777777" w:rsidR="00083B52" w:rsidRPr="00F941DA" w:rsidRDefault="00083B52" w:rsidP="00D11DF1">
      <w:pPr>
        <w:numPr>
          <w:ilvl w:val="1"/>
          <w:numId w:val="181"/>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administrarea de tratament medicamentos conform protocolului (agonişti dopaminergici, analogi de somatostatin, inclusiv pasireotid, Pegvisomant sau terapie combinată) sau</w:t>
      </w:r>
    </w:p>
    <w:p w14:paraId="6F2F96E4" w14:textId="77777777" w:rsidR="00083B52" w:rsidRPr="00F941DA" w:rsidRDefault="00083B52" w:rsidP="00D11DF1">
      <w:pPr>
        <w:numPr>
          <w:ilvl w:val="1"/>
          <w:numId w:val="181"/>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reintervenţia chirurgicală sau</w:t>
      </w:r>
    </w:p>
    <w:p w14:paraId="0FBC958D" w14:textId="77777777" w:rsidR="00083B52" w:rsidRPr="00F941DA" w:rsidRDefault="00083B52" w:rsidP="00D11DF1">
      <w:pPr>
        <w:numPr>
          <w:ilvl w:val="1"/>
          <w:numId w:val="181"/>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radioterapie .</w:t>
      </w:r>
    </w:p>
    <w:p w14:paraId="50C20B47" w14:textId="77777777" w:rsidR="00083B52" w:rsidRPr="00F941DA" w:rsidRDefault="00083B52" w:rsidP="00D11DF1">
      <w:pPr>
        <w:numPr>
          <w:ilvl w:val="0"/>
          <w:numId w:val="181"/>
        </w:numPr>
        <w:autoSpaceDE w:val="0"/>
        <w:autoSpaceDN w:val="0"/>
        <w:adjustRightInd w:val="0"/>
        <w:spacing w:after="0" w:line="240" w:lineRule="auto"/>
        <w:ind w:left="284" w:hanging="284"/>
        <w:jc w:val="both"/>
        <w:rPr>
          <w:rFonts w:ascii="Times New Roman" w:hAnsi="Times New Roman" w:cs="Times New Roman"/>
          <w:sz w:val="24"/>
          <w:szCs w:val="24"/>
        </w:rPr>
      </w:pPr>
      <w:r w:rsidRPr="00F941DA">
        <w:rPr>
          <w:rFonts w:ascii="Times New Roman" w:hAnsi="Times New Roman" w:cs="Times New Roman"/>
          <w:sz w:val="24"/>
          <w:szCs w:val="24"/>
        </w:rPr>
        <w:t>La pacienții cu contraindicații operatorii, precum și selecționat la acei pacienți la care terapia chirurgicala are puține șanse de reușite (de exemplu tumorile hipofizare mari</w:t>
      </w:r>
      <w:r w:rsidRPr="00F941DA">
        <w:rPr>
          <w:rFonts w:ascii="Times New Roman" w:hAnsi="Times New Roman" w:cs="Times New Roman"/>
          <w:b/>
          <w:bCs/>
          <w:sz w:val="24"/>
          <w:szCs w:val="24"/>
        </w:rPr>
        <w:t xml:space="preserve">, </w:t>
      </w:r>
      <w:r w:rsidRPr="00F941DA">
        <w:rPr>
          <w:rFonts w:ascii="Times New Roman" w:hAnsi="Times New Roman" w:cs="Times New Roman"/>
          <w:sz w:val="24"/>
          <w:szCs w:val="24"/>
        </w:rPr>
        <w:t xml:space="preserve">fără sindrom neurooftalmic, la care rata de succes a rezecţiei complete a tumorii este de sub 40%), se poate opta pentru terapia medicamentoasă conform algoritmului (analogii de somatostatina de generația I – vezi figura 1) </w:t>
      </w:r>
    </w:p>
    <w:p w14:paraId="0E4E1A7F"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771124C5" w14:textId="31B5EBC5"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III. CRITERII DE INCLUDERE ÎN TRATAMENTUL CU ANALOGI DE SOMATOSTATINĂ</w:t>
      </w:r>
      <w:r w:rsidRPr="00F941DA">
        <w:rPr>
          <w:rFonts w:ascii="Times New Roman" w:hAnsi="Times New Roman" w:cs="Times New Roman"/>
          <w:sz w:val="24"/>
          <w:szCs w:val="24"/>
        </w:rPr>
        <w:t xml:space="preserve">    </w:t>
      </w:r>
    </w:p>
    <w:p w14:paraId="67BCA335"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1. Categorii de pacienţi eligibili</w:t>
      </w:r>
    </w:p>
    <w:p w14:paraId="4ACE1C05"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6015B7A4"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lastRenderedPageBreak/>
        <w:t>Pacientul prezintă acromegalie** în evoluţie şi se încadrează în una din următoarele situaţii:</w:t>
      </w:r>
    </w:p>
    <w:p w14:paraId="3C3307E3" w14:textId="77777777" w:rsidR="00083B52" w:rsidRPr="00F941DA" w:rsidRDefault="00083B52" w:rsidP="00D11DF1">
      <w:pPr>
        <w:numPr>
          <w:ilvl w:val="2"/>
          <w:numId w:val="164"/>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 xml:space="preserve">Postoperator, în condiţiile menţinerii criteriilor de acromegalie activă, indiferent de mărimea tumorii restante </w:t>
      </w:r>
    </w:p>
    <w:p w14:paraId="0CC26C3B" w14:textId="77777777" w:rsidR="00083B52" w:rsidRPr="00F941DA" w:rsidRDefault="00083B52" w:rsidP="00D11DF1">
      <w:pPr>
        <w:numPr>
          <w:ilvl w:val="2"/>
          <w:numId w:val="164"/>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 xml:space="preserve">Pacienţii care au contraindicaţie chirurgicală motivată medical şi specificată în dosarul medical al pacientului/foaia de observaţie sau selecționat pacienții care au șanse mici de succes terapeutic prin terapie chirurgicală (macroadenoame invazive cu extensie în sinusul cavernos sau osoasă, dar care nu determină efect de compresie pe chiasma optică) </w:t>
      </w:r>
    </w:p>
    <w:p w14:paraId="19BEC1F7" w14:textId="77777777" w:rsidR="00083B52" w:rsidRPr="00F941DA" w:rsidRDefault="00083B52" w:rsidP="00D11DF1">
      <w:pPr>
        <w:numPr>
          <w:ilvl w:val="2"/>
          <w:numId w:val="164"/>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Pacienţi operaţi şi iradiaţi, nevindecaţi după dubla terapie.</w:t>
      </w:r>
    </w:p>
    <w:p w14:paraId="6C287207" w14:textId="3E54DA25" w:rsidR="00083B52" w:rsidRPr="00F941DA" w:rsidRDefault="00083B52" w:rsidP="00D11DF1">
      <w:pPr>
        <w:numPr>
          <w:ilvl w:val="2"/>
          <w:numId w:val="164"/>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La pacienţii sub 18 ani indicaţia, schema de tratament şi posologia vor fi individualizate.</w:t>
      </w:r>
    </w:p>
    <w:p w14:paraId="66AB78C4"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_____________</w:t>
      </w:r>
    </w:p>
    <w:p w14:paraId="7E13B6A0" w14:textId="51D6C15F"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Cazurile vor fi supuse discuţiei în consiliile medicale din centrele universitare în care se face evaluarea, diagnosticarea şi recomandarea terapiei (opinia comisiei de experţi).</w:t>
      </w:r>
    </w:p>
    <w:p w14:paraId="55520E96"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**Aceasta indicaţie se codifică la prescriere prin codul 252 (conform clasificării internaţionale a maladiilor revizia a 10-a, varianta 999 coduri de boală).</w:t>
      </w:r>
    </w:p>
    <w:p w14:paraId="48067113"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3A2CC4E9"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2. Evaluări pentru iniţierea tratamentului</w:t>
      </w:r>
    </w:p>
    <w:p w14:paraId="0A42E983" w14:textId="6A7CBB49" w:rsidR="00083B52" w:rsidRPr="00F941DA" w:rsidRDefault="00083B52" w:rsidP="00083B52">
      <w:pPr>
        <w:autoSpaceDE w:val="0"/>
        <w:autoSpaceDN w:val="0"/>
        <w:adjustRightInd w:val="0"/>
        <w:jc w:val="both"/>
        <w:rPr>
          <w:rFonts w:ascii="Times New Roman" w:hAnsi="Times New Roman" w:cs="Times New Roman"/>
          <w:b/>
          <w:bCs/>
          <w:sz w:val="24"/>
          <w:szCs w:val="24"/>
          <w:u w:val="single"/>
        </w:rPr>
      </w:pPr>
      <w:r w:rsidRPr="00F941DA">
        <w:rPr>
          <w:rFonts w:ascii="Times New Roman" w:hAnsi="Times New Roman" w:cs="Times New Roman"/>
          <w:b/>
          <w:bCs/>
          <w:sz w:val="24"/>
          <w:szCs w:val="24"/>
          <w:u w:val="single"/>
        </w:rPr>
        <w:t>Vor fi efectuate de un medic specialist endocrinolog dintr-o clinică universitară.</w:t>
      </w:r>
    </w:p>
    <w:p w14:paraId="101C5747" w14:textId="371F71E4"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2.1. Evaluarea minimă şi obligatorie pentru iniţierea tratamentului (evaluări nu mai vechi de 6 luni):</w:t>
      </w:r>
      <w:r w:rsidRPr="00F941DA">
        <w:rPr>
          <w:rFonts w:ascii="Times New Roman" w:hAnsi="Times New Roman" w:cs="Times New Roman"/>
          <w:sz w:val="24"/>
          <w:szCs w:val="24"/>
        </w:rPr>
        <w:t xml:space="preserve"> </w:t>
      </w:r>
    </w:p>
    <w:p w14:paraId="2A4D0873"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sz w:val="24"/>
          <w:szCs w:val="24"/>
        </w:rPr>
        <w:t>A.</w:t>
      </w:r>
      <w:r w:rsidRPr="00F941DA">
        <w:rPr>
          <w:rFonts w:ascii="Times New Roman" w:hAnsi="Times New Roman" w:cs="Times New Roman"/>
          <w:sz w:val="24"/>
          <w:szCs w:val="24"/>
        </w:rPr>
        <w:t xml:space="preserve"> Caracteristici clinice de acromegalie activă, certificate obligatoriu de:</w:t>
      </w:r>
    </w:p>
    <w:p w14:paraId="6849EC75" w14:textId="77777777" w:rsidR="00083B52" w:rsidRPr="00F941DA" w:rsidRDefault="00083B52" w:rsidP="00D11DF1">
      <w:pPr>
        <w:numPr>
          <w:ilvl w:val="0"/>
          <w:numId w:val="165"/>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Supresia GH în test oral de toleranţă la glucoză _ OGTT (75 g glucoză p.o. la adulţi, respectiv 1,75 g/KgC, maxim 75 g la copii)</w:t>
      </w:r>
    </w:p>
    <w:p w14:paraId="770125AF"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tbl>
      <w:tblPr>
        <w:tblW w:w="9668" w:type="dxa"/>
        <w:tblInd w:w="105" w:type="dxa"/>
        <w:tblLayout w:type="fixed"/>
        <w:tblCellMar>
          <w:left w:w="105" w:type="dxa"/>
          <w:right w:w="105" w:type="dxa"/>
        </w:tblCellMar>
        <w:tblLook w:val="0000" w:firstRow="0" w:lastRow="0" w:firstColumn="0" w:lastColumn="0" w:noHBand="0" w:noVBand="0"/>
      </w:tblPr>
      <w:tblGrid>
        <w:gridCol w:w="1588"/>
        <w:gridCol w:w="1985"/>
        <w:gridCol w:w="2126"/>
        <w:gridCol w:w="1985"/>
        <w:gridCol w:w="1984"/>
      </w:tblGrid>
      <w:tr w:rsidR="00083B52" w:rsidRPr="00F941DA" w14:paraId="73B10A7B" w14:textId="77777777" w:rsidTr="00083B52">
        <w:tc>
          <w:tcPr>
            <w:tcW w:w="1588" w:type="dxa"/>
            <w:tcBorders>
              <w:top w:val="single" w:sz="6" w:space="0" w:color="000000"/>
              <w:left w:val="single" w:sz="6" w:space="0" w:color="000000"/>
              <w:bottom w:val="single" w:sz="6" w:space="0" w:color="000000"/>
              <w:right w:val="single" w:sz="6" w:space="0" w:color="000000"/>
            </w:tcBorders>
          </w:tcPr>
          <w:p w14:paraId="020F9AF9" w14:textId="77777777" w:rsidR="00083B52" w:rsidRPr="00F941DA" w:rsidRDefault="00083B52" w:rsidP="00083B52">
            <w:pPr>
              <w:autoSpaceDE w:val="0"/>
              <w:autoSpaceDN w:val="0"/>
              <w:adjustRightInd w:val="0"/>
              <w:jc w:val="both"/>
              <w:rPr>
                <w:rFonts w:ascii="Times New Roman" w:hAnsi="Times New Roman" w:cs="Times New Roman"/>
                <w:sz w:val="20"/>
                <w:szCs w:val="20"/>
              </w:rPr>
            </w:pPr>
            <w:r w:rsidRPr="00F941DA">
              <w:rPr>
                <w:rFonts w:ascii="Times New Roman" w:hAnsi="Times New Roman" w:cs="Times New Roman"/>
                <w:sz w:val="20"/>
                <w:szCs w:val="20"/>
              </w:rPr>
              <w:t>Data</w:t>
            </w:r>
          </w:p>
        </w:tc>
        <w:tc>
          <w:tcPr>
            <w:tcW w:w="1985" w:type="dxa"/>
            <w:tcBorders>
              <w:top w:val="single" w:sz="6" w:space="0" w:color="000000"/>
              <w:left w:val="single" w:sz="6" w:space="0" w:color="000000"/>
              <w:bottom w:val="single" w:sz="6" w:space="0" w:color="000000"/>
              <w:right w:val="single" w:sz="6" w:space="0" w:color="000000"/>
            </w:tcBorders>
          </w:tcPr>
          <w:p w14:paraId="2BB8E141" w14:textId="77777777" w:rsidR="00083B52" w:rsidRPr="00F941DA" w:rsidRDefault="00083B52" w:rsidP="00083B52">
            <w:pPr>
              <w:autoSpaceDE w:val="0"/>
              <w:autoSpaceDN w:val="0"/>
              <w:adjustRightInd w:val="0"/>
              <w:jc w:val="both"/>
              <w:rPr>
                <w:rFonts w:ascii="Times New Roman" w:hAnsi="Times New Roman" w:cs="Times New Roman"/>
                <w:sz w:val="20"/>
                <w:szCs w:val="20"/>
              </w:rPr>
            </w:pPr>
            <w:r w:rsidRPr="00F941DA">
              <w:rPr>
                <w:rFonts w:ascii="Times New Roman" w:hAnsi="Times New Roman" w:cs="Times New Roman"/>
                <w:sz w:val="20"/>
                <w:szCs w:val="20"/>
              </w:rPr>
              <w:t>0 min</w:t>
            </w:r>
          </w:p>
        </w:tc>
        <w:tc>
          <w:tcPr>
            <w:tcW w:w="2126" w:type="dxa"/>
            <w:tcBorders>
              <w:top w:val="single" w:sz="6" w:space="0" w:color="000000"/>
              <w:left w:val="single" w:sz="6" w:space="0" w:color="000000"/>
              <w:bottom w:val="single" w:sz="6" w:space="0" w:color="000000"/>
              <w:right w:val="single" w:sz="6" w:space="0" w:color="000000"/>
            </w:tcBorders>
          </w:tcPr>
          <w:p w14:paraId="6EA64731" w14:textId="77777777" w:rsidR="00083B52" w:rsidRPr="00F941DA" w:rsidRDefault="00083B52" w:rsidP="00083B52">
            <w:pPr>
              <w:autoSpaceDE w:val="0"/>
              <w:autoSpaceDN w:val="0"/>
              <w:adjustRightInd w:val="0"/>
              <w:jc w:val="both"/>
              <w:rPr>
                <w:rFonts w:ascii="Times New Roman" w:hAnsi="Times New Roman" w:cs="Times New Roman"/>
                <w:sz w:val="20"/>
                <w:szCs w:val="20"/>
              </w:rPr>
            </w:pPr>
            <w:r w:rsidRPr="00F941DA">
              <w:rPr>
                <w:rFonts w:ascii="Times New Roman" w:hAnsi="Times New Roman" w:cs="Times New Roman"/>
                <w:sz w:val="20"/>
                <w:szCs w:val="20"/>
              </w:rPr>
              <w:t>30 min</w:t>
            </w:r>
          </w:p>
        </w:tc>
        <w:tc>
          <w:tcPr>
            <w:tcW w:w="1985" w:type="dxa"/>
            <w:tcBorders>
              <w:top w:val="single" w:sz="6" w:space="0" w:color="000000"/>
              <w:left w:val="single" w:sz="6" w:space="0" w:color="000000"/>
              <w:bottom w:val="single" w:sz="6" w:space="0" w:color="000000"/>
              <w:right w:val="single" w:sz="6" w:space="0" w:color="000000"/>
            </w:tcBorders>
          </w:tcPr>
          <w:p w14:paraId="7C0605B4" w14:textId="77777777" w:rsidR="00083B52" w:rsidRPr="00F941DA" w:rsidRDefault="00083B52" w:rsidP="00083B52">
            <w:pPr>
              <w:autoSpaceDE w:val="0"/>
              <w:autoSpaceDN w:val="0"/>
              <w:adjustRightInd w:val="0"/>
              <w:jc w:val="both"/>
              <w:rPr>
                <w:rFonts w:ascii="Times New Roman" w:hAnsi="Times New Roman" w:cs="Times New Roman"/>
                <w:sz w:val="20"/>
                <w:szCs w:val="20"/>
              </w:rPr>
            </w:pPr>
            <w:r w:rsidRPr="00F941DA">
              <w:rPr>
                <w:rFonts w:ascii="Times New Roman" w:hAnsi="Times New Roman" w:cs="Times New Roman"/>
                <w:sz w:val="20"/>
                <w:szCs w:val="20"/>
              </w:rPr>
              <w:t>60 min</w:t>
            </w:r>
          </w:p>
        </w:tc>
        <w:tc>
          <w:tcPr>
            <w:tcW w:w="1984" w:type="dxa"/>
            <w:tcBorders>
              <w:top w:val="single" w:sz="6" w:space="0" w:color="000000"/>
              <w:left w:val="single" w:sz="6" w:space="0" w:color="000000"/>
              <w:bottom w:val="single" w:sz="6" w:space="0" w:color="000000"/>
              <w:right w:val="single" w:sz="6" w:space="0" w:color="000000"/>
            </w:tcBorders>
          </w:tcPr>
          <w:p w14:paraId="0E15C19B" w14:textId="77777777" w:rsidR="00083B52" w:rsidRPr="00F941DA" w:rsidRDefault="00083B52" w:rsidP="00083B52">
            <w:pPr>
              <w:autoSpaceDE w:val="0"/>
              <w:autoSpaceDN w:val="0"/>
              <w:adjustRightInd w:val="0"/>
              <w:jc w:val="both"/>
              <w:rPr>
                <w:rFonts w:ascii="Times New Roman" w:hAnsi="Times New Roman" w:cs="Times New Roman"/>
                <w:sz w:val="20"/>
                <w:szCs w:val="20"/>
              </w:rPr>
            </w:pPr>
            <w:r w:rsidRPr="00F941DA">
              <w:rPr>
                <w:rFonts w:ascii="Times New Roman" w:hAnsi="Times New Roman" w:cs="Times New Roman"/>
                <w:sz w:val="20"/>
                <w:szCs w:val="20"/>
              </w:rPr>
              <w:t>120 min</w:t>
            </w:r>
          </w:p>
        </w:tc>
      </w:tr>
      <w:tr w:rsidR="00083B52" w:rsidRPr="00F941DA" w14:paraId="383C13FF" w14:textId="77777777" w:rsidTr="00083B52">
        <w:tc>
          <w:tcPr>
            <w:tcW w:w="1588" w:type="dxa"/>
            <w:tcBorders>
              <w:top w:val="single" w:sz="6" w:space="0" w:color="000000"/>
              <w:left w:val="single" w:sz="6" w:space="0" w:color="000000"/>
              <w:bottom w:val="single" w:sz="6" w:space="0" w:color="000000"/>
              <w:right w:val="single" w:sz="6" w:space="0" w:color="000000"/>
            </w:tcBorders>
          </w:tcPr>
          <w:p w14:paraId="69EC1335" w14:textId="77777777" w:rsidR="00083B52" w:rsidRPr="00F941DA" w:rsidRDefault="00083B52" w:rsidP="00083B52">
            <w:pPr>
              <w:autoSpaceDE w:val="0"/>
              <w:autoSpaceDN w:val="0"/>
              <w:adjustRightInd w:val="0"/>
              <w:jc w:val="both"/>
              <w:rPr>
                <w:rFonts w:ascii="Times New Roman" w:hAnsi="Times New Roman" w:cs="Times New Roman"/>
                <w:sz w:val="20"/>
                <w:szCs w:val="20"/>
              </w:rPr>
            </w:pPr>
            <w:r w:rsidRPr="00F941DA">
              <w:rPr>
                <w:rFonts w:ascii="Times New Roman" w:hAnsi="Times New Roman" w:cs="Times New Roman"/>
                <w:sz w:val="20"/>
                <w:szCs w:val="20"/>
              </w:rPr>
              <w:t>Glicemia</w:t>
            </w:r>
          </w:p>
        </w:tc>
        <w:tc>
          <w:tcPr>
            <w:tcW w:w="1985" w:type="dxa"/>
            <w:tcBorders>
              <w:top w:val="single" w:sz="6" w:space="0" w:color="000000"/>
              <w:left w:val="single" w:sz="6" w:space="0" w:color="000000"/>
              <w:bottom w:val="single" w:sz="6" w:space="0" w:color="000000"/>
              <w:right w:val="single" w:sz="6" w:space="0" w:color="000000"/>
            </w:tcBorders>
          </w:tcPr>
          <w:p w14:paraId="20A9C248" w14:textId="77777777" w:rsidR="00083B52" w:rsidRPr="00F941DA" w:rsidRDefault="00083B52" w:rsidP="00083B52">
            <w:pPr>
              <w:autoSpaceDE w:val="0"/>
              <w:autoSpaceDN w:val="0"/>
              <w:adjustRightInd w:val="0"/>
              <w:jc w:val="both"/>
              <w:rPr>
                <w:rFonts w:ascii="Times New Roman" w:hAnsi="Times New Roman" w:cs="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tcPr>
          <w:p w14:paraId="2B8EF875" w14:textId="77777777" w:rsidR="00083B52" w:rsidRPr="00F941DA" w:rsidRDefault="00083B52" w:rsidP="00083B52">
            <w:pPr>
              <w:autoSpaceDE w:val="0"/>
              <w:autoSpaceDN w:val="0"/>
              <w:adjustRightInd w:val="0"/>
              <w:jc w:val="both"/>
              <w:rPr>
                <w:rFonts w:ascii="Times New Roman" w:hAnsi="Times New Roman"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14:paraId="26DE721A" w14:textId="77777777" w:rsidR="00083B52" w:rsidRPr="00F941DA" w:rsidRDefault="00083B52" w:rsidP="00083B52">
            <w:pPr>
              <w:autoSpaceDE w:val="0"/>
              <w:autoSpaceDN w:val="0"/>
              <w:adjustRightInd w:val="0"/>
              <w:jc w:val="both"/>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14:paraId="3ECC21DE" w14:textId="77777777" w:rsidR="00083B52" w:rsidRPr="00F941DA" w:rsidRDefault="00083B52" w:rsidP="00083B52">
            <w:pPr>
              <w:autoSpaceDE w:val="0"/>
              <w:autoSpaceDN w:val="0"/>
              <w:adjustRightInd w:val="0"/>
              <w:jc w:val="both"/>
              <w:rPr>
                <w:rFonts w:ascii="Times New Roman" w:hAnsi="Times New Roman" w:cs="Times New Roman"/>
                <w:sz w:val="20"/>
                <w:szCs w:val="20"/>
              </w:rPr>
            </w:pPr>
          </w:p>
        </w:tc>
      </w:tr>
      <w:tr w:rsidR="00083B52" w:rsidRPr="00F941DA" w14:paraId="53298835" w14:textId="77777777" w:rsidTr="00083B52">
        <w:tc>
          <w:tcPr>
            <w:tcW w:w="1588" w:type="dxa"/>
            <w:tcBorders>
              <w:top w:val="single" w:sz="6" w:space="0" w:color="000000"/>
              <w:left w:val="single" w:sz="6" w:space="0" w:color="000000"/>
              <w:bottom w:val="single" w:sz="6" w:space="0" w:color="000000"/>
              <w:right w:val="single" w:sz="6" w:space="0" w:color="000000"/>
            </w:tcBorders>
          </w:tcPr>
          <w:p w14:paraId="73D7E903" w14:textId="77777777" w:rsidR="00083B52" w:rsidRPr="00F941DA" w:rsidRDefault="00083B52" w:rsidP="00083B52">
            <w:pPr>
              <w:autoSpaceDE w:val="0"/>
              <w:autoSpaceDN w:val="0"/>
              <w:adjustRightInd w:val="0"/>
              <w:jc w:val="both"/>
              <w:rPr>
                <w:rFonts w:ascii="Times New Roman" w:hAnsi="Times New Roman" w:cs="Times New Roman"/>
                <w:sz w:val="20"/>
                <w:szCs w:val="20"/>
              </w:rPr>
            </w:pPr>
            <w:r w:rsidRPr="00F941DA">
              <w:rPr>
                <w:rFonts w:ascii="Times New Roman" w:hAnsi="Times New Roman" w:cs="Times New Roman"/>
                <w:sz w:val="20"/>
                <w:szCs w:val="20"/>
              </w:rPr>
              <w:t>GH</w:t>
            </w:r>
          </w:p>
        </w:tc>
        <w:tc>
          <w:tcPr>
            <w:tcW w:w="1985" w:type="dxa"/>
            <w:tcBorders>
              <w:top w:val="single" w:sz="6" w:space="0" w:color="000000"/>
              <w:left w:val="single" w:sz="6" w:space="0" w:color="000000"/>
              <w:bottom w:val="single" w:sz="6" w:space="0" w:color="000000"/>
              <w:right w:val="single" w:sz="6" w:space="0" w:color="000000"/>
            </w:tcBorders>
          </w:tcPr>
          <w:p w14:paraId="3D130DF4" w14:textId="77777777" w:rsidR="00083B52" w:rsidRPr="00F941DA" w:rsidRDefault="00083B52" w:rsidP="00083B52">
            <w:pPr>
              <w:autoSpaceDE w:val="0"/>
              <w:autoSpaceDN w:val="0"/>
              <w:adjustRightInd w:val="0"/>
              <w:jc w:val="both"/>
              <w:rPr>
                <w:rFonts w:ascii="Times New Roman" w:hAnsi="Times New Roman" w:cs="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tcPr>
          <w:p w14:paraId="1F0B18D8" w14:textId="77777777" w:rsidR="00083B52" w:rsidRPr="00F941DA" w:rsidRDefault="00083B52" w:rsidP="00083B52">
            <w:pPr>
              <w:autoSpaceDE w:val="0"/>
              <w:autoSpaceDN w:val="0"/>
              <w:adjustRightInd w:val="0"/>
              <w:jc w:val="both"/>
              <w:rPr>
                <w:rFonts w:ascii="Times New Roman" w:hAnsi="Times New Roman"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14:paraId="07C4C9B9" w14:textId="77777777" w:rsidR="00083B52" w:rsidRPr="00F941DA" w:rsidRDefault="00083B52" w:rsidP="00083B52">
            <w:pPr>
              <w:autoSpaceDE w:val="0"/>
              <w:autoSpaceDN w:val="0"/>
              <w:adjustRightInd w:val="0"/>
              <w:jc w:val="both"/>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14:paraId="237B7AFA" w14:textId="77777777" w:rsidR="00083B52" w:rsidRPr="00F941DA" w:rsidRDefault="00083B52" w:rsidP="00083B52">
            <w:pPr>
              <w:autoSpaceDE w:val="0"/>
              <w:autoSpaceDN w:val="0"/>
              <w:adjustRightInd w:val="0"/>
              <w:jc w:val="both"/>
              <w:rPr>
                <w:rFonts w:ascii="Times New Roman" w:hAnsi="Times New Roman" w:cs="Times New Roman"/>
                <w:sz w:val="20"/>
                <w:szCs w:val="20"/>
              </w:rPr>
            </w:pPr>
          </w:p>
        </w:tc>
      </w:tr>
    </w:tbl>
    <w:p w14:paraId="7B5B4CB7"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789B0528" w14:textId="77777777" w:rsidR="00083B52" w:rsidRPr="00F941DA" w:rsidRDefault="00083B52" w:rsidP="00083B52">
      <w:pPr>
        <w:autoSpaceDE w:val="0"/>
        <w:autoSpaceDN w:val="0"/>
        <w:adjustRightInd w:val="0"/>
        <w:ind w:left="720"/>
        <w:jc w:val="both"/>
        <w:rPr>
          <w:rFonts w:ascii="Times New Roman" w:hAnsi="Times New Roman" w:cs="Times New Roman"/>
          <w:sz w:val="24"/>
          <w:szCs w:val="24"/>
        </w:rPr>
      </w:pPr>
      <w:r w:rsidRPr="00F941DA">
        <w:rPr>
          <w:rFonts w:ascii="Times New Roman" w:hAnsi="Times New Roman" w:cs="Times New Roman"/>
          <w:sz w:val="24"/>
          <w:szCs w:val="24"/>
        </w:rPr>
        <w:t>Interpretare: în acromegalia activă GH seric este peste 0,4 ng/ml în cursul OGTT, în toate probele. Acest test nu se va efectua la pacienţii cu diabet zaharat.</w:t>
      </w:r>
    </w:p>
    <w:p w14:paraId="6E21D952" w14:textId="77777777" w:rsidR="00083B52" w:rsidRPr="00F941DA" w:rsidRDefault="00083B52" w:rsidP="00D11DF1">
      <w:pPr>
        <w:numPr>
          <w:ilvl w:val="0"/>
          <w:numId w:val="165"/>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Curba de GH seric în 24 ore (minim 4 probe GH recoltate la intervale de 4 ore) va înlocui OGTT la pacienţii cu diabet zaharat. Media GH pe 24 ore ≥ 1 ng/ml confirmă acromegalia activă.</w:t>
      </w:r>
    </w:p>
    <w:p w14:paraId="239B207E" w14:textId="77777777" w:rsidR="00083B52" w:rsidRPr="00F941DA" w:rsidRDefault="00083B52" w:rsidP="00D11DF1">
      <w:pPr>
        <w:numPr>
          <w:ilvl w:val="0"/>
          <w:numId w:val="165"/>
        </w:numPr>
        <w:autoSpaceDE w:val="0"/>
        <w:autoSpaceDN w:val="0"/>
        <w:adjustRightInd w:val="0"/>
        <w:spacing w:after="0" w:line="240" w:lineRule="auto"/>
        <w:jc w:val="both"/>
        <w:rPr>
          <w:rFonts w:ascii="Times New Roman" w:hAnsi="Times New Roman" w:cs="Times New Roman"/>
          <w:sz w:val="24"/>
          <w:szCs w:val="24"/>
        </w:rPr>
      </w:pPr>
      <w:r w:rsidRPr="00F941DA">
        <w:rPr>
          <w:rFonts w:ascii="Times New Roman" w:hAnsi="Times New Roman" w:cs="Times New Roman"/>
          <w:sz w:val="24"/>
          <w:szCs w:val="24"/>
        </w:rPr>
        <w:t xml:space="preserve">IGF1. Cel puţin două valori crescute, </w:t>
      </w:r>
      <w:r w:rsidRPr="00F941DA">
        <w:rPr>
          <w:rFonts w:ascii="Times New Roman" w:hAnsi="Times New Roman" w:cs="Times New Roman"/>
          <w:b/>
          <w:bCs/>
          <w:sz w:val="24"/>
          <w:szCs w:val="24"/>
        </w:rPr>
        <w:t>în prezenţa tabloului clinic sugestiv</w:t>
      </w:r>
      <w:r w:rsidRPr="00F941DA">
        <w:rPr>
          <w:rFonts w:ascii="Times New Roman" w:hAnsi="Times New Roman" w:cs="Times New Roman"/>
          <w:sz w:val="24"/>
          <w:szCs w:val="24"/>
        </w:rPr>
        <w:t>, susţin diagnosticul de acromegalie activă, indiferent de valoarea GH.</w:t>
      </w:r>
    </w:p>
    <w:p w14:paraId="113A4570" w14:textId="77777777" w:rsidR="00083B52" w:rsidRPr="00F941DA" w:rsidRDefault="00083B52" w:rsidP="00083B52">
      <w:pPr>
        <w:autoSpaceDE w:val="0"/>
        <w:autoSpaceDN w:val="0"/>
        <w:adjustRightInd w:val="0"/>
        <w:ind w:left="720"/>
        <w:jc w:val="both"/>
        <w:rPr>
          <w:rFonts w:ascii="Times New Roman" w:hAnsi="Times New Roman" w:cs="Times New Roman"/>
          <w:sz w:val="24"/>
          <w:szCs w:val="24"/>
        </w:rPr>
      </w:pPr>
    </w:p>
    <w:p w14:paraId="03868DFE"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Postoperator, evaluarea hormonală (GH, IGF-1 conform protocolului) se va face după cel puţin 12 săptămâni de la intervenţia chirurgicală.</w:t>
      </w:r>
    </w:p>
    <w:p w14:paraId="5C01F481"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Confirmarea masei tumorale hipofizare: diagnostic CT sau, preferabil IRM cu substanţă de contrast, pentru localizare: intraselară/cu expansiune extraselară, dimensiuni: diametre maxime - cranial, transversal.</w:t>
      </w:r>
    </w:p>
    <w:p w14:paraId="232AC068"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N.B. Absenţa restului tumoral la examenul imagistic postoperator în condiţiile criteriilor a. b. sau c. prezente, nu exclude eligibilitatea la tratament.</w:t>
      </w:r>
    </w:p>
    <w:p w14:paraId="29885D03" w14:textId="116A3D2B"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sz w:val="24"/>
          <w:szCs w:val="24"/>
        </w:rPr>
        <w:lastRenderedPageBreak/>
        <w:t>B</w:t>
      </w:r>
      <w:r w:rsidRPr="00F941DA">
        <w:rPr>
          <w:rFonts w:ascii="Times New Roman" w:hAnsi="Times New Roman" w:cs="Times New Roman"/>
          <w:sz w:val="24"/>
          <w:szCs w:val="24"/>
        </w:rPr>
        <w:t>. Sinteza istoricului bolii cu precizarea complicaţiilor (susţinute prin documente anexate), a terapiei urmate şi a contraindicaţiilor terapeutice (susţinute prin documente anexate).</w:t>
      </w:r>
    </w:p>
    <w:p w14:paraId="6F64F2C9"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bCs/>
          <w:sz w:val="24"/>
          <w:szCs w:val="24"/>
        </w:rPr>
        <w:t xml:space="preserve">2.2. Evaluări complementare </w:t>
      </w:r>
      <w:r w:rsidRPr="00F941DA">
        <w:rPr>
          <w:rFonts w:ascii="Times New Roman" w:hAnsi="Times New Roman" w:cs="Times New Roman"/>
          <w:sz w:val="24"/>
          <w:szCs w:val="24"/>
        </w:rPr>
        <w:t xml:space="preserve">(nu </w:t>
      </w:r>
      <w:r w:rsidRPr="00F941DA">
        <w:rPr>
          <w:rFonts w:ascii="Times New Roman" w:hAnsi="Times New Roman" w:cs="Times New Roman"/>
          <w:b/>
          <w:bCs/>
          <w:sz w:val="24"/>
          <w:szCs w:val="24"/>
        </w:rPr>
        <w:t>mai vechi de 6 luni</w:t>
      </w:r>
      <w:r w:rsidRPr="00F941DA">
        <w:rPr>
          <w:rFonts w:ascii="Times New Roman" w:hAnsi="Times New Roman" w:cs="Times New Roman"/>
          <w:sz w:val="24"/>
          <w:szCs w:val="24"/>
        </w:rPr>
        <w:t>) sunt necesare în dosarul pacientului pentru a preveni şi evidenţia complicaţiile şi a indica medicaţia adjuvantă.</w:t>
      </w:r>
    </w:p>
    <w:p w14:paraId="0EC2F9CA" w14:textId="77777777" w:rsidR="00083B52" w:rsidRPr="00F941DA" w:rsidRDefault="00083B52" w:rsidP="00D11DF1">
      <w:pPr>
        <w:numPr>
          <w:ilvl w:val="0"/>
          <w:numId w:val="166"/>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Biochimie generală: glicemie, hemoglobină glicozilată (la pacienţii diabetici), profil lipidic, transaminaze, uree, creatinină</w:t>
      </w:r>
    </w:p>
    <w:p w14:paraId="68F57C18" w14:textId="77777777" w:rsidR="00083B52" w:rsidRPr="00F941DA" w:rsidRDefault="00083B52" w:rsidP="00D11DF1">
      <w:pPr>
        <w:numPr>
          <w:ilvl w:val="0"/>
          <w:numId w:val="166"/>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Dozări hormonale: prolactina, cortizol plasmatic bazal 8 - 9 a.m. fT4, TSH, gonadotropi + Estradiol (la femei de vârstă fertilă) sau gonadotropi + Testosteron 8 - 9 a.m. (la bărbaţi).</w:t>
      </w:r>
    </w:p>
    <w:p w14:paraId="2CA68A06" w14:textId="77777777" w:rsidR="00083B52" w:rsidRPr="00F941DA" w:rsidRDefault="00083B52" w:rsidP="00D11DF1">
      <w:pPr>
        <w:numPr>
          <w:ilvl w:val="0"/>
          <w:numId w:val="166"/>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Ex oftalmologic: FO, câmp vizual</w:t>
      </w:r>
    </w:p>
    <w:p w14:paraId="0C09D1D6" w14:textId="77777777" w:rsidR="00083B52" w:rsidRPr="00F941DA" w:rsidRDefault="00083B52" w:rsidP="00D11DF1">
      <w:pPr>
        <w:numPr>
          <w:ilvl w:val="0"/>
          <w:numId w:val="166"/>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Electrocardiograma (EKG)</w:t>
      </w:r>
    </w:p>
    <w:p w14:paraId="6FC3C76C" w14:textId="77777777" w:rsidR="00083B52" w:rsidRPr="00F941DA" w:rsidRDefault="00083B52" w:rsidP="00D11DF1">
      <w:pPr>
        <w:numPr>
          <w:ilvl w:val="0"/>
          <w:numId w:val="166"/>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Ecografie colecist</w:t>
      </w:r>
    </w:p>
    <w:p w14:paraId="44C65B6B"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08ADE1FB"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bCs/>
          <w:sz w:val="24"/>
          <w:szCs w:val="24"/>
        </w:rPr>
        <w:t>2.3. Evaluări suplimentare</w:t>
      </w:r>
      <w:r w:rsidRPr="00F941DA">
        <w:rPr>
          <w:rFonts w:ascii="Times New Roman" w:hAnsi="Times New Roman" w:cs="Times New Roman"/>
          <w:sz w:val="24"/>
          <w:szCs w:val="24"/>
        </w:rPr>
        <w:t xml:space="preserve"> pentru depistarea eventualelor complicaţii:</w:t>
      </w:r>
    </w:p>
    <w:p w14:paraId="11C2FFF3" w14:textId="77777777" w:rsidR="00083B52" w:rsidRPr="00F941DA" w:rsidRDefault="00083B52" w:rsidP="00D11DF1">
      <w:pPr>
        <w:numPr>
          <w:ilvl w:val="0"/>
          <w:numId w:val="167"/>
        </w:numPr>
        <w:tabs>
          <w:tab w:val="left" w:pos="426"/>
        </w:tabs>
        <w:autoSpaceDE w:val="0"/>
        <w:autoSpaceDN w:val="0"/>
        <w:adjustRightInd w:val="0"/>
        <w:spacing w:after="0" w:line="240" w:lineRule="auto"/>
        <w:ind w:left="142" w:hanging="142"/>
        <w:jc w:val="both"/>
        <w:rPr>
          <w:rFonts w:ascii="Times New Roman" w:hAnsi="Times New Roman" w:cs="Times New Roman"/>
          <w:b/>
          <w:bCs/>
          <w:sz w:val="24"/>
          <w:szCs w:val="24"/>
        </w:rPr>
      </w:pPr>
      <w:r w:rsidRPr="00F941DA">
        <w:rPr>
          <w:rFonts w:ascii="Times New Roman" w:hAnsi="Times New Roman" w:cs="Times New Roman"/>
          <w:sz w:val="24"/>
          <w:szCs w:val="24"/>
        </w:rPr>
        <w:t xml:space="preserve">Consult cardiologic clinic, echocardiografie - criterii </w:t>
      </w:r>
      <w:r w:rsidRPr="00F941DA">
        <w:rPr>
          <w:rFonts w:ascii="Times New Roman" w:hAnsi="Times New Roman" w:cs="Times New Roman"/>
          <w:b/>
          <w:bCs/>
          <w:sz w:val="24"/>
          <w:szCs w:val="24"/>
        </w:rPr>
        <w:t>pentru complicaţiile cardiovasculare</w:t>
      </w:r>
    </w:p>
    <w:p w14:paraId="00E1D5BD" w14:textId="77777777" w:rsidR="00083B52" w:rsidRPr="00F941DA" w:rsidRDefault="00083B52" w:rsidP="00D11DF1">
      <w:pPr>
        <w:numPr>
          <w:ilvl w:val="0"/>
          <w:numId w:val="167"/>
        </w:numPr>
        <w:tabs>
          <w:tab w:val="left" w:pos="426"/>
        </w:tabs>
        <w:autoSpaceDE w:val="0"/>
        <w:autoSpaceDN w:val="0"/>
        <w:adjustRightInd w:val="0"/>
        <w:spacing w:after="0" w:line="240" w:lineRule="auto"/>
        <w:ind w:left="142" w:hanging="142"/>
        <w:jc w:val="both"/>
        <w:rPr>
          <w:rFonts w:ascii="Times New Roman" w:hAnsi="Times New Roman" w:cs="Times New Roman"/>
          <w:sz w:val="24"/>
          <w:szCs w:val="24"/>
        </w:rPr>
      </w:pPr>
      <w:r w:rsidRPr="00F941DA">
        <w:rPr>
          <w:rFonts w:ascii="Times New Roman" w:hAnsi="Times New Roman" w:cs="Times New Roman"/>
          <w:b/>
          <w:bCs/>
          <w:sz w:val="24"/>
          <w:szCs w:val="24"/>
        </w:rPr>
        <w:t>Colonoscopie</w:t>
      </w:r>
      <w:r w:rsidRPr="00F941DA">
        <w:rPr>
          <w:rFonts w:ascii="Times New Roman" w:hAnsi="Times New Roman" w:cs="Times New Roman"/>
          <w:sz w:val="24"/>
          <w:szCs w:val="24"/>
        </w:rPr>
        <w:t xml:space="preserve"> - criteriu pentru depistarea şi tratarea polipilor colonici cu potenţial malign</w:t>
      </w:r>
    </w:p>
    <w:p w14:paraId="72D15992" w14:textId="77777777" w:rsidR="00083B52" w:rsidRPr="00F941DA" w:rsidRDefault="00083B52" w:rsidP="00D11DF1">
      <w:pPr>
        <w:numPr>
          <w:ilvl w:val="0"/>
          <w:numId w:val="167"/>
        </w:numPr>
        <w:tabs>
          <w:tab w:val="left" w:pos="426"/>
        </w:tabs>
        <w:autoSpaceDE w:val="0"/>
        <w:autoSpaceDN w:val="0"/>
        <w:adjustRightInd w:val="0"/>
        <w:spacing w:after="0" w:line="240" w:lineRule="auto"/>
        <w:ind w:left="142" w:hanging="142"/>
        <w:jc w:val="both"/>
        <w:rPr>
          <w:rFonts w:ascii="Times New Roman" w:hAnsi="Times New Roman" w:cs="Times New Roman"/>
          <w:sz w:val="24"/>
          <w:szCs w:val="24"/>
        </w:rPr>
      </w:pPr>
      <w:r w:rsidRPr="00F941DA">
        <w:rPr>
          <w:rFonts w:ascii="Times New Roman" w:hAnsi="Times New Roman" w:cs="Times New Roman"/>
          <w:sz w:val="24"/>
          <w:szCs w:val="24"/>
        </w:rPr>
        <w:t>Polisomnografie - criterii pentru depistarea şi tratarea sindromului de apnee de somn.</w:t>
      </w:r>
    </w:p>
    <w:p w14:paraId="646632CB" w14:textId="77777777" w:rsidR="00083B52" w:rsidRPr="00F941DA" w:rsidRDefault="00083B52" w:rsidP="00D11DF1">
      <w:pPr>
        <w:numPr>
          <w:ilvl w:val="0"/>
          <w:numId w:val="167"/>
        </w:numPr>
        <w:tabs>
          <w:tab w:val="left" w:pos="426"/>
        </w:tabs>
        <w:autoSpaceDE w:val="0"/>
        <w:autoSpaceDN w:val="0"/>
        <w:adjustRightInd w:val="0"/>
        <w:spacing w:after="0" w:line="240" w:lineRule="auto"/>
        <w:ind w:left="142" w:hanging="142"/>
        <w:jc w:val="both"/>
        <w:rPr>
          <w:rFonts w:ascii="Times New Roman" w:hAnsi="Times New Roman" w:cs="Times New Roman"/>
          <w:sz w:val="24"/>
          <w:szCs w:val="24"/>
        </w:rPr>
      </w:pPr>
      <w:r w:rsidRPr="00F941DA">
        <w:rPr>
          <w:rFonts w:ascii="Times New Roman" w:hAnsi="Times New Roman" w:cs="Times New Roman"/>
          <w:sz w:val="24"/>
          <w:szCs w:val="24"/>
        </w:rPr>
        <w:t>ecografie tiroidiană</w:t>
      </w:r>
    </w:p>
    <w:p w14:paraId="33E2B7EB" w14:textId="77777777" w:rsidR="000C1C91" w:rsidRPr="00F941DA" w:rsidRDefault="000C1C91" w:rsidP="00083B52">
      <w:pPr>
        <w:autoSpaceDE w:val="0"/>
        <w:autoSpaceDN w:val="0"/>
        <w:adjustRightInd w:val="0"/>
        <w:jc w:val="both"/>
        <w:rPr>
          <w:rFonts w:ascii="Times New Roman" w:hAnsi="Times New Roman" w:cs="Times New Roman"/>
          <w:sz w:val="24"/>
          <w:szCs w:val="24"/>
        </w:rPr>
      </w:pPr>
    </w:p>
    <w:p w14:paraId="70926E89" w14:textId="36E40050"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IV. DOZE</w:t>
      </w:r>
    </w:p>
    <w:p w14:paraId="3CA765D8" w14:textId="77777777" w:rsidR="00083B52" w:rsidRPr="00F941DA" w:rsidRDefault="00083B52" w:rsidP="00083B52">
      <w:pPr>
        <w:autoSpaceDE w:val="0"/>
        <w:autoSpaceDN w:val="0"/>
        <w:adjustRightInd w:val="0"/>
        <w:jc w:val="both"/>
        <w:rPr>
          <w:rFonts w:ascii="Times New Roman" w:hAnsi="Times New Roman" w:cs="Times New Roman"/>
          <w:b/>
          <w:bCs/>
          <w:sz w:val="24"/>
          <w:szCs w:val="24"/>
          <w:u w:val="single"/>
        </w:rPr>
      </w:pPr>
      <w:r w:rsidRPr="00F941DA">
        <w:rPr>
          <w:rFonts w:ascii="Times New Roman" w:hAnsi="Times New Roman" w:cs="Times New Roman"/>
          <w:b/>
          <w:bCs/>
          <w:sz w:val="24"/>
          <w:szCs w:val="24"/>
          <w:u w:val="single"/>
        </w:rPr>
        <w:t>LANREOTID (Lanreotidum PR/Lanreotidum AUTOGEL)</w:t>
      </w:r>
    </w:p>
    <w:p w14:paraId="7CFAF4D8"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Administrarea se va face în ambulator sau spitalizare de zi (la iniţiere), în exclusivitate de către personal medical specializat, sub supraveghere, conform ghidului de injectare. Medicul curant este obligat să informeze pacientul asupra eficacităţii, reacţiilor adverse şi vizitelor pentru monitorizarea tratamentului.</w:t>
      </w:r>
    </w:p>
    <w:p w14:paraId="428FF974"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Se recomandă începerea tratamentului cu </w:t>
      </w:r>
      <w:r w:rsidRPr="00F941DA">
        <w:rPr>
          <w:rFonts w:ascii="Times New Roman" w:hAnsi="Times New Roman" w:cs="Times New Roman"/>
          <w:bCs/>
          <w:sz w:val="24"/>
          <w:szCs w:val="24"/>
        </w:rPr>
        <w:t>Lanreotidum</w:t>
      </w:r>
      <w:r w:rsidRPr="00F941DA">
        <w:rPr>
          <w:rFonts w:ascii="Times New Roman" w:hAnsi="Times New Roman" w:cs="Times New Roman"/>
          <w:b/>
          <w:bCs/>
          <w:sz w:val="24"/>
          <w:szCs w:val="24"/>
        </w:rPr>
        <w:t xml:space="preserve"> </w:t>
      </w:r>
      <w:r w:rsidRPr="00F941DA">
        <w:rPr>
          <w:rFonts w:ascii="Times New Roman" w:hAnsi="Times New Roman" w:cs="Times New Roman"/>
          <w:sz w:val="24"/>
          <w:szCs w:val="24"/>
        </w:rPr>
        <w:t>PR doză de 30 mg, în injectare intramusculară la 14 zile sau Lanreotidum Autogel 120 mg subcutanat la 56 zile. În condiţii de eficienţă scăzută la Lanreotidum PR 30 mg la 14 zile sau Lanreotid Autogel la 56 zile timp de 3 luni, se va creşte doza de Lanreotidum PR la 30 mg la 7 zile sau Lanreotidum Autogel 120 mg la 28 zile.</w:t>
      </w:r>
    </w:p>
    <w:p w14:paraId="2861C211"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495EC15E"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bCs/>
          <w:sz w:val="24"/>
          <w:szCs w:val="24"/>
          <w:u w:val="single"/>
        </w:rPr>
        <w:t>OCTREOTID (Octreotidum LAR)</w:t>
      </w:r>
    </w:p>
    <w:p w14:paraId="532D2005"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Administrarea se va face în ambulator sau spitalizare de zi (la iniţiere), în exclusivitate de către personal medical specializat, sub supraveghere, conform ghidului de injectare. Medicul curant este obligat să informeze pacientul asupra eficacităţii, reacţiilor adverse şi vizitelor pentru monitorizarea tratamentului.</w:t>
      </w:r>
    </w:p>
    <w:p w14:paraId="053236BD"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Se recomandă începerea tratamentului cu doză de 20 mg Octreotidum LAR administrat intramuscular la intervale de 4 săptămâni (28 zile), timp de 3 luni. În condiţii de eficienţă scăzută la această doză, se va administra Octreotidum LAR 30 mg la 28 zile. Pentru pacienţii insuficient controlaţi cu doza de Octreotidum LAR 30 mg/28 zile timp de 3 luni, doza se poate creşte la 40 mg/28 zile.</w:t>
      </w:r>
    </w:p>
    <w:p w14:paraId="726A98BE"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Pentru pacienţii cu control clinic al simptomelor de acromegalie, cu concentraţii de GH bazal sub 1 ng/l şi cu niveluri scăzute de IGF-1 se poate reduce doza de analogi de somatostatin (în cazul octreotidum LAR) sau se poate creşte intervalul de administrare (în cazul Lanreotidum PR sau Autogel) la recomandarea medicului endocrinolog.</w:t>
      </w:r>
    </w:p>
    <w:p w14:paraId="7E72B80A"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33B95B5C" w14:textId="77777777" w:rsidR="000C1C91" w:rsidRPr="00F941DA" w:rsidRDefault="000C1C91" w:rsidP="00083B52">
      <w:pPr>
        <w:autoSpaceDE w:val="0"/>
        <w:autoSpaceDN w:val="0"/>
        <w:adjustRightInd w:val="0"/>
        <w:jc w:val="both"/>
        <w:rPr>
          <w:rFonts w:ascii="Times New Roman" w:hAnsi="Times New Roman" w:cs="Times New Roman"/>
          <w:sz w:val="24"/>
          <w:szCs w:val="24"/>
        </w:rPr>
      </w:pPr>
    </w:p>
    <w:p w14:paraId="120B6420" w14:textId="77777777" w:rsidR="00083B52" w:rsidRPr="00F941DA" w:rsidRDefault="00083B52" w:rsidP="00083B52">
      <w:pPr>
        <w:autoSpaceDE w:val="0"/>
        <w:autoSpaceDN w:val="0"/>
        <w:adjustRightInd w:val="0"/>
        <w:jc w:val="both"/>
        <w:rPr>
          <w:rFonts w:ascii="Times New Roman" w:hAnsi="Times New Roman" w:cs="Times New Roman"/>
          <w:b/>
          <w:bCs/>
          <w:sz w:val="24"/>
          <w:szCs w:val="24"/>
          <w:u w:val="single"/>
        </w:rPr>
      </w:pPr>
      <w:r w:rsidRPr="00F941DA">
        <w:rPr>
          <w:rFonts w:ascii="Times New Roman" w:hAnsi="Times New Roman" w:cs="Times New Roman"/>
          <w:b/>
          <w:bCs/>
          <w:sz w:val="24"/>
          <w:szCs w:val="24"/>
          <w:u w:val="single"/>
        </w:rPr>
        <w:lastRenderedPageBreak/>
        <w:t>PASIREOTID (Pasireotid LAR)</w:t>
      </w:r>
    </w:p>
    <w:p w14:paraId="5A0CE947"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Administrarea se va face în ambulator sau spitalizare de zi (la iniţiere), în exclusivitate de către personal medical specializat, sub supraveghere, conform ghidului de injectare. Medicul curant este obligat să informeze pacientul asupra eficacităţii, reacţiilor adverse şi vizitelor pentru monitorizarea tratamentului.</w:t>
      </w:r>
    </w:p>
    <w:p w14:paraId="3C5E37D6"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Se recomandă începerea tratamentului cu pasireotid LAR 40 mg la fiecare 4 săptămâni. Doza poate fi crescută până la maximum 60 mg la 4 săptămâni pentru pacienţii la care nivelurile hormonului de creştere (GH) şi/sau factorului de creştere de tip insulinic (IGF-1) nu sunt complet controlate după 3 luni de tratament la o doză de 40 mg.</w:t>
      </w:r>
    </w:p>
    <w:p w14:paraId="0590EDEE"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Rezolvarea reacţiilor adverse (în mod deosebit controlul diabetului zaharat) sau a răspunsului exagerat la tratament (IGF-1 &lt; limita normală inferioară) poate necesita o reducere temporară a dozei de pasireotid. Doza poate fi redusă fie temporar, fie permanent, cu câte 20 mg.</w:t>
      </w:r>
    </w:p>
    <w:p w14:paraId="24046721"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p>
    <w:p w14:paraId="722BD861" w14:textId="41518A26"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V. MONITORIZAREA PACIENTILOR CU ACROMEGALIE ÎN TIMPUL TERAPIEI CU ANALOGI DE SOMATOSTATINĂ</w:t>
      </w:r>
    </w:p>
    <w:p w14:paraId="334275DA" w14:textId="25DE086C" w:rsidR="00083B52" w:rsidRPr="00F941DA" w:rsidRDefault="00083B52" w:rsidP="00083B52">
      <w:pPr>
        <w:autoSpaceDE w:val="0"/>
        <w:autoSpaceDN w:val="0"/>
        <w:adjustRightInd w:val="0"/>
        <w:jc w:val="both"/>
        <w:rPr>
          <w:rFonts w:ascii="Times New Roman" w:hAnsi="Times New Roman" w:cs="Times New Roman"/>
          <w:b/>
          <w:bCs/>
          <w:sz w:val="24"/>
          <w:szCs w:val="24"/>
          <w:u w:val="single"/>
        </w:rPr>
      </w:pPr>
      <w:r w:rsidRPr="00F941DA">
        <w:rPr>
          <w:rFonts w:ascii="Times New Roman" w:hAnsi="Times New Roman" w:cs="Times New Roman"/>
          <w:b/>
          <w:bCs/>
          <w:sz w:val="24"/>
          <w:szCs w:val="24"/>
          <w:u w:val="single"/>
        </w:rPr>
        <w:t>Monitorizarea va fi efectuată de un medic specialist endocrinolog, dintr-o clinică universitară.</w:t>
      </w:r>
    </w:p>
    <w:p w14:paraId="17B00BCE"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1. Perioadele de timp la care se face evaluarea (monitorizarea sub tratament):</w:t>
      </w:r>
    </w:p>
    <w:p w14:paraId="3C62C886" w14:textId="51F5E09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În primul an de tratament: din 3 în 3 luni până la stabilirea dozei terapeutice cu eficacitate optimă, apoi evaluări anuale.</w:t>
      </w:r>
    </w:p>
    <w:p w14:paraId="34B38164"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Evaluările vor cuprinde:</w:t>
      </w:r>
    </w:p>
    <w:p w14:paraId="6577A275" w14:textId="77777777" w:rsidR="00083B52" w:rsidRPr="00F941DA" w:rsidRDefault="00083B52" w:rsidP="00D11DF1">
      <w:pPr>
        <w:numPr>
          <w:ilvl w:val="0"/>
          <w:numId w:val="168"/>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GH bazal (random) sau GH in OGTT, IGF1 seric, glicemie a jeun şi hemoglobina glicozilată (la pacienţii diabetici)</w:t>
      </w:r>
    </w:p>
    <w:p w14:paraId="39A04722" w14:textId="77777777" w:rsidR="00083B52" w:rsidRPr="00F941DA" w:rsidRDefault="00083B52" w:rsidP="00D11DF1">
      <w:pPr>
        <w:numPr>
          <w:ilvl w:val="0"/>
          <w:numId w:val="168"/>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examen oftalmologic: FO, câmp vizual (la 6 luni de tratament, apoi anual) - în funcţie de volumul tumoral şi extensie, dacă tumora hipofizară determină compresie pe structurile optice</w:t>
      </w:r>
    </w:p>
    <w:p w14:paraId="54D5BB04" w14:textId="77777777" w:rsidR="00083B52" w:rsidRPr="00F941DA" w:rsidRDefault="00083B52" w:rsidP="00D11DF1">
      <w:pPr>
        <w:numPr>
          <w:ilvl w:val="0"/>
          <w:numId w:val="168"/>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ecografie de colecist (la 6 luni de tratament, apoi anual sau la apariţia manifestărilor sugestive de litiază biliară)</w:t>
      </w:r>
    </w:p>
    <w:p w14:paraId="2674763A" w14:textId="77777777" w:rsidR="00083B52" w:rsidRPr="00F941DA" w:rsidRDefault="00083B52" w:rsidP="00D11DF1">
      <w:pPr>
        <w:numPr>
          <w:ilvl w:val="0"/>
          <w:numId w:val="168"/>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examene imagistice hipofizare (la 6 luni de tratament, apoi anual)</w:t>
      </w:r>
    </w:p>
    <w:p w14:paraId="5CE84684" w14:textId="77777777" w:rsidR="00083B52" w:rsidRPr="00F941DA" w:rsidRDefault="00083B52" w:rsidP="00D11DF1">
      <w:pPr>
        <w:numPr>
          <w:ilvl w:val="0"/>
          <w:numId w:val="168"/>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EKG şi analize curente;</w:t>
      </w:r>
    </w:p>
    <w:p w14:paraId="55E61FAD" w14:textId="77777777" w:rsidR="00083B52" w:rsidRPr="00F941DA" w:rsidRDefault="00083B52" w:rsidP="00D11DF1">
      <w:pPr>
        <w:numPr>
          <w:ilvl w:val="0"/>
          <w:numId w:val="168"/>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ecocardiografie la cei trataţi cu Cabergolină cel puţin 5 ani (anual)</w:t>
      </w:r>
    </w:p>
    <w:p w14:paraId="32E48315" w14:textId="20AD8A48"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După 3 ani de tratament fără întrerupere la pacienţii iradiati si 5 ani la cei neiradiati, cu valori hormonale normalizate sub tratament (eficienţă terapeutică optimă), medicaţia cu analog de somatostatin va fi întreruptă timp de 2 luni, pentru a demonstra persistenţa bolii active. Reevaluarea va cuprinde toate cele din evaluarea iniţială. Pacienţii cu valori hormonale parţial controlate sub tratament vor putea să continue tratamentul fără a face pauză terapeutică.</w:t>
      </w:r>
    </w:p>
    <w:p w14:paraId="03858DA1"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2. Criterii de eficacitate terapeutică:</w:t>
      </w:r>
    </w:p>
    <w:p w14:paraId="35971A87" w14:textId="77777777" w:rsidR="00083B52" w:rsidRPr="00F941DA" w:rsidRDefault="00083B52" w:rsidP="000C1C91">
      <w:pPr>
        <w:autoSpaceDE w:val="0"/>
        <w:autoSpaceDN w:val="0"/>
        <w:adjustRightInd w:val="0"/>
        <w:spacing w:after="0"/>
        <w:jc w:val="both"/>
        <w:rPr>
          <w:rFonts w:ascii="Times New Roman" w:hAnsi="Times New Roman" w:cs="Times New Roman"/>
          <w:sz w:val="24"/>
          <w:szCs w:val="24"/>
        </w:rPr>
      </w:pPr>
      <w:r w:rsidRPr="00F941DA">
        <w:rPr>
          <w:rFonts w:ascii="Times New Roman" w:hAnsi="Times New Roman" w:cs="Times New Roman"/>
          <w:b/>
          <w:sz w:val="24"/>
          <w:szCs w:val="24"/>
        </w:rPr>
        <w:t>A.</w:t>
      </w:r>
      <w:r w:rsidRPr="00F941DA">
        <w:rPr>
          <w:rFonts w:ascii="Times New Roman" w:hAnsi="Times New Roman" w:cs="Times New Roman"/>
          <w:sz w:val="24"/>
          <w:szCs w:val="24"/>
        </w:rPr>
        <w:t xml:space="preserve"> Criterii de control terapeutic optim:</w:t>
      </w:r>
    </w:p>
    <w:p w14:paraId="00E17A00" w14:textId="77777777" w:rsidR="00083B52" w:rsidRPr="00F941DA" w:rsidRDefault="00083B52" w:rsidP="00D11DF1">
      <w:pPr>
        <w:numPr>
          <w:ilvl w:val="0"/>
          <w:numId w:val="169"/>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Simptomatologie controlată</w:t>
      </w:r>
    </w:p>
    <w:p w14:paraId="6511F404" w14:textId="77777777" w:rsidR="00083B52" w:rsidRPr="00F941DA" w:rsidRDefault="00083B52" w:rsidP="00D11DF1">
      <w:pPr>
        <w:numPr>
          <w:ilvl w:val="0"/>
          <w:numId w:val="169"/>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GH bazal (random) ≤1 ng/ml sau GH în OGTT sub 0,4 ng/ml</w:t>
      </w:r>
    </w:p>
    <w:p w14:paraId="7CCB291F" w14:textId="77777777" w:rsidR="00083B52" w:rsidRPr="00F941DA" w:rsidRDefault="00083B52" w:rsidP="00D11DF1">
      <w:pPr>
        <w:numPr>
          <w:ilvl w:val="0"/>
          <w:numId w:val="169"/>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IGF1=1-1,3 X LSN pentru vârstă şi sex</w:t>
      </w:r>
    </w:p>
    <w:p w14:paraId="18F5969B" w14:textId="77777777" w:rsidR="00083B52" w:rsidRPr="00F941DA" w:rsidRDefault="00083B52" w:rsidP="00083B52">
      <w:pPr>
        <w:autoSpaceDE w:val="0"/>
        <w:autoSpaceDN w:val="0"/>
        <w:adjustRightInd w:val="0"/>
        <w:ind w:left="720"/>
        <w:jc w:val="both"/>
        <w:rPr>
          <w:rFonts w:ascii="Times New Roman" w:hAnsi="Times New Roman" w:cs="Times New Roman"/>
          <w:sz w:val="24"/>
          <w:szCs w:val="24"/>
        </w:rPr>
      </w:pPr>
    </w:p>
    <w:p w14:paraId="209F7407" w14:textId="77777777" w:rsidR="00083B52" w:rsidRPr="00F941DA" w:rsidRDefault="00083B52" w:rsidP="000C1C91">
      <w:pPr>
        <w:autoSpaceDE w:val="0"/>
        <w:autoSpaceDN w:val="0"/>
        <w:adjustRightInd w:val="0"/>
        <w:spacing w:after="0"/>
        <w:jc w:val="both"/>
        <w:rPr>
          <w:rFonts w:ascii="Times New Roman" w:hAnsi="Times New Roman" w:cs="Times New Roman"/>
          <w:sz w:val="24"/>
          <w:szCs w:val="24"/>
        </w:rPr>
      </w:pPr>
      <w:r w:rsidRPr="00F941DA">
        <w:rPr>
          <w:rFonts w:ascii="Times New Roman" w:hAnsi="Times New Roman" w:cs="Times New Roman"/>
          <w:b/>
          <w:sz w:val="24"/>
          <w:szCs w:val="24"/>
        </w:rPr>
        <w:t>B.</w:t>
      </w:r>
      <w:r w:rsidRPr="00F941DA">
        <w:rPr>
          <w:rFonts w:ascii="Times New Roman" w:hAnsi="Times New Roman" w:cs="Times New Roman"/>
          <w:sz w:val="24"/>
          <w:szCs w:val="24"/>
        </w:rPr>
        <w:t xml:space="preserve"> Criterii pentru răspuns parţial (incomplet)</w:t>
      </w:r>
    </w:p>
    <w:p w14:paraId="20330178" w14:textId="77777777" w:rsidR="00083B52" w:rsidRPr="00F941DA" w:rsidRDefault="00083B52" w:rsidP="00D11DF1">
      <w:pPr>
        <w:numPr>
          <w:ilvl w:val="3"/>
          <w:numId w:val="170"/>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Simptomatologie controlată</w:t>
      </w:r>
    </w:p>
    <w:p w14:paraId="5FCC12A9" w14:textId="77777777" w:rsidR="00083B52" w:rsidRPr="00F941DA" w:rsidRDefault="00083B52" w:rsidP="00D11DF1">
      <w:pPr>
        <w:numPr>
          <w:ilvl w:val="3"/>
          <w:numId w:val="170"/>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GH bazal (random) peste 1 ng/ml, dar redus cu peste 50% faţă de GH bazal înainte de tratament</w:t>
      </w:r>
    </w:p>
    <w:p w14:paraId="32F4D4D5" w14:textId="77777777" w:rsidR="00083B52" w:rsidRPr="00F941DA" w:rsidRDefault="00083B52" w:rsidP="00D11DF1">
      <w:pPr>
        <w:numPr>
          <w:ilvl w:val="3"/>
          <w:numId w:val="170"/>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IGF1 &gt;1,3 x LSN, dar redus cu ≥ 50% din valoarea iniţială</w:t>
      </w:r>
    </w:p>
    <w:p w14:paraId="7595B762"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0BA919CC" w14:textId="77777777" w:rsidR="00083B52" w:rsidRPr="00F941DA" w:rsidRDefault="00083B52" w:rsidP="000C1C91">
      <w:pPr>
        <w:autoSpaceDE w:val="0"/>
        <w:autoSpaceDN w:val="0"/>
        <w:adjustRightInd w:val="0"/>
        <w:spacing w:after="0"/>
        <w:jc w:val="both"/>
        <w:rPr>
          <w:rFonts w:ascii="Times New Roman" w:hAnsi="Times New Roman" w:cs="Times New Roman"/>
          <w:b/>
          <w:bCs/>
          <w:sz w:val="24"/>
          <w:szCs w:val="24"/>
        </w:rPr>
      </w:pPr>
      <w:r w:rsidRPr="00F941DA">
        <w:rPr>
          <w:rFonts w:ascii="Times New Roman" w:hAnsi="Times New Roman" w:cs="Times New Roman"/>
          <w:b/>
          <w:bCs/>
          <w:sz w:val="24"/>
          <w:szCs w:val="24"/>
        </w:rPr>
        <w:lastRenderedPageBreak/>
        <w:t>3. Criterii de ineficienţă terapeutică:</w:t>
      </w:r>
    </w:p>
    <w:p w14:paraId="714F6FDD" w14:textId="77777777" w:rsidR="00083B52" w:rsidRPr="00F941DA" w:rsidRDefault="00083B52" w:rsidP="00D11DF1">
      <w:pPr>
        <w:numPr>
          <w:ilvl w:val="3"/>
          <w:numId w:val="171"/>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Simptomatologie specifică de acromegalie evolutivă sau</w:t>
      </w:r>
    </w:p>
    <w:p w14:paraId="0F835970" w14:textId="77777777" w:rsidR="00083B52" w:rsidRPr="00F941DA" w:rsidRDefault="00083B52" w:rsidP="00D11DF1">
      <w:pPr>
        <w:numPr>
          <w:ilvl w:val="3"/>
          <w:numId w:val="171"/>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 xml:space="preserve">GH seric bazal peste 1 ng/ml (random), a cărui valoare nu s-a redus cu peste 50% faţă de GH bazal  înregistrat înainte de tratament </w:t>
      </w:r>
    </w:p>
    <w:p w14:paraId="3D0AE3BF" w14:textId="77777777" w:rsidR="00083B52" w:rsidRPr="00F941DA" w:rsidRDefault="00083B52" w:rsidP="00D11DF1">
      <w:pPr>
        <w:numPr>
          <w:ilvl w:val="3"/>
          <w:numId w:val="171"/>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IGF1 &gt;1,3 x LSN, care nu s-a redus cu ≥ 50% din valoarea iniţială (apreciată cu aceeaşi metodă de dozare după acelaşi standard)</w:t>
      </w:r>
    </w:p>
    <w:p w14:paraId="65CFE9DB" w14:textId="77777777" w:rsidR="00083B52" w:rsidRPr="00F941DA" w:rsidRDefault="00083B52" w:rsidP="00D11DF1">
      <w:pPr>
        <w:numPr>
          <w:ilvl w:val="3"/>
          <w:numId w:val="171"/>
        </w:numPr>
        <w:autoSpaceDE w:val="0"/>
        <w:autoSpaceDN w:val="0"/>
        <w:adjustRightInd w:val="0"/>
        <w:spacing w:after="0" w:line="240" w:lineRule="auto"/>
        <w:ind w:left="567" w:hanging="283"/>
        <w:jc w:val="both"/>
        <w:rPr>
          <w:rFonts w:ascii="Times New Roman" w:hAnsi="Times New Roman" w:cs="Times New Roman"/>
          <w:sz w:val="24"/>
          <w:szCs w:val="24"/>
        </w:rPr>
      </w:pPr>
      <w:r w:rsidRPr="00F941DA">
        <w:rPr>
          <w:rFonts w:ascii="Times New Roman" w:hAnsi="Times New Roman" w:cs="Times New Roman"/>
          <w:sz w:val="24"/>
          <w:szCs w:val="24"/>
        </w:rPr>
        <w:t>Masa tumorală hipofizară evolutivă.</w:t>
      </w:r>
    </w:p>
    <w:p w14:paraId="744B5DBB"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66619B7F" w14:textId="738AC198"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Medicul curant are la dispoziţie instrumente care pot facilita monitorizarea pacientilor, precum </w:t>
      </w:r>
      <w:r w:rsidRPr="00F941DA">
        <w:rPr>
          <w:rFonts w:ascii="Times New Roman" w:hAnsi="Times New Roman" w:cs="Times New Roman"/>
          <w:b/>
          <w:bCs/>
          <w:sz w:val="24"/>
          <w:szCs w:val="24"/>
        </w:rPr>
        <w:t>SAGIT</w:t>
      </w:r>
      <w:r w:rsidRPr="00F941DA">
        <w:rPr>
          <w:rFonts w:ascii="Times New Roman" w:hAnsi="Times New Roman" w:cs="Times New Roman"/>
          <w:sz w:val="24"/>
          <w:szCs w:val="24"/>
        </w:rPr>
        <w:t xml:space="preserve"> (Signs and symptoms, Associated comorbidities, GH levels, IGF1 levels and Tumour profile) şi </w:t>
      </w:r>
      <w:r w:rsidRPr="00F941DA">
        <w:rPr>
          <w:rFonts w:ascii="Times New Roman" w:hAnsi="Times New Roman" w:cs="Times New Roman"/>
          <w:b/>
          <w:bCs/>
          <w:sz w:val="24"/>
          <w:szCs w:val="24"/>
        </w:rPr>
        <w:t>ACRODAT</w:t>
      </w:r>
      <w:r w:rsidRPr="00F941DA">
        <w:rPr>
          <w:rFonts w:ascii="Times New Roman" w:hAnsi="Times New Roman" w:cs="Times New Roman"/>
          <w:sz w:val="24"/>
          <w:szCs w:val="24"/>
        </w:rPr>
        <w:t xml:space="preserve"> (Acromegaly Disease Activity Tool). </w:t>
      </w:r>
    </w:p>
    <w:p w14:paraId="388ED0C8" w14:textId="2D31CC5F" w:rsidR="00083B52" w:rsidRPr="00F941DA" w:rsidRDefault="00083B52" w:rsidP="00083B52">
      <w:pPr>
        <w:autoSpaceDE w:val="0"/>
        <w:autoSpaceDN w:val="0"/>
        <w:adjustRightInd w:val="0"/>
        <w:jc w:val="both"/>
        <w:rPr>
          <w:rFonts w:ascii="Times New Roman" w:hAnsi="Times New Roman" w:cs="Times New Roman"/>
          <w:b/>
          <w:sz w:val="24"/>
          <w:szCs w:val="24"/>
        </w:rPr>
      </w:pPr>
      <w:r w:rsidRPr="00F941DA">
        <w:rPr>
          <w:rFonts w:ascii="Times New Roman" w:hAnsi="Times New Roman" w:cs="Times New Roman"/>
          <w:b/>
          <w:sz w:val="24"/>
          <w:szCs w:val="24"/>
        </w:rPr>
        <w:t xml:space="preserve">Pacienții trebuie introduși și monitorizați în Registrul Național de Acromegalie. Datele furnizate de acest registru vor fi utilizate pentru actualizarea periodică a protocolului de tratament al acromegaliei. </w:t>
      </w:r>
    </w:p>
    <w:p w14:paraId="6A7A1E91" w14:textId="77777777" w:rsidR="000C1C91" w:rsidRPr="00F941DA" w:rsidRDefault="000C1C91" w:rsidP="00083B52">
      <w:pPr>
        <w:autoSpaceDE w:val="0"/>
        <w:autoSpaceDN w:val="0"/>
        <w:adjustRightInd w:val="0"/>
        <w:jc w:val="both"/>
        <w:rPr>
          <w:rFonts w:ascii="Times New Roman" w:hAnsi="Times New Roman" w:cs="Times New Roman"/>
          <w:b/>
          <w:sz w:val="24"/>
          <w:szCs w:val="24"/>
        </w:rPr>
      </w:pPr>
    </w:p>
    <w:p w14:paraId="59EC5DB3"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VI. CRITERIILE DE EXCLUDERE (ÎNTRERUPERE) A TRATAMENTULUI CU ANALOG DE SOMATOSTATIN</w:t>
      </w:r>
    </w:p>
    <w:p w14:paraId="5BD37C16" w14:textId="77777777" w:rsidR="00083B52" w:rsidRPr="00F941DA" w:rsidRDefault="00083B52" w:rsidP="00D11DF1">
      <w:pPr>
        <w:numPr>
          <w:ilvl w:val="3"/>
          <w:numId w:val="172"/>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Pacienţii care nu întrunesc criteriile de eficacitate terapeutică optimă nici după 3 luni de tratament cu doză maximă (în condiţiile în care creşterea dozelor de analogi de somatostatin s-a făcut conform protocolului). Aceştia trebuie să beneficieze de o metodă terapeutică anti-tumorală complementară (chirurgie sau radioterapie) sau de monoterapie cu Pegvisomant sau tratament combinat.</w:t>
      </w:r>
    </w:p>
    <w:p w14:paraId="5B4C2C96" w14:textId="77777777" w:rsidR="00083B52" w:rsidRPr="00F941DA" w:rsidRDefault="00083B52" w:rsidP="00D11DF1">
      <w:pPr>
        <w:numPr>
          <w:ilvl w:val="3"/>
          <w:numId w:val="172"/>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 xml:space="preserve">Pacienţi cu acromegalie neoperată care au beneficiat 12 luni de tratament cu analog de somatostatină în asociere cu Cabergolină 2 - 4 mg/săptămână, (minim 3 luni doză maximă) </w:t>
      </w:r>
      <w:r w:rsidRPr="00F941DA">
        <w:rPr>
          <w:rFonts w:ascii="Times New Roman" w:hAnsi="Times New Roman" w:cs="Times New Roman"/>
          <w:bCs/>
          <w:sz w:val="24"/>
          <w:szCs w:val="24"/>
        </w:rPr>
        <w:t>in cazul în care se încadrează în categoria de insuficiență terapeutică</w:t>
      </w:r>
      <w:r w:rsidRPr="00F941DA">
        <w:rPr>
          <w:rFonts w:ascii="Times New Roman" w:hAnsi="Times New Roman" w:cs="Times New Roman"/>
          <w:sz w:val="24"/>
          <w:szCs w:val="24"/>
        </w:rPr>
        <w:t>; li se va recomanda chirurgie hipofizară (postoperator pacienţii pot redeveni eligibili pentru tratament cu analog de somatostatin, conform criteriilor de includere) sau, în caz de contraindicaţii operatorii, tratament asociat analog de somatostatin din generaţia I în doză maximă în asociere cu Pegvisomant +/- Cabergolină sau radioterapie hipofizară.</w:t>
      </w:r>
    </w:p>
    <w:p w14:paraId="1457531B" w14:textId="77777777" w:rsidR="00083B52" w:rsidRPr="00F941DA" w:rsidRDefault="00083B52" w:rsidP="00D11DF1">
      <w:pPr>
        <w:numPr>
          <w:ilvl w:val="3"/>
          <w:numId w:val="172"/>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Apariţia reacţiilor adverse sau contraindicaţiilor la tratamentul cu analog de somatostatin</w:t>
      </w:r>
    </w:p>
    <w:p w14:paraId="751BF9C3" w14:textId="77777777" w:rsidR="00083B52" w:rsidRPr="00F941DA" w:rsidRDefault="00083B52" w:rsidP="00D11DF1">
      <w:pPr>
        <w:numPr>
          <w:ilvl w:val="3"/>
          <w:numId w:val="172"/>
        </w:numPr>
        <w:autoSpaceDE w:val="0"/>
        <w:autoSpaceDN w:val="0"/>
        <w:adjustRightInd w:val="0"/>
        <w:spacing w:after="0" w:line="240" w:lineRule="auto"/>
        <w:ind w:left="426" w:hanging="426"/>
        <w:jc w:val="both"/>
        <w:rPr>
          <w:rFonts w:ascii="Times New Roman" w:hAnsi="Times New Roman" w:cs="Times New Roman"/>
          <w:b/>
          <w:bCs/>
          <w:sz w:val="24"/>
          <w:szCs w:val="24"/>
        </w:rPr>
      </w:pPr>
      <w:r w:rsidRPr="00F941DA">
        <w:rPr>
          <w:rFonts w:ascii="Times New Roman" w:hAnsi="Times New Roman" w:cs="Times New Roman"/>
          <w:b/>
          <w:bCs/>
          <w:sz w:val="24"/>
          <w:szCs w:val="24"/>
        </w:rPr>
        <w:t>Complianţă scăzută la tratament şi monitorizare</w:t>
      </w:r>
    </w:p>
    <w:p w14:paraId="4D49AE91"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1EBACCEA"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VII. CRITERII DE INCLUDERE PENTRU TRATAMENTUL CU BLOCANŢI DE RECEPTOR AL GH: PEGVISOMANT</w:t>
      </w:r>
    </w:p>
    <w:p w14:paraId="7F53F77C" w14:textId="77777777" w:rsidR="00083B52" w:rsidRPr="00F941DA" w:rsidRDefault="00083B52" w:rsidP="00D11DF1">
      <w:pPr>
        <w:numPr>
          <w:ilvl w:val="4"/>
          <w:numId w:val="173"/>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Pacienţii cu acromegalie în evoluţie, operaţi/neoperaţi dar cu contraindicaţie pentru intervenţia chirurgicală, iradiaţi sau neiradiaţi, care au primit tratament cu analogi de somatostatină (conform protocolului de mai sus) +/- Cabergolină şi nu au îndeplinit criteriile de eficienţă a tratamentului cu analogi de somatostatină (conform aceluiaşi protocol).</w:t>
      </w:r>
    </w:p>
    <w:p w14:paraId="534A3F04" w14:textId="77777777" w:rsidR="00083B52" w:rsidRPr="00F941DA" w:rsidRDefault="00083B52" w:rsidP="00D11DF1">
      <w:pPr>
        <w:numPr>
          <w:ilvl w:val="4"/>
          <w:numId w:val="173"/>
        </w:numPr>
        <w:autoSpaceDE w:val="0"/>
        <w:autoSpaceDN w:val="0"/>
        <w:adjustRightInd w:val="0"/>
        <w:spacing w:after="0" w:line="240" w:lineRule="auto"/>
        <w:ind w:left="426" w:hanging="426"/>
        <w:jc w:val="both"/>
        <w:rPr>
          <w:rFonts w:ascii="Times New Roman" w:hAnsi="Times New Roman" w:cs="Times New Roman"/>
          <w:sz w:val="24"/>
          <w:szCs w:val="24"/>
        </w:rPr>
      </w:pPr>
      <w:r w:rsidRPr="00F941DA">
        <w:rPr>
          <w:rFonts w:ascii="Times New Roman" w:hAnsi="Times New Roman" w:cs="Times New Roman"/>
          <w:sz w:val="24"/>
          <w:szCs w:val="24"/>
        </w:rPr>
        <w:t>Pacienţii cu acromegalie în evoluţie, care nu au tolerat tratamentul cu analogi de somatostatină.</w:t>
      </w:r>
    </w:p>
    <w:p w14:paraId="626056BD"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21C9281B" w14:textId="559CD9D3"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VIII. DOZE PEGVISOMANT</w:t>
      </w:r>
    </w:p>
    <w:p w14:paraId="3D146448"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Trebuie administrată subcutanat o doză de încărcare de 80 mg Pegvisomant, sub supraveghere medicală. Apoi, 10 mg Pegvisomant reconstituit în 1 ml apă pentru preparate injectabile trebuie administrat subcutanat, o dată pe zi.</w:t>
      </w:r>
    </w:p>
    <w:p w14:paraId="5257FB24"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Ajustarea dozei trebuie făcută în funcţie de concentraţia serică de IGF1. Concentraţia serică a IGF1 trebuie măsurată la fiecare 4 săptămâni, iar ajustările necesare trebuie făcute prin creşterea cu câte 5 - </w:t>
      </w:r>
      <w:r w:rsidRPr="00F941DA">
        <w:rPr>
          <w:rFonts w:ascii="Times New Roman" w:hAnsi="Times New Roman" w:cs="Times New Roman"/>
          <w:sz w:val="24"/>
          <w:szCs w:val="24"/>
        </w:rPr>
        <w:lastRenderedPageBreak/>
        <w:t>10 mg/zi, (sau scăderea dozei) pentru a aduce şi menţine concentraţia serică de IGF1 în limitele normale pentru vârsta şi sexul pacientului şi pentru menţinerea unui răspuns terapeutic optim.</w:t>
      </w:r>
    </w:p>
    <w:p w14:paraId="144A7DE1"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Doza maximă trebuie să nu depăşească 30 mg/zi/ administrare.</w:t>
      </w:r>
    </w:p>
    <w:p w14:paraId="08CBE680"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În cazul în care doza maximă de Pegvisomant (30 mg/zi) nu reuşeşte să normalizeze nivelul IGF1 se poate opta pentru una dintre celelalte variante prezentate in Algoritmul terapeutic.</w:t>
      </w:r>
    </w:p>
    <w:p w14:paraId="1156741A"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6204CA26" w14:textId="7E6A3857"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IX. Criteriile de eficacitate terapeutică a Pegvisomantului</w:t>
      </w:r>
    </w:p>
    <w:p w14:paraId="6CCBF6A2"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Pacienţii vor fi îndrumaţi către o clinică universitară, unde se vor efectua:</w:t>
      </w:r>
    </w:p>
    <w:p w14:paraId="67C19518"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A. La interval de 4 - 8 săptămâni, în primele 6 luni:</w:t>
      </w:r>
    </w:p>
    <w:p w14:paraId="08819775" w14:textId="77777777" w:rsidR="00083B52" w:rsidRPr="00F941DA" w:rsidRDefault="00083B52" w:rsidP="00D11DF1">
      <w:pPr>
        <w:numPr>
          <w:ilvl w:val="1"/>
          <w:numId w:val="174"/>
        </w:numPr>
        <w:autoSpaceDE w:val="0"/>
        <w:autoSpaceDN w:val="0"/>
        <w:adjustRightInd w:val="0"/>
        <w:spacing w:after="0" w:line="240" w:lineRule="auto"/>
        <w:ind w:left="709" w:hanging="447"/>
        <w:jc w:val="both"/>
        <w:rPr>
          <w:rFonts w:ascii="Times New Roman" w:hAnsi="Times New Roman" w:cs="Times New Roman"/>
          <w:sz w:val="24"/>
          <w:szCs w:val="24"/>
        </w:rPr>
      </w:pPr>
      <w:r w:rsidRPr="00F941DA">
        <w:rPr>
          <w:rFonts w:ascii="Times New Roman" w:hAnsi="Times New Roman" w:cs="Times New Roman"/>
          <w:sz w:val="24"/>
          <w:szCs w:val="24"/>
        </w:rPr>
        <w:t>Determinări de IGF1 pentru ajustarea dozei optime de Pegvisomant, iar ajustările necesare vor fi făcute prin creşterea dozei de Pegvisomant cu 5 - 10 mg/zi în paliere lunare, pentru a reduce şi menţine concentraţia serică de IGF1 în limitele normale (1-1,3 X LSN) pentru vârsta şi sexul pacientului, corespunzător unui răspuns terapeutic optim.</w:t>
      </w:r>
    </w:p>
    <w:p w14:paraId="6E9C1FE5" w14:textId="77777777" w:rsidR="00083B52" w:rsidRPr="00F941DA" w:rsidRDefault="00083B52" w:rsidP="00D11DF1">
      <w:pPr>
        <w:numPr>
          <w:ilvl w:val="1"/>
          <w:numId w:val="174"/>
        </w:numPr>
        <w:autoSpaceDE w:val="0"/>
        <w:autoSpaceDN w:val="0"/>
        <w:adjustRightInd w:val="0"/>
        <w:spacing w:after="0" w:line="240" w:lineRule="auto"/>
        <w:ind w:left="709" w:hanging="447"/>
        <w:jc w:val="both"/>
        <w:rPr>
          <w:rFonts w:ascii="Times New Roman" w:hAnsi="Times New Roman" w:cs="Times New Roman"/>
          <w:sz w:val="24"/>
          <w:szCs w:val="24"/>
        </w:rPr>
      </w:pPr>
      <w:r w:rsidRPr="00F941DA">
        <w:rPr>
          <w:rFonts w:ascii="Times New Roman" w:hAnsi="Times New Roman" w:cs="Times New Roman"/>
          <w:sz w:val="24"/>
          <w:szCs w:val="24"/>
        </w:rPr>
        <w:t>Determinări ale transaminazelor (AST, ALT), creşterea lor de peste 5 ori limita superioară a valorilor normale fiind criteriu de excludere din tratament.</w:t>
      </w:r>
    </w:p>
    <w:p w14:paraId="76807D76"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3A5A2003"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B. La fiecare 6 luni:</w:t>
      </w:r>
    </w:p>
    <w:p w14:paraId="2E8AEE94" w14:textId="77777777" w:rsidR="00083B52" w:rsidRPr="00F941DA" w:rsidRDefault="00083B52" w:rsidP="00D11DF1">
      <w:pPr>
        <w:numPr>
          <w:ilvl w:val="1"/>
          <w:numId w:val="175"/>
        </w:numPr>
        <w:autoSpaceDE w:val="0"/>
        <w:autoSpaceDN w:val="0"/>
        <w:adjustRightInd w:val="0"/>
        <w:spacing w:after="0" w:line="240" w:lineRule="auto"/>
        <w:ind w:left="709" w:hanging="425"/>
        <w:jc w:val="both"/>
        <w:rPr>
          <w:rFonts w:ascii="Times New Roman" w:hAnsi="Times New Roman" w:cs="Times New Roman"/>
          <w:sz w:val="24"/>
          <w:szCs w:val="24"/>
        </w:rPr>
      </w:pPr>
      <w:r w:rsidRPr="00F941DA">
        <w:rPr>
          <w:rFonts w:ascii="Times New Roman" w:hAnsi="Times New Roman" w:cs="Times New Roman"/>
          <w:sz w:val="24"/>
          <w:szCs w:val="24"/>
        </w:rPr>
        <w:t>Imagistica - rezonanţă magnetică nucleară sau tomografie computerizată hipofizară, pentru supravegherea volumului tumoral în primul an de tratament, apoi anual;</w:t>
      </w:r>
    </w:p>
    <w:p w14:paraId="22EF754A" w14:textId="77777777" w:rsidR="00083B52" w:rsidRPr="00F941DA" w:rsidRDefault="00083B52" w:rsidP="00D11DF1">
      <w:pPr>
        <w:numPr>
          <w:ilvl w:val="1"/>
          <w:numId w:val="175"/>
        </w:numPr>
        <w:autoSpaceDE w:val="0"/>
        <w:autoSpaceDN w:val="0"/>
        <w:adjustRightInd w:val="0"/>
        <w:spacing w:after="0" w:line="240" w:lineRule="auto"/>
        <w:ind w:left="709" w:hanging="425"/>
        <w:jc w:val="both"/>
        <w:rPr>
          <w:rFonts w:ascii="Times New Roman" w:hAnsi="Times New Roman" w:cs="Times New Roman"/>
          <w:sz w:val="24"/>
          <w:szCs w:val="24"/>
        </w:rPr>
      </w:pPr>
      <w:r w:rsidRPr="00F941DA">
        <w:rPr>
          <w:rFonts w:ascii="Times New Roman" w:hAnsi="Times New Roman" w:cs="Times New Roman"/>
          <w:sz w:val="24"/>
          <w:szCs w:val="24"/>
        </w:rPr>
        <w:t>IGF1 (insulin-like growth factor 1) - criteriu de eficienţă</w:t>
      </w:r>
    </w:p>
    <w:p w14:paraId="57736356" w14:textId="77777777" w:rsidR="00083B52" w:rsidRPr="00F941DA" w:rsidRDefault="00083B52" w:rsidP="00D11DF1">
      <w:pPr>
        <w:numPr>
          <w:ilvl w:val="1"/>
          <w:numId w:val="175"/>
        </w:numPr>
        <w:autoSpaceDE w:val="0"/>
        <w:autoSpaceDN w:val="0"/>
        <w:adjustRightInd w:val="0"/>
        <w:spacing w:after="0" w:line="240" w:lineRule="auto"/>
        <w:ind w:left="709" w:hanging="425"/>
        <w:jc w:val="both"/>
        <w:rPr>
          <w:rFonts w:ascii="Times New Roman" w:hAnsi="Times New Roman" w:cs="Times New Roman"/>
          <w:sz w:val="24"/>
          <w:szCs w:val="24"/>
        </w:rPr>
      </w:pPr>
      <w:r w:rsidRPr="00F941DA">
        <w:rPr>
          <w:rFonts w:ascii="Times New Roman" w:hAnsi="Times New Roman" w:cs="Times New Roman"/>
          <w:sz w:val="24"/>
          <w:szCs w:val="24"/>
        </w:rPr>
        <w:t>Examen oftalmologic: câmp vizual (campimetrie computerizată) şi acuitate vizuală pentru supravegherea complicaţiilor neurooftalmice, fund de ochi</w:t>
      </w:r>
    </w:p>
    <w:p w14:paraId="00B6B0B7" w14:textId="77777777" w:rsidR="00083B52" w:rsidRPr="00F941DA" w:rsidRDefault="00083B52" w:rsidP="00D11DF1">
      <w:pPr>
        <w:numPr>
          <w:ilvl w:val="1"/>
          <w:numId w:val="175"/>
        </w:numPr>
        <w:autoSpaceDE w:val="0"/>
        <w:autoSpaceDN w:val="0"/>
        <w:adjustRightInd w:val="0"/>
        <w:spacing w:after="0" w:line="240" w:lineRule="auto"/>
        <w:ind w:left="709" w:hanging="425"/>
        <w:jc w:val="both"/>
        <w:rPr>
          <w:rFonts w:ascii="Times New Roman" w:hAnsi="Times New Roman" w:cs="Times New Roman"/>
          <w:sz w:val="24"/>
          <w:szCs w:val="24"/>
        </w:rPr>
      </w:pPr>
      <w:r w:rsidRPr="00F941DA">
        <w:rPr>
          <w:rFonts w:ascii="Times New Roman" w:hAnsi="Times New Roman" w:cs="Times New Roman"/>
          <w:sz w:val="24"/>
          <w:szCs w:val="24"/>
        </w:rPr>
        <w:t>Biochimie generală: glicemie, hemoglobină glicozilată, profil lipidic, ALT, AST, uree, creatinină, fosfatemie, pentru complicaţiile metabolice.</w:t>
      </w:r>
    </w:p>
    <w:p w14:paraId="7BA6011E"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2A85D549"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C. Anual, în plus faţă de investigaţiile de la punctul B:</w:t>
      </w:r>
    </w:p>
    <w:p w14:paraId="6B541A6C" w14:textId="77777777" w:rsidR="00083B52" w:rsidRPr="00F941DA" w:rsidRDefault="00083B52" w:rsidP="00D11DF1">
      <w:pPr>
        <w:numPr>
          <w:ilvl w:val="1"/>
          <w:numId w:val="176"/>
        </w:numPr>
        <w:autoSpaceDE w:val="0"/>
        <w:autoSpaceDN w:val="0"/>
        <w:adjustRightInd w:val="0"/>
        <w:spacing w:after="0" w:line="240" w:lineRule="auto"/>
        <w:ind w:left="709" w:hanging="425"/>
        <w:jc w:val="both"/>
        <w:rPr>
          <w:rFonts w:ascii="Times New Roman" w:hAnsi="Times New Roman" w:cs="Times New Roman"/>
          <w:sz w:val="24"/>
          <w:szCs w:val="24"/>
        </w:rPr>
      </w:pPr>
      <w:r w:rsidRPr="00F941DA">
        <w:rPr>
          <w:rFonts w:ascii="Times New Roman" w:hAnsi="Times New Roman" w:cs="Times New Roman"/>
          <w:sz w:val="24"/>
          <w:szCs w:val="24"/>
        </w:rPr>
        <w:t>Analize hormonale pentru depistarea insuficienţei hipofizare: LH şi FSH seric, cortizol, TSH şi T4 liber, testosteron/estradiol la pacienţii iradiaţi.</w:t>
      </w:r>
    </w:p>
    <w:p w14:paraId="14869753" w14:textId="77777777" w:rsidR="00083B52" w:rsidRPr="00F941DA" w:rsidRDefault="00083B52" w:rsidP="00D11DF1">
      <w:pPr>
        <w:numPr>
          <w:ilvl w:val="1"/>
          <w:numId w:val="176"/>
        </w:numPr>
        <w:autoSpaceDE w:val="0"/>
        <w:autoSpaceDN w:val="0"/>
        <w:adjustRightInd w:val="0"/>
        <w:spacing w:after="0" w:line="240" w:lineRule="auto"/>
        <w:ind w:left="709" w:hanging="425"/>
        <w:jc w:val="both"/>
        <w:rPr>
          <w:rFonts w:ascii="Times New Roman" w:hAnsi="Times New Roman" w:cs="Times New Roman"/>
          <w:sz w:val="24"/>
          <w:szCs w:val="24"/>
        </w:rPr>
      </w:pPr>
      <w:r w:rsidRPr="00F941DA">
        <w:rPr>
          <w:rFonts w:ascii="Times New Roman" w:hAnsi="Times New Roman" w:cs="Times New Roman"/>
          <w:sz w:val="24"/>
          <w:szCs w:val="24"/>
        </w:rPr>
        <w:t>Consult cardiologic clinic, EKG, opţional echocardiografie pentru complicaţiile de cardiomiopatie</w:t>
      </w:r>
    </w:p>
    <w:p w14:paraId="0A6808D2"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7CFF9769" w14:textId="44FD1C39"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D. După 3 ani de tratament fără întrerupere la pacienţii iradiati si 5 ani la cei neiradiați, cu valori hormonale normalizate sub tratament (eficienţă terapeutică optimă), medicaţia cu Pegvisomant va fi întreruptă timp de 2 luni, pentru a demonstra persistenţa bolii active.</w:t>
      </w:r>
    </w:p>
    <w:p w14:paraId="38C06153" w14:textId="4F2ED1F8"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Dacă nu se obţine controlul optim al acromegaliei sub tratament cu Pegvisomant (administrat în monoterapie sau terapie asociată cu analogi de somatostatină şi Cabergolină), se poate opta pentru una dintre celelalte variante prezentate in Algoritmul terapeutic</w:t>
      </w:r>
      <w:r w:rsidR="000C1C91" w:rsidRPr="00F941DA">
        <w:rPr>
          <w:rFonts w:ascii="Times New Roman" w:hAnsi="Times New Roman" w:cs="Times New Roman"/>
          <w:sz w:val="24"/>
          <w:szCs w:val="24"/>
        </w:rPr>
        <w:t>.</w:t>
      </w:r>
    </w:p>
    <w:p w14:paraId="47627768"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Medicul curant are la dispoziţie instrumente care pot facilita monitorizarea pacientilor, precum </w:t>
      </w:r>
      <w:r w:rsidRPr="00F941DA">
        <w:rPr>
          <w:rFonts w:ascii="Times New Roman" w:hAnsi="Times New Roman" w:cs="Times New Roman"/>
          <w:b/>
          <w:bCs/>
          <w:sz w:val="24"/>
          <w:szCs w:val="24"/>
        </w:rPr>
        <w:t>SAGIT</w:t>
      </w:r>
      <w:r w:rsidRPr="00F941DA">
        <w:rPr>
          <w:rFonts w:ascii="Times New Roman" w:hAnsi="Times New Roman" w:cs="Times New Roman"/>
          <w:sz w:val="24"/>
          <w:szCs w:val="24"/>
        </w:rPr>
        <w:t xml:space="preserve"> (Signs and symptoms, Associated comorbidities, GH levels, IGF1 levels and Tumour profile) şi </w:t>
      </w:r>
      <w:r w:rsidRPr="00F941DA">
        <w:rPr>
          <w:rFonts w:ascii="Times New Roman" w:hAnsi="Times New Roman" w:cs="Times New Roman"/>
          <w:b/>
          <w:bCs/>
          <w:sz w:val="24"/>
          <w:szCs w:val="24"/>
        </w:rPr>
        <w:t>ACRODAT</w:t>
      </w:r>
      <w:r w:rsidRPr="00F941DA">
        <w:rPr>
          <w:rFonts w:ascii="Times New Roman" w:hAnsi="Times New Roman" w:cs="Times New Roman"/>
          <w:sz w:val="24"/>
          <w:szCs w:val="24"/>
        </w:rPr>
        <w:t xml:space="preserve"> (Acromegaly Disease Activity Tool). </w:t>
      </w:r>
    </w:p>
    <w:p w14:paraId="278BAAD9"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31E92463" w14:textId="5239EA7D" w:rsidR="00083B52" w:rsidRPr="00F941DA" w:rsidRDefault="00083B52" w:rsidP="00083B52">
      <w:pPr>
        <w:autoSpaceDE w:val="0"/>
        <w:autoSpaceDN w:val="0"/>
        <w:adjustRightInd w:val="0"/>
        <w:jc w:val="both"/>
        <w:rPr>
          <w:rFonts w:ascii="Times New Roman" w:hAnsi="Times New Roman" w:cs="Times New Roman"/>
          <w:b/>
          <w:sz w:val="24"/>
          <w:szCs w:val="24"/>
        </w:rPr>
      </w:pPr>
      <w:r w:rsidRPr="00F941DA">
        <w:rPr>
          <w:rFonts w:ascii="Times New Roman" w:hAnsi="Times New Roman" w:cs="Times New Roman"/>
          <w:b/>
          <w:sz w:val="24"/>
          <w:szCs w:val="24"/>
        </w:rPr>
        <w:t xml:space="preserve">Pacienții trebuie introduși și monitorizați în Registrul Național de Acromegalie. Datele furnizate de acest registru vor fi utilizate pentru actualizarea periodică a protocolului de tratament al acromegaliei. </w:t>
      </w:r>
    </w:p>
    <w:p w14:paraId="3A43199D"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lastRenderedPageBreak/>
        <w:t>X. Criteriile de excludere din programul terapeutic cu Pegvisomant</w:t>
      </w:r>
    </w:p>
    <w:p w14:paraId="3B3A76EC" w14:textId="77777777" w:rsidR="00083B52" w:rsidRPr="00F941DA" w:rsidRDefault="00083B52" w:rsidP="00D11DF1">
      <w:pPr>
        <w:numPr>
          <w:ilvl w:val="0"/>
          <w:numId w:val="177"/>
        </w:numPr>
        <w:autoSpaceDE w:val="0"/>
        <w:autoSpaceDN w:val="0"/>
        <w:adjustRightInd w:val="0"/>
        <w:spacing w:after="0" w:line="240" w:lineRule="auto"/>
        <w:ind w:left="284" w:hanging="284"/>
        <w:jc w:val="both"/>
        <w:rPr>
          <w:rFonts w:ascii="Times New Roman" w:hAnsi="Times New Roman" w:cs="Times New Roman"/>
          <w:sz w:val="24"/>
          <w:szCs w:val="24"/>
        </w:rPr>
      </w:pPr>
      <w:r w:rsidRPr="00F941DA">
        <w:rPr>
          <w:rFonts w:ascii="Times New Roman" w:hAnsi="Times New Roman" w:cs="Times New Roman"/>
          <w:sz w:val="24"/>
          <w:szCs w:val="24"/>
        </w:rPr>
        <w:t>Creşterea diametrului maxim tumoral hipofizar cu peste 25% din cel iniţial +/- apariţia complicaţiilor oftalmologice/neurologice</w:t>
      </w:r>
    </w:p>
    <w:p w14:paraId="4CF1223C" w14:textId="77777777" w:rsidR="00083B52" w:rsidRPr="00F941DA" w:rsidRDefault="00083B52" w:rsidP="00D11DF1">
      <w:pPr>
        <w:numPr>
          <w:ilvl w:val="0"/>
          <w:numId w:val="177"/>
        </w:numPr>
        <w:autoSpaceDE w:val="0"/>
        <w:autoSpaceDN w:val="0"/>
        <w:adjustRightInd w:val="0"/>
        <w:spacing w:after="0" w:line="240" w:lineRule="auto"/>
        <w:ind w:left="284" w:hanging="284"/>
        <w:jc w:val="both"/>
        <w:rPr>
          <w:rFonts w:ascii="Times New Roman" w:hAnsi="Times New Roman" w:cs="Times New Roman"/>
          <w:sz w:val="24"/>
          <w:szCs w:val="24"/>
        </w:rPr>
      </w:pPr>
      <w:r w:rsidRPr="00F941DA">
        <w:rPr>
          <w:rFonts w:ascii="Times New Roman" w:hAnsi="Times New Roman" w:cs="Times New Roman"/>
          <w:sz w:val="24"/>
          <w:szCs w:val="24"/>
        </w:rPr>
        <w:t>Creşterea titrului transaminazelor la peste 5 ori valoarea maximă a normalului sau peste 3 ori valoarea maximă a normalului asociate cu orice creștere a concentrației plasmatice a bilirubinei totale;</w:t>
      </w:r>
    </w:p>
    <w:p w14:paraId="59BB4438" w14:textId="77777777" w:rsidR="00083B52" w:rsidRPr="00F941DA" w:rsidRDefault="00083B52" w:rsidP="00D11DF1">
      <w:pPr>
        <w:numPr>
          <w:ilvl w:val="0"/>
          <w:numId w:val="177"/>
        </w:numPr>
        <w:autoSpaceDE w:val="0"/>
        <w:autoSpaceDN w:val="0"/>
        <w:adjustRightInd w:val="0"/>
        <w:spacing w:after="0" w:line="240" w:lineRule="auto"/>
        <w:ind w:left="284" w:hanging="284"/>
        <w:jc w:val="both"/>
        <w:rPr>
          <w:rFonts w:ascii="Times New Roman" w:hAnsi="Times New Roman" w:cs="Times New Roman"/>
          <w:sz w:val="24"/>
          <w:szCs w:val="24"/>
        </w:rPr>
      </w:pPr>
      <w:r w:rsidRPr="00F941DA">
        <w:rPr>
          <w:rFonts w:ascii="Times New Roman" w:hAnsi="Times New Roman" w:cs="Times New Roman"/>
          <w:sz w:val="24"/>
          <w:szCs w:val="24"/>
        </w:rPr>
        <w:t>Lipsa de complianţă a pacientului/personalului medical la monitorizarea tratamentului.</w:t>
      </w:r>
    </w:p>
    <w:p w14:paraId="54EBCBA7"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p>
    <w:p w14:paraId="51996811" w14:textId="17BE7ABC" w:rsidR="00083B52" w:rsidRPr="00F941DA" w:rsidRDefault="00083B52" w:rsidP="00083B52">
      <w:pPr>
        <w:autoSpaceDE w:val="0"/>
        <w:autoSpaceDN w:val="0"/>
        <w:adjustRightInd w:val="0"/>
        <w:jc w:val="both"/>
        <w:rPr>
          <w:rFonts w:ascii="Times New Roman" w:hAnsi="Times New Roman" w:cs="Times New Roman"/>
          <w:b/>
          <w:bCs/>
          <w:sz w:val="24"/>
          <w:szCs w:val="24"/>
        </w:rPr>
      </w:pPr>
      <w:r w:rsidRPr="00F941DA">
        <w:rPr>
          <w:rFonts w:ascii="Times New Roman" w:hAnsi="Times New Roman" w:cs="Times New Roman"/>
          <w:b/>
          <w:bCs/>
          <w:sz w:val="24"/>
          <w:szCs w:val="24"/>
        </w:rPr>
        <w:t>XI. ALGORITM TERAPEUTIC</w:t>
      </w:r>
    </w:p>
    <w:p w14:paraId="053A2A6C"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Algoritm pentru managementul multidisciplinar al acromegaliei; </w:t>
      </w:r>
    </w:p>
    <w:p w14:paraId="237A2756"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Adaptat după: </w:t>
      </w:r>
    </w:p>
    <w:p w14:paraId="2043C744"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Giustina A, Melmed S. et al. Multidisciplinary management of acromegaly: A consensus. Rev Endocr Metab Disord. 2020 Dec;21(4):667-678. doi: 10.1007/s11154-020-09588-z. Epub 2020 Sep 10. PMID: 32914330.</w:t>
      </w:r>
    </w:p>
    <w:p w14:paraId="634037F2" w14:textId="77777777" w:rsidR="00083B52" w:rsidRPr="00F941DA" w:rsidRDefault="00083B52" w:rsidP="00083B52">
      <w:pPr>
        <w:autoSpaceDE w:val="0"/>
        <w:autoSpaceDN w:val="0"/>
        <w:adjustRightInd w:val="0"/>
        <w:jc w:val="both"/>
        <w:rPr>
          <w:rFonts w:ascii="Times New Roman" w:hAnsi="Times New Roman" w:cs="Times New Roman"/>
          <w:b/>
          <w:bCs/>
          <w:sz w:val="24"/>
          <w:szCs w:val="24"/>
        </w:rPr>
      </w:pPr>
    </w:p>
    <w:p w14:paraId="31AF1A41"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04C471DB" wp14:editId="7F50A0A5">
            <wp:simplePos x="0" y="0"/>
            <wp:positionH relativeFrom="column">
              <wp:posOffset>0</wp:posOffset>
            </wp:positionH>
            <wp:positionV relativeFrom="paragraph">
              <wp:posOffset>0</wp:posOffset>
            </wp:positionV>
            <wp:extent cx="5482590" cy="3809365"/>
            <wp:effectExtent l="0" t="0" r="381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2590" cy="3809365"/>
                    </a:xfrm>
                    <a:prstGeom prst="rect">
                      <a:avLst/>
                    </a:prstGeom>
                    <a:noFill/>
                  </pic:spPr>
                </pic:pic>
              </a:graphicData>
            </a:graphic>
            <wp14:sizeRelH relativeFrom="page">
              <wp14:pctWidth>0</wp14:pctWidth>
            </wp14:sizeRelH>
            <wp14:sizeRelV relativeFrom="page">
              <wp14:pctHeight>0</wp14:pctHeight>
            </wp14:sizeRelV>
          </wp:anchor>
        </w:drawing>
      </w:r>
    </w:p>
    <w:p w14:paraId="258EF333"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7814BF38"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4EF8C36D"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386DFEA5"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6ECED5CF"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0FED4630"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1CAA46C7"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4B6A01A1"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3CCD6650"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2EDAE953"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1F35DBF6"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704438CB"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0443A814"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3293C322" w14:textId="77777777" w:rsidR="00083B52" w:rsidRPr="00F941DA" w:rsidRDefault="00083B52" w:rsidP="00083B52">
      <w:pPr>
        <w:autoSpaceDE w:val="0"/>
        <w:autoSpaceDN w:val="0"/>
        <w:adjustRightInd w:val="0"/>
        <w:jc w:val="both"/>
        <w:rPr>
          <w:rFonts w:ascii="Times New Roman" w:hAnsi="Times New Roman" w:cs="Times New Roman"/>
          <w:sz w:val="24"/>
          <w:szCs w:val="24"/>
        </w:rPr>
      </w:pPr>
    </w:p>
    <w:p w14:paraId="3C429498" w14:textId="77777777" w:rsidR="00083B52" w:rsidRPr="00F941DA" w:rsidRDefault="00083B52" w:rsidP="00083B52">
      <w:pPr>
        <w:autoSpaceDE w:val="0"/>
        <w:autoSpaceDN w:val="0"/>
        <w:adjustRightInd w:val="0"/>
        <w:jc w:val="both"/>
        <w:rPr>
          <w:rFonts w:ascii="Times New Roman" w:hAnsi="Times New Roman" w:cs="Times New Roman"/>
          <w:sz w:val="24"/>
          <w:szCs w:val="24"/>
          <w:vertAlign w:val="superscript"/>
        </w:rPr>
      </w:pPr>
    </w:p>
    <w:p w14:paraId="614B588B" w14:textId="77777777" w:rsidR="00083B52" w:rsidRPr="00F941DA" w:rsidRDefault="00083B52" w:rsidP="00083B52">
      <w:pPr>
        <w:autoSpaceDE w:val="0"/>
        <w:autoSpaceDN w:val="0"/>
        <w:adjustRightInd w:val="0"/>
        <w:jc w:val="both"/>
        <w:rPr>
          <w:rFonts w:ascii="Times New Roman" w:hAnsi="Times New Roman" w:cs="Times New Roman"/>
          <w:sz w:val="20"/>
          <w:szCs w:val="20"/>
        </w:rPr>
      </w:pPr>
      <w:r w:rsidRPr="00F941DA">
        <w:rPr>
          <w:rFonts w:ascii="Times New Roman" w:hAnsi="Times New Roman" w:cs="Times New Roman"/>
          <w:sz w:val="20"/>
          <w:szCs w:val="20"/>
          <w:vertAlign w:val="superscript"/>
        </w:rPr>
        <w:t>1</w:t>
      </w:r>
      <w:r w:rsidRPr="00F941DA">
        <w:rPr>
          <w:rFonts w:ascii="Times New Roman" w:hAnsi="Times New Roman" w:cs="Times New Roman"/>
          <w:sz w:val="20"/>
          <w:szCs w:val="20"/>
        </w:rPr>
        <w:t xml:space="preserve"> dacă abordarea chirurgicala nu e fezabilă; </w:t>
      </w:r>
    </w:p>
    <w:p w14:paraId="2290B7B8" w14:textId="77777777" w:rsidR="00083B52" w:rsidRPr="00F941DA" w:rsidRDefault="00083B52" w:rsidP="00083B52">
      <w:pPr>
        <w:autoSpaceDE w:val="0"/>
        <w:autoSpaceDN w:val="0"/>
        <w:adjustRightInd w:val="0"/>
        <w:jc w:val="both"/>
        <w:rPr>
          <w:rFonts w:ascii="Times New Roman" w:hAnsi="Times New Roman" w:cs="Times New Roman"/>
          <w:sz w:val="20"/>
          <w:szCs w:val="20"/>
        </w:rPr>
      </w:pPr>
      <w:r w:rsidRPr="00F941DA">
        <w:rPr>
          <w:rFonts w:ascii="Times New Roman" w:hAnsi="Times New Roman" w:cs="Times New Roman"/>
          <w:sz w:val="20"/>
          <w:szCs w:val="20"/>
          <w:vertAlign w:val="superscript"/>
        </w:rPr>
        <w:t>2</w:t>
      </w:r>
      <w:r w:rsidRPr="00F941DA">
        <w:rPr>
          <w:rFonts w:ascii="Times New Roman" w:hAnsi="Times New Roman" w:cs="Times New Roman"/>
          <w:sz w:val="20"/>
          <w:szCs w:val="20"/>
        </w:rPr>
        <w:t xml:space="preserve"> postoperator, la pacienţi cu niveluri de GH moderate crescute şi IGF1 &lt;2,5 X LSN;</w:t>
      </w:r>
    </w:p>
    <w:p w14:paraId="24E4E4EA"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Control optim: valori normale ale GH bazal si IGF1; (în situația tratamentului primar/preoperator cu SSA – vezi recomandari la criterii de excludere) </w:t>
      </w:r>
    </w:p>
    <w:p w14:paraId="7C2E9B07"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Necontrolat: orice altă situaţie in afară de control optim; </w:t>
      </w:r>
    </w:p>
    <w:p w14:paraId="12DBE285" w14:textId="3C9E9D89"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SSA: analog de somatostatină de generația I, octreotid sau lanreotid.</w:t>
      </w:r>
    </w:p>
    <w:p w14:paraId="188DBCEB"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sz w:val="24"/>
          <w:szCs w:val="24"/>
        </w:rPr>
        <w:lastRenderedPageBreak/>
        <w:t>A</w:t>
      </w:r>
      <w:r w:rsidRPr="00F941DA">
        <w:rPr>
          <w:rFonts w:ascii="Times New Roman" w:hAnsi="Times New Roman" w:cs="Times New Roman"/>
          <w:sz w:val="24"/>
          <w:szCs w:val="24"/>
        </w:rPr>
        <w:t>. Se recomandă tratament medicamentos la pacientul cu acromegalie persistentă după tratamentul chirurgical, la pacienţii cu contraindicaţii operatorii sau preoperator, 6 luni, la cei cu insuficiență cardiacă sau apnee de somn severă sau, selecționat, la pacienții care au șanse mici de succes terapeutic prin terapie chirurgicală (macroadenoame invazive cu extensie în sinusul cavernos sau osoasă, dar care nu determină efect de compresie pe chiasma optică).</w:t>
      </w:r>
    </w:p>
    <w:p w14:paraId="10954A7B"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La pacienţii cu creşteri moderate ale IGF1 (&lt;2,5 x LSN) şi semne şi simptome moderate determinate de excesul de GH se poate încerca monoterapia cu agonişti dopaminergici, preferabil Cabergolina ca tratament iniţial adjuvant.</w:t>
      </w:r>
    </w:p>
    <w:p w14:paraId="2C0E5F25" w14:textId="3E64E822" w:rsidR="000C1C91" w:rsidRPr="00F941DA" w:rsidRDefault="00083B52" w:rsidP="00083B52">
      <w:pPr>
        <w:jc w:val="both"/>
        <w:rPr>
          <w:rFonts w:ascii="Times New Roman" w:eastAsia="Calibri" w:hAnsi="Times New Roman" w:cs="Times New Roman"/>
          <w:sz w:val="24"/>
          <w:szCs w:val="24"/>
        </w:rPr>
      </w:pPr>
      <w:r w:rsidRPr="00F941DA">
        <w:rPr>
          <w:rFonts w:ascii="Times New Roman" w:hAnsi="Times New Roman" w:cs="Times New Roman"/>
          <w:sz w:val="24"/>
          <w:szCs w:val="24"/>
        </w:rPr>
        <w:t xml:space="preserve">La pacienţii cu boală moderat severă şi niveluri crescute de IGF1 sau la cei neresponsivi la cabergolină după 3 luni se recomandă iniţierea tratamentului medicamentos cu analogi de somatostatin. </w:t>
      </w:r>
      <w:r w:rsidRPr="00F941DA">
        <w:rPr>
          <w:rFonts w:ascii="Times New Roman" w:eastAsia="Calibri" w:hAnsi="Times New Roman" w:cs="Times New Roman"/>
          <w:sz w:val="24"/>
          <w:szCs w:val="24"/>
        </w:rPr>
        <w:t>Se recomandă iniţierea tratamentului cu doza minimă de 30 mg Lanreotidum PR la 14 zile sau 120 mg Lanreotidum Autogel la  56 zile sau 20 mg Octreotidum LAR la 4 săptămâni.</w:t>
      </w:r>
    </w:p>
    <w:p w14:paraId="0972319C"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sz w:val="24"/>
          <w:szCs w:val="24"/>
        </w:rPr>
        <w:t>B.</w:t>
      </w:r>
      <w:r w:rsidRPr="00F941DA">
        <w:rPr>
          <w:rFonts w:ascii="Times New Roman" w:hAnsi="Times New Roman" w:cs="Times New Roman"/>
          <w:sz w:val="24"/>
          <w:szCs w:val="24"/>
        </w:rPr>
        <w:t xml:space="preserve"> Dacă după primele 3 luni de tratament cu analogi de somatostatină nu sunt îndeplinite criteriile de eficienţă terapeutică optimă, medicul curant va putea alege una dintre variantele de mai jos:</w:t>
      </w:r>
    </w:p>
    <w:p w14:paraId="7CE5EAF6" w14:textId="77777777" w:rsidR="00083B52" w:rsidRPr="00F941DA" w:rsidRDefault="00083B52" w:rsidP="00D11DF1">
      <w:pPr>
        <w:numPr>
          <w:ilvl w:val="0"/>
          <w:numId w:val="178"/>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F941DA">
        <w:rPr>
          <w:rFonts w:ascii="Times New Roman" w:hAnsi="Times New Roman" w:cs="Times New Roman"/>
          <w:sz w:val="24"/>
          <w:szCs w:val="24"/>
        </w:rPr>
        <w:t xml:space="preserve">administrarea unor doze mai mari de analog de somatostatină, dacă pacientul e sensibil la tratamentul cu analogi de somatostatină (pacientii care indeplinesc criteriile de raspuns partial): </w:t>
      </w:r>
    </w:p>
    <w:p w14:paraId="1B73CF8A" w14:textId="77777777" w:rsidR="00083B52" w:rsidRPr="00F941DA" w:rsidRDefault="00083B52" w:rsidP="00D11DF1">
      <w:pPr>
        <w:numPr>
          <w:ilvl w:val="1"/>
          <w:numId w:val="178"/>
        </w:numPr>
        <w:autoSpaceDE w:val="0"/>
        <w:autoSpaceDN w:val="0"/>
        <w:adjustRightInd w:val="0"/>
        <w:spacing w:after="0" w:line="240" w:lineRule="auto"/>
        <w:ind w:left="851" w:hanging="284"/>
        <w:contextualSpacing/>
        <w:jc w:val="both"/>
        <w:rPr>
          <w:rFonts w:ascii="Times New Roman" w:hAnsi="Times New Roman" w:cs="Times New Roman"/>
          <w:sz w:val="24"/>
          <w:szCs w:val="24"/>
        </w:rPr>
      </w:pPr>
      <w:r w:rsidRPr="00F941DA">
        <w:rPr>
          <w:rFonts w:ascii="Times New Roman" w:hAnsi="Times New Roman" w:cs="Times New Roman"/>
          <w:sz w:val="24"/>
          <w:szCs w:val="24"/>
        </w:rPr>
        <w:t xml:space="preserve">Lanreotidum PR 30 mg im la 7 zile sau Lanreotidum Autogel 120 mg sc la 4 săptămâni, </w:t>
      </w:r>
    </w:p>
    <w:p w14:paraId="44ED9176" w14:textId="77777777" w:rsidR="00083B52" w:rsidRPr="00F941DA" w:rsidRDefault="00083B52" w:rsidP="00D11DF1">
      <w:pPr>
        <w:numPr>
          <w:ilvl w:val="1"/>
          <w:numId w:val="178"/>
        </w:numPr>
        <w:autoSpaceDE w:val="0"/>
        <w:autoSpaceDN w:val="0"/>
        <w:adjustRightInd w:val="0"/>
        <w:spacing w:after="0" w:line="240" w:lineRule="auto"/>
        <w:ind w:left="851" w:hanging="284"/>
        <w:contextualSpacing/>
        <w:jc w:val="both"/>
        <w:rPr>
          <w:rFonts w:ascii="Times New Roman" w:hAnsi="Times New Roman" w:cs="Times New Roman"/>
          <w:sz w:val="24"/>
          <w:szCs w:val="24"/>
        </w:rPr>
      </w:pPr>
      <w:r w:rsidRPr="00F941DA">
        <w:rPr>
          <w:rFonts w:ascii="Times New Roman" w:hAnsi="Times New Roman" w:cs="Times New Roman"/>
          <w:sz w:val="24"/>
          <w:szCs w:val="24"/>
        </w:rPr>
        <w:t>Octreotidum LAR 30 mg im la 28 zile, până la 40 mg la 28 zile;</w:t>
      </w:r>
    </w:p>
    <w:p w14:paraId="232CCB99" w14:textId="11F74ED4" w:rsidR="000C1C91" w:rsidRPr="00F941DA" w:rsidRDefault="00083B52" w:rsidP="00D11DF1">
      <w:pPr>
        <w:numPr>
          <w:ilvl w:val="0"/>
          <w:numId w:val="178"/>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F941DA">
        <w:rPr>
          <w:rFonts w:ascii="Times New Roman" w:hAnsi="Times New Roman" w:cs="Times New Roman"/>
          <w:sz w:val="24"/>
          <w:szCs w:val="24"/>
        </w:rPr>
        <w:t>administrarea Pegvisomant in monoterapie;</w:t>
      </w:r>
    </w:p>
    <w:p w14:paraId="4FAC48E6" w14:textId="6B365578" w:rsidR="000C1C91" w:rsidRPr="00F941DA" w:rsidRDefault="00083B52" w:rsidP="00D11DF1">
      <w:pPr>
        <w:numPr>
          <w:ilvl w:val="0"/>
          <w:numId w:val="178"/>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F941DA">
        <w:rPr>
          <w:rFonts w:ascii="Times New Roman" w:hAnsi="Times New Roman" w:cs="Times New Roman"/>
          <w:sz w:val="24"/>
          <w:szCs w:val="24"/>
        </w:rPr>
        <w:t>evaluarea reintervenţiei chirurgicale.</w:t>
      </w:r>
    </w:p>
    <w:p w14:paraId="1E79BFBA" w14:textId="77777777" w:rsidR="000C1C91" w:rsidRPr="00F941DA" w:rsidRDefault="000C1C91" w:rsidP="000C1C91">
      <w:pPr>
        <w:autoSpaceDE w:val="0"/>
        <w:autoSpaceDN w:val="0"/>
        <w:adjustRightInd w:val="0"/>
        <w:spacing w:after="0" w:line="240" w:lineRule="auto"/>
        <w:ind w:left="567"/>
        <w:contextualSpacing/>
        <w:jc w:val="both"/>
        <w:rPr>
          <w:rFonts w:ascii="Times New Roman" w:hAnsi="Times New Roman" w:cs="Times New Roman"/>
          <w:sz w:val="24"/>
          <w:szCs w:val="24"/>
        </w:rPr>
      </w:pPr>
    </w:p>
    <w:p w14:paraId="63B21F5B" w14:textId="7FE8FAD2"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sz w:val="24"/>
          <w:szCs w:val="24"/>
        </w:rPr>
        <w:t>C.</w:t>
      </w:r>
      <w:r w:rsidRPr="00F941DA">
        <w:rPr>
          <w:rFonts w:ascii="Times New Roman" w:hAnsi="Times New Roman" w:cs="Times New Roman"/>
          <w:sz w:val="24"/>
          <w:szCs w:val="24"/>
        </w:rPr>
        <w:t xml:space="preserve"> Dacă sunt îndeplinite criteriile de eficienţă terapeutică optimă, pacientul va continua cu aceeaşi doză până la 3 ani la pacienții iradiați, 5 ani la cei neiradiați. El va fi evaluat anual, pentru aprecierea eficienţei şi siguranţei tratamentului.</w:t>
      </w:r>
    </w:p>
    <w:p w14:paraId="4369C4FE"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sz w:val="24"/>
          <w:szCs w:val="24"/>
        </w:rPr>
        <w:t>D.</w:t>
      </w:r>
      <w:r w:rsidRPr="00F941DA">
        <w:rPr>
          <w:rFonts w:ascii="Times New Roman" w:hAnsi="Times New Roman" w:cs="Times New Roman"/>
          <w:sz w:val="24"/>
          <w:szCs w:val="24"/>
        </w:rPr>
        <w:t xml:space="preserve"> Dacă nu sunt îndeplinite criteriile de </w:t>
      </w:r>
      <w:r w:rsidRPr="00F941DA">
        <w:rPr>
          <w:rFonts w:ascii="Times New Roman" w:hAnsi="Times New Roman" w:cs="Times New Roman"/>
          <w:b/>
          <w:bCs/>
          <w:sz w:val="24"/>
          <w:szCs w:val="24"/>
        </w:rPr>
        <w:t>eficienţă terapeutică optimă</w:t>
      </w:r>
      <w:r w:rsidRPr="00F941DA">
        <w:rPr>
          <w:rFonts w:ascii="Times New Roman" w:hAnsi="Times New Roman" w:cs="Times New Roman"/>
          <w:sz w:val="24"/>
          <w:szCs w:val="24"/>
        </w:rPr>
        <w:t>, medicul curant va putea alege una dintre variantele de mai jos:</w:t>
      </w:r>
    </w:p>
    <w:p w14:paraId="4BB7236F" w14:textId="77777777" w:rsidR="00083B52" w:rsidRPr="00F941DA" w:rsidRDefault="00083B52" w:rsidP="00D11DF1">
      <w:pPr>
        <w:numPr>
          <w:ilvl w:val="0"/>
          <w:numId w:val="179"/>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F941DA">
        <w:rPr>
          <w:rFonts w:ascii="Times New Roman" w:hAnsi="Times New Roman" w:cs="Times New Roman"/>
          <w:sz w:val="24"/>
          <w:szCs w:val="24"/>
        </w:rPr>
        <w:t>tratament combinat: analogi de somatostatină de generatia I (Octreotidum LAR doză de 40 mg/28 zile sau Lanreotidum Autogel 120 mg/28 zile) asociat cu Pegvisomant (doza maxima de 30 mg/zi);</w:t>
      </w:r>
    </w:p>
    <w:p w14:paraId="1800F8E2" w14:textId="0C44572D" w:rsidR="00083B52" w:rsidRPr="00F941DA" w:rsidRDefault="00083B52" w:rsidP="00D11DF1">
      <w:pPr>
        <w:numPr>
          <w:ilvl w:val="0"/>
          <w:numId w:val="179"/>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F941DA">
        <w:rPr>
          <w:rFonts w:ascii="Times New Roman" w:hAnsi="Times New Roman" w:cs="Times New Roman"/>
          <w:sz w:val="24"/>
          <w:szCs w:val="24"/>
        </w:rPr>
        <w:t>terapie cu analogul de somatostatin de generaţia a II-a - Pasireotide LAR în doză de 40 mg la fiecare 4 săptămâni, în funcţie de profilul clinic şi paraclinic al pacientului. Dacă răspunsul obţinut după 3 luni de terapie cu Pasireotide LAR 40 mg/4 săptămâni este sub-optimal (clinic şi paraclinic), se va recomanda creşterea dozei de Pasireotide LAR la 60 mg la fiecare 4 săptămâni.</w:t>
      </w:r>
    </w:p>
    <w:p w14:paraId="402A2416" w14:textId="77777777" w:rsidR="000C1C91" w:rsidRPr="00F941DA" w:rsidRDefault="000C1C91" w:rsidP="000C1C91">
      <w:pPr>
        <w:autoSpaceDE w:val="0"/>
        <w:autoSpaceDN w:val="0"/>
        <w:adjustRightInd w:val="0"/>
        <w:spacing w:after="0" w:line="240" w:lineRule="auto"/>
        <w:ind w:left="567"/>
        <w:contextualSpacing/>
        <w:jc w:val="both"/>
        <w:rPr>
          <w:rFonts w:ascii="Times New Roman" w:hAnsi="Times New Roman" w:cs="Times New Roman"/>
          <w:sz w:val="24"/>
          <w:szCs w:val="24"/>
        </w:rPr>
      </w:pPr>
    </w:p>
    <w:p w14:paraId="7858B88F"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b/>
          <w:sz w:val="24"/>
          <w:szCs w:val="24"/>
        </w:rPr>
        <w:t>E.</w:t>
      </w:r>
      <w:r w:rsidRPr="00F941DA">
        <w:rPr>
          <w:rFonts w:ascii="Times New Roman" w:hAnsi="Times New Roman" w:cs="Times New Roman"/>
          <w:sz w:val="24"/>
          <w:szCs w:val="24"/>
        </w:rPr>
        <w:t xml:space="preserve"> Dacă nu sunt îndeplinite criteriile de </w:t>
      </w:r>
      <w:r w:rsidRPr="00F941DA">
        <w:rPr>
          <w:rFonts w:ascii="Times New Roman" w:hAnsi="Times New Roman" w:cs="Times New Roman"/>
          <w:b/>
          <w:bCs/>
          <w:sz w:val="24"/>
          <w:szCs w:val="24"/>
        </w:rPr>
        <w:t>eficienţă terapeutică optimă</w:t>
      </w:r>
      <w:r w:rsidRPr="00F941DA">
        <w:rPr>
          <w:rFonts w:ascii="Times New Roman" w:hAnsi="Times New Roman" w:cs="Times New Roman"/>
          <w:sz w:val="24"/>
          <w:szCs w:val="24"/>
        </w:rPr>
        <w:t>, medicul curant va putea lua in considerare una dintre variantele de mai jos:</w:t>
      </w:r>
    </w:p>
    <w:p w14:paraId="7EAD4A92" w14:textId="77777777" w:rsidR="00083B52" w:rsidRPr="00F941DA" w:rsidRDefault="00083B52" w:rsidP="00D11DF1">
      <w:pPr>
        <w:numPr>
          <w:ilvl w:val="0"/>
          <w:numId w:val="180"/>
        </w:numPr>
        <w:autoSpaceDE w:val="0"/>
        <w:autoSpaceDN w:val="0"/>
        <w:adjustRightInd w:val="0"/>
        <w:spacing w:after="0" w:line="240" w:lineRule="auto"/>
        <w:contextualSpacing/>
        <w:jc w:val="both"/>
        <w:rPr>
          <w:rFonts w:ascii="Times New Roman" w:hAnsi="Times New Roman" w:cs="Times New Roman"/>
          <w:sz w:val="24"/>
          <w:szCs w:val="24"/>
        </w:rPr>
      </w:pPr>
      <w:r w:rsidRPr="00F941DA">
        <w:rPr>
          <w:rFonts w:ascii="Times New Roman" w:hAnsi="Times New Roman" w:cs="Times New Roman"/>
          <w:sz w:val="24"/>
          <w:szCs w:val="24"/>
        </w:rPr>
        <w:t>Radioterapie</w:t>
      </w:r>
    </w:p>
    <w:p w14:paraId="5912B05C" w14:textId="77777777" w:rsidR="00083B52" w:rsidRPr="00F941DA" w:rsidRDefault="00083B52" w:rsidP="00D11DF1">
      <w:pPr>
        <w:numPr>
          <w:ilvl w:val="0"/>
          <w:numId w:val="180"/>
        </w:numPr>
        <w:autoSpaceDE w:val="0"/>
        <w:autoSpaceDN w:val="0"/>
        <w:adjustRightInd w:val="0"/>
        <w:spacing w:after="0" w:line="240" w:lineRule="auto"/>
        <w:contextualSpacing/>
        <w:jc w:val="both"/>
        <w:rPr>
          <w:rFonts w:ascii="Times New Roman" w:hAnsi="Times New Roman" w:cs="Times New Roman"/>
          <w:sz w:val="24"/>
          <w:szCs w:val="24"/>
        </w:rPr>
      </w:pPr>
      <w:r w:rsidRPr="00F941DA">
        <w:rPr>
          <w:rFonts w:ascii="Times New Roman" w:hAnsi="Times New Roman" w:cs="Times New Roman"/>
          <w:sz w:val="24"/>
          <w:szCs w:val="24"/>
        </w:rPr>
        <w:t>Tratament combinat: Pegvisomant si Pasireotide.</w:t>
      </w:r>
    </w:p>
    <w:p w14:paraId="3D0493DC"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     </w:t>
      </w:r>
    </w:p>
    <w:p w14:paraId="73A941F9"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Pentru pacienţii cu niveluri normalizate sau spre limita inferioară ale IGF-1, după 3 luni de tratament, se poate încerca reducerea dozei de Pegvisomant/analog de somatostatin, la recomandarea endocrinologului curant.</w:t>
      </w:r>
    </w:p>
    <w:p w14:paraId="3F54F29B" w14:textId="77777777"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Dacă medicul evaluator constată apariţia unor reacţii adverse majore la tratamentul cu analogi de somatostatină sau lipsa de complianţă a pacientului la terapie/monitorizare, va decide întreruperea terapiei.</w:t>
      </w:r>
    </w:p>
    <w:p w14:paraId="4F3A1838" w14:textId="2BB741A0"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 xml:space="preserve">După 3 ani de tratament fără întrerupere la pacientii iradiați și 5 ani la cei neiradiați, în cazul pacienţilor cu control terapeutic optim, medicaţia cu analog de somatostatin sau Pegvisomant va fi întreruptă timp </w:t>
      </w:r>
      <w:r w:rsidRPr="00F941DA">
        <w:rPr>
          <w:rFonts w:ascii="Times New Roman" w:hAnsi="Times New Roman" w:cs="Times New Roman"/>
          <w:sz w:val="24"/>
          <w:szCs w:val="24"/>
        </w:rPr>
        <w:lastRenderedPageBreak/>
        <w:t>de 2 luni, pentru a demonstra persistenţa bolii active. Reevaluarea va cuprinde toate evaluările iniţiale (GH va fi măsurat în cursul probei de toleranţă orală la glucoză sau media GH bazal).</w:t>
      </w:r>
    </w:p>
    <w:p w14:paraId="1AAD2B3B" w14:textId="305D649A" w:rsidR="00083B52" w:rsidRPr="00F941DA" w:rsidRDefault="00083B52" w:rsidP="00083B52">
      <w:pPr>
        <w:autoSpaceDE w:val="0"/>
        <w:autoSpaceDN w:val="0"/>
        <w:adjustRightInd w:val="0"/>
        <w:jc w:val="both"/>
        <w:rPr>
          <w:rFonts w:ascii="Times New Roman" w:hAnsi="Times New Roman" w:cs="Times New Roman"/>
          <w:sz w:val="24"/>
          <w:szCs w:val="24"/>
        </w:rPr>
      </w:pPr>
      <w:r w:rsidRPr="00F941DA">
        <w:rPr>
          <w:rFonts w:ascii="Times New Roman" w:hAnsi="Times New Roman" w:cs="Times New Roman"/>
          <w:sz w:val="24"/>
          <w:szCs w:val="24"/>
        </w:rPr>
        <w:t>În cazul pacienţilor cu răspuns parţial şi al pacienţilor cu răspuns optim, dar cu istoric şi investigaţii imagistice hipofizare care susţin improbabilitatea vindecării bolii (absenţa tratamentului chirurgical/radiochirurgical/radioterapie), medicaţia cu analog de somatostatin/Pegvisomant nu va fi întreruptă.</w:t>
      </w:r>
    </w:p>
    <w:p w14:paraId="09E93ABF" w14:textId="77777777" w:rsidR="000C1C91" w:rsidRPr="00F941DA" w:rsidRDefault="000C1C91" w:rsidP="00083B52">
      <w:pPr>
        <w:autoSpaceDE w:val="0"/>
        <w:autoSpaceDN w:val="0"/>
        <w:adjustRightInd w:val="0"/>
        <w:jc w:val="both"/>
        <w:rPr>
          <w:rFonts w:ascii="Times New Roman" w:hAnsi="Times New Roman" w:cs="Times New Roman"/>
          <w:sz w:val="24"/>
          <w:szCs w:val="24"/>
        </w:rPr>
      </w:pPr>
    </w:p>
    <w:p w14:paraId="00602DAA" w14:textId="5103E757" w:rsidR="00083B52" w:rsidRPr="00F941DA" w:rsidRDefault="00083B52" w:rsidP="00083B52">
      <w:pPr>
        <w:autoSpaceDE w:val="0"/>
        <w:autoSpaceDN w:val="0"/>
        <w:adjustRightInd w:val="0"/>
        <w:jc w:val="both"/>
        <w:rPr>
          <w:rFonts w:ascii="Times New Roman" w:eastAsia="Arial" w:hAnsi="Times New Roman" w:cs="Times New Roman"/>
          <w:b/>
          <w:bCs/>
          <w:sz w:val="24"/>
          <w:szCs w:val="24"/>
          <w:lang w:val="en-US"/>
        </w:rPr>
      </w:pPr>
      <w:r w:rsidRPr="00F941DA">
        <w:rPr>
          <w:rFonts w:ascii="Times New Roman" w:hAnsi="Times New Roman" w:cs="Times New Roman"/>
          <w:b/>
          <w:bCs/>
          <w:sz w:val="24"/>
          <w:szCs w:val="24"/>
        </w:rPr>
        <w:t xml:space="preserve">XII. PRESCRIPTORI: </w:t>
      </w:r>
      <w:r w:rsidRPr="00F941DA">
        <w:rPr>
          <w:rFonts w:ascii="Times New Roman" w:hAnsi="Times New Roman" w:cs="Times New Roman"/>
          <w:sz w:val="24"/>
          <w:szCs w:val="24"/>
        </w:rPr>
        <w:t>Tratamentul este iniţiat de către medicii endocrinologi şi poate fi continuat de medicii endocrinologi sau medicii de familie, pe bază de "scrisoare medicală.", in dozele si pe perioada recomandata in aceasta.</w:t>
      </w:r>
      <w:r w:rsidR="000C1C91" w:rsidRPr="00F941DA">
        <w:rPr>
          <w:rFonts w:ascii="Times New Roman" w:eastAsia="Arial" w:hAnsi="Times New Roman" w:cs="Times New Roman"/>
          <w:bCs/>
          <w:sz w:val="24"/>
          <w:szCs w:val="24"/>
          <w:lang w:val="en-US"/>
        </w:rPr>
        <w:t>”</w:t>
      </w:r>
    </w:p>
    <w:p w14:paraId="01551239" w14:textId="77777777" w:rsidR="00083B52" w:rsidRPr="00F941DA" w:rsidRDefault="00083B52" w:rsidP="00083B52">
      <w:pPr>
        <w:jc w:val="both"/>
        <w:rPr>
          <w:rFonts w:ascii="Times New Roman" w:hAnsi="Times New Roman" w:cs="Times New Roman"/>
          <w:sz w:val="24"/>
          <w:szCs w:val="24"/>
        </w:rPr>
      </w:pPr>
    </w:p>
    <w:p w14:paraId="37A8B753" w14:textId="77777777" w:rsidR="00083B52" w:rsidRPr="00F941DA" w:rsidRDefault="00083B52" w:rsidP="00083B52">
      <w:pPr>
        <w:jc w:val="both"/>
        <w:rPr>
          <w:rFonts w:ascii="Times New Roman" w:hAnsi="Times New Roman" w:cs="Times New Roman"/>
          <w:sz w:val="24"/>
          <w:szCs w:val="24"/>
        </w:rPr>
      </w:pPr>
    </w:p>
    <w:p w14:paraId="5E8DC1D8" w14:textId="77777777" w:rsidR="00083B52" w:rsidRPr="00F941DA" w:rsidRDefault="00083B52" w:rsidP="00083B52">
      <w:pPr>
        <w:jc w:val="both"/>
        <w:rPr>
          <w:rFonts w:ascii="Times New Roman" w:hAnsi="Times New Roman" w:cs="Times New Roman"/>
          <w:sz w:val="24"/>
          <w:szCs w:val="24"/>
        </w:rPr>
      </w:pPr>
    </w:p>
    <w:p w14:paraId="7F5266D6" w14:textId="77777777" w:rsidR="00083B52" w:rsidRPr="00F941DA" w:rsidRDefault="00083B52" w:rsidP="007B3701">
      <w:pPr>
        <w:rPr>
          <w:rFonts w:ascii="Times New Roman" w:hAnsi="Times New Roman" w:cs="Times New Roman"/>
          <w:sz w:val="24"/>
          <w:szCs w:val="24"/>
        </w:rPr>
      </w:pPr>
    </w:p>
    <w:p w14:paraId="17402B1D" w14:textId="77777777" w:rsidR="00083B52" w:rsidRPr="00F941DA" w:rsidRDefault="00083B52" w:rsidP="007B3701">
      <w:pPr>
        <w:rPr>
          <w:rFonts w:ascii="Times New Roman" w:hAnsi="Times New Roman" w:cs="Times New Roman"/>
          <w:sz w:val="24"/>
          <w:szCs w:val="24"/>
        </w:rPr>
      </w:pPr>
    </w:p>
    <w:p w14:paraId="13C2A552" w14:textId="77777777" w:rsidR="00083B52" w:rsidRPr="00F941DA" w:rsidRDefault="00083B52" w:rsidP="007B3701">
      <w:pPr>
        <w:rPr>
          <w:rFonts w:ascii="Times New Roman" w:hAnsi="Times New Roman" w:cs="Times New Roman"/>
          <w:sz w:val="24"/>
          <w:szCs w:val="24"/>
        </w:rPr>
      </w:pPr>
    </w:p>
    <w:p w14:paraId="2D4CED98" w14:textId="77777777" w:rsidR="00083B52" w:rsidRPr="00F941DA" w:rsidRDefault="00083B52" w:rsidP="007B3701">
      <w:pPr>
        <w:rPr>
          <w:rFonts w:ascii="Times New Roman" w:hAnsi="Times New Roman" w:cs="Times New Roman"/>
          <w:sz w:val="24"/>
          <w:szCs w:val="24"/>
        </w:rPr>
      </w:pPr>
    </w:p>
    <w:p w14:paraId="7B439989" w14:textId="77777777" w:rsidR="00083B52" w:rsidRPr="00F941DA" w:rsidRDefault="00083B52" w:rsidP="007B3701">
      <w:pPr>
        <w:rPr>
          <w:rFonts w:ascii="Times New Roman" w:hAnsi="Times New Roman" w:cs="Times New Roman"/>
          <w:sz w:val="24"/>
          <w:szCs w:val="24"/>
        </w:rPr>
      </w:pPr>
    </w:p>
    <w:p w14:paraId="6B661B3F" w14:textId="77777777" w:rsidR="00083B52" w:rsidRPr="00F941DA" w:rsidRDefault="00083B52" w:rsidP="007B3701">
      <w:pPr>
        <w:rPr>
          <w:rFonts w:ascii="Times New Roman" w:hAnsi="Times New Roman" w:cs="Times New Roman"/>
          <w:sz w:val="24"/>
          <w:szCs w:val="24"/>
        </w:rPr>
      </w:pPr>
    </w:p>
    <w:p w14:paraId="4730311A" w14:textId="77777777" w:rsidR="00083B52" w:rsidRPr="00F941DA" w:rsidRDefault="00083B52" w:rsidP="007B3701">
      <w:pPr>
        <w:rPr>
          <w:rFonts w:ascii="Times New Roman" w:hAnsi="Times New Roman" w:cs="Times New Roman"/>
          <w:sz w:val="24"/>
          <w:szCs w:val="24"/>
        </w:rPr>
      </w:pPr>
    </w:p>
    <w:p w14:paraId="1ED89DF8" w14:textId="77777777" w:rsidR="00083B52" w:rsidRPr="00F941DA" w:rsidRDefault="00083B52" w:rsidP="007B3701">
      <w:pPr>
        <w:rPr>
          <w:rFonts w:ascii="Times New Roman" w:hAnsi="Times New Roman" w:cs="Times New Roman"/>
          <w:sz w:val="24"/>
          <w:szCs w:val="24"/>
        </w:rPr>
      </w:pPr>
    </w:p>
    <w:p w14:paraId="7730FFAB" w14:textId="77777777" w:rsidR="00083B52" w:rsidRPr="00F941DA" w:rsidRDefault="00083B52" w:rsidP="007B3701">
      <w:pPr>
        <w:rPr>
          <w:rFonts w:ascii="Times New Roman" w:hAnsi="Times New Roman" w:cs="Times New Roman"/>
          <w:sz w:val="24"/>
          <w:szCs w:val="24"/>
        </w:rPr>
      </w:pPr>
    </w:p>
    <w:p w14:paraId="2DCD3563" w14:textId="77777777" w:rsidR="00083B52" w:rsidRPr="00F941DA" w:rsidRDefault="00083B52" w:rsidP="007B3701">
      <w:pPr>
        <w:rPr>
          <w:rFonts w:ascii="Times New Roman" w:hAnsi="Times New Roman" w:cs="Times New Roman"/>
          <w:sz w:val="24"/>
          <w:szCs w:val="24"/>
        </w:rPr>
      </w:pPr>
    </w:p>
    <w:p w14:paraId="3485F0F4" w14:textId="77777777" w:rsidR="00083B52" w:rsidRPr="00F941DA" w:rsidRDefault="00083B52" w:rsidP="007B3701">
      <w:pPr>
        <w:rPr>
          <w:rFonts w:ascii="Times New Roman" w:hAnsi="Times New Roman" w:cs="Times New Roman"/>
          <w:sz w:val="24"/>
          <w:szCs w:val="24"/>
        </w:rPr>
      </w:pPr>
    </w:p>
    <w:p w14:paraId="1179A041" w14:textId="77777777" w:rsidR="00083B52" w:rsidRPr="00F941DA" w:rsidRDefault="00083B52" w:rsidP="007B3701">
      <w:pPr>
        <w:rPr>
          <w:rFonts w:ascii="Times New Roman" w:hAnsi="Times New Roman" w:cs="Times New Roman"/>
          <w:sz w:val="24"/>
          <w:szCs w:val="24"/>
        </w:rPr>
      </w:pPr>
    </w:p>
    <w:p w14:paraId="537F59D9" w14:textId="77777777" w:rsidR="000C1C91" w:rsidRPr="00F941DA" w:rsidRDefault="000C1C91" w:rsidP="007B3701">
      <w:pPr>
        <w:rPr>
          <w:rFonts w:ascii="Times New Roman" w:hAnsi="Times New Roman" w:cs="Times New Roman"/>
          <w:sz w:val="24"/>
          <w:szCs w:val="24"/>
        </w:rPr>
      </w:pPr>
    </w:p>
    <w:p w14:paraId="57A6B6F7" w14:textId="77777777" w:rsidR="000C1C91" w:rsidRPr="00F941DA" w:rsidRDefault="000C1C91" w:rsidP="007B3701">
      <w:pPr>
        <w:rPr>
          <w:rFonts w:ascii="Times New Roman" w:hAnsi="Times New Roman" w:cs="Times New Roman"/>
          <w:sz w:val="24"/>
          <w:szCs w:val="24"/>
        </w:rPr>
      </w:pPr>
    </w:p>
    <w:p w14:paraId="31C61978" w14:textId="77777777" w:rsidR="000C1C91" w:rsidRPr="00F941DA" w:rsidRDefault="000C1C91" w:rsidP="007B3701">
      <w:pPr>
        <w:rPr>
          <w:rFonts w:ascii="Times New Roman" w:hAnsi="Times New Roman" w:cs="Times New Roman"/>
          <w:sz w:val="24"/>
          <w:szCs w:val="24"/>
        </w:rPr>
      </w:pPr>
    </w:p>
    <w:p w14:paraId="17CBCE1D" w14:textId="77777777" w:rsidR="000C1C91" w:rsidRPr="00F941DA" w:rsidRDefault="000C1C91" w:rsidP="007B3701">
      <w:pPr>
        <w:rPr>
          <w:rFonts w:ascii="Times New Roman" w:hAnsi="Times New Roman" w:cs="Times New Roman"/>
          <w:sz w:val="24"/>
          <w:szCs w:val="24"/>
        </w:rPr>
      </w:pPr>
    </w:p>
    <w:p w14:paraId="00AEE6E3" w14:textId="77777777" w:rsidR="000C1C91" w:rsidRPr="00F941DA" w:rsidRDefault="000C1C91" w:rsidP="007B3701">
      <w:pPr>
        <w:rPr>
          <w:rFonts w:ascii="Times New Roman" w:hAnsi="Times New Roman" w:cs="Times New Roman"/>
          <w:sz w:val="24"/>
          <w:szCs w:val="24"/>
        </w:rPr>
      </w:pPr>
    </w:p>
    <w:p w14:paraId="50DC365B" w14:textId="77777777" w:rsidR="000C1C91" w:rsidRPr="00F941DA" w:rsidRDefault="000C1C91" w:rsidP="007B3701">
      <w:pPr>
        <w:rPr>
          <w:rFonts w:ascii="Times New Roman" w:hAnsi="Times New Roman" w:cs="Times New Roman"/>
          <w:sz w:val="24"/>
          <w:szCs w:val="24"/>
        </w:rPr>
      </w:pPr>
    </w:p>
    <w:p w14:paraId="02058867" w14:textId="77777777" w:rsidR="00083B52" w:rsidRPr="00F941DA" w:rsidRDefault="00083B52" w:rsidP="007B3701">
      <w:pPr>
        <w:rPr>
          <w:rFonts w:ascii="Times New Roman" w:hAnsi="Times New Roman" w:cs="Times New Roman"/>
          <w:sz w:val="24"/>
          <w:szCs w:val="24"/>
        </w:rPr>
      </w:pPr>
    </w:p>
    <w:p w14:paraId="294E8008" w14:textId="77777777" w:rsidR="00083B52" w:rsidRPr="00F941DA" w:rsidRDefault="00083B52" w:rsidP="007B3701">
      <w:pPr>
        <w:rPr>
          <w:rFonts w:ascii="Times New Roman" w:hAnsi="Times New Roman" w:cs="Times New Roman"/>
          <w:sz w:val="24"/>
          <w:szCs w:val="24"/>
        </w:rPr>
      </w:pPr>
    </w:p>
    <w:p w14:paraId="4392779E" w14:textId="77777777" w:rsidR="00083B52" w:rsidRDefault="00083B52" w:rsidP="007B3701">
      <w:pPr>
        <w:rPr>
          <w:rFonts w:ascii="Times New Roman" w:hAnsi="Times New Roman" w:cs="Times New Roman"/>
          <w:sz w:val="24"/>
          <w:szCs w:val="24"/>
        </w:rPr>
      </w:pPr>
    </w:p>
    <w:p w14:paraId="721130B3" w14:textId="77777777" w:rsidR="00E048D3" w:rsidRDefault="00E048D3" w:rsidP="007B3701">
      <w:pPr>
        <w:rPr>
          <w:rFonts w:ascii="Times New Roman" w:hAnsi="Times New Roman" w:cs="Times New Roman"/>
          <w:sz w:val="24"/>
          <w:szCs w:val="24"/>
        </w:rPr>
      </w:pPr>
    </w:p>
    <w:p w14:paraId="188635BF" w14:textId="77777777" w:rsidR="00E048D3" w:rsidRDefault="00E048D3" w:rsidP="007B3701">
      <w:pPr>
        <w:rPr>
          <w:rFonts w:ascii="Times New Roman" w:hAnsi="Times New Roman" w:cs="Times New Roman"/>
          <w:sz w:val="24"/>
          <w:szCs w:val="24"/>
        </w:rPr>
      </w:pPr>
    </w:p>
    <w:p w14:paraId="12189078" w14:textId="1BCCC303" w:rsidR="00E048D3" w:rsidRPr="00F941DA" w:rsidRDefault="00E048D3" w:rsidP="00E048D3">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 xml:space="preserve">La anexa nr. 2, protocolul terapeutic corespunzător poziţiei nr. </w:t>
      </w:r>
      <w:r w:rsidRPr="00E048D3">
        <w:rPr>
          <w:rFonts w:eastAsia="Arial"/>
          <w:b/>
          <w:bCs/>
          <w:color w:val="auto"/>
          <w:lang w:val="en-US"/>
        </w:rPr>
        <w:t>14 cod (L034K): BOALA CRONICĂ INFLAMATORIE INTESTINALĂ</w:t>
      </w:r>
      <w:r w:rsidRPr="00F941DA">
        <w:rPr>
          <w:rFonts w:eastAsia="Arial"/>
          <w:b/>
          <w:bCs/>
          <w:color w:val="auto"/>
          <w:lang w:val="en-US"/>
        </w:rPr>
        <w:t xml:space="preserve"> se modifică și se înlocuiește cu următorul protocol:</w:t>
      </w:r>
    </w:p>
    <w:p w14:paraId="536B0690" w14:textId="77777777" w:rsidR="00E048D3" w:rsidRPr="00F941DA" w:rsidRDefault="00E048D3" w:rsidP="00E048D3">
      <w:pPr>
        <w:pStyle w:val="ListParagraph"/>
        <w:tabs>
          <w:tab w:val="left" w:pos="426"/>
        </w:tabs>
        <w:jc w:val="both"/>
        <w:rPr>
          <w:rFonts w:eastAsia="Arial"/>
          <w:b/>
          <w:bCs/>
          <w:color w:val="auto"/>
          <w:lang w:val="en-US"/>
        </w:rPr>
      </w:pPr>
    </w:p>
    <w:p w14:paraId="6FC89775" w14:textId="75193A56" w:rsidR="00E048D3" w:rsidRDefault="00E048D3" w:rsidP="0012230F">
      <w:pPr>
        <w:autoSpaceDE w:val="0"/>
        <w:autoSpaceDN w:val="0"/>
        <w:adjustRightInd w:val="0"/>
        <w:spacing w:after="0" w:line="240" w:lineRule="auto"/>
        <w:jc w:val="both"/>
        <w:rPr>
          <w:rFonts w:ascii="Times New Roman" w:eastAsia="Arial" w:hAnsi="Times New Roman" w:cs="Times New Roman"/>
          <w:b/>
          <w:bCs/>
          <w:sz w:val="24"/>
          <w:szCs w:val="24"/>
          <w:lang w:val="en-US"/>
        </w:rPr>
      </w:pPr>
      <w:r w:rsidRPr="00F941DA">
        <w:rPr>
          <w:rFonts w:ascii="Times New Roman" w:eastAsia="Arial" w:hAnsi="Times New Roman" w:cs="Times New Roman"/>
          <w:b/>
          <w:bCs/>
          <w:sz w:val="24"/>
          <w:szCs w:val="24"/>
          <w:lang w:val="en-US"/>
        </w:rPr>
        <w:t xml:space="preserve">”Protocol terapeutic corespunzător poziției nr. </w:t>
      </w:r>
      <w:r w:rsidR="0012230F" w:rsidRPr="0012230F">
        <w:rPr>
          <w:rFonts w:ascii="Times New Roman" w:eastAsia="Arial" w:hAnsi="Times New Roman" w:cs="Times New Roman"/>
          <w:b/>
          <w:bCs/>
          <w:sz w:val="24"/>
          <w:szCs w:val="24"/>
          <w:lang w:val="en-US"/>
        </w:rPr>
        <w:t>14 cod (L034K): BOALA CRONICĂ INFLAMATORIE INTESTINALĂ</w:t>
      </w:r>
    </w:p>
    <w:p w14:paraId="63DFF717" w14:textId="77777777" w:rsidR="0012230F" w:rsidRDefault="0012230F" w:rsidP="0012230F">
      <w:pPr>
        <w:autoSpaceDE w:val="0"/>
        <w:autoSpaceDN w:val="0"/>
        <w:adjustRightInd w:val="0"/>
        <w:spacing w:after="0" w:line="240" w:lineRule="auto"/>
        <w:jc w:val="both"/>
        <w:rPr>
          <w:rFonts w:ascii="Times New Roman" w:eastAsia="Arial" w:hAnsi="Times New Roman" w:cs="Times New Roman"/>
          <w:b/>
          <w:bCs/>
          <w:sz w:val="24"/>
          <w:szCs w:val="24"/>
          <w:lang w:val="en-US"/>
        </w:rPr>
      </w:pPr>
    </w:p>
    <w:p w14:paraId="22172551" w14:textId="77777777" w:rsidR="0012230F" w:rsidRDefault="0012230F" w:rsidP="0012230F">
      <w:pPr>
        <w:autoSpaceDE w:val="0"/>
        <w:autoSpaceDN w:val="0"/>
        <w:adjustRightInd w:val="0"/>
        <w:spacing w:after="0" w:line="240" w:lineRule="auto"/>
        <w:jc w:val="both"/>
        <w:rPr>
          <w:rFonts w:ascii="Times New Roman" w:hAnsi="Times New Roman" w:cs="Times New Roman"/>
          <w:sz w:val="24"/>
          <w:szCs w:val="24"/>
        </w:rPr>
      </w:pPr>
    </w:p>
    <w:p w14:paraId="47F289BC" w14:textId="77777777" w:rsidR="0012230F" w:rsidRPr="007E7124" w:rsidRDefault="0012230F" w:rsidP="0012230F">
      <w:pPr>
        <w:pBdr>
          <w:top w:val="nil"/>
          <w:left w:val="nil"/>
          <w:bottom w:val="nil"/>
          <w:right w:val="nil"/>
          <w:between w:val="nil"/>
          <w:bar w:val="nil"/>
        </w:pBdr>
        <w:tabs>
          <w:tab w:val="left" w:pos="426"/>
        </w:tabs>
        <w:spacing w:after="0" w:line="240" w:lineRule="auto"/>
        <w:ind w:left="720"/>
        <w:jc w:val="both"/>
        <w:rPr>
          <w:rFonts w:ascii="Times New Roman" w:eastAsia="Arial" w:hAnsi="Times New Roman" w:cs="Times New Roman"/>
          <w:b/>
          <w:bCs/>
          <w:sz w:val="24"/>
          <w:szCs w:val="24"/>
          <w:u w:color="000000"/>
          <w:bdr w:val="nil"/>
          <w:lang w:eastAsia="ro-RO"/>
        </w:rPr>
      </w:pPr>
    </w:p>
    <w:p w14:paraId="3E9ACA9D" w14:textId="77777777" w:rsidR="0012230F" w:rsidRPr="007E7124" w:rsidRDefault="0012230F" w:rsidP="0012230F">
      <w:pPr>
        <w:autoSpaceDE w:val="0"/>
        <w:autoSpaceDN w:val="0"/>
        <w:adjustRightInd w:val="0"/>
        <w:spacing w:after="0" w:line="240" w:lineRule="auto"/>
        <w:jc w:val="both"/>
        <w:rPr>
          <w:rFonts w:ascii="Times New Roman" w:eastAsia="Arial" w:hAnsi="Times New Roman" w:cs="Times New Roman"/>
          <w:b/>
          <w:bCs/>
          <w:sz w:val="24"/>
          <w:szCs w:val="24"/>
        </w:rPr>
      </w:pPr>
      <w:r w:rsidRPr="007E7124">
        <w:rPr>
          <w:rFonts w:ascii="Times New Roman" w:eastAsia="Arial" w:hAnsi="Times New Roman" w:cs="Times New Roman"/>
          <w:b/>
          <w:bCs/>
          <w:sz w:val="24"/>
          <w:szCs w:val="24"/>
        </w:rPr>
        <w:t>”Protocol terapeutic corespunzător poziției nr. 14 cod (L034K): BOALA CRONICĂ INFLAMATORIE INTESTINALĂ</w:t>
      </w:r>
    </w:p>
    <w:p w14:paraId="535BB04B" w14:textId="77777777" w:rsidR="0012230F" w:rsidRPr="007E7124" w:rsidRDefault="0012230F" w:rsidP="0012230F">
      <w:pPr>
        <w:tabs>
          <w:tab w:val="left" w:pos="426"/>
        </w:tabs>
        <w:jc w:val="both"/>
        <w:rPr>
          <w:rFonts w:ascii="Calibri" w:eastAsia="Arial" w:hAnsi="Calibri" w:cs="Times New Roman"/>
          <w:b/>
          <w:bCs/>
        </w:rPr>
      </w:pPr>
    </w:p>
    <w:p w14:paraId="7F86FD1E"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Boala inflamatorie intestinală (BII) cuprinde B. Crohn (BC), colita ulcerativă (CU) şi colita în curs de clasificare (Colita nedeterminată).</w:t>
      </w:r>
    </w:p>
    <w:p w14:paraId="78A959DC"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13E957C4"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 xml:space="preserve">Diagnosticul complet şi stabilirea strategiei terapeutice, inclusiv indicaţia tratamentului biologic se face prin internare în serviciile de Gastroenterologie care au dotările minime necesare: laborator performant, (şi calprotectina, eventual şi cu evaluarea nivelului seric şi al anticorpilor împotriva produşilor biologici), posibilitatea efectuării endoscopiei digestive superioare şi inferioare, Ecografie, ecoendoscopie, imagistică (enteroCT, RMN, Capsula endoscopică). Decizia de întrerupere sau schimbare a agentului terapeutic se face de asemenea prin internare în servicii de gastroenterologie. Urmărirea periodică a pacienţilor cu BII se poate face şi prin ambulatoriile de gastroenterologie sau internare de zi.    </w:t>
      </w:r>
    </w:p>
    <w:p w14:paraId="79D8C401"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 xml:space="preserve">Pentru administrarea agenţilor biologici, pacientul trebuie să semneze Formularul de Consimţământ Informat al pacientului.    </w:t>
      </w:r>
    </w:p>
    <w:p w14:paraId="0BE45759"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Pacienţii vor fi înscrişi în Registrul naţional de BII: IBD-Prospect (la data la care acesta va deveni operaţional)</w:t>
      </w:r>
    </w:p>
    <w:p w14:paraId="51F7A3E8"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2457EC6D"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7E7124">
        <w:rPr>
          <w:rFonts w:ascii="Times New Roman" w:eastAsia="Times New Roman" w:hAnsi="Times New Roman" w:cs="Times New Roman"/>
          <w:b/>
          <w:bCs/>
          <w:iCs/>
          <w:sz w:val="24"/>
          <w:szCs w:val="24"/>
        </w:rPr>
        <w:t>I. Criterii de diagnostic</w:t>
      </w:r>
    </w:p>
    <w:p w14:paraId="5C15CFB6"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1. Pentru diagnosticul de boală Crohn este necesară existenţa criteriilor clinice (numărul scaunelor/24 h, sensibilitate abdominală, scădere din greutate, febră, tahicardie), biologice (VSH, PCR, calprotectina, lactoferina, anemie, hipoalbuminemie) endoscopice (VCE): (afte, ulcere serpigionoase, aspect de piatră de pavaj, afectarea lumenului) histologice (când este posibilă biopsia) (inflamaţie trasmurală, granulom inflamator). Evaluarea gravităţii se poate face complementar şi prin calcularea scorului CDAI.</w:t>
      </w:r>
    </w:p>
    <w:p w14:paraId="4BCE6936"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48A70C44"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2. Pentru diagnosticul de colită ulcerativă - scaune diareice cel mai adesea cu sânge, tahicardie, sensibilitate abdominală, febră, probe inflamatorii (VSH, leucocitoza, PCR; calprotectina, anemie) endoscopic sunt prezente parţial sau în totalitate: dispariţia desenului vascular, friabilitate, eroziuni, ulcere, sângerări spontane iar histologic se constată infiltrat inflamator în lamina proprie, cript-abcese. Colita ulceroasă fulminantă şi colita în curs de clasificare se prezintă cu leziuni extinse (colita stângă extinsă, pancolită) şi cu toate criteriile de diagnostic amintite foarte alterate (mai mult de 10 scaune cu sânge, febră, VSH, PCR, calprotectina la valori ridicate etc).</w:t>
      </w:r>
    </w:p>
    <w:p w14:paraId="4B8E69C4"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317C4E9C"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3. Pentru ambele afecţiuni este necesar să existe la iniţierea terapiei biologice:</w:t>
      </w:r>
    </w:p>
    <w:p w14:paraId="08E07850" w14:textId="77777777" w:rsidR="0012230F" w:rsidRPr="007E7124" w:rsidRDefault="0012230F" w:rsidP="00D11DF1">
      <w:pPr>
        <w:numPr>
          <w:ilvl w:val="0"/>
          <w:numId w:val="418"/>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Consimţământul informat al pacientului</w:t>
      </w:r>
    </w:p>
    <w:p w14:paraId="26744D09" w14:textId="77777777" w:rsidR="0012230F" w:rsidRPr="007E7124" w:rsidRDefault="0012230F" w:rsidP="00D11DF1">
      <w:pPr>
        <w:numPr>
          <w:ilvl w:val="0"/>
          <w:numId w:val="418"/>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Excluderea altor cauze de colită (infecţioasă, cu atenţie la C. difficile, cu CMV, de iradiere, ischemică, diverticulară, medicamentoasă)</w:t>
      </w:r>
    </w:p>
    <w:p w14:paraId="56BC200B" w14:textId="77777777" w:rsidR="0012230F" w:rsidRPr="007E7124" w:rsidRDefault="0012230F" w:rsidP="00D11DF1">
      <w:pPr>
        <w:numPr>
          <w:ilvl w:val="0"/>
          <w:numId w:val="418"/>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Screening infecţios - pentru infecţiile sistemice semnificative (HIV; VHB; VHC, TBC), tratamentul anti TNF α se va iniţia numai după obţinerea avizului favorabil al specialistului pneumolog (în cazul TB). Infecţia cu VHC nu este o contraindicaţie, dar pacientul trebuie monitorizat; infecţia cu VHB este o contraindicaţie relativă; dacă tratamentul cu antiTNF este indispensabil, trebuie precedat de iniţierea tratamentului antiviral cu analogi nucleozidici/nucleotidici, iar pacientul trebuie monitorizat adecvat.</w:t>
      </w:r>
    </w:p>
    <w:p w14:paraId="0A2634AB" w14:textId="77777777" w:rsidR="0012230F" w:rsidRPr="007E7124" w:rsidRDefault="0012230F" w:rsidP="00D11DF1">
      <w:pPr>
        <w:numPr>
          <w:ilvl w:val="0"/>
          <w:numId w:val="418"/>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lastRenderedPageBreak/>
        <w:t>Screening pentru neoplazii, afecţiuni autoimune sau demielinizante, în funcţie de riscul individualizat al pacientului</w:t>
      </w:r>
    </w:p>
    <w:p w14:paraId="76BF4275" w14:textId="77777777" w:rsidR="0012230F" w:rsidRPr="007E7124" w:rsidRDefault="0012230F" w:rsidP="00D11DF1">
      <w:pPr>
        <w:numPr>
          <w:ilvl w:val="0"/>
          <w:numId w:val="418"/>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Screening imagistic (RMN) pentru abcese (intraabdominale/pelvine) care ar contraindica terapia, la pacienţii cu boala Crohn forma fistulizantă</w:t>
      </w:r>
    </w:p>
    <w:p w14:paraId="22658781" w14:textId="77777777" w:rsidR="0012230F" w:rsidRPr="007E7124" w:rsidRDefault="0012230F" w:rsidP="00D11DF1">
      <w:pPr>
        <w:numPr>
          <w:ilvl w:val="0"/>
          <w:numId w:val="418"/>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Verificarea inexistenţei contraindicaţiilor pentru tratamentul biologic.</w:t>
      </w:r>
    </w:p>
    <w:p w14:paraId="2C0C233A" w14:textId="77777777" w:rsidR="0012230F" w:rsidRPr="007E7124" w:rsidRDefault="0012230F" w:rsidP="00D11DF1">
      <w:pPr>
        <w:numPr>
          <w:ilvl w:val="0"/>
          <w:numId w:val="418"/>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Verificarea tuturor caracteristicilor prezentate în RCP-ul şi aprobarea ANMDMR a medicamentului prescris (indicaţii, contraindicaţii, mod de preparare şi administrare, reacţii adverse, etc.)</w:t>
      </w:r>
    </w:p>
    <w:p w14:paraId="68B026DC"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48CFA801"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7E7124">
        <w:rPr>
          <w:rFonts w:ascii="Times New Roman" w:eastAsia="Times New Roman" w:hAnsi="Times New Roman" w:cs="Times New Roman"/>
          <w:b/>
          <w:bCs/>
          <w:iCs/>
          <w:sz w:val="24"/>
          <w:szCs w:val="24"/>
        </w:rPr>
        <w:t>II. Principii terapeutice în BII</w:t>
      </w:r>
    </w:p>
    <w:p w14:paraId="616CFF49" w14:textId="77777777" w:rsidR="0012230F" w:rsidRPr="007E7124" w:rsidRDefault="0012230F" w:rsidP="00D11DF1">
      <w:pPr>
        <w:numPr>
          <w:ilvl w:val="1"/>
          <w:numId w:val="419"/>
        </w:numPr>
        <w:autoSpaceDE w:val="0"/>
        <w:autoSpaceDN w:val="0"/>
        <w:adjustRightInd w:val="0"/>
        <w:spacing w:after="0" w:line="240" w:lineRule="auto"/>
        <w:ind w:left="270" w:hanging="270"/>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Tratamentul BII urmăreşte amendarea fazei acute sau a reaprinderilor, instalarea remisiunii şi menţinerea stării de remisiune.</w:t>
      </w:r>
    </w:p>
    <w:p w14:paraId="2D8A73F4" w14:textId="77777777" w:rsidR="0012230F" w:rsidRPr="007E7124" w:rsidRDefault="0012230F" w:rsidP="00D11DF1">
      <w:pPr>
        <w:numPr>
          <w:ilvl w:val="1"/>
          <w:numId w:val="419"/>
        </w:numPr>
        <w:autoSpaceDE w:val="0"/>
        <w:autoSpaceDN w:val="0"/>
        <w:adjustRightInd w:val="0"/>
        <w:spacing w:after="0" w:line="240" w:lineRule="auto"/>
        <w:ind w:left="270" w:hanging="270"/>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Cu excepţia unor forme grave tratamentul BII se desfăşoară în trepte pe principiul step-up, adică se începe cu terapia standard monoterapie, standard-terapie asociată, terapie biologică.</w:t>
      </w:r>
    </w:p>
    <w:p w14:paraId="338F28B7" w14:textId="77777777" w:rsidR="0012230F" w:rsidRPr="007E7124" w:rsidRDefault="0012230F" w:rsidP="00D11DF1">
      <w:pPr>
        <w:numPr>
          <w:ilvl w:val="1"/>
          <w:numId w:val="419"/>
        </w:numPr>
        <w:autoSpaceDE w:val="0"/>
        <w:autoSpaceDN w:val="0"/>
        <w:adjustRightInd w:val="0"/>
        <w:spacing w:after="0" w:line="240" w:lineRule="auto"/>
        <w:ind w:left="270" w:hanging="270"/>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În formele acute sunt indicate: preparatele 5-ASA, prednisonul şi terapia biologică (nu imunomodulatoarele, cu excepţia metotrexatului)</w:t>
      </w:r>
    </w:p>
    <w:p w14:paraId="1619BC7D" w14:textId="77777777" w:rsidR="0012230F" w:rsidRPr="007E7124" w:rsidRDefault="0012230F" w:rsidP="00D11DF1">
      <w:pPr>
        <w:numPr>
          <w:ilvl w:val="1"/>
          <w:numId w:val="419"/>
        </w:numPr>
        <w:autoSpaceDE w:val="0"/>
        <w:autoSpaceDN w:val="0"/>
        <w:adjustRightInd w:val="0"/>
        <w:spacing w:after="0" w:line="240" w:lineRule="auto"/>
        <w:ind w:left="270" w:hanging="270"/>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 xml:space="preserve">Pentru tratamentul de menţinere a remisiunii sunt indicate preparatele 5-ASA, imunomodulatoarele, şi tratamentul biologic (nu corticoizii)    </w:t>
      </w:r>
    </w:p>
    <w:p w14:paraId="7460D03D"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4121A347"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7E7124">
        <w:rPr>
          <w:rFonts w:ascii="Times New Roman" w:eastAsia="Times New Roman" w:hAnsi="Times New Roman" w:cs="Times New Roman"/>
          <w:b/>
          <w:bCs/>
          <w:iCs/>
          <w:sz w:val="24"/>
          <w:szCs w:val="24"/>
        </w:rPr>
        <w:t>III. Tratamentul standard</w:t>
      </w:r>
    </w:p>
    <w:p w14:paraId="4281C305"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072363B2"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b/>
          <w:iCs/>
          <w:sz w:val="24"/>
          <w:szCs w:val="24"/>
          <w:u w:val="single"/>
        </w:rPr>
      </w:pPr>
      <w:r w:rsidRPr="007E7124">
        <w:rPr>
          <w:rFonts w:ascii="Times New Roman" w:eastAsia="Times New Roman" w:hAnsi="Times New Roman" w:cs="Times New Roman"/>
          <w:b/>
          <w:iCs/>
          <w:sz w:val="24"/>
          <w:szCs w:val="24"/>
        </w:rPr>
        <w:t xml:space="preserve">1. </w:t>
      </w:r>
      <w:r w:rsidRPr="007E7124">
        <w:rPr>
          <w:rFonts w:ascii="Times New Roman" w:eastAsia="Times New Roman" w:hAnsi="Times New Roman" w:cs="Times New Roman"/>
          <w:b/>
          <w:iCs/>
          <w:sz w:val="24"/>
          <w:szCs w:val="24"/>
          <w:u w:val="single"/>
        </w:rPr>
        <w:t>Colita ulcerativă:</w:t>
      </w:r>
    </w:p>
    <w:p w14:paraId="73B46513"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6A9679B1"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a. Preparatele 5-ASA (sulfasalazină-tb, mesalazină:-tb, supozitoare, clismă, olsalazină-tb) reprezintă prima treaptă de tratament în CU în toate formele evolutive atât în inducţia remisiunii şi pentru menţinerea acesteia. Cel mai utilizat preparat este mesalazina (Salofalk, Pentasa) cu următoarele indicaţii:</w:t>
      </w:r>
    </w:p>
    <w:p w14:paraId="29C77BCE" w14:textId="77777777" w:rsidR="0012230F" w:rsidRPr="007E7124" w:rsidRDefault="0012230F" w:rsidP="00D11DF1">
      <w:pPr>
        <w:numPr>
          <w:ilvl w:val="0"/>
          <w:numId w:val="420"/>
        </w:numPr>
        <w:autoSpaceDE w:val="0"/>
        <w:autoSpaceDN w:val="0"/>
        <w:adjustRightInd w:val="0"/>
        <w:spacing w:after="0" w:line="240" w:lineRule="auto"/>
        <w:ind w:left="270" w:hanging="270"/>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Supozitoare: 1 g/24 în proctite (rectite)</w:t>
      </w:r>
    </w:p>
    <w:p w14:paraId="64E55504" w14:textId="77777777" w:rsidR="0012230F" w:rsidRPr="007E7124" w:rsidRDefault="0012230F" w:rsidP="00D11DF1">
      <w:pPr>
        <w:numPr>
          <w:ilvl w:val="0"/>
          <w:numId w:val="420"/>
        </w:numPr>
        <w:autoSpaceDE w:val="0"/>
        <w:autoSpaceDN w:val="0"/>
        <w:adjustRightInd w:val="0"/>
        <w:spacing w:after="0" w:line="240" w:lineRule="auto"/>
        <w:ind w:left="270" w:hanging="270"/>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Clisme sau spume: 1 g - 4g)/24 h în proctite şi colite stângi (până la 60 cm)</w:t>
      </w:r>
    </w:p>
    <w:p w14:paraId="4CFB69B9" w14:textId="77777777" w:rsidR="0012230F" w:rsidRPr="007E7124" w:rsidRDefault="0012230F" w:rsidP="00D11DF1">
      <w:pPr>
        <w:numPr>
          <w:ilvl w:val="0"/>
          <w:numId w:val="420"/>
        </w:numPr>
        <w:autoSpaceDE w:val="0"/>
        <w:autoSpaceDN w:val="0"/>
        <w:adjustRightInd w:val="0"/>
        <w:spacing w:after="0" w:line="240" w:lineRule="auto"/>
        <w:ind w:left="270" w:hanging="270"/>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Comprimate: 2 - 4 g/zi. Colite stângi, colite stângi extinse, pancolite</w:t>
      </w:r>
    </w:p>
    <w:p w14:paraId="6413ADEE"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6204677D"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În remisiune - menţinerea remisiunii dozele se reduc, prin tatonare, la jumătate.</w:t>
      </w:r>
    </w:p>
    <w:p w14:paraId="5E03130E"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36FEE876"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b. Corticosteroizii (Prednison, Metylprednisolon, Hidrocortison) se administrează în formele refractare la terapia cu compuşii 5-ASA şi în formele moderat-severe şi severe de CU. Prednisonul se administrează în doze de ( 0,5-1 mg/kgc sau echivalentul metilprednisolon oral) maxim 40 - 60 mg/24 h.</w:t>
      </w:r>
    </w:p>
    <w:p w14:paraId="6C28D1AE"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Metylprednisolonul (50 - 60 mg/zi), Hidrocortisonul (200 - 300 mg/zi) (200-400 mg/zi) se administrează iv în formele severe.</w:t>
      </w:r>
    </w:p>
    <w:p w14:paraId="7500DFBE"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Corticoticoizii nu sunt indicaţi în remisiune şi menţinerea remisiunii.</w:t>
      </w:r>
    </w:p>
    <w:p w14:paraId="3D946CA4"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0218A9B9"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c. Imunomodulatoarele: Azathioprina (AZA) 2,5 mg/Kg corp/24 h, 6-mercaptopurina (6-MP) 1,5 mg/Kg corp/24 h, sunt utile pentru menţinerea remisiunii. Efectul lor devine evident după 3 - 4 luni de administrare. Se administrează încă din faza acută sau la intrarea în remisiune odată cu reducerea treptată a dozelor de corticosteroizi.</w:t>
      </w:r>
    </w:p>
    <w:p w14:paraId="0733BF08"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Metotrexatul (25 mg im/săptămână) poate fi administrat şi în faza acută.</w:t>
      </w:r>
    </w:p>
    <w:p w14:paraId="67343873"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59667A7E"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b/>
          <w:iCs/>
          <w:sz w:val="24"/>
          <w:szCs w:val="24"/>
          <w:u w:val="single"/>
        </w:rPr>
      </w:pPr>
      <w:r w:rsidRPr="007E7124">
        <w:rPr>
          <w:rFonts w:ascii="Times New Roman" w:eastAsia="Times New Roman" w:hAnsi="Times New Roman" w:cs="Times New Roman"/>
          <w:b/>
          <w:iCs/>
          <w:sz w:val="24"/>
          <w:szCs w:val="24"/>
        </w:rPr>
        <w:t xml:space="preserve">2. </w:t>
      </w:r>
      <w:r w:rsidRPr="007E7124">
        <w:rPr>
          <w:rFonts w:ascii="Times New Roman" w:eastAsia="Times New Roman" w:hAnsi="Times New Roman" w:cs="Times New Roman"/>
          <w:b/>
          <w:iCs/>
          <w:sz w:val="24"/>
          <w:szCs w:val="24"/>
          <w:u w:val="single"/>
        </w:rPr>
        <w:t>Boala Crohn (BC)</w:t>
      </w:r>
    </w:p>
    <w:p w14:paraId="4B7625D0"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0E9587F0"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a. Preparatele 5-ASA - sunt indicate doar în formele uşoare şi moderate cu localizare ileocolică sau colonică (Pentasa 2 - 4 g/24 h, Salofalk 3 - 4,5 g/zi) atât la iniţiere cât şi pentru menţinerea remisiunii dacă aceasta s-a obţinut.</w:t>
      </w:r>
    </w:p>
    <w:p w14:paraId="198CC0D5"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47CE5929"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 xml:space="preserve"> b. Corticosteroizii: (Prednison, Metylprednisolon, Hidrocortison, Budesonid) se administrează la formele refractare la terapia cu compuşii 5-ASA şi în formele moderat-severe şi severe de BC. </w:t>
      </w:r>
      <w:r w:rsidRPr="007E7124">
        <w:rPr>
          <w:rFonts w:ascii="Times New Roman" w:eastAsia="Times New Roman" w:hAnsi="Times New Roman" w:cs="Times New Roman"/>
          <w:iCs/>
          <w:sz w:val="24"/>
          <w:szCs w:val="24"/>
        </w:rPr>
        <w:lastRenderedPageBreak/>
        <w:t>Prednisonul se administrează în doze de  0,5-1 mg/kgc maxim 40 - 60 mg/24 h. Budesonidul (3 - 9 mg/24 h) poate fi o alternativă cu efecte adverse mai reduse.</w:t>
      </w:r>
    </w:p>
    <w:p w14:paraId="523F530F"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Metylprednisolonul (50 - 60 mg/zi), Hidrocortizonul  (200-400 mg/zi) se administrează iv în formele severe.</w:t>
      </w:r>
    </w:p>
    <w:p w14:paraId="62624622"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Corticoticoizii nu sunt indicaţi în remisiune şi menţinerea remisiunii.</w:t>
      </w:r>
    </w:p>
    <w:p w14:paraId="6F295E77"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2119EC73"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c. Imunomodulatoarele: Azathioprina (AZA) 2,5 mg/Kg corp/24 h, 6-mercaptopurina (6-MP) 1,5 mg/Kg corp/24 h, sunt utile pentru menţinerea remisiunii. Efectul lor devine evident după 3 - 4 luni de administrare. Se administrează încă din faza acută sau la intrarea în remisiune odată cu reducerea treptată a dozelor de corticosteroizi.</w:t>
      </w:r>
    </w:p>
    <w:p w14:paraId="7A90BCEF"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1DAD0FC4"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d. Metotrexatul (25 mg im/săptămână poate fi administrat şi în faza acută</w:t>
      </w:r>
    </w:p>
    <w:p w14:paraId="13429E42"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7DBE0B76"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e. Antibioticele cu spectru larg (Metronidazol, Ciprofloxacina, Rifaximina) sunt utilizate în tratamentul complicaţiilor supurative ale BC (abcese supuraţii perianale, exacerbări bacteriene suprastricturale)</w:t>
      </w:r>
    </w:p>
    <w:p w14:paraId="7ECAA4A0"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3F1A8A95"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7E7124">
        <w:rPr>
          <w:rFonts w:ascii="Times New Roman" w:eastAsia="Times New Roman" w:hAnsi="Times New Roman" w:cs="Times New Roman"/>
          <w:b/>
          <w:bCs/>
          <w:iCs/>
          <w:sz w:val="24"/>
          <w:szCs w:val="24"/>
        </w:rPr>
        <w:t>IV. Tratamentul biologic (agenti biologici si alte produse de sinteza)</w:t>
      </w:r>
    </w:p>
    <w:p w14:paraId="784344BA"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Indicaţiile tratamentului biologic (infliximab - original şi biosimilar cu administrare intravenoasa sau subcutana, adalimumab - original şi biosimilar, vedolizumab, ustekinumab, tofacitinib):</w:t>
      </w:r>
    </w:p>
    <w:p w14:paraId="47B0822A"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597E62FE"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b/>
          <w:iCs/>
          <w:sz w:val="24"/>
          <w:szCs w:val="24"/>
          <w:u w:val="single"/>
        </w:rPr>
      </w:pPr>
      <w:r w:rsidRPr="007E7124">
        <w:rPr>
          <w:rFonts w:ascii="Times New Roman" w:eastAsia="Times New Roman" w:hAnsi="Times New Roman" w:cs="Times New Roman"/>
          <w:b/>
          <w:iCs/>
          <w:sz w:val="24"/>
          <w:szCs w:val="24"/>
        </w:rPr>
        <w:t xml:space="preserve">1. </w:t>
      </w:r>
      <w:r w:rsidRPr="007E7124">
        <w:rPr>
          <w:rFonts w:ascii="Times New Roman" w:eastAsia="Times New Roman" w:hAnsi="Times New Roman" w:cs="Times New Roman"/>
          <w:b/>
          <w:iCs/>
          <w:sz w:val="24"/>
          <w:szCs w:val="24"/>
          <w:u w:val="single"/>
        </w:rPr>
        <w:t>Boala Crohn:</w:t>
      </w:r>
    </w:p>
    <w:p w14:paraId="60A88D07"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3D372ED1"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a. Pacienţi adulţi, cu boala Crohn moderată sau severă, cu eşec la tratamentul standard corect condus: corticosteroizi (40 - 60 mg + Imunomodulatori (Azatioprină - 2,5 mg/kg, sau -6 MP - 1,5 mg/kg, sau Metotrexat 25 mg intramuscular/săpt) sau la pacienţii cu cortico-dependenţă, intoleranţă sau contraindicaţii la corticoizi.</w:t>
      </w:r>
    </w:p>
    <w:p w14:paraId="090BE9A3"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290EC04C"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b. Boala Crohn fistulizantă, fără răspuns la tratamentul standard, în absenţa abceselor (ecoendoscopie endorectală, RMN)</w:t>
      </w:r>
    </w:p>
    <w:p w14:paraId="35F3F249"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6AA2A9B7"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c. Postoperator la pacienţii cu risc de reactivare a b. Crohn (clinic, biologic, endoscopic)</w:t>
      </w:r>
    </w:p>
    <w:p w14:paraId="7D55D174"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605158A2"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d. Pacienţi cu boala Crohn severă - (fulminantă) care nu răspund în 3 - 5 zile la tratamentul intens cu corticoizi iv (echivalent 60 mg metilprednisolon/zi), sau la pacienţii cu boală severă şi minim 2 dintre următoarele caracteristici: debutul sub 40 ani, markerii inflamaţiei peste valorile normale, prezenţa afectării perianale de la debut, pacienţi cu fenotip fistulizant sau stenozant). În aceste cazuri terapia biologică singură sau în asociere cu un imunosupresor poate constitui prima linie de tratament.</w:t>
      </w:r>
    </w:p>
    <w:p w14:paraId="2BC224AE"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5205FB48"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e. Copiii mai mari de 6 ani, cu boala Crohn, cu răspuns inadecvat la terapia standard incluzand terapia nutrițională, corticoterapia și/sau imunomodulatoare (Azatioprina sau 6-mercaptupurina și/sau Metrotrexat), sau care au intoleranță la aceste tratamente sau cărora aceste tratamente le sunt contraindicate din motive medicale pot fi trataţi cu adalimumab (forme moderate sau severe de boală) sau cu infliximab (forme severe).</w:t>
      </w:r>
    </w:p>
    <w:p w14:paraId="4A85CB5A"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09D71F81"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b/>
          <w:iCs/>
          <w:sz w:val="24"/>
          <w:szCs w:val="24"/>
          <w:u w:val="single"/>
        </w:rPr>
      </w:pPr>
      <w:r w:rsidRPr="007E7124">
        <w:rPr>
          <w:rFonts w:ascii="Times New Roman" w:eastAsia="Times New Roman" w:hAnsi="Times New Roman" w:cs="Times New Roman"/>
          <w:b/>
          <w:iCs/>
          <w:sz w:val="24"/>
          <w:szCs w:val="24"/>
        </w:rPr>
        <w:t xml:space="preserve">2. </w:t>
      </w:r>
      <w:r w:rsidRPr="007E7124">
        <w:rPr>
          <w:rFonts w:ascii="Times New Roman" w:eastAsia="Times New Roman" w:hAnsi="Times New Roman" w:cs="Times New Roman"/>
          <w:b/>
          <w:iCs/>
          <w:sz w:val="24"/>
          <w:szCs w:val="24"/>
          <w:u w:val="single"/>
        </w:rPr>
        <w:t>Colita ulcerativă</w:t>
      </w:r>
    </w:p>
    <w:p w14:paraId="1CE0493E"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63669DE6"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a. Colită ulcerativă activă moderată sau severă, cu localizare stângă sau stângă extinsă - pancolită, la pacienţii adulţi, aflaţi în eşec terapeutic la terapia standard (5-ASA: 2 - 4 g + Prednison (40 - 60 mg) + Imunomodulator (AZA 2 - 2,5 mg/kg, sau 6-MP 1,5 mg/kg, sau Metotrexat 25 mg im/săpt)</w:t>
      </w:r>
    </w:p>
    <w:p w14:paraId="72C45A3E"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71C6E69F"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b. Copii de la vârsta de 6 ani, cu colită ulcerativă activă, cu răspuns inadecvat la tratamentul standard, inclusiv la corticosteroizi și/sau 6-mercaptopurina (6-MP) sau azatioprina sau care au intoleranță la aceste tratamente sau cărora aceste tratamente le sunt contraindicate din motive medicale, pot fi tratați cu adalimumab (forme moderate sau severe de boală) sau cu infliximab (forme severe de boală).</w:t>
      </w:r>
    </w:p>
    <w:p w14:paraId="768A4364"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3148473E"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lastRenderedPageBreak/>
        <w:t>c. Colită ulcerativă/colită în curs de clasificare, acută gravă (colită fulminantă), în cazul eşecului terapiei după 3 - 5 zile cu corticoizi iv (echivalent 60 mg metilprednisolon) cu dimensiunile lumenului colonului sub 5,5 cm (eco, CT) - indicaţie numai pentru infliximab.</w:t>
      </w:r>
    </w:p>
    <w:p w14:paraId="3CE1EF5D"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42A89475"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 xml:space="preserve">NOTĂ  </w:t>
      </w:r>
    </w:p>
    <w:p w14:paraId="585425E4" w14:textId="77777777" w:rsidR="0012230F" w:rsidRPr="007E7124" w:rsidRDefault="0012230F" w:rsidP="00D11DF1">
      <w:pPr>
        <w:numPr>
          <w:ilvl w:val="0"/>
          <w:numId w:val="421"/>
        </w:numPr>
        <w:autoSpaceDE w:val="0"/>
        <w:autoSpaceDN w:val="0"/>
        <w:adjustRightInd w:val="0"/>
        <w:spacing w:after="0" w:line="240" w:lineRule="auto"/>
        <w:ind w:left="284" w:hanging="295"/>
        <w:jc w:val="both"/>
        <w:rPr>
          <w:rFonts w:ascii="Times New Roman" w:eastAsia="Times New Roman" w:hAnsi="Times New Roman" w:cs="Times New Roman"/>
          <w:iCs/>
          <w:sz w:val="24"/>
          <w:szCs w:val="24"/>
        </w:rPr>
      </w:pPr>
      <w:r w:rsidRPr="007E7124">
        <w:rPr>
          <w:rFonts w:ascii="Times New Roman" w:eastAsia="Times New Roman" w:hAnsi="Times New Roman" w:cs="Times New Roman"/>
          <w:b/>
          <w:bCs/>
          <w:iCs/>
          <w:sz w:val="24"/>
          <w:szCs w:val="24"/>
        </w:rPr>
        <w:t>Vedolizumab</w:t>
      </w:r>
      <w:r w:rsidRPr="007E7124">
        <w:rPr>
          <w:rFonts w:ascii="Times New Roman" w:eastAsia="Times New Roman" w:hAnsi="Times New Roman" w:cs="Times New Roman"/>
          <w:iCs/>
          <w:sz w:val="24"/>
          <w:szCs w:val="24"/>
        </w:rPr>
        <w:t xml:space="preserve"> se poate administra la pacienţii adulţi cu Boala Crohn sau colită ulcerativă, forme clinice moderat până la sever active, care au prezentat un răspuns inadecvat, nu au mai prezentat răspuns sau au prezentat intoleranţă la tratamentul convenţional sau la un antagonist al factorului alfa de necroză tumorală (TNFα).</w:t>
      </w:r>
    </w:p>
    <w:p w14:paraId="2F3E906B" w14:textId="77777777" w:rsidR="0012230F" w:rsidRPr="007E7124" w:rsidRDefault="0012230F" w:rsidP="00D11DF1">
      <w:pPr>
        <w:numPr>
          <w:ilvl w:val="0"/>
          <w:numId w:val="421"/>
        </w:numPr>
        <w:autoSpaceDE w:val="0"/>
        <w:autoSpaceDN w:val="0"/>
        <w:adjustRightInd w:val="0"/>
        <w:spacing w:after="0" w:line="240" w:lineRule="auto"/>
        <w:ind w:left="284" w:hanging="295"/>
        <w:jc w:val="both"/>
        <w:rPr>
          <w:rFonts w:ascii="Times New Roman" w:eastAsia="Times New Roman" w:hAnsi="Times New Roman" w:cs="Times New Roman"/>
          <w:iCs/>
          <w:sz w:val="24"/>
          <w:szCs w:val="24"/>
        </w:rPr>
      </w:pPr>
      <w:r w:rsidRPr="007E7124">
        <w:rPr>
          <w:rFonts w:ascii="Times New Roman" w:eastAsia="Times New Roman" w:hAnsi="Times New Roman" w:cs="Times New Roman"/>
          <w:b/>
          <w:bCs/>
          <w:iCs/>
          <w:sz w:val="24"/>
          <w:szCs w:val="24"/>
        </w:rPr>
        <w:t>Vedolizumab</w:t>
      </w:r>
      <w:r w:rsidRPr="007E7124">
        <w:rPr>
          <w:rFonts w:ascii="Times New Roman" w:eastAsia="Times New Roman" w:hAnsi="Times New Roman" w:cs="Times New Roman"/>
          <w:iCs/>
          <w:sz w:val="24"/>
          <w:szCs w:val="24"/>
        </w:rPr>
        <w:t xml:space="preserve"> se poate administra și ca tratament biologic de prima linie la pacienţii adulţi cu Boala Crohn, forme clinice moderat până la sever active, naivi la anti-TNF alfa, care au prezentat un răspuns inadecvat, nu au mai prezentat răspuns sau au prezentat intoleranţă la tratamentul convenţional </w:t>
      </w:r>
    </w:p>
    <w:p w14:paraId="0E3724A1" w14:textId="77777777" w:rsidR="0012230F" w:rsidRPr="007E7124" w:rsidRDefault="0012230F" w:rsidP="00D11DF1">
      <w:pPr>
        <w:numPr>
          <w:ilvl w:val="0"/>
          <w:numId w:val="421"/>
        </w:numPr>
        <w:autoSpaceDE w:val="0"/>
        <w:autoSpaceDN w:val="0"/>
        <w:adjustRightInd w:val="0"/>
        <w:spacing w:after="0" w:line="240" w:lineRule="auto"/>
        <w:ind w:left="284" w:hanging="295"/>
        <w:jc w:val="both"/>
        <w:rPr>
          <w:rFonts w:ascii="Times New Roman" w:eastAsia="Times New Roman" w:hAnsi="Times New Roman" w:cs="Times New Roman"/>
          <w:iCs/>
          <w:sz w:val="24"/>
          <w:szCs w:val="24"/>
        </w:rPr>
      </w:pPr>
      <w:r w:rsidRPr="007E7124">
        <w:rPr>
          <w:rFonts w:ascii="Times New Roman" w:eastAsia="Times New Roman" w:hAnsi="Times New Roman" w:cs="Times New Roman"/>
          <w:b/>
          <w:bCs/>
          <w:iCs/>
          <w:sz w:val="24"/>
          <w:szCs w:val="24"/>
        </w:rPr>
        <w:t>Ustekinumab</w:t>
      </w:r>
      <w:r w:rsidRPr="007E7124">
        <w:rPr>
          <w:rFonts w:ascii="Times New Roman" w:eastAsia="Times New Roman" w:hAnsi="Times New Roman" w:cs="Times New Roman"/>
          <w:iCs/>
          <w:sz w:val="24"/>
          <w:szCs w:val="24"/>
        </w:rPr>
        <w:t xml:space="preserve"> se poate administra la pacienţii adulţi cu boala Crohn activa sau colită ulcerativă activă, forme moderate pana la severe, care au avut un raspuns necorespunzător, au incetat să mai raspundă sau au dezvoltat intoleranţă fie la tratamentele convenţionale, fie la medicamentele anti TNF-alfa sau in cazul in care aceste tratamente le sunt contraindicate din punct de vedere medical”</w:t>
      </w:r>
    </w:p>
    <w:p w14:paraId="7484DA19" w14:textId="77777777" w:rsidR="0012230F" w:rsidRPr="007E7124" w:rsidRDefault="0012230F" w:rsidP="00D11DF1">
      <w:pPr>
        <w:numPr>
          <w:ilvl w:val="0"/>
          <w:numId w:val="421"/>
        </w:numPr>
        <w:spacing w:after="0" w:line="240" w:lineRule="auto"/>
        <w:ind w:left="284" w:hanging="295"/>
        <w:contextualSpacing/>
        <w:jc w:val="both"/>
        <w:rPr>
          <w:rFonts w:ascii="Times New Roman" w:eastAsia="Times New Roman" w:hAnsi="Times New Roman" w:cs="Times New Roman"/>
          <w:sz w:val="24"/>
          <w:szCs w:val="24"/>
        </w:rPr>
      </w:pPr>
      <w:r w:rsidRPr="007E7124">
        <w:rPr>
          <w:rFonts w:ascii="Times New Roman" w:eastAsia="Times New Roman" w:hAnsi="Times New Roman" w:cs="Times New Roman"/>
          <w:b/>
          <w:iCs/>
          <w:sz w:val="24"/>
          <w:szCs w:val="24"/>
        </w:rPr>
        <w:t>Tofacitinib</w:t>
      </w:r>
      <w:r w:rsidRPr="007E7124">
        <w:rPr>
          <w:rFonts w:ascii="Times New Roman" w:eastAsia="Times New Roman" w:hAnsi="Times New Roman" w:cs="Times New Roman"/>
          <w:iCs/>
          <w:sz w:val="24"/>
          <w:szCs w:val="24"/>
        </w:rPr>
        <w:t xml:space="preserve"> se poate administra la pacienţii adulţi cu colită ulcerativă activă, formă moderată pana la severă, care au avut un raspuns inadecvat, au pierdut răspunsul</w:t>
      </w:r>
      <w:r w:rsidRPr="007E7124">
        <w:rPr>
          <w:rFonts w:ascii="Times New Roman" w:eastAsia="Times New Roman" w:hAnsi="Times New Roman" w:cs="Times New Roman"/>
          <w:sz w:val="24"/>
          <w:szCs w:val="24"/>
        </w:rPr>
        <w:t xml:space="preserve"> terapeutic sau nu au tolerat fie tratamentul conven</w:t>
      </w:r>
      <w:r w:rsidRPr="007E7124">
        <w:rPr>
          <w:rFonts w:ascii="Times New Roman" w:eastAsia="Times New Roman" w:hAnsi="Times New Roman" w:cs="Times New Roman"/>
          <w:iCs/>
          <w:sz w:val="24"/>
          <w:szCs w:val="24"/>
        </w:rPr>
        <w:t>ţ</w:t>
      </w:r>
      <w:r w:rsidRPr="007E7124">
        <w:rPr>
          <w:rFonts w:ascii="Times New Roman" w:eastAsia="Times New Roman" w:hAnsi="Times New Roman" w:cs="Times New Roman"/>
          <w:sz w:val="24"/>
          <w:szCs w:val="24"/>
        </w:rPr>
        <w:t>ional, fie un agent biologic.</w:t>
      </w:r>
    </w:p>
    <w:p w14:paraId="27AFF854" w14:textId="77777777" w:rsidR="0012230F" w:rsidRPr="007E7124" w:rsidRDefault="0012230F" w:rsidP="0012230F">
      <w:pPr>
        <w:spacing w:after="0" w:line="240" w:lineRule="auto"/>
        <w:contextualSpacing/>
        <w:jc w:val="both"/>
        <w:rPr>
          <w:rFonts w:ascii="Times New Roman" w:eastAsia="Times New Roman" w:hAnsi="Times New Roman" w:cs="Times New Roman"/>
          <w:b/>
          <w:sz w:val="24"/>
          <w:szCs w:val="24"/>
        </w:rPr>
      </w:pPr>
    </w:p>
    <w:p w14:paraId="24D6831D"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A. Tratamentul de inducţie:</w:t>
      </w:r>
    </w:p>
    <w:p w14:paraId="5470A5C8"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0094D6FB" w14:textId="77777777" w:rsidR="0012230F" w:rsidRPr="007E7124" w:rsidRDefault="0012230F" w:rsidP="00D11DF1">
      <w:pPr>
        <w:numPr>
          <w:ilvl w:val="0"/>
          <w:numId w:val="422"/>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Adalimumab - original şi biosimilar cu administrare subcutanată:</w:t>
      </w:r>
    </w:p>
    <w:p w14:paraId="69080F2F" w14:textId="77777777" w:rsidR="0012230F" w:rsidRPr="007E7124" w:rsidRDefault="0012230F" w:rsidP="00D11DF1">
      <w:pPr>
        <w:numPr>
          <w:ilvl w:val="0"/>
          <w:numId w:val="423"/>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la adulţi - 160 mg iniţial, urmat de 80 mg la 2 săptămâni şi, ulterior, 40 mg la fiecare 2 săptămâni în colita ulcerativă</w:t>
      </w:r>
    </w:p>
    <w:p w14:paraId="753B5A29" w14:textId="77777777" w:rsidR="0012230F" w:rsidRPr="007E7124" w:rsidRDefault="0012230F" w:rsidP="00D11DF1">
      <w:pPr>
        <w:numPr>
          <w:ilvl w:val="0"/>
          <w:numId w:val="423"/>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la adulţi - 160 mg iniţial (sau 80 mg) urmat de 80 mg (sau 40 mg) la două săptămâni, în b. Crohn</w:t>
      </w:r>
    </w:p>
    <w:p w14:paraId="00FEC545" w14:textId="77777777" w:rsidR="0012230F" w:rsidRPr="007E7124" w:rsidRDefault="0012230F" w:rsidP="00D11DF1">
      <w:pPr>
        <w:numPr>
          <w:ilvl w:val="0"/>
          <w:numId w:val="423"/>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copii cu greutatea &lt; 40 kg - 40 mg iniţial, urmat de 20 mg la 2 săptămâni; în cazul în care este necesar un răspuns mai rapid la tratament poate fi utilizată doza de 80 mg în săptămâna 0 şi 40 mg în săptămâna 2. Ulterior, doza recomandată, în ambele scheme, este de 20 mg la fiecare 2 săptămâni - în b. Crohn ; în colita ulcerativă - 80 mg inițial (săptămâna 0) urmată de 40 mg in săptămâna 2, doza de întreținere recomandată, începând cu săptămâna 4 fiind de 40 mg la 2 săptămâni</w:t>
      </w:r>
    </w:p>
    <w:p w14:paraId="48E28A9C" w14:textId="77777777" w:rsidR="0012230F" w:rsidRPr="007E7124" w:rsidRDefault="0012230F" w:rsidP="00D11DF1">
      <w:pPr>
        <w:numPr>
          <w:ilvl w:val="0"/>
          <w:numId w:val="423"/>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 xml:space="preserve">copii cu greutatea ≥ 40 kg - 80 mg iniţial, urmat de 40 mg în săptămâna 2, iar ulterior - 40 mg la fiecare </w:t>
      </w:r>
      <w:r w:rsidRPr="007E7124">
        <w:rPr>
          <w:rFonts w:ascii="Times New Roman" w:eastAsia="Times New Roman" w:hAnsi="Times New Roman" w:cs="Times New Roman"/>
          <w:b/>
          <w:bCs/>
          <w:iCs/>
          <w:sz w:val="24"/>
          <w:szCs w:val="24"/>
        </w:rPr>
        <w:t>2</w:t>
      </w:r>
      <w:r w:rsidRPr="007E7124">
        <w:rPr>
          <w:rFonts w:ascii="Times New Roman" w:eastAsia="Times New Roman" w:hAnsi="Times New Roman" w:cs="Times New Roman"/>
          <w:iCs/>
          <w:sz w:val="24"/>
          <w:szCs w:val="24"/>
        </w:rPr>
        <w:t xml:space="preserve">  săptămâni. În cazul în care este necesar un răspuns mai rapid la tratament poate fi utilizată doza de 160 mg în săptămâna 0, urmată de 80 mg în săptămâna 2 şi câte 40 mg la fiecare 2 săptămâni ulterior - în b. Crohn ; în colita ulcerativă - 160 mg inițial (săptămâna 0) urmată de 80 mg in săptămâna 2, doza de întreținere recomandată, începând cu săptămâna 4 fiind de 80 mg la 2 săptămâni</w:t>
      </w:r>
      <w:r w:rsidRPr="007E7124" w:rsidDel="00A5036C">
        <w:rPr>
          <w:rFonts w:ascii="Times New Roman" w:eastAsia="Times New Roman" w:hAnsi="Times New Roman" w:cs="Times New Roman"/>
          <w:iCs/>
          <w:sz w:val="24"/>
          <w:szCs w:val="24"/>
        </w:rPr>
        <w:t xml:space="preserve"> </w:t>
      </w:r>
    </w:p>
    <w:p w14:paraId="35EC5266"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4621DC2F" w14:textId="77777777" w:rsidR="0012230F" w:rsidRPr="007E7124" w:rsidRDefault="0012230F" w:rsidP="00D11DF1">
      <w:pPr>
        <w:numPr>
          <w:ilvl w:val="0"/>
          <w:numId w:val="422"/>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Infliximab - original şi biosimilar</w:t>
      </w:r>
    </w:p>
    <w:p w14:paraId="1C08DBB5" w14:textId="77777777" w:rsidR="0012230F" w:rsidRPr="007E7124" w:rsidRDefault="0012230F" w:rsidP="00D11DF1">
      <w:pPr>
        <w:numPr>
          <w:ilvl w:val="0"/>
          <w:numId w:val="424"/>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la adulţi şi copii &gt; 6 ani inducţia se face doar cu infliximab cu administrare intravenoasa cu 5 mg/kg, în perfuzie lentă, cu durată de minim 2 ore, 3 aplicaţii (la 0, 2 şi 6 săptămâni) - în b. Crohn şi colita ulcerativă.</w:t>
      </w:r>
    </w:p>
    <w:p w14:paraId="1AE1600F"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532EE6DB"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 xml:space="preserve">NOTĂ - </w:t>
      </w:r>
      <w:r w:rsidRPr="007E7124">
        <w:rPr>
          <w:rFonts w:ascii="Times New Roman" w:eastAsia="Times New Roman" w:hAnsi="Times New Roman" w:cs="Times New Roman"/>
          <w:b/>
          <w:iCs/>
          <w:sz w:val="24"/>
          <w:szCs w:val="24"/>
        </w:rPr>
        <w:t>I</w:t>
      </w:r>
      <w:r w:rsidRPr="007E7124">
        <w:rPr>
          <w:rFonts w:ascii="Times New Roman" w:eastAsia="Times New Roman" w:hAnsi="Times New Roman" w:cs="Times New Roman"/>
          <w:b/>
          <w:sz w:val="24"/>
          <w:szCs w:val="24"/>
        </w:rPr>
        <w:t xml:space="preserve">nfliximab cu administrare subcutană (120 mg pen preumplut) – </w:t>
      </w:r>
      <w:r w:rsidRPr="007E7124">
        <w:rPr>
          <w:rFonts w:ascii="Times New Roman" w:eastAsia="Times New Roman" w:hAnsi="Times New Roman" w:cs="Times New Roman"/>
          <w:sz w:val="24"/>
          <w:szCs w:val="24"/>
        </w:rPr>
        <w:t xml:space="preserve">se administrează doar după </w:t>
      </w:r>
      <w:r w:rsidRPr="007E7124">
        <w:rPr>
          <w:rFonts w:ascii="Times New Roman" w:eastAsia="Times New Roman" w:hAnsi="Times New Roman" w:cs="Times New Roman"/>
          <w:iCs/>
          <w:sz w:val="24"/>
          <w:szCs w:val="24"/>
        </w:rPr>
        <w:t>inducţia cu infliximab administrat intravenos 5 mg/kg, în perfuzie lentă, cu durată de minim 2 ore, 2 aplicaţii (</w:t>
      </w:r>
      <w:r w:rsidRPr="007E7124">
        <w:rPr>
          <w:rFonts w:ascii="Times New Roman" w:eastAsia="Times New Roman" w:hAnsi="Times New Roman" w:cs="Times New Roman"/>
          <w:sz w:val="24"/>
          <w:szCs w:val="24"/>
        </w:rPr>
        <w:t>în săptămânile 0 și 2 ) , la distanța de 4 săptămâni (săptămâna 6) ca tratament de intretinere</w:t>
      </w:r>
    </w:p>
    <w:p w14:paraId="495B3D5E"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4C4E28DF" w14:textId="77777777" w:rsidR="0012230F" w:rsidRPr="007E7124" w:rsidRDefault="0012230F" w:rsidP="00D11DF1">
      <w:pPr>
        <w:numPr>
          <w:ilvl w:val="0"/>
          <w:numId w:val="422"/>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Vedolizumab</w:t>
      </w:r>
    </w:p>
    <w:p w14:paraId="6D82D82A" w14:textId="77777777" w:rsidR="0012230F" w:rsidRPr="007E7124" w:rsidRDefault="0012230F" w:rsidP="00D11DF1">
      <w:pPr>
        <w:numPr>
          <w:ilvl w:val="0"/>
          <w:numId w:val="425"/>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La adulţi - 300 mg în perfuzie intravenoasă la 0, 2 şi 6 săptămâni- în b. Crohn şi colită ulcerativă.</w:t>
      </w:r>
    </w:p>
    <w:p w14:paraId="4FABA557" w14:textId="77777777" w:rsidR="0012230F" w:rsidRPr="007E7124" w:rsidRDefault="0012230F" w:rsidP="00D11DF1">
      <w:pPr>
        <w:numPr>
          <w:ilvl w:val="0"/>
          <w:numId w:val="425"/>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pacienţii cu boală Crohn care nu au răspuns la tratament în săptămânile 0, 2, 6 pot beneficia de administrarea unei perfuzii adiţionale de Vedolizumab 300 mg în săptămâna 10</w:t>
      </w:r>
    </w:p>
    <w:p w14:paraId="06F2CB9B" w14:textId="77777777" w:rsidR="0012230F" w:rsidRPr="007E7124" w:rsidRDefault="0012230F" w:rsidP="00D11DF1">
      <w:pPr>
        <w:pStyle w:val="ListParagraph"/>
        <w:numPr>
          <w:ilvl w:val="0"/>
          <w:numId w:val="425"/>
        </w:numPr>
        <w:pBdr>
          <w:top w:val="none" w:sz="0" w:space="0" w:color="auto"/>
          <w:left w:val="none" w:sz="0" w:space="0" w:color="auto"/>
          <w:bottom w:val="none" w:sz="0" w:space="0" w:color="auto"/>
          <w:right w:val="none" w:sz="0" w:space="0" w:color="auto"/>
          <w:between w:val="none" w:sz="0" w:space="0" w:color="auto"/>
          <w:bar w:val="none" w:sz="0" w:color="auto"/>
        </w:pBdr>
        <w:contextualSpacing/>
        <w:rPr>
          <w:iCs/>
          <w:strike/>
          <w:color w:val="auto"/>
          <w:lang w:eastAsia="en-US"/>
        </w:rPr>
      </w:pPr>
      <w:r w:rsidRPr="007E7124">
        <w:rPr>
          <w:iCs/>
          <w:color w:val="auto"/>
        </w:rPr>
        <w:lastRenderedPageBreak/>
        <w:t xml:space="preserve">În b. Crohn, pentru Vedolizumab administrat ca prima linie tratament biologic la pacienţii naivi la anti TNFalfa,  </w:t>
      </w:r>
      <w:r w:rsidRPr="007E7124">
        <w:rPr>
          <w:iCs/>
          <w:color w:val="auto"/>
          <w:lang w:eastAsia="en-US"/>
        </w:rPr>
        <w:t>tratamentul de inducţie (S0,S2 si S6)  va fi suportat integral de către compania deţinătoare a autorizaţiei de punere pe piaţă pentru pacienţii eligibili, pe măsura înrolării acestora în tratament</w:t>
      </w:r>
    </w:p>
    <w:p w14:paraId="2B79BA59"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77EEB548" w14:textId="77777777" w:rsidR="0012230F" w:rsidRPr="007E7124" w:rsidRDefault="0012230F" w:rsidP="00D11DF1">
      <w:pPr>
        <w:numPr>
          <w:ilvl w:val="0"/>
          <w:numId w:val="422"/>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Ustekinumab</w:t>
      </w:r>
    </w:p>
    <w:p w14:paraId="1BAD79E7" w14:textId="77777777" w:rsidR="0012230F" w:rsidRPr="007E7124" w:rsidRDefault="0012230F" w:rsidP="00D11DF1">
      <w:pPr>
        <w:numPr>
          <w:ilvl w:val="0"/>
          <w:numId w:val="426"/>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Tratamentul de inducţie va fi suportat integral de către compania deţinătoare a autorizaţiei de punere pe piaţă pentru pacienţii eligibili, pe măsura înrolării acestora în tratament</w:t>
      </w:r>
    </w:p>
    <w:p w14:paraId="692A5860" w14:textId="77777777" w:rsidR="0012230F" w:rsidRPr="007E7124" w:rsidRDefault="0012230F" w:rsidP="00D11DF1">
      <w:pPr>
        <w:numPr>
          <w:ilvl w:val="0"/>
          <w:numId w:val="426"/>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Tratamentul se va iniţia cu o singură doză cu administrare intravenoasă pe o perioadă de cel puţin 1 oră în funcţie de greutatea corporală, care se va calcula conform tabelului. (Tabel 1)</w:t>
      </w:r>
    </w:p>
    <w:p w14:paraId="188D4354"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7E5CA8EE"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Tabel 1. Doza tratamentului de inducţie cu ustekinumab (se utilizează exclusiv flacoanele de 130 mg)</w:t>
      </w:r>
    </w:p>
    <w:tbl>
      <w:tblPr>
        <w:tblW w:w="9668" w:type="dxa"/>
        <w:tblInd w:w="105" w:type="dxa"/>
        <w:tblLayout w:type="fixed"/>
        <w:tblCellMar>
          <w:left w:w="105" w:type="dxa"/>
          <w:right w:w="105" w:type="dxa"/>
        </w:tblCellMar>
        <w:tblLook w:val="0000" w:firstRow="0" w:lastRow="0" w:firstColumn="0" w:lastColumn="0" w:noHBand="0" w:noVBand="0"/>
      </w:tblPr>
      <w:tblGrid>
        <w:gridCol w:w="4820"/>
        <w:gridCol w:w="4848"/>
      </w:tblGrid>
      <w:tr w:rsidR="0012230F" w:rsidRPr="007E7124" w14:paraId="22B6060E" w14:textId="77777777" w:rsidTr="00152720">
        <w:tc>
          <w:tcPr>
            <w:tcW w:w="4820" w:type="dxa"/>
            <w:tcBorders>
              <w:top w:val="single" w:sz="6" w:space="0" w:color="000000"/>
              <w:left w:val="single" w:sz="6" w:space="0" w:color="000000"/>
              <w:bottom w:val="single" w:sz="6" w:space="0" w:color="000000"/>
              <w:right w:val="single" w:sz="6" w:space="0" w:color="000000"/>
            </w:tcBorders>
          </w:tcPr>
          <w:p w14:paraId="43C9B43D" w14:textId="77777777" w:rsidR="0012230F" w:rsidRPr="007E7124" w:rsidRDefault="0012230F" w:rsidP="00152720">
            <w:pPr>
              <w:autoSpaceDE w:val="0"/>
              <w:autoSpaceDN w:val="0"/>
              <w:adjustRightInd w:val="0"/>
              <w:spacing w:after="0" w:line="240" w:lineRule="auto"/>
              <w:jc w:val="both"/>
              <w:rPr>
                <w:rFonts w:ascii="Times New Roman" w:eastAsia="Times New Roman" w:hAnsi="Times New Roman" w:cs="Times New Roman"/>
                <w:iCs/>
                <w:sz w:val="20"/>
                <w:szCs w:val="20"/>
              </w:rPr>
            </w:pPr>
            <w:r w:rsidRPr="007E7124">
              <w:rPr>
                <w:rFonts w:ascii="Times New Roman" w:eastAsia="Times New Roman" w:hAnsi="Times New Roman" w:cs="Times New Roman"/>
                <w:iCs/>
                <w:sz w:val="20"/>
                <w:szCs w:val="20"/>
              </w:rPr>
              <w:t>Greutatea pacientului</w:t>
            </w:r>
          </w:p>
        </w:tc>
        <w:tc>
          <w:tcPr>
            <w:tcW w:w="4848" w:type="dxa"/>
            <w:tcBorders>
              <w:top w:val="single" w:sz="6" w:space="0" w:color="000000"/>
              <w:left w:val="single" w:sz="6" w:space="0" w:color="000000"/>
              <w:bottom w:val="single" w:sz="6" w:space="0" w:color="000000"/>
              <w:right w:val="single" w:sz="6" w:space="0" w:color="000000"/>
            </w:tcBorders>
          </w:tcPr>
          <w:p w14:paraId="2C1452B7" w14:textId="77777777" w:rsidR="0012230F" w:rsidRPr="007E7124" w:rsidRDefault="0012230F" w:rsidP="00152720">
            <w:pPr>
              <w:autoSpaceDE w:val="0"/>
              <w:autoSpaceDN w:val="0"/>
              <w:adjustRightInd w:val="0"/>
              <w:spacing w:after="0" w:line="240" w:lineRule="auto"/>
              <w:jc w:val="both"/>
              <w:rPr>
                <w:rFonts w:ascii="Times New Roman" w:eastAsia="Times New Roman" w:hAnsi="Times New Roman" w:cs="Times New Roman"/>
                <w:iCs/>
                <w:sz w:val="20"/>
                <w:szCs w:val="20"/>
              </w:rPr>
            </w:pPr>
            <w:r w:rsidRPr="007E7124">
              <w:rPr>
                <w:rFonts w:ascii="Times New Roman" w:eastAsia="Times New Roman" w:hAnsi="Times New Roman" w:cs="Times New Roman"/>
                <w:iCs/>
                <w:sz w:val="20"/>
                <w:szCs w:val="20"/>
              </w:rPr>
              <w:t>Doza recomandată</w:t>
            </w:r>
          </w:p>
        </w:tc>
      </w:tr>
      <w:tr w:rsidR="0012230F" w:rsidRPr="007E7124" w14:paraId="483AB16C" w14:textId="77777777" w:rsidTr="00152720">
        <w:tc>
          <w:tcPr>
            <w:tcW w:w="4820" w:type="dxa"/>
            <w:tcBorders>
              <w:top w:val="single" w:sz="6" w:space="0" w:color="000000"/>
              <w:left w:val="single" w:sz="6" w:space="0" w:color="000000"/>
              <w:bottom w:val="single" w:sz="6" w:space="0" w:color="000000"/>
              <w:right w:val="single" w:sz="6" w:space="0" w:color="000000"/>
            </w:tcBorders>
          </w:tcPr>
          <w:p w14:paraId="3C131D2E" w14:textId="77777777" w:rsidR="0012230F" w:rsidRPr="007E7124" w:rsidRDefault="0012230F" w:rsidP="00152720">
            <w:pPr>
              <w:autoSpaceDE w:val="0"/>
              <w:autoSpaceDN w:val="0"/>
              <w:adjustRightInd w:val="0"/>
              <w:spacing w:after="0" w:line="240" w:lineRule="auto"/>
              <w:jc w:val="both"/>
              <w:rPr>
                <w:rFonts w:ascii="Times New Roman" w:eastAsia="Times New Roman" w:hAnsi="Times New Roman" w:cs="Times New Roman"/>
                <w:iCs/>
                <w:sz w:val="20"/>
                <w:szCs w:val="20"/>
              </w:rPr>
            </w:pPr>
            <w:r w:rsidRPr="007E7124">
              <w:rPr>
                <w:rFonts w:ascii="Times New Roman" w:eastAsia="Times New Roman" w:hAnsi="Times New Roman" w:cs="Times New Roman"/>
                <w:iCs/>
                <w:sz w:val="20"/>
                <w:szCs w:val="20"/>
              </w:rPr>
              <w:t>≤ 55 kg</w:t>
            </w:r>
          </w:p>
        </w:tc>
        <w:tc>
          <w:tcPr>
            <w:tcW w:w="4848" w:type="dxa"/>
            <w:tcBorders>
              <w:top w:val="single" w:sz="6" w:space="0" w:color="000000"/>
              <w:left w:val="single" w:sz="6" w:space="0" w:color="000000"/>
              <w:bottom w:val="single" w:sz="6" w:space="0" w:color="000000"/>
              <w:right w:val="single" w:sz="6" w:space="0" w:color="000000"/>
            </w:tcBorders>
          </w:tcPr>
          <w:p w14:paraId="44533C3C" w14:textId="77777777" w:rsidR="0012230F" w:rsidRPr="007E7124" w:rsidRDefault="0012230F" w:rsidP="00152720">
            <w:pPr>
              <w:autoSpaceDE w:val="0"/>
              <w:autoSpaceDN w:val="0"/>
              <w:adjustRightInd w:val="0"/>
              <w:spacing w:after="0" w:line="240" w:lineRule="auto"/>
              <w:jc w:val="both"/>
              <w:rPr>
                <w:rFonts w:ascii="Times New Roman" w:eastAsia="Times New Roman" w:hAnsi="Times New Roman" w:cs="Times New Roman"/>
                <w:iCs/>
                <w:sz w:val="20"/>
                <w:szCs w:val="20"/>
              </w:rPr>
            </w:pPr>
            <w:r w:rsidRPr="007E7124">
              <w:rPr>
                <w:rFonts w:ascii="Times New Roman" w:eastAsia="Times New Roman" w:hAnsi="Times New Roman" w:cs="Times New Roman"/>
                <w:iCs/>
                <w:sz w:val="20"/>
                <w:szCs w:val="20"/>
              </w:rPr>
              <w:t>260 mg - 2 flacoane</w:t>
            </w:r>
          </w:p>
        </w:tc>
      </w:tr>
      <w:tr w:rsidR="0012230F" w:rsidRPr="007E7124" w14:paraId="715C6B17" w14:textId="77777777" w:rsidTr="00152720">
        <w:tc>
          <w:tcPr>
            <w:tcW w:w="4820" w:type="dxa"/>
            <w:tcBorders>
              <w:top w:val="single" w:sz="6" w:space="0" w:color="000000"/>
              <w:left w:val="single" w:sz="6" w:space="0" w:color="000000"/>
              <w:bottom w:val="single" w:sz="6" w:space="0" w:color="000000"/>
              <w:right w:val="single" w:sz="6" w:space="0" w:color="000000"/>
            </w:tcBorders>
          </w:tcPr>
          <w:p w14:paraId="0EB55E18" w14:textId="77777777" w:rsidR="0012230F" w:rsidRPr="007E7124" w:rsidRDefault="0012230F" w:rsidP="00152720">
            <w:pPr>
              <w:autoSpaceDE w:val="0"/>
              <w:autoSpaceDN w:val="0"/>
              <w:adjustRightInd w:val="0"/>
              <w:spacing w:after="0" w:line="240" w:lineRule="auto"/>
              <w:jc w:val="both"/>
              <w:rPr>
                <w:rFonts w:ascii="Times New Roman" w:eastAsia="Times New Roman" w:hAnsi="Times New Roman" w:cs="Times New Roman"/>
                <w:iCs/>
                <w:sz w:val="20"/>
                <w:szCs w:val="20"/>
              </w:rPr>
            </w:pPr>
            <w:r w:rsidRPr="007E7124">
              <w:rPr>
                <w:rFonts w:ascii="Times New Roman" w:eastAsia="Times New Roman" w:hAnsi="Times New Roman" w:cs="Times New Roman"/>
                <w:iCs/>
                <w:sz w:val="20"/>
                <w:szCs w:val="20"/>
              </w:rPr>
              <w:t>&gt; 55 kg până la ≤ 85 kg</w:t>
            </w:r>
          </w:p>
        </w:tc>
        <w:tc>
          <w:tcPr>
            <w:tcW w:w="4848" w:type="dxa"/>
            <w:tcBorders>
              <w:top w:val="single" w:sz="6" w:space="0" w:color="000000"/>
              <w:left w:val="single" w:sz="6" w:space="0" w:color="000000"/>
              <w:bottom w:val="single" w:sz="6" w:space="0" w:color="000000"/>
              <w:right w:val="single" w:sz="6" w:space="0" w:color="000000"/>
            </w:tcBorders>
          </w:tcPr>
          <w:p w14:paraId="5EE77ABC" w14:textId="77777777" w:rsidR="0012230F" w:rsidRPr="007E7124" w:rsidRDefault="0012230F" w:rsidP="00152720">
            <w:pPr>
              <w:autoSpaceDE w:val="0"/>
              <w:autoSpaceDN w:val="0"/>
              <w:adjustRightInd w:val="0"/>
              <w:spacing w:after="0" w:line="240" w:lineRule="auto"/>
              <w:jc w:val="both"/>
              <w:rPr>
                <w:rFonts w:ascii="Times New Roman" w:eastAsia="Times New Roman" w:hAnsi="Times New Roman" w:cs="Times New Roman"/>
                <w:iCs/>
                <w:sz w:val="20"/>
                <w:szCs w:val="20"/>
              </w:rPr>
            </w:pPr>
            <w:r w:rsidRPr="007E7124">
              <w:rPr>
                <w:rFonts w:ascii="Times New Roman" w:eastAsia="Times New Roman" w:hAnsi="Times New Roman" w:cs="Times New Roman"/>
                <w:iCs/>
                <w:sz w:val="20"/>
                <w:szCs w:val="20"/>
              </w:rPr>
              <w:t>390 mg - 3 flacoane</w:t>
            </w:r>
          </w:p>
        </w:tc>
      </w:tr>
      <w:tr w:rsidR="0012230F" w:rsidRPr="007E7124" w14:paraId="3D1D6F75" w14:textId="77777777" w:rsidTr="00152720">
        <w:tc>
          <w:tcPr>
            <w:tcW w:w="4820" w:type="dxa"/>
            <w:tcBorders>
              <w:top w:val="single" w:sz="6" w:space="0" w:color="000000"/>
              <w:left w:val="single" w:sz="6" w:space="0" w:color="000000"/>
              <w:bottom w:val="single" w:sz="6" w:space="0" w:color="000000"/>
              <w:right w:val="single" w:sz="6" w:space="0" w:color="000000"/>
            </w:tcBorders>
          </w:tcPr>
          <w:p w14:paraId="018547AC" w14:textId="77777777" w:rsidR="0012230F" w:rsidRPr="007E7124" w:rsidRDefault="0012230F" w:rsidP="00152720">
            <w:pPr>
              <w:autoSpaceDE w:val="0"/>
              <w:autoSpaceDN w:val="0"/>
              <w:adjustRightInd w:val="0"/>
              <w:spacing w:after="0" w:line="240" w:lineRule="auto"/>
              <w:jc w:val="both"/>
              <w:rPr>
                <w:rFonts w:ascii="Times New Roman" w:eastAsia="Times New Roman" w:hAnsi="Times New Roman" w:cs="Times New Roman"/>
                <w:iCs/>
                <w:sz w:val="20"/>
                <w:szCs w:val="20"/>
              </w:rPr>
            </w:pPr>
            <w:r w:rsidRPr="007E7124">
              <w:rPr>
                <w:rFonts w:ascii="Times New Roman" w:eastAsia="Times New Roman" w:hAnsi="Times New Roman" w:cs="Times New Roman"/>
                <w:iCs/>
                <w:sz w:val="20"/>
                <w:szCs w:val="20"/>
              </w:rPr>
              <w:t>&gt; 85 kg</w:t>
            </w:r>
          </w:p>
        </w:tc>
        <w:tc>
          <w:tcPr>
            <w:tcW w:w="4848" w:type="dxa"/>
            <w:tcBorders>
              <w:top w:val="single" w:sz="6" w:space="0" w:color="000000"/>
              <w:left w:val="single" w:sz="6" w:space="0" w:color="000000"/>
              <w:bottom w:val="single" w:sz="6" w:space="0" w:color="000000"/>
              <w:right w:val="single" w:sz="6" w:space="0" w:color="000000"/>
            </w:tcBorders>
          </w:tcPr>
          <w:p w14:paraId="711B3DC4" w14:textId="77777777" w:rsidR="0012230F" w:rsidRPr="007E7124" w:rsidRDefault="0012230F" w:rsidP="00D11DF1">
            <w:pPr>
              <w:numPr>
                <w:ilvl w:val="0"/>
                <w:numId w:val="434"/>
              </w:numPr>
              <w:autoSpaceDE w:val="0"/>
              <w:autoSpaceDN w:val="0"/>
              <w:adjustRightInd w:val="0"/>
              <w:spacing w:after="0" w:line="240" w:lineRule="auto"/>
              <w:ind w:left="360"/>
              <w:contextualSpacing/>
              <w:jc w:val="both"/>
              <w:rPr>
                <w:rFonts w:ascii="Times New Roman" w:eastAsia="Times New Roman" w:hAnsi="Times New Roman" w:cs="Times New Roman"/>
                <w:iCs/>
                <w:sz w:val="20"/>
                <w:szCs w:val="20"/>
              </w:rPr>
            </w:pPr>
            <w:r w:rsidRPr="007E7124">
              <w:rPr>
                <w:rFonts w:ascii="Times New Roman" w:eastAsia="Times New Roman" w:hAnsi="Times New Roman" w:cs="Times New Roman"/>
                <w:iCs/>
                <w:sz w:val="20"/>
                <w:szCs w:val="20"/>
              </w:rPr>
              <w:t>mg - 4 flacoane</w:t>
            </w:r>
          </w:p>
        </w:tc>
      </w:tr>
    </w:tbl>
    <w:p w14:paraId="2D49A60F"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7D745D05" w14:textId="77777777" w:rsidR="0012230F" w:rsidRPr="007E7124" w:rsidRDefault="0012230F" w:rsidP="00D11DF1">
      <w:pPr>
        <w:numPr>
          <w:ilvl w:val="0"/>
          <w:numId w:val="422"/>
        </w:numPr>
        <w:spacing w:after="0" w:line="240" w:lineRule="auto"/>
        <w:ind w:left="284" w:hanging="284"/>
        <w:contextualSpacing/>
        <w:jc w:val="both"/>
        <w:rPr>
          <w:rFonts w:ascii="Times New Roman" w:eastAsia="Times New Roman" w:hAnsi="Times New Roman" w:cs="Times New Roman"/>
          <w:sz w:val="24"/>
          <w:szCs w:val="24"/>
        </w:rPr>
      </w:pPr>
      <w:r w:rsidRPr="007E7124">
        <w:rPr>
          <w:rFonts w:ascii="Times New Roman" w:eastAsia="Times New Roman" w:hAnsi="Times New Roman" w:cs="Times New Roman"/>
          <w:sz w:val="24"/>
          <w:szCs w:val="24"/>
        </w:rPr>
        <w:t>Tofacitinib</w:t>
      </w:r>
    </w:p>
    <w:p w14:paraId="74218545" w14:textId="77777777" w:rsidR="0012230F" w:rsidRPr="007E7124" w:rsidRDefault="0012230F" w:rsidP="00D11DF1">
      <w:pPr>
        <w:numPr>
          <w:ilvl w:val="0"/>
          <w:numId w:val="43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7E7124">
        <w:rPr>
          <w:rFonts w:ascii="Times New Roman" w:eastAsia="Times New Roman" w:hAnsi="Times New Roman" w:cs="Times New Roman"/>
          <w:sz w:val="24"/>
          <w:szCs w:val="24"/>
          <w:lang w:eastAsia="ro-RO"/>
        </w:rPr>
        <w:t xml:space="preserve">Tratamentul se va iniţia prin administrarea a unei doze de 10 mg pe cale orală de două ori pe zi, pentru perioada de inducție, timp de 8 săptămâni. Pentru pacienții care nu ating beneficiul terapeutic adecvat înainte de săptămâna 8, doza de inducție de 10 mg de două ori pe zi poate fi extinsă pentru o perioadă suplimentară de 8 săptămâni (16 săptămâniîn total), urmată de 5 mg de două ori pe zi pentru menținere. </w:t>
      </w:r>
    </w:p>
    <w:p w14:paraId="45029D08" w14:textId="77777777" w:rsidR="0012230F" w:rsidRPr="007E7124" w:rsidRDefault="0012230F" w:rsidP="00D11DF1">
      <w:pPr>
        <w:numPr>
          <w:ilvl w:val="0"/>
          <w:numId w:val="43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7E7124">
        <w:rPr>
          <w:rFonts w:ascii="Times New Roman" w:eastAsia="Times New Roman" w:hAnsi="Times New Roman" w:cs="Times New Roman"/>
          <w:sz w:val="24"/>
          <w:szCs w:val="24"/>
          <w:lang w:eastAsia="ro-RO"/>
        </w:rPr>
        <w:t>Tratamentul de inducție cu tofacitinib trebuie întrerupt la orice pacient care nu prezintă nici o dovadă de beneficiu terapeutic până în săptămâna a 16 -a.</w:t>
      </w:r>
    </w:p>
    <w:p w14:paraId="104F0437" w14:textId="77777777" w:rsidR="0012230F" w:rsidRPr="007E7124" w:rsidRDefault="0012230F" w:rsidP="00D11DF1">
      <w:pPr>
        <w:numPr>
          <w:ilvl w:val="0"/>
          <w:numId w:val="43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7E7124">
        <w:rPr>
          <w:rFonts w:ascii="Times New Roman" w:eastAsia="Times New Roman" w:hAnsi="Times New Roman" w:cs="Times New Roman"/>
          <w:sz w:val="24"/>
          <w:szCs w:val="24"/>
          <w:lang w:eastAsia="ro-RO"/>
        </w:rPr>
        <w:t xml:space="preserve">Se recomandă ca tratamentul să nu fie inițiat la pacienții cu risc pentru accidente tromboembolice, inclusiv pacienţi ≥ 65 ani, fumători sau foşti mari fumători, cu un număr absolut de limfocite mai mic de 750 celule/mm3, </w:t>
      </w:r>
      <w:r w:rsidRPr="007E7124">
        <w:rPr>
          <w:rFonts w:ascii="Times New Roman" w:eastAsia="Times New Roman" w:hAnsi="Times New Roman" w:cs="Times New Roman"/>
          <w:sz w:val="24"/>
          <w:szCs w:val="24"/>
          <w:shd w:val="clear" w:color="auto" w:fill="FFFFFF"/>
          <w:lang w:eastAsia="ro-RO"/>
        </w:rPr>
        <w:t>numar total de neutrofile &lt; 1000 /mm3 , valoarea Hb&lt; 9g/dl</w:t>
      </w:r>
    </w:p>
    <w:p w14:paraId="42617052"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
          <w:iCs/>
          <w:sz w:val="24"/>
          <w:szCs w:val="24"/>
        </w:rPr>
      </w:pPr>
    </w:p>
    <w:p w14:paraId="2F1ED86D"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B. Tratamentul de menţinere a remisiunii:</w:t>
      </w:r>
    </w:p>
    <w:p w14:paraId="4D6190E2" w14:textId="77777777" w:rsidR="0012230F" w:rsidRPr="007E7124" w:rsidRDefault="0012230F" w:rsidP="00D11DF1">
      <w:pPr>
        <w:numPr>
          <w:ilvl w:val="0"/>
          <w:numId w:val="422"/>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b/>
          <w:iCs/>
          <w:sz w:val="24"/>
          <w:szCs w:val="24"/>
          <w:u w:val="single"/>
        </w:rPr>
        <w:t>Infliximab</w:t>
      </w:r>
      <w:r w:rsidRPr="007E7124">
        <w:rPr>
          <w:rFonts w:ascii="Times New Roman" w:eastAsia="Times New Roman" w:hAnsi="Times New Roman" w:cs="Times New Roman"/>
          <w:iCs/>
          <w:sz w:val="24"/>
          <w:szCs w:val="24"/>
        </w:rPr>
        <w:t xml:space="preserve"> (original si biosimilar) 5 mg/kg în perfuzie lentă, la interval de 8 săptămâni în perfuzie intravenoasă. </w:t>
      </w:r>
      <w:r w:rsidRPr="007E7124">
        <w:rPr>
          <w:rFonts w:ascii="Times New Roman" w:eastAsia="Times New Roman" w:hAnsi="Times New Roman" w:cs="Times New Roman"/>
          <w:b/>
          <w:iCs/>
          <w:sz w:val="24"/>
          <w:szCs w:val="24"/>
        </w:rPr>
        <w:t>I</w:t>
      </w:r>
      <w:r w:rsidRPr="007E7124">
        <w:rPr>
          <w:rFonts w:ascii="Times New Roman" w:eastAsia="Times New Roman" w:hAnsi="Times New Roman" w:cs="Times New Roman"/>
          <w:b/>
          <w:sz w:val="24"/>
          <w:szCs w:val="24"/>
        </w:rPr>
        <w:t xml:space="preserve">nfliximab cu administrare subcutana </w:t>
      </w:r>
      <w:r w:rsidRPr="007E7124">
        <w:rPr>
          <w:rFonts w:ascii="Times New Roman" w:eastAsia="Times New Roman" w:hAnsi="Times New Roman" w:cs="Times New Roman"/>
          <w:iCs/>
          <w:sz w:val="24"/>
          <w:szCs w:val="24"/>
        </w:rPr>
        <w:t xml:space="preserve">- 120mg subcutanat la fiecare 2 săptămâni. </w:t>
      </w:r>
    </w:p>
    <w:p w14:paraId="33000C4A" w14:textId="77777777" w:rsidR="0012230F" w:rsidRPr="007E7124" w:rsidRDefault="0012230F" w:rsidP="00D11DF1">
      <w:pPr>
        <w:numPr>
          <w:ilvl w:val="0"/>
          <w:numId w:val="422"/>
        </w:numPr>
        <w:spacing w:after="0" w:line="240" w:lineRule="auto"/>
        <w:ind w:left="270" w:hanging="270"/>
        <w:contextualSpacing/>
        <w:jc w:val="both"/>
        <w:rPr>
          <w:rFonts w:ascii="Times New Roman" w:eastAsia="Times New Roman" w:hAnsi="Times New Roman" w:cs="Times New Roman"/>
          <w:b/>
          <w:sz w:val="24"/>
          <w:szCs w:val="24"/>
          <w:u w:color="000000"/>
          <w:bdr w:val="nil"/>
          <w:lang w:eastAsia="ro-RO"/>
        </w:rPr>
      </w:pPr>
      <w:r w:rsidRPr="007E7124">
        <w:rPr>
          <w:rFonts w:ascii="Times New Roman" w:eastAsia="Times New Roman" w:hAnsi="Times New Roman" w:cs="Times New Roman"/>
          <w:b/>
          <w:sz w:val="24"/>
          <w:szCs w:val="24"/>
          <w:u w:color="000000"/>
          <w:bdr w:val="nil"/>
          <w:lang w:eastAsia="ro-RO"/>
        </w:rPr>
        <w:t xml:space="preserve">Switch-ul la si de la infliximab subcutanat </w:t>
      </w:r>
    </w:p>
    <w:p w14:paraId="23E432B9" w14:textId="77777777" w:rsidR="0012230F" w:rsidRPr="007E7124" w:rsidRDefault="0012230F" w:rsidP="00D11DF1">
      <w:pPr>
        <w:numPr>
          <w:ilvl w:val="0"/>
          <w:numId w:val="436"/>
        </w:numPr>
        <w:spacing w:after="0" w:line="240" w:lineRule="auto"/>
        <w:ind w:left="720"/>
        <w:contextualSpacing/>
        <w:jc w:val="both"/>
        <w:rPr>
          <w:rFonts w:ascii="Times New Roman" w:eastAsia="Times New Roman" w:hAnsi="Times New Roman" w:cs="Times New Roman"/>
          <w:sz w:val="24"/>
          <w:szCs w:val="24"/>
          <w:u w:color="000000"/>
          <w:bdr w:val="nil"/>
          <w:lang w:eastAsia="ro-RO"/>
        </w:rPr>
      </w:pPr>
      <w:r w:rsidRPr="007E7124">
        <w:rPr>
          <w:rFonts w:ascii="Times New Roman" w:eastAsia="Times New Roman" w:hAnsi="Times New Roman" w:cs="Times New Roman"/>
          <w:sz w:val="24"/>
          <w:szCs w:val="24"/>
          <w:u w:color="000000"/>
          <w:bdr w:val="nil"/>
          <w:lang w:eastAsia="ro-RO"/>
        </w:rPr>
        <w:t xml:space="preserve">In schema de mentinere </w:t>
      </w:r>
      <w:r w:rsidRPr="007E7124">
        <w:rPr>
          <w:rFonts w:ascii="Times New Roman" w:eastAsia="Times New Roman" w:hAnsi="Times New Roman" w:cs="Times New Roman"/>
          <w:b/>
          <w:i/>
          <w:sz w:val="24"/>
          <w:szCs w:val="24"/>
          <w:u w:color="000000"/>
          <w:bdr w:val="nil"/>
          <w:lang w:eastAsia="ro-RO"/>
        </w:rPr>
        <w:t>switch-ul de la infliximab intravenos ( in schema de mentinere)</w:t>
      </w:r>
      <w:r w:rsidRPr="007E7124">
        <w:rPr>
          <w:rFonts w:ascii="Times New Roman" w:eastAsia="Times New Roman" w:hAnsi="Times New Roman" w:cs="Times New Roman"/>
          <w:sz w:val="24"/>
          <w:szCs w:val="24"/>
          <w:u w:color="000000"/>
          <w:bdr w:val="nil"/>
          <w:lang w:eastAsia="ro-RO"/>
        </w:rPr>
        <w:t xml:space="preserve"> la infliximab subcutanat trebuie sa se efectueze cu prima administrare de infliximab subcutanat la 8 saptamani de la ultima administrare a dozei de infliximab intravenos ( adica in locul dozei programate pentru administrarea iv)</w:t>
      </w:r>
    </w:p>
    <w:p w14:paraId="047AB3C2" w14:textId="77777777" w:rsidR="0012230F" w:rsidRPr="007E7124" w:rsidRDefault="0012230F" w:rsidP="00D11DF1">
      <w:pPr>
        <w:numPr>
          <w:ilvl w:val="0"/>
          <w:numId w:val="436"/>
        </w:numPr>
        <w:spacing w:after="0" w:line="240" w:lineRule="auto"/>
        <w:ind w:left="720"/>
        <w:contextualSpacing/>
        <w:jc w:val="both"/>
        <w:rPr>
          <w:rFonts w:ascii="Times New Roman" w:eastAsia="Times New Roman" w:hAnsi="Times New Roman" w:cs="Times New Roman"/>
          <w:sz w:val="24"/>
          <w:szCs w:val="24"/>
          <w:u w:color="000000"/>
          <w:bdr w:val="nil"/>
          <w:lang w:eastAsia="ro-RO"/>
        </w:rPr>
      </w:pPr>
      <w:r w:rsidRPr="007E7124">
        <w:rPr>
          <w:rFonts w:ascii="Times New Roman" w:eastAsia="Times New Roman" w:hAnsi="Times New Roman" w:cs="Times New Roman"/>
          <w:sz w:val="24"/>
          <w:szCs w:val="24"/>
          <w:u w:color="000000"/>
          <w:bdr w:val="nil"/>
          <w:lang w:eastAsia="ro-RO"/>
        </w:rPr>
        <w:t>Exista date insuficiente referitoare la switch-ul de la infliximab intravenos la infliximab subcutanat la pacientii care au primit mai mult de 5 mg/kgc infliximab intravenos la 8 saptamani</w:t>
      </w:r>
    </w:p>
    <w:p w14:paraId="724ED711" w14:textId="77777777" w:rsidR="0012230F" w:rsidRPr="007E7124" w:rsidRDefault="0012230F" w:rsidP="00D11DF1">
      <w:pPr>
        <w:numPr>
          <w:ilvl w:val="0"/>
          <w:numId w:val="436"/>
        </w:numPr>
        <w:spacing w:after="0" w:line="240" w:lineRule="auto"/>
        <w:ind w:left="720"/>
        <w:contextualSpacing/>
        <w:jc w:val="both"/>
        <w:rPr>
          <w:rFonts w:ascii="Times New Roman" w:eastAsia="Times New Roman" w:hAnsi="Times New Roman" w:cs="Times New Roman"/>
          <w:sz w:val="24"/>
          <w:szCs w:val="24"/>
          <w:u w:color="000000"/>
          <w:bdr w:val="nil"/>
          <w:lang w:eastAsia="ro-RO"/>
        </w:rPr>
      </w:pPr>
      <w:r w:rsidRPr="007E7124">
        <w:rPr>
          <w:rFonts w:ascii="Times New Roman" w:eastAsia="Times New Roman" w:hAnsi="Times New Roman" w:cs="Times New Roman"/>
          <w:sz w:val="24"/>
          <w:szCs w:val="24"/>
          <w:u w:color="000000"/>
          <w:bdr w:val="nil"/>
          <w:lang w:eastAsia="ro-RO"/>
        </w:rPr>
        <w:t xml:space="preserve">Nu sunt disponibile informatii privind switch-ul de la infliximab subcutanat la infliximab intravenos </w:t>
      </w:r>
    </w:p>
    <w:p w14:paraId="559D8CDA" w14:textId="77777777" w:rsidR="0012230F" w:rsidRPr="007E7124" w:rsidRDefault="0012230F" w:rsidP="00D11DF1">
      <w:pPr>
        <w:numPr>
          <w:ilvl w:val="0"/>
          <w:numId w:val="436"/>
        </w:numPr>
        <w:spacing w:after="0" w:line="240" w:lineRule="auto"/>
        <w:ind w:left="720"/>
        <w:contextualSpacing/>
        <w:jc w:val="both"/>
        <w:rPr>
          <w:rFonts w:ascii="Times New Roman" w:eastAsia="Times New Roman" w:hAnsi="Times New Roman" w:cs="Times New Roman"/>
          <w:sz w:val="24"/>
          <w:szCs w:val="24"/>
          <w:u w:color="000000"/>
          <w:bdr w:val="nil"/>
          <w:lang w:eastAsia="ro-RO"/>
        </w:rPr>
      </w:pPr>
      <w:r w:rsidRPr="007E7124">
        <w:rPr>
          <w:rFonts w:ascii="Times New Roman" w:eastAsia="Times New Roman" w:hAnsi="Times New Roman" w:cs="Times New Roman"/>
          <w:sz w:val="24"/>
          <w:szCs w:val="24"/>
          <w:u w:color="000000"/>
          <w:bdr w:val="nil"/>
          <w:lang w:eastAsia="ro-RO"/>
        </w:rPr>
        <w:t>In cazul omiterii unei doze de infliximab subcutanat aceasta trebuie administrata imediat daca au trecut mai putin de 7 zile de la doza programata, iar in cazul omiterii dozei mai mult de 8 zile se va astepta pana la data corespunzatoare programarii din regimul initial , ulterior se continua cu administrarea  regimului original.</w:t>
      </w:r>
    </w:p>
    <w:p w14:paraId="183173C5" w14:textId="77777777" w:rsidR="0012230F" w:rsidRPr="007E7124" w:rsidRDefault="0012230F" w:rsidP="00D11DF1">
      <w:pPr>
        <w:numPr>
          <w:ilvl w:val="0"/>
          <w:numId w:val="436"/>
        </w:numPr>
        <w:spacing w:after="0" w:line="240" w:lineRule="auto"/>
        <w:ind w:left="720"/>
        <w:contextualSpacing/>
        <w:jc w:val="both"/>
        <w:rPr>
          <w:rFonts w:ascii="Times New Roman" w:eastAsia="Times New Roman" w:hAnsi="Times New Roman" w:cs="Times New Roman"/>
          <w:sz w:val="24"/>
          <w:szCs w:val="24"/>
          <w:u w:color="000000"/>
          <w:bdr w:val="nil"/>
          <w:lang w:eastAsia="ro-RO"/>
        </w:rPr>
      </w:pPr>
      <w:r w:rsidRPr="007E7124">
        <w:rPr>
          <w:rFonts w:ascii="Times New Roman" w:eastAsia="Times New Roman" w:hAnsi="Times New Roman" w:cs="Times New Roman"/>
          <w:sz w:val="24"/>
          <w:szCs w:val="24"/>
          <w:u w:color="000000"/>
          <w:bdr w:val="nil"/>
          <w:lang w:eastAsia="ro-RO"/>
        </w:rPr>
        <w:t>Dacă un pacient cu boala Crohn activa, fistulizata nu prezintă răspuns terapeutic după 6 doze (adică 2 perfuzii intravenoase și 4 injecții subcutanate), nu trebuie administrat în continuare tratament cu infliximab.</w:t>
      </w:r>
    </w:p>
    <w:p w14:paraId="3C33079C" w14:textId="77777777" w:rsidR="0012230F" w:rsidRPr="007E7124" w:rsidRDefault="0012230F" w:rsidP="00D11DF1">
      <w:pPr>
        <w:numPr>
          <w:ilvl w:val="0"/>
          <w:numId w:val="436"/>
        </w:numPr>
        <w:spacing w:after="0" w:line="240" w:lineRule="auto"/>
        <w:ind w:left="720"/>
        <w:contextualSpacing/>
        <w:jc w:val="both"/>
        <w:rPr>
          <w:rFonts w:ascii="Times New Roman" w:eastAsia="Times New Roman" w:hAnsi="Times New Roman" w:cs="Times New Roman"/>
          <w:sz w:val="24"/>
          <w:szCs w:val="24"/>
          <w:u w:color="000000"/>
          <w:bdr w:val="nil"/>
          <w:lang w:eastAsia="ro-RO"/>
        </w:rPr>
      </w:pPr>
      <w:r w:rsidRPr="007E7124">
        <w:rPr>
          <w:rFonts w:ascii="Times New Roman" w:eastAsia="Times New Roman" w:hAnsi="Times New Roman" w:cs="Times New Roman"/>
          <w:sz w:val="24"/>
          <w:szCs w:val="24"/>
          <w:u w:color="000000"/>
          <w:bdr w:val="nil"/>
          <w:lang w:eastAsia="ro-RO"/>
        </w:rPr>
        <w:t>Dacă un pacient cu colită ulcerativă nu prezintă răspuns terapeutic după 6 doze (adică 2 perfuzii intravenoase și 4 injecții subcutanate), continuarea terapiei trebuie reevaluată cu atenție.</w:t>
      </w:r>
    </w:p>
    <w:p w14:paraId="0CB7CA9C" w14:textId="77777777" w:rsidR="0012230F" w:rsidRPr="007E7124" w:rsidRDefault="0012230F" w:rsidP="00D11DF1">
      <w:pPr>
        <w:numPr>
          <w:ilvl w:val="0"/>
          <w:numId w:val="422"/>
        </w:numPr>
        <w:autoSpaceDE w:val="0"/>
        <w:autoSpaceDN w:val="0"/>
        <w:adjustRightInd w:val="0"/>
        <w:spacing w:after="0" w:line="240" w:lineRule="auto"/>
        <w:ind w:left="270" w:hanging="270"/>
        <w:jc w:val="both"/>
        <w:rPr>
          <w:rFonts w:ascii="Times New Roman" w:eastAsia="Times New Roman" w:hAnsi="Times New Roman" w:cs="Times New Roman"/>
          <w:iCs/>
          <w:sz w:val="24"/>
          <w:szCs w:val="24"/>
        </w:rPr>
      </w:pPr>
      <w:r w:rsidRPr="007E7124">
        <w:rPr>
          <w:rFonts w:ascii="Times New Roman" w:eastAsia="Times New Roman" w:hAnsi="Times New Roman" w:cs="Times New Roman"/>
          <w:b/>
          <w:iCs/>
          <w:sz w:val="24"/>
          <w:szCs w:val="24"/>
          <w:u w:val="single"/>
        </w:rPr>
        <w:t>Adalimumab</w:t>
      </w:r>
      <w:r w:rsidRPr="007E7124">
        <w:rPr>
          <w:rFonts w:ascii="Times New Roman" w:eastAsia="Times New Roman" w:hAnsi="Times New Roman" w:cs="Times New Roman"/>
          <w:iCs/>
          <w:sz w:val="24"/>
          <w:szCs w:val="24"/>
        </w:rPr>
        <w:t>, (original si biosimilar) subcutanat, 40 mg la fiecare 2 săptămâni pentru pacienții adulți.</w:t>
      </w:r>
      <w:r w:rsidRPr="007E7124">
        <w:rPr>
          <w:rFonts w:ascii="Calibri" w:eastAsia="Calibri" w:hAnsi="Calibri" w:cs="Times New Roman"/>
        </w:rPr>
        <w:t xml:space="preserve"> </w:t>
      </w:r>
      <w:r w:rsidRPr="007E7124">
        <w:rPr>
          <w:rFonts w:ascii="Times New Roman" w:eastAsia="Times New Roman" w:hAnsi="Times New Roman" w:cs="Times New Roman"/>
          <w:iCs/>
          <w:sz w:val="24"/>
          <w:szCs w:val="24"/>
        </w:rPr>
        <w:t>Pentru copii cu greutatea &lt; 40 kg - 20 mg la fiecare 2 săptămâni - în b. Crohn si 40 mg la fiecare 2 săptămâni - în colita ulcerativă. Pentru copii cu greutatea ≥ 40 kg- 40 mg la fiecare 2 săptămâni - în b. Crohn si 80 mg la fiecare 2 săptămâni - în colita ulcerativă</w:t>
      </w:r>
    </w:p>
    <w:p w14:paraId="01E47B79" w14:textId="77777777" w:rsidR="0012230F" w:rsidRPr="007E7124" w:rsidRDefault="0012230F" w:rsidP="0012230F">
      <w:pPr>
        <w:autoSpaceDE w:val="0"/>
        <w:autoSpaceDN w:val="0"/>
        <w:adjustRightInd w:val="0"/>
        <w:spacing w:after="0" w:line="240" w:lineRule="auto"/>
        <w:ind w:left="284"/>
        <w:jc w:val="both"/>
        <w:rPr>
          <w:rFonts w:ascii="Times New Roman" w:eastAsia="Times New Roman" w:hAnsi="Times New Roman" w:cs="Times New Roman"/>
          <w:iCs/>
          <w:sz w:val="24"/>
          <w:szCs w:val="24"/>
        </w:rPr>
      </w:pPr>
    </w:p>
    <w:p w14:paraId="3561784C" w14:textId="77777777" w:rsidR="0012230F" w:rsidRPr="007E7124" w:rsidRDefault="0012230F" w:rsidP="00D11DF1">
      <w:pPr>
        <w:numPr>
          <w:ilvl w:val="0"/>
          <w:numId w:val="422"/>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b/>
          <w:iCs/>
          <w:sz w:val="24"/>
          <w:szCs w:val="24"/>
          <w:u w:val="single"/>
        </w:rPr>
        <w:t>Vedolizumab</w:t>
      </w:r>
      <w:r w:rsidRPr="007E7124">
        <w:rPr>
          <w:rFonts w:ascii="Times New Roman" w:eastAsia="Times New Roman" w:hAnsi="Times New Roman" w:cs="Times New Roman"/>
          <w:iCs/>
          <w:sz w:val="24"/>
          <w:szCs w:val="24"/>
        </w:rPr>
        <w:t xml:space="preserve"> - 300 mg în perfuzie intravenoasă la fiecare 8 săptămâni SAU Vedolizumab 108 mg cu administrare  subcutanata la fiecare 2 săptămâni (nota - </w:t>
      </w:r>
      <w:r w:rsidRPr="007E7124">
        <w:rPr>
          <w:rFonts w:ascii="Times New Roman" w:eastAsia="Times New Roman" w:hAnsi="Times New Roman" w:cs="Times New Roman"/>
          <w:sz w:val="24"/>
          <w:szCs w:val="24"/>
        </w:rPr>
        <w:t>vedolizumab  cu administrare subcutanata se poate utiliza după cel puțin 2 perfuzii intravenoase,iar prima doză trebuie administrată sub supraveghere medicala la data corespunzatoare următoarei doze care ar fi fost programate prin perfuzie intravenoasă).</w:t>
      </w:r>
    </w:p>
    <w:p w14:paraId="7750BCF2" w14:textId="77777777" w:rsidR="0012230F" w:rsidRPr="007E7124" w:rsidRDefault="0012230F" w:rsidP="00D11DF1">
      <w:pPr>
        <w:numPr>
          <w:ilvl w:val="0"/>
          <w:numId w:val="428"/>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La pacienții cu boala Crohn, naivi la anti-TNF alfa, pentru care s-a inițiat tratamentul cu Vedolizumab ca primă linie de tratament biologic, se utilizează în tratamentul de menținere a remisiunii doar Vedolizumab 108 mg cu administrare subcutană la fiecare 2 săptămâni</w:t>
      </w:r>
    </w:p>
    <w:p w14:paraId="6F6D8FBD" w14:textId="77777777" w:rsidR="0012230F" w:rsidRPr="007E7124" w:rsidRDefault="0012230F" w:rsidP="00D11DF1">
      <w:pPr>
        <w:numPr>
          <w:ilvl w:val="0"/>
          <w:numId w:val="428"/>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 xml:space="preserve">La adulţii care au prezentat o diminuare a răspunsului la Vedolizumab cu administrare intravenoasa (300 mg) se poate optimiza tratamentul prin administrarea Vedolizumab 300 mg în perfuzie intravenoasă la fiecare 4 săptămâni. </w:t>
      </w:r>
    </w:p>
    <w:p w14:paraId="5930415E" w14:textId="77777777" w:rsidR="0012230F" w:rsidRPr="007E7124" w:rsidRDefault="0012230F" w:rsidP="00D11DF1">
      <w:pPr>
        <w:numPr>
          <w:ilvl w:val="0"/>
          <w:numId w:val="428"/>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sz w:val="24"/>
          <w:szCs w:val="24"/>
        </w:rPr>
        <w:t xml:space="preserve">Nu sunt disponibile suficiente date pentru a determina dacă pacienții care prezintă o descreștere a răspunsului la tratamentul de întreținere cu vedolizumab cu administrare subcutanată (108 mg) ar beneficia de o creștere a frecvenței de administrare, si nici privind tranziția pacienților de la vedolizumab cu administrare subcutanată la vedolizumab prin perfuzie intravenoasă </w:t>
      </w:r>
    </w:p>
    <w:p w14:paraId="2B4888CB" w14:textId="77777777" w:rsidR="0012230F" w:rsidRPr="007E7124" w:rsidRDefault="0012230F" w:rsidP="00D11DF1">
      <w:pPr>
        <w:numPr>
          <w:ilvl w:val="0"/>
          <w:numId w:val="428"/>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Este necesară respectarea procedurii de preparare şi administrare conform RCP.</w:t>
      </w:r>
    </w:p>
    <w:p w14:paraId="18B49ED4" w14:textId="77777777" w:rsidR="0012230F" w:rsidRPr="007E7124" w:rsidRDefault="0012230F" w:rsidP="0012230F">
      <w:pPr>
        <w:autoSpaceDE w:val="0"/>
        <w:autoSpaceDN w:val="0"/>
        <w:adjustRightInd w:val="0"/>
        <w:spacing w:after="0" w:line="240" w:lineRule="auto"/>
        <w:ind w:left="720"/>
        <w:jc w:val="both"/>
        <w:rPr>
          <w:rFonts w:ascii="Times New Roman" w:eastAsia="Times New Roman" w:hAnsi="Times New Roman" w:cs="Times New Roman"/>
          <w:iCs/>
          <w:sz w:val="24"/>
          <w:szCs w:val="24"/>
        </w:rPr>
      </w:pPr>
    </w:p>
    <w:p w14:paraId="643DDEA4" w14:textId="77777777" w:rsidR="0012230F" w:rsidRPr="007E7124" w:rsidRDefault="0012230F" w:rsidP="00D11DF1">
      <w:pPr>
        <w:numPr>
          <w:ilvl w:val="0"/>
          <w:numId w:val="427"/>
        </w:numPr>
        <w:tabs>
          <w:tab w:val="left" w:pos="993"/>
        </w:tabs>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b/>
          <w:iCs/>
          <w:sz w:val="24"/>
          <w:szCs w:val="24"/>
          <w:u w:val="single"/>
        </w:rPr>
        <w:t>Ustekinumab</w:t>
      </w:r>
      <w:r w:rsidRPr="007E7124">
        <w:rPr>
          <w:rFonts w:ascii="Times New Roman" w:eastAsia="Times New Roman" w:hAnsi="Times New Roman" w:cs="Times New Roman"/>
          <w:iCs/>
          <w:sz w:val="24"/>
          <w:szCs w:val="24"/>
        </w:rPr>
        <w:t xml:space="preserve"> - subcutan, 90 mg. Prima administrare va fi efectuată la 8 săptămâni de la doza de inducţie, ulterior la fiecare 12 săptămâni.</w:t>
      </w:r>
    </w:p>
    <w:p w14:paraId="34931930" w14:textId="77777777" w:rsidR="0012230F" w:rsidRPr="007E7124" w:rsidRDefault="0012230F" w:rsidP="00D11DF1">
      <w:pPr>
        <w:numPr>
          <w:ilvl w:val="0"/>
          <w:numId w:val="429"/>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Pacienţii cu răspuns inadecvat la 8 săptămâni după prima administrare subcutanată, pot primi o a doua doză subcutanată la acest moment.</w:t>
      </w:r>
    </w:p>
    <w:p w14:paraId="0A3A1797" w14:textId="77777777" w:rsidR="0012230F" w:rsidRPr="007E7124" w:rsidRDefault="0012230F" w:rsidP="00D11DF1">
      <w:pPr>
        <w:numPr>
          <w:ilvl w:val="0"/>
          <w:numId w:val="429"/>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Pacienţii care pierd răspunsul la administrarea la 12 săptămâni pot optimiza tratamentul prin creşterea frecvenţei de administrare la fiecare 8 săptămâni.</w:t>
      </w:r>
    </w:p>
    <w:p w14:paraId="71A7A477" w14:textId="77777777" w:rsidR="0012230F" w:rsidRPr="007E7124" w:rsidRDefault="0012230F" w:rsidP="00D11DF1">
      <w:pPr>
        <w:numPr>
          <w:ilvl w:val="0"/>
          <w:numId w:val="429"/>
        </w:num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Ulterior pacienţii beneficiază de administrarea de ustekinumab subcutanat la 8 sau la 12 săptămâni în funcţie de evaluarea clinică.</w:t>
      </w:r>
    </w:p>
    <w:p w14:paraId="475D544E" w14:textId="77777777" w:rsidR="0012230F" w:rsidRPr="007E7124" w:rsidRDefault="0012230F" w:rsidP="0012230F">
      <w:pPr>
        <w:autoSpaceDE w:val="0"/>
        <w:autoSpaceDN w:val="0"/>
        <w:adjustRightInd w:val="0"/>
        <w:spacing w:after="0" w:line="240" w:lineRule="auto"/>
        <w:ind w:left="720"/>
        <w:jc w:val="both"/>
        <w:rPr>
          <w:rFonts w:ascii="Times New Roman" w:eastAsia="Times New Roman" w:hAnsi="Times New Roman" w:cs="Times New Roman"/>
          <w:iCs/>
          <w:sz w:val="24"/>
          <w:szCs w:val="24"/>
        </w:rPr>
      </w:pPr>
    </w:p>
    <w:p w14:paraId="6277FD8A" w14:textId="77777777" w:rsidR="0012230F" w:rsidRPr="007E7124" w:rsidRDefault="0012230F" w:rsidP="00D11DF1">
      <w:pPr>
        <w:numPr>
          <w:ilvl w:val="0"/>
          <w:numId w:val="427"/>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rPr>
      </w:pPr>
      <w:r w:rsidRPr="007E7124">
        <w:rPr>
          <w:rFonts w:ascii="Times New Roman" w:eastAsia="Times New Roman" w:hAnsi="Times New Roman" w:cs="Times New Roman"/>
          <w:b/>
          <w:sz w:val="24"/>
          <w:szCs w:val="24"/>
          <w:u w:val="single"/>
        </w:rPr>
        <w:t>Tofacitinib</w:t>
      </w:r>
      <w:r w:rsidRPr="007E7124">
        <w:rPr>
          <w:rFonts w:ascii="Times New Roman" w:eastAsia="Times New Roman" w:hAnsi="Times New Roman" w:cs="Times New Roman"/>
          <w:sz w:val="24"/>
          <w:szCs w:val="24"/>
        </w:rPr>
        <w:t xml:space="preserve"> - Doza recomandată este de 5 mg, administrata pe cale orală de două ori pe zi.</w:t>
      </w:r>
    </w:p>
    <w:p w14:paraId="304682BB" w14:textId="77777777" w:rsidR="0012230F" w:rsidRPr="007E7124" w:rsidRDefault="0012230F" w:rsidP="00D11DF1">
      <w:pPr>
        <w:numPr>
          <w:ilvl w:val="0"/>
          <w:numId w:val="4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E7124">
        <w:rPr>
          <w:rFonts w:ascii="Times New Roman" w:eastAsia="Times New Roman" w:hAnsi="Times New Roman" w:cs="Times New Roman"/>
          <w:sz w:val="24"/>
          <w:szCs w:val="24"/>
        </w:rPr>
        <w:t>Nu este recomandat tratamentul de mentinere la pacienții cu CU care prezintă factori de risc pentru accidente tromboembolice, inclusiv pacienţi ≥ 65 ani, fumători sau foşti mari fumători la o doza de 10 mg, administrata pe cale orală de două ori pe zi cu excepția situației în care nu există o alternativă adecvată de tratament disponibilă.</w:t>
      </w:r>
    </w:p>
    <w:p w14:paraId="1C12137B" w14:textId="77777777" w:rsidR="0012230F" w:rsidRPr="007E7124" w:rsidRDefault="0012230F" w:rsidP="00D11DF1">
      <w:pPr>
        <w:numPr>
          <w:ilvl w:val="0"/>
          <w:numId w:val="4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E7124">
        <w:rPr>
          <w:rFonts w:ascii="Times New Roman" w:eastAsia="Times New Roman" w:hAnsi="Times New Roman" w:cs="Times New Roman"/>
          <w:sz w:val="24"/>
          <w:szCs w:val="24"/>
        </w:rPr>
        <w:t>Pentru pacienții cu CU care nu prezintă un risc crescut de</w:t>
      </w:r>
      <w:r w:rsidRPr="007E7124">
        <w:rPr>
          <w:rFonts w:ascii="Times New Roman" w:eastAsia="Times New Roman" w:hAnsi="Times New Roman" w:cs="Times New Roman"/>
          <w:strike/>
          <w:sz w:val="24"/>
          <w:szCs w:val="24"/>
        </w:rPr>
        <w:t xml:space="preserve"> </w:t>
      </w:r>
      <w:r w:rsidRPr="007E7124">
        <w:rPr>
          <w:rFonts w:ascii="Times New Roman" w:eastAsia="Calibri" w:hAnsi="Times New Roman" w:cs="Times New Roman"/>
          <w:sz w:val="24"/>
          <w:szCs w:val="24"/>
        </w:rPr>
        <w:t>pentru accidente tromboembolice, inclusiv pacienţi ≥ 65 ani, fumători sau foşti mari fumători</w:t>
      </w:r>
      <w:r w:rsidRPr="007E7124">
        <w:rPr>
          <w:rFonts w:ascii="Times New Roman" w:eastAsia="Times New Roman" w:hAnsi="Times New Roman" w:cs="Times New Roman"/>
          <w:sz w:val="24"/>
          <w:szCs w:val="24"/>
        </w:rPr>
        <w:t xml:space="preserve">, tofacitinib 10 mg pe cale orală de două  ori pe zi poate fi avut  în vedere dacă pacientul prezintă o scădere a răspunsului la tofacitinib 5 mg de două ori pe zi și nu a răspuns la opțiunile alternative de tratament pentru colita ulcerativă, precum tratamentul cu inhibitori ai factorului de necroză tumorală (inhibitori de TNF). </w:t>
      </w:r>
    </w:p>
    <w:p w14:paraId="7C821D76" w14:textId="77777777" w:rsidR="0012230F" w:rsidRPr="007E7124" w:rsidRDefault="0012230F" w:rsidP="00D11DF1">
      <w:pPr>
        <w:numPr>
          <w:ilvl w:val="0"/>
          <w:numId w:val="4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E7124">
        <w:rPr>
          <w:rFonts w:ascii="Times New Roman" w:eastAsia="Times New Roman" w:hAnsi="Times New Roman" w:cs="Times New Roman"/>
          <w:sz w:val="24"/>
          <w:szCs w:val="24"/>
        </w:rPr>
        <w:t xml:space="preserve">Tofacitinib 10 mg de două ori pe zi pentru tratamentul de menținere trebuie utilizat pentru cea mai scurtă durată posibilă. Trebuie utilizată cea mai mică doză eficientă necesară pentru menținerea răspunsului. </w:t>
      </w:r>
    </w:p>
    <w:p w14:paraId="26B13885" w14:textId="77777777" w:rsidR="0012230F" w:rsidRPr="007E7124" w:rsidRDefault="0012230F" w:rsidP="00D11DF1">
      <w:pPr>
        <w:numPr>
          <w:ilvl w:val="0"/>
          <w:numId w:val="4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E7124">
        <w:rPr>
          <w:rFonts w:ascii="Times New Roman" w:eastAsia="Times New Roman" w:hAnsi="Times New Roman" w:cs="Times New Roman"/>
          <w:sz w:val="24"/>
          <w:szCs w:val="24"/>
        </w:rPr>
        <w:t>La pacienții care au răspuns la tratamentul cu tofacitinib, tratamentul cu corticosteroizi poate fi redus și/sau întrerupt, în conformitate cu standardul de îngrijire.</w:t>
      </w:r>
    </w:p>
    <w:p w14:paraId="77D21B82" w14:textId="77777777" w:rsidR="0012230F" w:rsidRPr="007E7124" w:rsidRDefault="0012230F" w:rsidP="00D11DF1">
      <w:pPr>
        <w:numPr>
          <w:ilvl w:val="0"/>
          <w:numId w:val="4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E7124">
        <w:rPr>
          <w:rFonts w:ascii="Times New Roman" w:eastAsia="Times New Roman" w:hAnsi="Times New Roman" w:cs="Times New Roman"/>
          <w:sz w:val="24"/>
          <w:szCs w:val="24"/>
        </w:rPr>
        <w:t>Nota bene!</w:t>
      </w:r>
    </w:p>
    <w:p w14:paraId="52763838" w14:textId="77777777" w:rsidR="0012230F" w:rsidRPr="007E7124" w:rsidRDefault="0012230F" w:rsidP="00D11DF1">
      <w:pPr>
        <w:numPr>
          <w:ilvl w:val="0"/>
          <w:numId w:val="4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E7124">
        <w:rPr>
          <w:rFonts w:ascii="Times New Roman" w:eastAsia="Times New Roman" w:hAnsi="Times New Roman" w:cs="Times New Roman"/>
          <w:sz w:val="24"/>
          <w:szCs w:val="24"/>
        </w:rPr>
        <w:t>Se recomandă examinarea periodică a pielii tuturor pacienților pentru a exlude melanomul.</w:t>
      </w:r>
    </w:p>
    <w:p w14:paraId="1C57AF10" w14:textId="77777777" w:rsidR="0012230F" w:rsidRPr="007E7124" w:rsidRDefault="0012230F" w:rsidP="00D11DF1">
      <w:pPr>
        <w:numPr>
          <w:ilvl w:val="0"/>
          <w:numId w:val="4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E7124">
        <w:rPr>
          <w:rFonts w:ascii="Times New Roman" w:eastAsia="Times New Roman" w:hAnsi="Times New Roman" w:cs="Times New Roman"/>
          <w:sz w:val="24"/>
          <w:szCs w:val="24"/>
        </w:rPr>
        <w:t>Medicii prescriptori trebuie să discute cu pacienții despre riscurile asociate administrării de JAK.</w:t>
      </w:r>
    </w:p>
    <w:p w14:paraId="6AE3AFCF"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3BDC7E7A"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C. Evaluarea răspunsului terapeutic</w:t>
      </w:r>
    </w:p>
    <w:p w14:paraId="14ECE5EA"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5F3D0272"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Răspunsul terapeutic la medicamentele anti TNF va fi evaluat la 12 săptămâni de la iniţierea terapiei şi, ulterior, la interval de maxim 6 luni sau de câte ori se suspectează pierderea răspunsului. Lipsa răspunsului primar la 12 săptămâni impune renunţarea la terapia iniţiată.</w:t>
      </w:r>
    </w:p>
    <w:p w14:paraId="4293B158"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 xml:space="preserve">Răspunsul terapeutic la Vedolizumab va fi evaluat la 10 săptămâni de la iniţierea terapiei, la pacienţii cu colită ulcerativă şi boala Crohn şi la săptămâna 14 pentru pacienţii cu boală Crohn care au beneficiat </w:t>
      </w:r>
      <w:r w:rsidRPr="007E7124">
        <w:rPr>
          <w:rFonts w:ascii="Times New Roman" w:eastAsia="Times New Roman" w:hAnsi="Times New Roman" w:cs="Times New Roman"/>
          <w:iCs/>
          <w:sz w:val="24"/>
          <w:szCs w:val="24"/>
        </w:rPr>
        <w:lastRenderedPageBreak/>
        <w:t>de perfuzia adiţională la săptămâna 10, ulterior la interval de maxim 6 luni sau de câte ori se suspectează pierderea răspunsului.</w:t>
      </w:r>
      <w:r w:rsidRPr="007E7124">
        <w:t xml:space="preserve"> </w:t>
      </w:r>
      <w:r w:rsidRPr="007E7124">
        <w:rPr>
          <w:rFonts w:ascii="Times New Roman" w:eastAsia="Times New Roman" w:hAnsi="Times New Roman" w:cs="Times New Roman"/>
          <w:iCs/>
          <w:sz w:val="24"/>
          <w:szCs w:val="24"/>
        </w:rPr>
        <w:t>La pacienții cu boala Crohn tratamentul trebuie oprit dacă nu se observă niciun beneficiu terapeutic până în săptămâna 14.</w:t>
      </w:r>
      <w:r w:rsidRPr="007E7124">
        <w:t xml:space="preserve"> </w:t>
      </w:r>
      <w:r w:rsidRPr="007E7124">
        <w:rPr>
          <w:rFonts w:ascii="Times New Roman" w:eastAsia="Times New Roman" w:hAnsi="Times New Roman" w:cs="Times New Roman"/>
          <w:iCs/>
          <w:sz w:val="24"/>
          <w:szCs w:val="24"/>
        </w:rPr>
        <w:t>Tratamentul la pacienții cu colită ulcerativă trebuie oprit dacă nu se observă niciun beneficiu terapeutic până în săptămâna 10.</w:t>
      </w:r>
    </w:p>
    <w:p w14:paraId="37076652"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Evaluarea răspunsului la ustekinumab se va face la 8 săptămâni de la administrarea dozei de inducţie intravenos şi la 16 săptămâni de la trecerea la doza de menţinere administrată la 8 săptămâni, ulterior la un interval de maxim 6 luni sau ori de câte ori se suspectează pierderea răspunsului. Se va lua în considerare oprirea tratamentului dacă nu există un răspuns terapeutic la 16 săptămâni de la administrarea dozei de inducţie intravenos sau la 16 săptămâni de la trecerea la doza de menţinere administrate la 8 săptămâni.</w:t>
      </w:r>
    </w:p>
    <w:p w14:paraId="31ED1A1A"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700F27C4"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Evaluarea răspunsului la tofacitinib se va face la 8 săptămâni de la iniţierea terapiei. In cazul raspunsului clinic, se continua cu doza de intretinere de 5 mg de 2 ori pe zi,iar  in cazul lipsei de raspuns, la 8 saptamani se poate continua pana la 16 săptămâni doza de10 mg de 2 ori pe zi.  Dupa obtinerea remisiunii clinice, monitorizarea ulterioara se face la un interval de maxim 6 luni sau ori de câte ori se suspectează pierderea răspunsului. Se va lua în considerare oprirea tratamentului dacă nu există un răspuns terapeutic la 16 săptămâni de la inceperea tratamentului.  Dupa intreruperea tratamentului, posibilitatea reluarii acestuia se poate face la decizia medicului prescriptor in conformitate cu RCP produs</w:t>
      </w:r>
    </w:p>
    <w:p w14:paraId="10757F9E"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06AD9C28"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Răspunsul terapeutic va fi apreciat prin încadrarea într-una dintre următoarele categorii:</w:t>
      </w:r>
    </w:p>
    <w:p w14:paraId="4D4C5025"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03AB7C54"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1. Pentru boala Crohn:</w:t>
      </w:r>
    </w:p>
    <w:p w14:paraId="64CD50AB" w14:textId="77777777" w:rsidR="0012230F" w:rsidRPr="007E7124" w:rsidRDefault="0012230F" w:rsidP="00D11DF1">
      <w:pPr>
        <w:numPr>
          <w:ilvl w:val="3"/>
          <w:numId w:val="430"/>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Remisiune clinică (dispariţia simptomelor clinice) clinico-biologică (dispariţia simptomelor şi a alterărilor biologice existente) endoscopică (vindecarea mucosală) histologică (fără elemente inflamatorii) - Fistulele se închid iar scorul CDAI &lt; 150 puncte.</w:t>
      </w:r>
    </w:p>
    <w:p w14:paraId="339CAC21" w14:textId="77777777" w:rsidR="0012230F" w:rsidRPr="007E7124" w:rsidRDefault="0012230F" w:rsidP="00D11DF1">
      <w:pPr>
        <w:numPr>
          <w:ilvl w:val="3"/>
          <w:numId w:val="430"/>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Răspuns parţial - ameliorare clinico-biologică (ameliorarea simptomelor, reducerea cu 50% a valorilor probelor biologice faţă de start) scăderea scorului CDAI cu &gt; 100 puncte scăderea drenajului fistulelor cu &gt; 50%</w:t>
      </w:r>
    </w:p>
    <w:p w14:paraId="1C843912" w14:textId="77777777" w:rsidR="0012230F" w:rsidRPr="007E7124" w:rsidRDefault="0012230F" w:rsidP="00D11DF1">
      <w:pPr>
        <w:numPr>
          <w:ilvl w:val="3"/>
          <w:numId w:val="430"/>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Recădere - pierderea răspunsului: reapariţia simptomelor, a modificărilor biologice, endoscopice. Valoare predictivă ridicată: creşterea calprotectinei fecale.</w:t>
      </w:r>
    </w:p>
    <w:p w14:paraId="178E1B2B"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41B4F9DE"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2. Pentru colita ulcerativă:</w:t>
      </w:r>
    </w:p>
    <w:p w14:paraId="56E28ACB" w14:textId="77777777" w:rsidR="0012230F" w:rsidRPr="007E7124" w:rsidRDefault="0012230F" w:rsidP="00D11DF1">
      <w:pPr>
        <w:numPr>
          <w:ilvl w:val="1"/>
          <w:numId w:val="431"/>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Remisiune clinică - dispariţia simptomelor, clinico-biologică (fără simptome şi probe biologice normale), endoscopică (vindecare mucosală) histologică (fără elemente inflamatorii de tip acut):</w:t>
      </w:r>
    </w:p>
    <w:p w14:paraId="4BF38315" w14:textId="77777777" w:rsidR="0012230F" w:rsidRPr="007E7124" w:rsidRDefault="0012230F" w:rsidP="00D11DF1">
      <w:pPr>
        <w:numPr>
          <w:ilvl w:val="1"/>
          <w:numId w:val="431"/>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Răspuns terapeutic: ameliorare clinico-biologică, eventual endoscopică cu persistenţa eritemului, granulaţiei şi ştergerea desenului vascular</w:t>
      </w:r>
    </w:p>
    <w:p w14:paraId="57F8A7B3" w14:textId="77777777" w:rsidR="0012230F" w:rsidRPr="007E7124" w:rsidRDefault="0012230F" w:rsidP="00D11DF1">
      <w:pPr>
        <w:numPr>
          <w:ilvl w:val="1"/>
          <w:numId w:val="431"/>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Recădere - pierderea răspunsului terapeutic: reapariţia simptomelor, modificărilor biologice (valoare predictivă calprotectina fecală), endoscopice şi histologice.</w:t>
      </w:r>
    </w:p>
    <w:p w14:paraId="79466D84" w14:textId="77777777" w:rsidR="0012230F" w:rsidRPr="007E7124" w:rsidRDefault="0012230F" w:rsidP="00D11DF1">
      <w:pPr>
        <w:numPr>
          <w:ilvl w:val="1"/>
          <w:numId w:val="431"/>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Monitorizare după obţinerea remisiunii</w:t>
      </w:r>
    </w:p>
    <w:p w14:paraId="1DE46BF3" w14:textId="77777777" w:rsidR="0012230F" w:rsidRPr="007E7124" w:rsidRDefault="0012230F" w:rsidP="0012230F">
      <w:pPr>
        <w:autoSpaceDE w:val="0"/>
        <w:autoSpaceDN w:val="0"/>
        <w:adjustRightInd w:val="0"/>
        <w:spacing w:after="0" w:line="240" w:lineRule="auto"/>
        <w:ind w:left="709"/>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Din 6 luni în 6 luni prin examinare clinică, biochimică, calprotectina fecală, eventual endoscopică/RMN dacă valoarea calprotectinei este crescută.</w:t>
      </w:r>
    </w:p>
    <w:p w14:paraId="5F0DFAA7" w14:textId="77777777" w:rsidR="0012230F" w:rsidRPr="007E7124" w:rsidRDefault="0012230F" w:rsidP="00D11DF1">
      <w:pPr>
        <w:numPr>
          <w:ilvl w:val="1"/>
          <w:numId w:val="431"/>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Recăderea sau pierderea secundară a răspunsului la tratament.</w:t>
      </w:r>
    </w:p>
    <w:p w14:paraId="3655CD68"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p>
    <w:p w14:paraId="14B5E879" w14:textId="77777777" w:rsidR="0012230F" w:rsidRPr="007E7124" w:rsidRDefault="0012230F" w:rsidP="0012230F">
      <w:pPr>
        <w:autoSpaceDE w:val="0"/>
        <w:autoSpaceDN w:val="0"/>
        <w:adjustRightInd w:val="0"/>
        <w:spacing w:after="0" w:line="240" w:lineRule="auto"/>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Recomandări:</w:t>
      </w:r>
    </w:p>
    <w:p w14:paraId="21A42DB2" w14:textId="77777777" w:rsidR="0012230F" w:rsidRPr="007E7124" w:rsidRDefault="0012230F" w:rsidP="00D11DF1">
      <w:pPr>
        <w:numPr>
          <w:ilvl w:val="1"/>
          <w:numId w:val="432"/>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Verificarea complianţei la tratament</w:t>
      </w:r>
    </w:p>
    <w:p w14:paraId="3279C0EF" w14:textId="77777777" w:rsidR="0012230F" w:rsidRPr="007E7124" w:rsidRDefault="0012230F" w:rsidP="00D11DF1">
      <w:pPr>
        <w:numPr>
          <w:ilvl w:val="1"/>
          <w:numId w:val="432"/>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Excluderea unei alte cauze a simptomatologiei (prezenţa unui abces, infecţia cu CMV sau C. difficile, etc.) şi reevaluarea răspunsului terapeutic după corectarea cauzei respective.</w:t>
      </w:r>
    </w:p>
    <w:p w14:paraId="03EB5E4E" w14:textId="77777777" w:rsidR="0012230F" w:rsidRPr="007E7124" w:rsidRDefault="0012230F" w:rsidP="00D11DF1">
      <w:pPr>
        <w:numPr>
          <w:ilvl w:val="1"/>
          <w:numId w:val="432"/>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Optimizare a terapiei prin una dintre variantele:</w:t>
      </w:r>
    </w:p>
    <w:p w14:paraId="778D82C4" w14:textId="77777777" w:rsidR="0012230F" w:rsidRPr="007E7124" w:rsidRDefault="0012230F" w:rsidP="00D11DF1">
      <w:pPr>
        <w:numPr>
          <w:ilvl w:val="3"/>
          <w:numId w:val="433"/>
        </w:numPr>
        <w:autoSpaceDE w:val="0"/>
        <w:autoSpaceDN w:val="0"/>
        <w:adjustRightInd w:val="0"/>
        <w:spacing w:after="0" w:line="240" w:lineRule="auto"/>
        <w:ind w:left="993"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Creşterea empirică a dozelor şi/sau scăderea intervalului de administrare pentru biologicul/biosimilarului antiTNF folosit anterior, urmată de reevaluarea răspunsului terapeutic la 12 săptămâni.</w:t>
      </w:r>
    </w:p>
    <w:p w14:paraId="3D63C7EF" w14:textId="77777777" w:rsidR="0012230F" w:rsidRDefault="0012230F" w:rsidP="00D11DF1">
      <w:pPr>
        <w:numPr>
          <w:ilvl w:val="3"/>
          <w:numId w:val="433"/>
        </w:numPr>
        <w:autoSpaceDE w:val="0"/>
        <w:autoSpaceDN w:val="0"/>
        <w:adjustRightInd w:val="0"/>
        <w:spacing w:after="0" w:line="240" w:lineRule="auto"/>
        <w:ind w:left="993"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 xml:space="preserve">Schimbarea agentului antiTNF/Vedolizumab cu Vedolizumab/anti TNF, sau antiTNF/Ustekinumab cu Ustekinumab/anti TNF sau antiTNF/tofacitinib cu tofacitinib/anti </w:t>
      </w:r>
      <w:r w:rsidRPr="007E7124">
        <w:rPr>
          <w:rFonts w:ascii="Times New Roman" w:eastAsia="Times New Roman" w:hAnsi="Times New Roman" w:cs="Times New Roman"/>
          <w:iCs/>
          <w:sz w:val="24"/>
          <w:szCs w:val="24"/>
        </w:rPr>
        <w:lastRenderedPageBreak/>
        <w:t>TNF pentru situaţiile în care pacientul nu a obţinut remisiunea clinică după perioada de inducţie sau după creşterea dozelor şi sau scăderea intervalului de administrare, precum şi pentru situaţiile de recădere sau intoleranţa inacceptabilă la tratament.</w:t>
      </w:r>
    </w:p>
    <w:p w14:paraId="17096F78" w14:textId="37F9E315" w:rsidR="0012230F" w:rsidRPr="0012230F" w:rsidRDefault="0012230F" w:rsidP="0012230F">
      <w:pPr>
        <w:autoSpaceDE w:val="0"/>
        <w:autoSpaceDN w:val="0"/>
        <w:adjustRightInd w:val="0"/>
        <w:spacing w:after="0" w:line="240" w:lineRule="auto"/>
        <w:ind w:left="993"/>
        <w:jc w:val="both"/>
        <w:rPr>
          <w:rFonts w:ascii="Times New Roman" w:eastAsia="Times New Roman" w:hAnsi="Times New Roman" w:cs="Times New Roman"/>
          <w:iCs/>
          <w:sz w:val="24"/>
          <w:szCs w:val="24"/>
        </w:rPr>
      </w:pPr>
      <w:r w:rsidRPr="0012230F">
        <w:rPr>
          <w:rFonts w:ascii="Times New Roman" w:eastAsia="Times New Roman" w:hAnsi="Times New Roman" w:cs="Times New Roman"/>
          <w:iCs/>
          <w:sz w:val="24"/>
          <w:szCs w:val="24"/>
        </w:rPr>
        <w:t>Adăugarea unui imunomodulator (AZA) - poate ameliora răspunsul şi prelungi remisiunea.</w:t>
      </w:r>
    </w:p>
    <w:p w14:paraId="6005F99A" w14:textId="77777777" w:rsidR="0012230F" w:rsidRPr="007E7124" w:rsidRDefault="0012230F" w:rsidP="00D11DF1">
      <w:pPr>
        <w:numPr>
          <w:ilvl w:val="3"/>
          <w:numId w:val="433"/>
        </w:numPr>
        <w:autoSpaceDE w:val="0"/>
        <w:autoSpaceDN w:val="0"/>
        <w:adjustRightInd w:val="0"/>
        <w:spacing w:after="0" w:line="240" w:lineRule="auto"/>
        <w:ind w:left="993"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Verificarea nivelului seric al agentului antiTNF şi anticorpilor antidrog specifici şi ghidarea terapiei în funcţie de rezultatul acestor determinări (opţiune ideală dar cu accesibilitate foarte limitată în prezent): oprirea tratamentului (nivel normal - fără anticorpi), creşterea dozelor (sau scurtarea intervalului) la nivel scăzut fără anticorpi, schimbarea agentului biologic la nivel scăzut şi prezenţa anticorpilor - (ultimele două variante doar pentru infliximab).</w:t>
      </w:r>
    </w:p>
    <w:p w14:paraId="60456CD3" w14:textId="77777777" w:rsidR="0012230F" w:rsidRPr="007E7124" w:rsidRDefault="0012230F" w:rsidP="00D11DF1">
      <w:pPr>
        <w:numPr>
          <w:ilvl w:val="3"/>
          <w:numId w:val="433"/>
        </w:numPr>
        <w:autoSpaceDE w:val="0"/>
        <w:autoSpaceDN w:val="0"/>
        <w:adjustRightInd w:val="0"/>
        <w:spacing w:after="0" w:line="240" w:lineRule="auto"/>
        <w:ind w:left="993"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Schimbarea (swich-ul) tratamentului de la originalul de antiTNF la biosimilar si invers sau intre biosimilare fara avizul/recomandarea medicului prescriptor nu este acceptata.</w:t>
      </w:r>
    </w:p>
    <w:p w14:paraId="626CB95C" w14:textId="77777777" w:rsidR="0012230F" w:rsidRPr="007E7124" w:rsidRDefault="0012230F" w:rsidP="00D11DF1">
      <w:pPr>
        <w:numPr>
          <w:ilvl w:val="3"/>
          <w:numId w:val="433"/>
        </w:numPr>
        <w:autoSpaceDE w:val="0"/>
        <w:autoSpaceDN w:val="0"/>
        <w:adjustRightInd w:val="0"/>
        <w:spacing w:after="0" w:line="240" w:lineRule="auto"/>
        <w:ind w:left="993" w:hanging="284"/>
        <w:jc w:val="both"/>
        <w:rPr>
          <w:rFonts w:ascii="Times New Roman" w:eastAsia="Times New Roman" w:hAnsi="Times New Roman" w:cs="Times New Roman"/>
          <w:iCs/>
          <w:sz w:val="24"/>
          <w:szCs w:val="24"/>
        </w:rPr>
      </w:pPr>
      <w:r w:rsidRPr="007E7124">
        <w:rPr>
          <w:rFonts w:ascii="Times New Roman" w:eastAsia="Times New Roman" w:hAnsi="Times New Roman" w:cs="Times New Roman"/>
          <w:iCs/>
          <w:sz w:val="24"/>
          <w:szCs w:val="24"/>
        </w:rPr>
        <w:t>La pacienţii cu boala Crohn care au întrerupt tratamentul cu ustekinumb, reluarea tratamentului cu administrarea subcutanată la 8 săptămâni este sigură şi eficientă.</w:t>
      </w:r>
    </w:p>
    <w:p w14:paraId="000FEF0B" w14:textId="77777777" w:rsidR="0012230F" w:rsidRPr="007E7124" w:rsidRDefault="0012230F" w:rsidP="0012230F">
      <w:pPr>
        <w:autoSpaceDE w:val="0"/>
        <w:autoSpaceDN w:val="0"/>
        <w:adjustRightInd w:val="0"/>
        <w:spacing w:after="0" w:line="240" w:lineRule="auto"/>
        <w:contextualSpacing/>
        <w:jc w:val="both"/>
        <w:rPr>
          <w:rFonts w:ascii="Times New Roman" w:eastAsia="Times New Roman" w:hAnsi="Times New Roman" w:cs="Times New Roman"/>
          <w:iCs/>
          <w:sz w:val="24"/>
          <w:szCs w:val="24"/>
        </w:rPr>
      </w:pPr>
    </w:p>
    <w:p w14:paraId="7E522CB1" w14:textId="77777777" w:rsidR="0012230F" w:rsidRPr="007E7124" w:rsidRDefault="0012230F" w:rsidP="0012230F">
      <w:pPr>
        <w:autoSpaceDE w:val="0"/>
        <w:autoSpaceDN w:val="0"/>
        <w:adjustRightInd w:val="0"/>
        <w:spacing w:after="0" w:line="240" w:lineRule="auto"/>
        <w:contextualSpacing/>
        <w:jc w:val="both"/>
        <w:rPr>
          <w:rFonts w:ascii="Times New Roman" w:eastAsia="Arial" w:hAnsi="Times New Roman" w:cs="Times New Roman"/>
          <w:b/>
          <w:bCs/>
          <w:sz w:val="24"/>
          <w:szCs w:val="24"/>
        </w:rPr>
      </w:pPr>
      <w:r w:rsidRPr="007E7124">
        <w:rPr>
          <w:rFonts w:ascii="Times New Roman" w:eastAsia="Times New Roman" w:hAnsi="Times New Roman" w:cs="Times New Roman"/>
          <w:b/>
          <w:iCs/>
          <w:sz w:val="24"/>
          <w:szCs w:val="24"/>
        </w:rPr>
        <w:t>V. Prescriptori</w:t>
      </w:r>
      <w:r w:rsidRPr="007E7124">
        <w:rPr>
          <w:rFonts w:ascii="Times New Roman" w:eastAsia="Times New Roman" w:hAnsi="Times New Roman" w:cs="Times New Roman"/>
          <w:iCs/>
          <w:sz w:val="24"/>
          <w:szCs w:val="24"/>
        </w:rPr>
        <w:t xml:space="preserve"> - tratamentul se prescrie şi se monitorizează de către medicii in specialitatile gastroenterologie (toate terapiile), pediatrie (pentru terapiile accesibile copiilor), gastroenterologie pediatrică (pentru terapiile accesibile copiilor), medicina interna (pentru toate terapiile), chirurgie (pentru tratamentul standard) medicina de familie (pentru tratamentul standard la indicaţia medicului specialist) aflaţi în contract cu o casă de asigurări de sănătate.</w:t>
      </w:r>
      <w:r w:rsidRPr="007E7124">
        <w:rPr>
          <w:rFonts w:ascii="Times New Roman" w:eastAsia="Arial" w:hAnsi="Times New Roman" w:cs="Times New Roman"/>
          <w:bCs/>
          <w:sz w:val="24"/>
          <w:szCs w:val="24"/>
        </w:rPr>
        <w:t>”</w:t>
      </w:r>
    </w:p>
    <w:p w14:paraId="31898F3E" w14:textId="77777777" w:rsidR="0012230F" w:rsidRPr="007E7124" w:rsidRDefault="0012230F" w:rsidP="0012230F">
      <w:pPr>
        <w:tabs>
          <w:tab w:val="left" w:pos="426"/>
        </w:tabs>
        <w:jc w:val="both"/>
        <w:rPr>
          <w:rFonts w:ascii="Times New Roman" w:eastAsia="Arial" w:hAnsi="Times New Roman" w:cs="Times New Roman"/>
          <w:b/>
          <w:bCs/>
          <w:sz w:val="24"/>
          <w:szCs w:val="24"/>
        </w:rPr>
      </w:pPr>
    </w:p>
    <w:p w14:paraId="05491844" w14:textId="77777777" w:rsidR="0012230F" w:rsidRPr="007E7124" w:rsidRDefault="0012230F" w:rsidP="0012230F">
      <w:pPr>
        <w:tabs>
          <w:tab w:val="left" w:pos="426"/>
        </w:tabs>
        <w:jc w:val="both"/>
        <w:rPr>
          <w:rFonts w:ascii="Times New Roman" w:eastAsia="Arial" w:hAnsi="Times New Roman" w:cs="Times New Roman"/>
          <w:b/>
          <w:bCs/>
          <w:sz w:val="24"/>
          <w:szCs w:val="24"/>
        </w:rPr>
      </w:pPr>
    </w:p>
    <w:p w14:paraId="60349AE7" w14:textId="77777777" w:rsidR="0012230F" w:rsidRPr="007E7124" w:rsidRDefault="0012230F" w:rsidP="0012230F">
      <w:pPr>
        <w:tabs>
          <w:tab w:val="left" w:pos="426"/>
        </w:tabs>
        <w:jc w:val="both"/>
        <w:rPr>
          <w:rFonts w:ascii="Times New Roman" w:eastAsia="Arial" w:hAnsi="Times New Roman" w:cs="Times New Roman"/>
          <w:b/>
          <w:bCs/>
          <w:sz w:val="24"/>
          <w:szCs w:val="24"/>
        </w:rPr>
      </w:pPr>
    </w:p>
    <w:p w14:paraId="5D278494" w14:textId="77777777" w:rsidR="0012230F" w:rsidRPr="007E7124" w:rsidRDefault="0012230F" w:rsidP="0012230F">
      <w:pPr>
        <w:tabs>
          <w:tab w:val="left" w:pos="426"/>
        </w:tabs>
        <w:jc w:val="both"/>
        <w:rPr>
          <w:rFonts w:ascii="Times New Roman" w:eastAsia="Arial" w:hAnsi="Times New Roman" w:cs="Times New Roman"/>
          <w:b/>
          <w:bCs/>
          <w:sz w:val="24"/>
          <w:szCs w:val="24"/>
        </w:rPr>
      </w:pPr>
    </w:p>
    <w:p w14:paraId="62E97363" w14:textId="77777777" w:rsidR="00E048D3" w:rsidRDefault="00E048D3" w:rsidP="007B3701">
      <w:pPr>
        <w:rPr>
          <w:rFonts w:ascii="Times New Roman" w:hAnsi="Times New Roman" w:cs="Times New Roman"/>
          <w:b/>
          <w:bCs/>
          <w:sz w:val="24"/>
          <w:szCs w:val="24"/>
          <w:lang w:val="en-US"/>
        </w:rPr>
      </w:pPr>
    </w:p>
    <w:p w14:paraId="6CFF66D8" w14:textId="77777777" w:rsidR="0012230F" w:rsidRDefault="0012230F" w:rsidP="007B3701">
      <w:pPr>
        <w:rPr>
          <w:rFonts w:ascii="Times New Roman" w:hAnsi="Times New Roman" w:cs="Times New Roman"/>
          <w:b/>
          <w:bCs/>
          <w:sz w:val="24"/>
          <w:szCs w:val="24"/>
          <w:lang w:val="en-US"/>
        </w:rPr>
      </w:pPr>
    </w:p>
    <w:p w14:paraId="1D19652E" w14:textId="77777777" w:rsidR="0012230F" w:rsidRDefault="0012230F" w:rsidP="007B3701">
      <w:pPr>
        <w:rPr>
          <w:rFonts w:ascii="Times New Roman" w:hAnsi="Times New Roman" w:cs="Times New Roman"/>
          <w:b/>
          <w:bCs/>
          <w:sz w:val="24"/>
          <w:szCs w:val="24"/>
          <w:lang w:val="en-US"/>
        </w:rPr>
      </w:pPr>
    </w:p>
    <w:p w14:paraId="724B6129" w14:textId="77777777" w:rsidR="0012230F" w:rsidRDefault="0012230F" w:rsidP="007B3701">
      <w:pPr>
        <w:rPr>
          <w:rFonts w:ascii="Times New Roman" w:hAnsi="Times New Roman" w:cs="Times New Roman"/>
          <w:b/>
          <w:bCs/>
          <w:sz w:val="24"/>
          <w:szCs w:val="24"/>
          <w:lang w:val="en-US"/>
        </w:rPr>
      </w:pPr>
    </w:p>
    <w:p w14:paraId="08896C82" w14:textId="77777777" w:rsidR="0012230F" w:rsidRDefault="0012230F" w:rsidP="007B3701">
      <w:pPr>
        <w:rPr>
          <w:rFonts w:ascii="Times New Roman" w:hAnsi="Times New Roman" w:cs="Times New Roman"/>
          <w:b/>
          <w:bCs/>
          <w:sz w:val="24"/>
          <w:szCs w:val="24"/>
          <w:lang w:val="en-US"/>
        </w:rPr>
      </w:pPr>
    </w:p>
    <w:p w14:paraId="1B145C78" w14:textId="77777777" w:rsidR="0012230F" w:rsidRDefault="0012230F" w:rsidP="007B3701">
      <w:pPr>
        <w:rPr>
          <w:rFonts w:ascii="Times New Roman" w:hAnsi="Times New Roman" w:cs="Times New Roman"/>
          <w:b/>
          <w:bCs/>
          <w:sz w:val="24"/>
          <w:szCs w:val="24"/>
          <w:lang w:val="en-US"/>
        </w:rPr>
      </w:pPr>
    </w:p>
    <w:p w14:paraId="772C25A2" w14:textId="77777777" w:rsidR="0012230F" w:rsidRDefault="0012230F" w:rsidP="007B3701">
      <w:pPr>
        <w:rPr>
          <w:rFonts w:ascii="Times New Roman" w:hAnsi="Times New Roman" w:cs="Times New Roman"/>
          <w:b/>
          <w:bCs/>
          <w:sz w:val="24"/>
          <w:szCs w:val="24"/>
          <w:lang w:val="en-US"/>
        </w:rPr>
      </w:pPr>
    </w:p>
    <w:p w14:paraId="73ACA0F9" w14:textId="77777777" w:rsidR="0012230F" w:rsidRDefault="0012230F" w:rsidP="007B3701">
      <w:pPr>
        <w:rPr>
          <w:rFonts w:ascii="Times New Roman" w:hAnsi="Times New Roman" w:cs="Times New Roman"/>
          <w:b/>
          <w:bCs/>
          <w:sz w:val="24"/>
          <w:szCs w:val="24"/>
          <w:lang w:val="en-US"/>
        </w:rPr>
      </w:pPr>
    </w:p>
    <w:p w14:paraId="40A86AAA" w14:textId="77777777" w:rsidR="0012230F" w:rsidRDefault="0012230F" w:rsidP="007B3701">
      <w:pPr>
        <w:rPr>
          <w:rFonts w:ascii="Times New Roman" w:hAnsi="Times New Roman" w:cs="Times New Roman"/>
          <w:b/>
          <w:bCs/>
          <w:sz w:val="24"/>
          <w:szCs w:val="24"/>
          <w:lang w:val="en-US"/>
        </w:rPr>
      </w:pPr>
    </w:p>
    <w:p w14:paraId="1810DF7D" w14:textId="77777777" w:rsidR="0012230F" w:rsidRDefault="0012230F" w:rsidP="007B3701">
      <w:pPr>
        <w:rPr>
          <w:rFonts w:ascii="Times New Roman" w:hAnsi="Times New Roman" w:cs="Times New Roman"/>
          <w:b/>
          <w:bCs/>
          <w:sz w:val="24"/>
          <w:szCs w:val="24"/>
          <w:lang w:val="en-US"/>
        </w:rPr>
      </w:pPr>
    </w:p>
    <w:p w14:paraId="5A5A8F2E" w14:textId="77777777" w:rsidR="0012230F" w:rsidRDefault="0012230F" w:rsidP="007B3701">
      <w:pPr>
        <w:rPr>
          <w:rFonts w:ascii="Times New Roman" w:hAnsi="Times New Roman" w:cs="Times New Roman"/>
          <w:b/>
          <w:bCs/>
          <w:sz w:val="24"/>
          <w:szCs w:val="24"/>
          <w:lang w:val="en-US"/>
        </w:rPr>
      </w:pPr>
    </w:p>
    <w:p w14:paraId="5F33D092" w14:textId="77777777" w:rsidR="0012230F" w:rsidRDefault="0012230F" w:rsidP="007B3701">
      <w:pPr>
        <w:rPr>
          <w:rFonts w:ascii="Times New Roman" w:hAnsi="Times New Roman" w:cs="Times New Roman"/>
          <w:b/>
          <w:bCs/>
          <w:sz w:val="24"/>
          <w:szCs w:val="24"/>
          <w:lang w:val="en-US"/>
        </w:rPr>
      </w:pPr>
    </w:p>
    <w:p w14:paraId="50DB5EB9" w14:textId="77777777" w:rsidR="0012230F" w:rsidRDefault="0012230F" w:rsidP="007B3701">
      <w:pPr>
        <w:rPr>
          <w:rFonts w:ascii="Times New Roman" w:hAnsi="Times New Roman" w:cs="Times New Roman"/>
          <w:b/>
          <w:bCs/>
          <w:sz w:val="24"/>
          <w:szCs w:val="24"/>
          <w:lang w:val="en-US"/>
        </w:rPr>
      </w:pPr>
    </w:p>
    <w:p w14:paraId="0ACDD0BA" w14:textId="77777777" w:rsidR="0012230F" w:rsidRDefault="0012230F" w:rsidP="007B3701">
      <w:pPr>
        <w:rPr>
          <w:rFonts w:ascii="Times New Roman" w:hAnsi="Times New Roman" w:cs="Times New Roman"/>
          <w:sz w:val="24"/>
          <w:szCs w:val="24"/>
        </w:rPr>
      </w:pPr>
    </w:p>
    <w:p w14:paraId="7D6750BF" w14:textId="77777777" w:rsidR="00E048D3" w:rsidRDefault="00E048D3" w:rsidP="007B3701">
      <w:pPr>
        <w:rPr>
          <w:rFonts w:ascii="Times New Roman" w:hAnsi="Times New Roman" w:cs="Times New Roman"/>
          <w:sz w:val="24"/>
          <w:szCs w:val="24"/>
        </w:rPr>
      </w:pPr>
    </w:p>
    <w:p w14:paraId="7F91A94B" w14:textId="77777777" w:rsidR="00E048D3" w:rsidRPr="00F941DA" w:rsidRDefault="00E048D3" w:rsidP="007B3701">
      <w:pPr>
        <w:rPr>
          <w:rFonts w:ascii="Times New Roman" w:hAnsi="Times New Roman" w:cs="Times New Roman"/>
          <w:sz w:val="24"/>
          <w:szCs w:val="24"/>
        </w:rPr>
      </w:pPr>
    </w:p>
    <w:p w14:paraId="22A7A895" w14:textId="77777777" w:rsidR="00E758C6" w:rsidRPr="00F941DA" w:rsidRDefault="00E758C6" w:rsidP="007B3701">
      <w:pPr>
        <w:rPr>
          <w:rFonts w:ascii="Times New Roman" w:hAnsi="Times New Roman" w:cs="Times New Roman"/>
          <w:sz w:val="24"/>
          <w:szCs w:val="24"/>
        </w:rPr>
      </w:pPr>
    </w:p>
    <w:p w14:paraId="5F106D2A" w14:textId="7613600A" w:rsidR="007B60B7" w:rsidRPr="00F941DA" w:rsidRDefault="007B60B7" w:rsidP="00E048D3">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 xml:space="preserve">La anexa nr. 2, protocolul terapeutic corespunzător poziţiei nr. </w:t>
      </w:r>
      <w:r w:rsidR="00663317" w:rsidRPr="00F941DA">
        <w:rPr>
          <w:rFonts w:eastAsia="Arial"/>
          <w:b/>
          <w:bCs/>
          <w:color w:val="auto"/>
          <w:lang w:val="en-US"/>
        </w:rPr>
        <w:t>26</w:t>
      </w:r>
      <w:r w:rsidRPr="00F941DA">
        <w:rPr>
          <w:rFonts w:eastAsia="Arial"/>
          <w:b/>
          <w:bCs/>
          <w:color w:val="auto"/>
          <w:lang w:val="en-US"/>
        </w:rPr>
        <w:t xml:space="preserve"> cod (</w:t>
      </w:r>
      <w:r w:rsidR="00663317" w:rsidRPr="00F941DA">
        <w:rPr>
          <w:rFonts w:eastAsia="Arial"/>
          <w:b/>
          <w:bCs/>
          <w:color w:val="auto"/>
          <w:lang w:val="en-US"/>
        </w:rPr>
        <w:t>A10BK01-03</w:t>
      </w:r>
      <w:r w:rsidRPr="00F941DA">
        <w:rPr>
          <w:rFonts w:eastAsia="Arial"/>
          <w:b/>
          <w:bCs/>
          <w:color w:val="auto"/>
          <w:lang w:val="en-US"/>
        </w:rPr>
        <w:t xml:space="preserve">): </w:t>
      </w:r>
      <w:r w:rsidR="00663317" w:rsidRPr="00F941DA">
        <w:rPr>
          <w:rFonts w:eastAsia="Arial"/>
          <w:b/>
          <w:bCs/>
          <w:color w:val="auto"/>
          <w:lang w:val="en-US"/>
        </w:rPr>
        <w:t>INSUFICIENŢĂ CARDIACĂ CRONICĂ CU FRACŢIE DE EJECŢIE REDUSĂ</w:t>
      </w:r>
      <w:r w:rsidRPr="00F941DA">
        <w:rPr>
          <w:rFonts w:eastAsia="Arial"/>
          <w:b/>
          <w:bCs/>
          <w:color w:val="auto"/>
          <w:lang w:val="en-US"/>
        </w:rPr>
        <w:t xml:space="preserve"> se modifică și se înlocuiește cu următorul protocol:</w:t>
      </w:r>
    </w:p>
    <w:p w14:paraId="1438C91D" w14:textId="77777777" w:rsidR="007B60B7" w:rsidRPr="00F941DA" w:rsidRDefault="007B60B7" w:rsidP="007B60B7">
      <w:pPr>
        <w:pStyle w:val="ListParagraph"/>
        <w:tabs>
          <w:tab w:val="left" w:pos="426"/>
        </w:tabs>
        <w:jc w:val="both"/>
        <w:rPr>
          <w:rFonts w:eastAsia="Arial"/>
          <w:b/>
          <w:bCs/>
          <w:color w:val="auto"/>
          <w:lang w:val="en-US"/>
        </w:rPr>
      </w:pPr>
    </w:p>
    <w:p w14:paraId="70C2F80C" w14:textId="6F2E6771" w:rsidR="00F827D1" w:rsidRPr="00F941DA" w:rsidRDefault="007B60B7" w:rsidP="00663317">
      <w:pPr>
        <w:autoSpaceDE w:val="0"/>
        <w:autoSpaceDN w:val="0"/>
        <w:adjustRightInd w:val="0"/>
        <w:spacing w:after="0" w:line="240" w:lineRule="auto"/>
        <w:jc w:val="both"/>
        <w:rPr>
          <w:rFonts w:ascii="Times New Roman" w:eastAsia="Arial" w:hAnsi="Times New Roman" w:cs="Times New Roman"/>
          <w:b/>
          <w:bCs/>
          <w:sz w:val="24"/>
          <w:szCs w:val="24"/>
          <w:lang w:val="en-US"/>
        </w:rPr>
      </w:pPr>
      <w:r w:rsidRPr="00F941DA">
        <w:rPr>
          <w:rFonts w:ascii="Times New Roman" w:eastAsia="Arial" w:hAnsi="Times New Roman" w:cs="Times New Roman"/>
          <w:b/>
          <w:bCs/>
          <w:sz w:val="24"/>
          <w:szCs w:val="24"/>
          <w:lang w:val="en-US"/>
        </w:rPr>
        <w:t xml:space="preserve">”Protocol terapeutic corespunzător poziției nr. </w:t>
      </w:r>
      <w:r w:rsidR="00663317" w:rsidRPr="00F941DA">
        <w:rPr>
          <w:rFonts w:ascii="Times New Roman" w:eastAsia="Arial" w:hAnsi="Times New Roman" w:cs="Times New Roman"/>
          <w:b/>
          <w:bCs/>
          <w:sz w:val="24"/>
          <w:szCs w:val="24"/>
          <w:lang w:val="en-US"/>
        </w:rPr>
        <w:t>26 cod (A10BK01-03): INSUFICIENŢĂ CARDIACĂ CRONICĂ CU FRACŢIE DE EJECŢIE REDUSĂ</w:t>
      </w:r>
    </w:p>
    <w:p w14:paraId="21E08F76" w14:textId="77777777" w:rsidR="001A7F68" w:rsidRPr="00F941DA" w:rsidRDefault="001A7F68" w:rsidP="00663317">
      <w:pPr>
        <w:autoSpaceDE w:val="0"/>
        <w:autoSpaceDN w:val="0"/>
        <w:adjustRightInd w:val="0"/>
        <w:spacing w:after="0" w:line="240" w:lineRule="auto"/>
        <w:jc w:val="both"/>
        <w:rPr>
          <w:rFonts w:ascii="Times New Roman" w:eastAsia="Arial" w:hAnsi="Times New Roman" w:cs="Times New Roman"/>
          <w:b/>
          <w:bCs/>
          <w:sz w:val="24"/>
          <w:szCs w:val="24"/>
          <w:lang w:val="en-US"/>
        </w:rPr>
      </w:pPr>
    </w:p>
    <w:p w14:paraId="62435010" w14:textId="77777777" w:rsidR="00663317" w:rsidRPr="00F941DA" w:rsidRDefault="00663317" w:rsidP="00663317">
      <w:pPr>
        <w:autoSpaceDE w:val="0"/>
        <w:autoSpaceDN w:val="0"/>
        <w:adjustRightInd w:val="0"/>
        <w:spacing w:after="0" w:line="240" w:lineRule="auto"/>
        <w:jc w:val="both"/>
        <w:rPr>
          <w:rFonts w:ascii="Times New Roman" w:hAnsi="Times New Roman" w:cs="Times New Roman"/>
          <w:sz w:val="24"/>
          <w:szCs w:val="24"/>
        </w:rPr>
      </w:pPr>
    </w:p>
    <w:p w14:paraId="50AC465E" w14:textId="77777777" w:rsidR="001A7F68" w:rsidRPr="00F941DA" w:rsidRDefault="001A7F68" w:rsidP="001A7F68">
      <w:pPr>
        <w:spacing w:after="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I. Indicația terapeutică:</w:t>
      </w:r>
    </w:p>
    <w:p w14:paraId="7C146B3F" w14:textId="77777777" w:rsidR="001A7F68" w:rsidRPr="00F941DA" w:rsidRDefault="001A7F68" w:rsidP="001A7F68">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Tratamentul pacienților adulți, simptomatici, cu insuficiență cardiacă cronică.</w:t>
      </w:r>
    </w:p>
    <w:p w14:paraId="36634DB1" w14:textId="77777777" w:rsidR="001A7F68" w:rsidRPr="00F941DA" w:rsidRDefault="001A7F68" w:rsidP="001A7F68">
      <w:pPr>
        <w:spacing w:after="0"/>
        <w:jc w:val="both"/>
        <w:rPr>
          <w:rFonts w:ascii="Times New Roman" w:eastAsia="Calibri" w:hAnsi="Times New Roman" w:cs="Times New Roman"/>
          <w:sz w:val="24"/>
          <w:szCs w:val="24"/>
        </w:rPr>
      </w:pPr>
    </w:p>
    <w:p w14:paraId="1AA8583E" w14:textId="77777777" w:rsidR="001A7F68" w:rsidRPr="00F941DA" w:rsidRDefault="001A7F68" w:rsidP="001A7F68">
      <w:pPr>
        <w:spacing w:after="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II.</w:t>
      </w:r>
      <w:r w:rsidRPr="00F941DA">
        <w:rPr>
          <w:rFonts w:ascii="Times New Roman" w:eastAsia="Calibri" w:hAnsi="Times New Roman" w:cs="Times New Roman"/>
          <w:b/>
          <w:bCs/>
          <w:sz w:val="24"/>
          <w:szCs w:val="24"/>
          <w:shd w:val="clear" w:color="auto" w:fill="FFFFFF"/>
        </w:rPr>
        <w:t xml:space="preserve"> </w:t>
      </w:r>
      <w:r w:rsidRPr="00F941DA">
        <w:rPr>
          <w:rFonts w:ascii="Times New Roman" w:eastAsia="Calibri" w:hAnsi="Times New Roman" w:cs="Times New Roman"/>
          <w:b/>
          <w:bCs/>
          <w:sz w:val="24"/>
          <w:szCs w:val="24"/>
        </w:rPr>
        <w:t>Criterii pentru includerea unui pacient în tratament</w:t>
      </w:r>
    </w:p>
    <w:p w14:paraId="474E0D4D" w14:textId="77777777" w:rsidR="001A7F68" w:rsidRPr="00F941DA" w:rsidRDefault="001A7F68" w:rsidP="001A7F68">
      <w:pPr>
        <w:spacing w:after="0"/>
        <w:jc w:val="both"/>
        <w:rPr>
          <w:rFonts w:ascii="Times New Roman" w:eastAsia="Calibri" w:hAnsi="Times New Roman" w:cs="Times New Roman"/>
          <w:b/>
          <w:bCs/>
          <w:sz w:val="24"/>
          <w:szCs w:val="24"/>
        </w:rPr>
      </w:pPr>
    </w:p>
    <w:p w14:paraId="18612774" w14:textId="77777777" w:rsidR="001A7F68" w:rsidRPr="00F941DA" w:rsidRDefault="001A7F68" w:rsidP="001A7F68">
      <w:pPr>
        <w:spacing w:after="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1. Criterii de includere</w:t>
      </w:r>
      <w:r w:rsidRPr="00F941DA">
        <w:rPr>
          <w:rFonts w:ascii="Times New Roman" w:eastAsia="Calibri" w:hAnsi="Times New Roman" w:cs="Times New Roman"/>
          <w:b/>
          <w:bCs/>
          <w:strike/>
          <w:sz w:val="24"/>
          <w:szCs w:val="24"/>
        </w:rPr>
        <w:t>:</w:t>
      </w:r>
    </w:p>
    <w:p w14:paraId="623356DE" w14:textId="77777777" w:rsidR="001A7F68" w:rsidRPr="00F941DA" w:rsidRDefault="001A7F68" w:rsidP="001A7F68">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Pacienți cu insuficiență cardiaca cronică, simptomatică (clasele II-IV NYHA), diagnosticată după cum urmează:</w:t>
      </w:r>
    </w:p>
    <w:p w14:paraId="669878A9" w14:textId="77777777" w:rsidR="001A7F68" w:rsidRPr="00F941DA" w:rsidRDefault="001A7F68" w:rsidP="001A7F68">
      <w:pPr>
        <w:spacing w:after="0"/>
        <w:ind w:left="72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Fracția de ejecție a ventriculului stâng ≤40%, documentată prin ecocardiografie sau RMN cardiac, la un pacient având semne și simptome de insuficiență cardiacă;</w:t>
      </w:r>
    </w:p>
    <w:p w14:paraId="0259C876" w14:textId="77777777" w:rsidR="001A7F68" w:rsidRPr="00F941DA" w:rsidRDefault="001A7F68" w:rsidP="001A7F68">
      <w:pPr>
        <w:spacing w:after="0"/>
        <w:ind w:left="72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 xml:space="preserve">- Fracția de ejecție a ventriculului stâng &gt;40%, documentată prin ecocardiografie sau RMN cardiac, la un pacient având semne și simptome de insuficiență cardiacă, </w:t>
      </w:r>
    </w:p>
    <w:p w14:paraId="496BFAE8" w14:textId="77777777" w:rsidR="001A7F68" w:rsidRPr="00F941DA" w:rsidRDefault="001A7F68" w:rsidP="001A7F68">
      <w:pPr>
        <w:spacing w:after="0"/>
        <w:ind w:left="72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ȘI</w:t>
      </w:r>
    </w:p>
    <w:p w14:paraId="4E857E49" w14:textId="77777777" w:rsidR="001A7F68" w:rsidRPr="00F941DA" w:rsidRDefault="001A7F68" w:rsidP="001A7F68">
      <w:pPr>
        <w:spacing w:after="0"/>
        <w:ind w:left="72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peptide natriuretice cu valori crescute (NT-proBNP ≥300 pg/ml în ritm sinusal, respectiv ≥600 pg/ml în fibrilație atrială),</w:t>
      </w:r>
    </w:p>
    <w:p w14:paraId="724A857E" w14:textId="77777777" w:rsidR="001A7F68" w:rsidRPr="00F941DA" w:rsidRDefault="001A7F68" w:rsidP="001A7F68">
      <w:pPr>
        <w:spacing w:after="0"/>
        <w:ind w:left="72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ȘI</w:t>
      </w:r>
    </w:p>
    <w:p w14:paraId="2FF01DD9" w14:textId="77777777" w:rsidR="001A7F68" w:rsidRPr="00F941DA" w:rsidRDefault="001A7F68" w:rsidP="001A7F68">
      <w:pPr>
        <w:spacing w:after="0"/>
        <w:ind w:left="72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dovada imagistică de afectare cardiacă structurală (hipertrofie ventriculară stângă sau dilatarea atriului stâng).</w:t>
      </w:r>
    </w:p>
    <w:p w14:paraId="29B5D70A" w14:textId="77777777" w:rsidR="001A7F68" w:rsidRPr="00F941DA" w:rsidRDefault="001A7F68" w:rsidP="001A7F68">
      <w:pPr>
        <w:spacing w:after="0"/>
        <w:jc w:val="both"/>
        <w:rPr>
          <w:rFonts w:ascii="Times New Roman" w:eastAsia="Calibri" w:hAnsi="Times New Roman" w:cs="Times New Roman"/>
          <w:sz w:val="24"/>
          <w:szCs w:val="24"/>
        </w:rPr>
      </w:pPr>
    </w:p>
    <w:p w14:paraId="40075FDE" w14:textId="77777777" w:rsidR="001A7F68" w:rsidRPr="00F941DA" w:rsidRDefault="001A7F68" w:rsidP="001A7F68">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În toate situațiile, tratamentul cu dapagliflozinum / empagliflozinum TREBUIE asociat tratamentului etiologic (atunci când el există), tratamentului comorbidităților și tratamentului cu celelalte clase terapeutice având indicație în tratamentul insuficienței cardiace, în funcție de profilul clinic al pacientului.</w:t>
      </w:r>
    </w:p>
    <w:p w14:paraId="75F59B31" w14:textId="77777777" w:rsidR="001A7F68" w:rsidRPr="00F941DA" w:rsidRDefault="001A7F68" w:rsidP="001A7F68">
      <w:pPr>
        <w:spacing w:after="0"/>
        <w:jc w:val="both"/>
        <w:rPr>
          <w:rFonts w:ascii="Times New Roman" w:eastAsia="Calibri" w:hAnsi="Times New Roman" w:cs="Times New Roman"/>
          <w:sz w:val="24"/>
          <w:szCs w:val="24"/>
        </w:rPr>
      </w:pPr>
    </w:p>
    <w:p w14:paraId="6A4F94F1" w14:textId="77777777" w:rsidR="001A7F68" w:rsidRPr="00F941DA" w:rsidRDefault="001A7F68" w:rsidP="001A7F68">
      <w:pPr>
        <w:spacing w:after="0"/>
        <w:jc w:val="both"/>
        <w:rPr>
          <w:rFonts w:ascii="Times New Roman" w:eastAsia="Calibri" w:hAnsi="Times New Roman" w:cs="Times New Roman"/>
          <w:b/>
          <w:sz w:val="24"/>
          <w:szCs w:val="24"/>
        </w:rPr>
      </w:pPr>
      <w:r w:rsidRPr="00F941DA">
        <w:rPr>
          <w:rFonts w:ascii="Times New Roman" w:eastAsia="Calibri" w:hAnsi="Times New Roman" w:cs="Times New Roman"/>
          <w:b/>
          <w:sz w:val="24"/>
          <w:szCs w:val="24"/>
        </w:rPr>
        <w:t>2. Criterii de excludere:</w:t>
      </w:r>
    </w:p>
    <w:p w14:paraId="0A11E25B" w14:textId="77777777" w:rsidR="001A7F68" w:rsidRPr="00F941DA" w:rsidRDefault="001A7F68" w:rsidP="00D11DF1">
      <w:pPr>
        <w:numPr>
          <w:ilvl w:val="0"/>
          <w:numId w:val="292"/>
        </w:numPr>
        <w:spacing w:after="0" w:line="256" w:lineRule="auto"/>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 xml:space="preserve">pacienții cu RFG &lt; 25 ml/minut (pentru </w:t>
      </w:r>
      <w:r w:rsidRPr="00F941DA">
        <w:rPr>
          <w:rFonts w:ascii="Times New Roman" w:eastAsia="Times New Roman" w:hAnsi="Times New Roman" w:cs="Times New Roman"/>
          <w:b/>
          <w:bCs/>
          <w:sz w:val="24"/>
          <w:szCs w:val="24"/>
          <w:u w:color="000000"/>
          <w:bdr w:val="nil"/>
          <w:lang w:eastAsia="ro-RO"/>
        </w:rPr>
        <w:t>dapagliflozinum)</w:t>
      </w:r>
    </w:p>
    <w:p w14:paraId="6B2579C0" w14:textId="77777777" w:rsidR="001A7F68" w:rsidRPr="00F941DA" w:rsidRDefault="001A7F68" w:rsidP="00D11DF1">
      <w:pPr>
        <w:numPr>
          <w:ilvl w:val="0"/>
          <w:numId w:val="292"/>
        </w:numPr>
        <w:spacing w:line="256" w:lineRule="auto"/>
        <w:contextualSpacing/>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 xml:space="preserve">pacienții cu RFG &lt; 20 ml/minut (pentru </w:t>
      </w:r>
      <w:r w:rsidRPr="00F941DA">
        <w:rPr>
          <w:rFonts w:ascii="Times New Roman" w:eastAsia="Times New Roman" w:hAnsi="Times New Roman" w:cs="Times New Roman"/>
          <w:b/>
          <w:bCs/>
          <w:sz w:val="24"/>
          <w:szCs w:val="24"/>
          <w:u w:color="000000"/>
          <w:bdr w:val="nil"/>
          <w:lang w:eastAsia="ro-RO"/>
        </w:rPr>
        <w:t>empagliflozinum)</w:t>
      </w:r>
    </w:p>
    <w:p w14:paraId="17BC9989" w14:textId="77777777" w:rsidR="001A7F68" w:rsidRPr="00F941DA" w:rsidRDefault="001A7F68" w:rsidP="00D11DF1">
      <w:pPr>
        <w:numPr>
          <w:ilvl w:val="0"/>
          <w:numId w:val="292"/>
        </w:numPr>
        <w:spacing w:after="0" w:line="256" w:lineRule="auto"/>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diabet zaharat tip I</w:t>
      </w:r>
    </w:p>
    <w:p w14:paraId="395AEE11" w14:textId="77777777" w:rsidR="001A7F68" w:rsidRPr="00F941DA" w:rsidRDefault="001A7F68" w:rsidP="00D11DF1">
      <w:pPr>
        <w:numPr>
          <w:ilvl w:val="0"/>
          <w:numId w:val="292"/>
        </w:numPr>
        <w:spacing w:after="0" w:line="256" w:lineRule="auto"/>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vârsta sub 18 ani</w:t>
      </w:r>
    </w:p>
    <w:p w14:paraId="706BDF16" w14:textId="77777777" w:rsidR="001A7F68" w:rsidRPr="00F941DA" w:rsidRDefault="001A7F68" w:rsidP="00D11DF1">
      <w:pPr>
        <w:numPr>
          <w:ilvl w:val="0"/>
          <w:numId w:val="292"/>
        </w:numPr>
        <w:spacing w:after="0" w:line="256" w:lineRule="auto"/>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afecțiuni ereditare rare de intoleranță la galactoză, deficit total de lactază sau sindrom de malabsorbție la glucoză-galactoză</w:t>
      </w:r>
    </w:p>
    <w:p w14:paraId="755A31D2" w14:textId="77777777" w:rsidR="001A7F68" w:rsidRPr="00F941DA" w:rsidRDefault="001A7F68" w:rsidP="00D11DF1">
      <w:pPr>
        <w:numPr>
          <w:ilvl w:val="0"/>
          <w:numId w:val="292"/>
        </w:numPr>
        <w:spacing w:after="0" w:line="256" w:lineRule="auto"/>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TEMPORAR, la pacienții care dezvoltă depleție volemică se recomandă întreruperea  tratamentului cu dapagliflozinum / empagliflozinum.</w:t>
      </w:r>
    </w:p>
    <w:p w14:paraId="2036359C" w14:textId="77777777" w:rsidR="001A7F68" w:rsidRPr="00F941DA" w:rsidRDefault="001A7F68" w:rsidP="001A7F68">
      <w:pPr>
        <w:spacing w:after="0"/>
        <w:jc w:val="both"/>
        <w:rPr>
          <w:rFonts w:ascii="Times New Roman" w:eastAsia="Calibri" w:hAnsi="Times New Roman" w:cs="Times New Roman"/>
          <w:b/>
          <w:bCs/>
          <w:sz w:val="24"/>
          <w:szCs w:val="24"/>
        </w:rPr>
      </w:pPr>
    </w:p>
    <w:p w14:paraId="5AB35FF0" w14:textId="77777777" w:rsidR="001A7F68" w:rsidRPr="00F941DA" w:rsidRDefault="001A7F68" w:rsidP="001A7F68">
      <w:pPr>
        <w:spacing w:after="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III. Doze, mod de administrare, perioada de tratament, ajustare doze:</w:t>
      </w:r>
    </w:p>
    <w:p w14:paraId="2E7451DB" w14:textId="77777777" w:rsidR="001A7F68" w:rsidRPr="00F941DA" w:rsidRDefault="001A7F68" w:rsidP="001A7F68">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Doza recomandată de dapagliflozinum / empagliflozinum este de 10 mg, administrată o dată pe zi pe cale orală, în orice moment al zilei, cu sau fără alimente. Tratamentul este cronic.</w:t>
      </w:r>
    </w:p>
    <w:p w14:paraId="3F7505F7" w14:textId="77777777" w:rsidR="001A7F68" w:rsidRPr="00F941DA" w:rsidRDefault="001A7F68" w:rsidP="001A7F68">
      <w:pPr>
        <w:spacing w:after="0"/>
        <w:jc w:val="both"/>
        <w:rPr>
          <w:rFonts w:ascii="Times New Roman" w:eastAsia="Calibri" w:hAnsi="Times New Roman" w:cs="Times New Roman"/>
          <w:sz w:val="24"/>
          <w:szCs w:val="24"/>
        </w:rPr>
      </w:pPr>
    </w:p>
    <w:p w14:paraId="0772B28B" w14:textId="77777777" w:rsidR="001A7F68" w:rsidRPr="00F941DA" w:rsidRDefault="001A7F68" w:rsidP="001A7F68">
      <w:pPr>
        <w:spacing w:after="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IV. Contraindicații importante:</w:t>
      </w:r>
    </w:p>
    <w:p w14:paraId="563841DB" w14:textId="77777777" w:rsidR="001A7F68" w:rsidRPr="00F941DA" w:rsidRDefault="001A7F68" w:rsidP="001A7F68">
      <w:pPr>
        <w:spacing w:after="0" w:line="240" w:lineRule="auto"/>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Dapagliflozinum / empagliflozinum este contraindicat:</w:t>
      </w:r>
    </w:p>
    <w:p w14:paraId="474353B6" w14:textId="77777777" w:rsidR="001A7F68" w:rsidRPr="00F941DA" w:rsidRDefault="001A7F68" w:rsidP="00D11DF1">
      <w:pPr>
        <w:numPr>
          <w:ilvl w:val="0"/>
          <w:numId w:val="290"/>
        </w:numPr>
        <w:spacing w:after="0" w:line="240" w:lineRule="auto"/>
        <w:ind w:hanging="5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La pacienții cu hipersensibilitate la substanța activă sau la oricare dintre excipienți;</w:t>
      </w:r>
    </w:p>
    <w:p w14:paraId="7CEF4F32" w14:textId="77777777" w:rsidR="001A7F68" w:rsidRPr="00F941DA" w:rsidRDefault="001A7F68" w:rsidP="00D11DF1">
      <w:pPr>
        <w:numPr>
          <w:ilvl w:val="0"/>
          <w:numId w:val="290"/>
        </w:numPr>
        <w:spacing w:after="0" w:line="256" w:lineRule="auto"/>
        <w:ind w:hanging="50"/>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Sarcină sau alăptare;</w:t>
      </w:r>
    </w:p>
    <w:p w14:paraId="03BE2874" w14:textId="77777777" w:rsidR="001A7F68" w:rsidRPr="00F941DA" w:rsidRDefault="001A7F68" w:rsidP="00D11DF1">
      <w:pPr>
        <w:numPr>
          <w:ilvl w:val="0"/>
          <w:numId w:val="290"/>
        </w:numPr>
        <w:spacing w:after="0" w:line="256" w:lineRule="auto"/>
        <w:ind w:hanging="50"/>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În caz de intervenție chirurgicală majoră.</w:t>
      </w:r>
    </w:p>
    <w:p w14:paraId="3122A436" w14:textId="77777777" w:rsidR="001A7F68" w:rsidRPr="00F941DA" w:rsidRDefault="001A7F68" w:rsidP="001A7F68">
      <w:pPr>
        <w:spacing w:after="0"/>
        <w:jc w:val="both"/>
        <w:rPr>
          <w:rFonts w:ascii="Times New Roman" w:eastAsia="Calibri" w:hAnsi="Times New Roman" w:cs="Times New Roman"/>
          <w:sz w:val="24"/>
          <w:szCs w:val="24"/>
        </w:rPr>
      </w:pPr>
    </w:p>
    <w:p w14:paraId="19027CB1" w14:textId="77777777" w:rsidR="001A7F68" w:rsidRPr="00F941DA" w:rsidRDefault="001A7F68" w:rsidP="001A7F68">
      <w:pPr>
        <w:spacing w:after="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lastRenderedPageBreak/>
        <w:t>V. Atenționări și precauții speciale pentru utilizare:</w:t>
      </w:r>
    </w:p>
    <w:p w14:paraId="0F765A4F" w14:textId="77777777" w:rsidR="001A7F68" w:rsidRPr="00F941DA" w:rsidRDefault="001A7F68" w:rsidP="00D11DF1">
      <w:pPr>
        <w:numPr>
          <w:ilvl w:val="0"/>
          <w:numId w:val="289"/>
        </w:numPr>
        <w:spacing w:after="0" w:line="256" w:lineRule="auto"/>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Nu se recomandă utilizarea dapagliflozinum / empagliflozinum la pacienții cu insuficiență cardiacă și diabet zaharat de tip 1.</w:t>
      </w:r>
    </w:p>
    <w:p w14:paraId="4A735187" w14:textId="77777777" w:rsidR="001A7F68" w:rsidRPr="00F941DA" w:rsidRDefault="001A7F68" w:rsidP="00D11DF1">
      <w:pPr>
        <w:numPr>
          <w:ilvl w:val="0"/>
          <w:numId w:val="289"/>
        </w:numPr>
        <w:spacing w:after="0" w:line="256" w:lineRule="auto"/>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Insuficiență renală: utilizarea dapagliflozinum / empagliflozinum nu necesită ajustarea dozei în funcție de rata de filtrare glomerulară (RFG). Dapagliflozinum poate fi inițiat la pacienții cu RFG ≥ 25 ml/min/1,73 m2. Datorită experienței limitate, inițierea dapagliflozinum nu este recomandată la pacienții cu RFG &lt; 25 ml/min/1,73 m2 sau în dializă. Empagliflozinum poate fi inițiat la pacienții cu RFG ≥ 20 ml/min/1,73 m2. Datorită experienței limitate, inițierea empagliflozinum nu este recomandată la pacienții cu RFG &lt; 20 ml/min/1,73 m2 sau in dializa.</w:t>
      </w:r>
    </w:p>
    <w:p w14:paraId="450B9729" w14:textId="77777777" w:rsidR="001A7F68" w:rsidRPr="00F941DA" w:rsidRDefault="001A7F68" w:rsidP="00D11DF1">
      <w:pPr>
        <w:numPr>
          <w:ilvl w:val="0"/>
          <w:numId w:val="289"/>
        </w:numPr>
        <w:spacing w:after="0" w:line="256" w:lineRule="auto"/>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Insuficiență hepatică: nu este necesară ajustarea dozei la pacienții cu insuficiență hepatică ușoară sau moderată. La pacienții cu insuficiență hepatică severă se recomandă administrarea unei doze inițiale de 5 mg pe zi. Dacă aceasta este bine tolerată, doza poate fi crescută la 10 mg pe zi.</w:t>
      </w:r>
    </w:p>
    <w:p w14:paraId="68B2E80B" w14:textId="77777777" w:rsidR="001A7F68" w:rsidRPr="00F941DA" w:rsidRDefault="001A7F68" w:rsidP="00D11DF1">
      <w:pPr>
        <w:numPr>
          <w:ilvl w:val="0"/>
          <w:numId w:val="289"/>
        </w:numPr>
        <w:spacing w:after="0" w:line="256" w:lineRule="auto"/>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Vârstnici (≥ 65 ani): nu este necesară ajustarea dozei în funcție de vârstă.</w:t>
      </w:r>
    </w:p>
    <w:p w14:paraId="327CDA45" w14:textId="77777777" w:rsidR="001A7F68" w:rsidRPr="00F941DA" w:rsidRDefault="001A7F68" w:rsidP="00D11DF1">
      <w:pPr>
        <w:numPr>
          <w:ilvl w:val="0"/>
          <w:numId w:val="289"/>
        </w:numPr>
        <w:spacing w:after="0" w:line="256" w:lineRule="auto"/>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Dapagliflozinum / empagliflozinum se utilizează cu prudență la pacienții cu insuficiență cardiacă și diabet zaharat de tip 2, având în vedere riscul crescut de cetoacidoză diabetică; dacă există suspiciune de cetoacidoza diabetica, tratamentul cu dapagliflozinum / empagliflozinum se întrerupe imediat.</w:t>
      </w:r>
    </w:p>
    <w:p w14:paraId="7ACE4E99" w14:textId="77777777" w:rsidR="001A7F68" w:rsidRPr="00F941DA" w:rsidRDefault="001A7F68" w:rsidP="00D11DF1">
      <w:pPr>
        <w:numPr>
          <w:ilvl w:val="0"/>
          <w:numId w:val="289"/>
        </w:numPr>
        <w:spacing w:after="0" w:line="256" w:lineRule="auto"/>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Dapagliflozinum / empagliflozinum se utilizează cu prudență la pacienții cu risc de depleție volemică și/sau hipotensiune arterială. În cazul unor afecțiuni intercurente care pot duce la depleție volemică, se recomandă monitorizarea atentă a volemiei (de exemplu prin examen clinic, măsurarea tensiunii arteriale, teste de laborator, inclusiv hematocrit și electroliți).</w:t>
      </w:r>
    </w:p>
    <w:p w14:paraId="57AA3300" w14:textId="77777777" w:rsidR="001A7F68" w:rsidRPr="00F941DA" w:rsidRDefault="001A7F68" w:rsidP="001A7F68">
      <w:pPr>
        <w:spacing w:after="0"/>
        <w:jc w:val="both"/>
        <w:rPr>
          <w:rFonts w:ascii="Times New Roman" w:eastAsia="Calibri" w:hAnsi="Times New Roman" w:cs="Times New Roman"/>
          <w:b/>
          <w:bCs/>
          <w:sz w:val="24"/>
          <w:szCs w:val="24"/>
        </w:rPr>
      </w:pPr>
    </w:p>
    <w:p w14:paraId="377364BC" w14:textId="77777777" w:rsidR="001A7F68" w:rsidRPr="00F941DA" w:rsidRDefault="001A7F68" w:rsidP="001A7F68">
      <w:pPr>
        <w:spacing w:after="0"/>
        <w:jc w:val="both"/>
        <w:rPr>
          <w:rFonts w:ascii="Times New Roman" w:eastAsia="Calibri" w:hAnsi="Times New Roman" w:cs="Times New Roman"/>
          <w:b/>
          <w:bCs/>
          <w:sz w:val="24"/>
          <w:szCs w:val="24"/>
        </w:rPr>
      </w:pPr>
      <w:r w:rsidRPr="00F941DA">
        <w:rPr>
          <w:rFonts w:ascii="Times New Roman" w:eastAsia="Calibri" w:hAnsi="Times New Roman" w:cs="Times New Roman"/>
          <w:b/>
          <w:bCs/>
          <w:sz w:val="24"/>
          <w:szCs w:val="24"/>
        </w:rPr>
        <w:t>VI. Monitorizarea tratamentului/criterii de evaluare a eficacităţii terapeutice:</w:t>
      </w:r>
    </w:p>
    <w:p w14:paraId="60EC630D" w14:textId="77777777" w:rsidR="001A7F68" w:rsidRPr="00F941DA" w:rsidRDefault="001A7F68" w:rsidP="001A7F68">
      <w:pPr>
        <w:spacing w:after="0"/>
        <w:jc w:val="both"/>
        <w:rPr>
          <w:rFonts w:ascii="Times New Roman" w:eastAsia="Calibri" w:hAnsi="Times New Roman" w:cs="Times New Roman"/>
          <w:sz w:val="24"/>
          <w:szCs w:val="24"/>
        </w:rPr>
      </w:pPr>
      <w:r w:rsidRPr="00F941DA">
        <w:rPr>
          <w:rFonts w:ascii="Times New Roman" w:eastAsia="Calibri" w:hAnsi="Times New Roman" w:cs="Times New Roman"/>
          <w:sz w:val="24"/>
          <w:szCs w:val="24"/>
        </w:rPr>
        <w:t>Monitorizarea se realizează în funcție de fiecare caz în parte, pe baza unor parametri clinici și paraclinici:</w:t>
      </w:r>
    </w:p>
    <w:p w14:paraId="67A0D2FF" w14:textId="77777777" w:rsidR="001A7F68" w:rsidRPr="00F941DA" w:rsidRDefault="001A7F68" w:rsidP="00D11DF1">
      <w:pPr>
        <w:numPr>
          <w:ilvl w:val="0"/>
          <w:numId w:val="291"/>
        </w:numPr>
        <w:spacing w:after="0" w:line="256" w:lineRule="auto"/>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Siguranța tratamentului:</w:t>
      </w:r>
    </w:p>
    <w:p w14:paraId="1FCB6258" w14:textId="77777777" w:rsidR="001A7F68" w:rsidRPr="00F941DA" w:rsidRDefault="001A7F68" w:rsidP="00D11DF1">
      <w:pPr>
        <w:numPr>
          <w:ilvl w:val="0"/>
          <w:numId w:val="289"/>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Clinic: toleranță individuală, semne / simptome de reacție alergică;</w:t>
      </w:r>
    </w:p>
    <w:p w14:paraId="58889E69" w14:textId="77777777" w:rsidR="001A7F68" w:rsidRPr="00F941DA" w:rsidRDefault="001A7F68" w:rsidP="00D11DF1">
      <w:pPr>
        <w:numPr>
          <w:ilvl w:val="0"/>
          <w:numId w:val="289"/>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Paraclinic: parametri de echilibru metabolic și ai funcției renale, la inițierea tratamentului și periodic. Dacă apare hipotensiune arterială severă (TA sistolică &lt; 100 mmHg) se recomandă oprirea temporară a administrării de dapagliflozinum / empagliflozinum. Se recomandă evaluarea funcției renale după cum urmează: înainte de începerea tratamentului cu dapagliflozinum / empagliflozinum și periodic în timpul tratamentului (cel puțin anual), precum și înainte de începerea tratamentului concomitent cu orice medicament care poate avea impact negativ asupra funcției renale.</w:t>
      </w:r>
    </w:p>
    <w:p w14:paraId="0C321730" w14:textId="77777777" w:rsidR="001A7F68" w:rsidRPr="00F941DA" w:rsidRDefault="001A7F68" w:rsidP="001A7F68">
      <w:pPr>
        <w:spacing w:after="0" w:line="256" w:lineRule="auto"/>
        <w:ind w:left="360"/>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b. Eficiența tratamentului:</w:t>
      </w:r>
    </w:p>
    <w:p w14:paraId="78B03545" w14:textId="77777777" w:rsidR="001A7F68" w:rsidRPr="00F941DA" w:rsidRDefault="001A7F68" w:rsidP="00D11DF1">
      <w:pPr>
        <w:numPr>
          <w:ilvl w:val="0"/>
          <w:numId w:val="293"/>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Clinic: ameliorarea simptomatologiei și a congestiei;</w:t>
      </w:r>
    </w:p>
    <w:p w14:paraId="1AF8980C" w14:textId="77777777" w:rsidR="001A7F68" w:rsidRPr="00F941DA" w:rsidRDefault="001A7F68" w:rsidP="00D11DF1">
      <w:pPr>
        <w:numPr>
          <w:ilvl w:val="0"/>
          <w:numId w:val="293"/>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F941DA">
        <w:rPr>
          <w:rFonts w:ascii="Times New Roman" w:eastAsia="Times New Roman" w:hAnsi="Times New Roman" w:cs="Times New Roman"/>
          <w:sz w:val="24"/>
          <w:szCs w:val="24"/>
          <w:u w:color="000000"/>
          <w:bdr w:val="nil"/>
          <w:lang w:eastAsia="ro-RO"/>
        </w:rPr>
        <w:t>Paraclinic: BNP/NT-proBNP. Pentru pacienții inițiați conform prezentului protocol și la care se constată o ameliorare a fracției de ejecție în timp, se continuă terapia cu dapagliflozinum / empagliflozinum în asociere cu clasele terapeutice recomandate.</w:t>
      </w:r>
    </w:p>
    <w:p w14:paraId="4DEDC120" w14:textId="77777777" w:rsidR="001A7F68" w:rsidRPr="00F941DA" w:rsidRDefault="001A7F68" w:rsidP="001A7F68">
      <w:pPr>
        <w:spacing w:after="0"/>
        <w:jc w:val="both"/>
        <w:rPr>
          <w:rFonts w:ascii="Times New Roman" w:eastAsia="Calibri" w:hAnsi="Times New Roman" w:cs="Times New Roman"/>
          <w:sz w:val="24"/>
          <w:szCs w:val="24"/>
        </w:rPr>
      </w:pPr>
    </w:p>
    <w:p w14:paraId="3516CE61" w14:textId="77777777" w:rsidR="001A7F68" w:rsidRPr="00F941DA" w:rsidRDefault="001A7F68" w:rsidP="001A7F68">
      <w:pPr>
        <w:spacing w:after="0"/>
        <w:jc w:val="both"/>
        <w:rPr>
          <w:rFonts w:ascii="Times New Roman" w:eastAsia="Calibri" w:hAnsi="Times New Roman" w:cs="Times New Roman"/>
          <w:sz w:val="24"/>
          <w:szCs w:val="24"/>
        </w:rPr>
      </w:pPr>
      <w:r w:rsidRPr="00F941DA">
        <w:rPr>
          <w:rFonts w:ascii="Times New Roman" w:eastAsia="Calibri" w:hAnsi="Times New Roman" w:cs="Times New Roman"/>
          <w:b/>
          <w:bCs/>
          <w:sz w:val="24"/>
          <w:szCs w:val="24"/>
        </w:rPr>
        <w:t>VII. Prescriptori</w:t>
      </w:r>
      <w:r w:rsidRPr="00F941DA">
        <w:rPr>
          <w:rFonts w:ascii="Times New Roman" w:eastAsia="Calibri" w:hAnsi="Times New Roman" w:cs="Times New Roman"/>
          <w:sz w:val="24"/>
          <w:szCs w:val="24"/>
        </w:rPr>
        <w:t xml:space="preserve">: </w:t>
      </w:r>
    </w:p>
    <w:p w14:paraId="46F82C57" w14:textId="06CDD7E8" w:rsidR="001A7F68" w:rsidRPr="00F941DA" w:rsidRDefault="001A7F68" w:rsidP="001A7F68">
      <w:pPr>
        <w:spacing w:after="0"/>
        <w:jc w:val="both"/>
        <w:rPr>
          <w:rFonts w:ascii="Times New Roman" w:eastAsia="Arial" w:hAnsi="Times New Roman" w:cs="Times New Roman"/>
          <w:b/>
          <w:bCs/>
          <w:sz w:val="24"/>
          <w:szCs w:val="24"/>
          <w:lang w:val="it-IT"/>
        </w:rPr>
      </w:pPr>
      <w:r w:rsidRPr="00F941DA">
        <w:rPr>
          <w:rFonts w:ascii="Times New Roman" w:eastAsia="Calibri" w:hAnsi="Times New Roman" w:cs="Times New Roman"/>
          <w:sz w:val="24"/>
          <w:szCs w:val="24"/>
        </w:rPr>
        <w:t>Prescrierea se face de către medicii specialiști de cardiologie și medicină interna. Continuarea tratamentului poate fi facută și de către medicii de familie, pe durata prevăzută în scrisoarea medicală.”</w:t>
      </w:r>
    </w:p>
    <w:p w14:paraId="39C9DBEC" w14:textId="77777777" w:rsidR="001A7F68" w:rsidRPr="00F941DA" w:rsidRDefault="001A7F68" w:rsidP="001A7F68"/>
    <w:p w14:paraId="1006D02B" w14:textId="77777777" w:rsidR="001A7F68" w:rsidRPr="00F941DA" w:rsidRDefault="001A7F68" w:rsidP="001A7F68"/>
    <w:p w14:paraId="706CB685" w14:textId="77777777" w:rsidR="001A7F68" w:rsidRPr="00F941DA" w:rsidRDefault="001A7F68" w:rsidP="001A7F68"/>
    <w:p w14:paraId="15A2EF4D" w14:textId="77777777" w:rsidR="001A7F68" w:rsidRPr="00F941DA" w:rsidRDefault="001A7F68" w:rsidP="001A7F68"/>
    <w:p w14:paraId="1FAF52A2" w14:textId="77777777" w:rsidR="00663317" w:rsidRPr="00F941DA" w:rsidRDefault="00663317" w:rsidP="007B3701">
      <w:pPr>
        <w:rPr>
          <w:rFonts w:ascii="Times New Roman" w:hAnsi="Times New Roman" w:cs="Times New Roman"/>
          <w:sz w:val="24"/>
          <w:szCs w:val="24"/>
        </w:rPr>
      </w:pPr>
    </w:p>
    <w:sectPr w:rsidR="00663317" w:rsidRPr="00F941DA" w:rsidSect="009C55B0">
      <w:footerReference w:type="default" r:id="rId21"/>
      <w:pgSz w:w="11906" w:h="16838"/>
      <w:pgMar w:top="728" w:right="707" w:bottom="284"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9E1F1" w14:textId="77777777" w:rsidR="009261D7" w:rsidRDefault="009261D7" w:rsidP="00ED04A6">
      <w:pPr>
        <w:spacing w:after="0" w:line="240" w:lineRule="auto"/>
      </w:pPr>
      <w:r>
        <w:separator/>
      </w:r>
    </w:p>
  </w:endnote>
  <w:endnote w:type="continuationSeparator" w:id="0">
    <w:p w14:paraId="52FAA5FD" w14:textId="77777777" w:rsidR="009261D7" w:rsidRDefault="009261D7"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MS Gothic"/>
    <w:panose1 w:val="00000000000000000000"/>
    <w:charset w:val="80"/>
    <w:family w:val="auto"/>
    <w:notTrueType/>
    <w:pitch w:val="variable"/>
    <w:sig w:usb0="00000001" w:usb1="08070000" w:usb2="00000010" w:usb3="00000000" w:csb0="00020000" w:csb1="00000000"/>
  </w:font>
  <w:font w:name="Minion">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Avenir LT Std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7443" w14:textId="6D1E4B2B" w:rsidR="009F1EE3" w:rsidRPr="008A3533" w:rsidRDefault="009F1EE3">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0220DA">
      <w:rPr>
        <w:caps/>
        <w:noProof/>
      </w:rPr>
      <w:t>1</w:t>
    </w:r>
    <w:r w:rsidRPr="008A3533">
      <w:rPr>
        <w:caps/>
        <w:noProof/>
      </w:rPr>
      <w:fldChar w:fldCharType="end"/>
    </w:r>
  </w:p>
  <w:p w14:paraId="6BF976AE" w14:textId="77777777" w:rsidR="009F1EE3" w:rsidRDefault="009F1EE3" w:rsidP="00E57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3634C" w14:textId="77777777" w:rsidR="009261D7" w:rsidRDefault="009261D7" w:rsidP="00ED04A6">
      <w:pPr>
        <w:spacing w:after="0" w:line="240" w:lineRule="auto"/>
      </w:pPr>
      <w:r>
        <w:separator/>
      </w:r>
    </w:p>
  </w:footnote>
  <w:footnote w:type="continuationSeparator" w:id="0">
    <w:p w14:paraId="3FF9D67E" w14:textId="77777777" w:rsidR="009261D7" w:rsidRDefault="009261D7"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DB18D024"/>
    <w:name w:val="WWNum19"/>
    <w:lvl w:ilvl="0">
      <w:start w:val="1"/>
      <w:numFmt w:val="lowerLetter"/>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F02C75"/>
    <w:multiLevelType w:val="hybridMultilevel"/>
    <w:tmpl w:val="78586CE6"/>
    <w:styleLink w:val="ImportedStyle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0837A0"/>
    <w:multiLevelType w:val="hybridMultilevel"/>
    <w:tmpl w:val="4BB4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23576C"/>
    <w:multiLevelType w:val="multilevel"/>
    <w:tmpl w:val="28F23EEC"/>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Arial" w:eastAsiaTheme="minorHAnsi" w:hAnsi="Arial" w:cs="Aria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1321CB7"/>
    <w:multiLevelType w:val="hybridMultilevel"/>
    <w:tmpl w:val="EC5AE0E8"/>
    <w:numStyleLink w:val="ImportedStyle13"/>
  </w:abstractNum>
  <w:abstractNum w:abstractNumId="13" w15:restartNumberingAfterBreak="0">
    <w:nsid w:val="013C0D2F"/>
    <w:multiLevelType w:val="hybridMultilevel"/>
    <w:tmpl w:val="B4BAD57A"/>
    <w:numStyleLink w:val="ImportedStyle5"/>
  </w:abstractNum>
  <w:abstractNum w:abstractNumId="14" w15:restartNumberingAfterBreak="0">
    <w:nsid w:val="016D5334"/>
    <w:multiLevelType w:val="hybridMultilevel"/>
    <w:tmpl w:val="4CAA7CAA"/>
    <w:numStyleLink w:val="ImportedStyle3"/>
  </w:abstractNum>
  <w:abstractNum w:abstractNumId="15" w15:restartNumberingAfterBreak="0">
    <w:nsid w:val="0180332F"/>
    <w:multiLevelType w:val="hybridMultilevel"/>
    <w:tmpl w:val="A1D016D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BD66F4"/>
    <w:multiLevelType w:val="hybridMultilevel"/>
    <w:tmpl w:val="B4BAD57A"/>
    <w:styleLink w:val="ImportedStyle5"/>
    <w:lvl w:ilvl="0" w:tplc="2F067E00">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564C0436">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492A4CC">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11A1CF6">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3E654A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E380E1E">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CF7663E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2E0FE6">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04D316">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1C05E5D"/>
    <w:multiLevelType w:val="hybridMultilevel"/>
    <w:tmpl w:val="DA08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DC76D9"/>
    <w:multiLevelType w:val="hybridMultilevel"/>
    <w:tmpl w:val="8264A2B6"/>
    <w:styleLink w:val="Stilimportat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D19FC"/>
    <w:multiLevelType w:val="hybridMultilevel"/>
    <w:tmpl w:val="17E05744"/>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0" w15:restartNumberingAfterBreak="0">
    <w:nsid w:val="02AC3158"/>
    <w:multiLevelType w:val="multilevel"/>
    <w:tmpl w:val="5652F8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03614E5A"/>
    <w:multiLevelType w:val="hybridMultilevel"/>
    <w:tmpl w:val="52AABC9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B3224C"/>
    <w:multiLevelType w:val="hybridMultilevel"/>
    <w:tmpl w:val="E894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0973A2"/>
    <w:multiLevelType w:val="hybridMultilevel"/>
    <w:tmpl w:val="A312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F26C58"/>
    <w:multiLevelType w:val="hybridMultilevel"/>
    <w:tmpl w:val="6AF6F756"/>
    <w:styleLink w:val="Stilimportat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1E7FBA"/>
    <w:multiLevelType w:val="hybridMultilevel"/>
    <w:tmpl w:val="B832CE1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7D32E5"/>
    <w:multiLevelType w:val="hybridMultilevel"/>
    <w:tmpl w:val="738A0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5997910"/>
    <w:multiLevelType w:val="hybridMultilevel"/>
    <w:tmpl w:val="79E600BA"/>
    <w:styleLink w:val="Stilimportat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5B17A34"/>
    <w:multiLevelType w:val="hybridMultilevel"/>
    <w:tmpl w:val="7D60688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A80F42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E439BC"/>
    <w:multiLevelType w:val="hybridMultilevel"/>
    <w:tmpl w:val="4D424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6023D41"/>
    <w:multiLevelType w:val="hybridMultilevel"/>
    <w:tmpl w:val="968A946E"/>
    <w:styleLink w:val="Stilimportat1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65A5B37"/>
    <w:multiLevelType w:val="hybridMultilevel"/>
    <w:tmpl w:val="0682FF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68C5A81"/>
    <w:multiLevelType w:val="hybridMultilevel"/>
    <w:tmpl w:val="AC0C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6A806FC"/>
    <w:multiLevelType w:val="hybridMultilevel"/>
    <w:tmpl w:val="32124FB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70332B3"/>
    <w:multiLevelType w:val="hybridMultilevel"/>
    <w:tmpl w:val="15F24C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70F02DE"/>
    <w:multiLevelType w:val="hybridMultilevel"/>
    <w:tmpl w:val="6764EEA4"/>
    <w:lvl w:ilvl="0" w:tplc="08090001">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73A6758"/>
    <w:multiLevelType w:val="hybridMultilevel"/>
    <w:tmpl w:val="B18CB6C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7767C58"/>
    <w:multiLevelType w:val="hybridMultilevel"/>
    <w:tmpl w:val="017EA5F4"/>
    <w:styleLink w:val="Stilimportat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78A7620"/>
    <w:multiLevelType w:val="hybridMultilevel"/>
    <w:tmpl w:val="0E30AC58"/>
    <w:styleLink w:val="ImportedStyle33"/>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7EF05F2"/>
    <w:multiLevelType w:val="hybridMultilevel"/>
    <w:tmpl w:val="04EC31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7F6292F"/>
    <w:multiLevelType w:val="hybridMultilevel"/>
    <w:tmpl w:val="7076F79A"/>
    <w:styleLink w:val="Stilimportat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8315DB1"/>
    <w:multiLevelType w:val="hybridMultilevel"/>
    <w:tmpl w:val="485A37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08457CD5"/>
    <w:multiLevelType w:val="hybridMultilevel"/>
    <w:tmpl w:val="09D0EE6E"/>
    <w:lvl w:ilvl="0" w:tplc="311C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85B4ED0"/>
    <w:multiLevelType w:val="hybridMultilevel"/>
    <w:tmpl w:val="D0AE5116"/>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08AF4D07"/>
    <w:multiLevelType w:val="hybridMultilevel"/>
    <w:tmpl w:val="DBA26DC4"/>
    <w:styleLink w:val="Stilimportat3411"/>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08FB4717"/>
    <w:multiLevelType w:val="hybridMultilevel"/>
    <w:tmpl w:val="03065C8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0940135C"/>
    <w:multiLevelType w:val="hybridMultilevel"/>
    <w:tmpl w:val="EDF6AF56"/>
    <w:styleLink w:val="Stilimportat42"/>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98C5E13"/>
    <w:multiLevelType w:val="hybridMultilevel"/>
    <w:tmpl w:val="B4E08DB2"/>
    <w:styleLink w:val="Stilimportat63"/>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9912E7B"/>
    <w:multiLevelType w:val="hybridMultilevel"/>
    <w:tmpl w:val="B640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9C6256"/>
    <w:multiLevelType w:val="hybridMultilevel"/>
    <w:tmpl w:val="6F8A94F6"/>
    <w:styleLink w:val="ImportedStyle2"/>
    <w:lvl w:ilvl="0" w:tplc="205256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325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3A8F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AC0B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C0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B649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B083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640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69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09C03A2E"/>
    <w:multiLevelType w:val="hybridMultilevel"/>
    <w:tmpl w:val="7EAA9FA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D7270D"/>
    <w:multiLevelType w:val="hybridMultilevel"/>
    <w:tmpl w:val="CD8E5C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2" w15:restartNumberingAfterBreak="0">
    <w:nsid w:val="09EC65CD"/>
    <w:multiLevelType w:val="hybridMultilevel"/>
    <w:tmpl w:val="66D0BED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A89656A"/>
    <w:multiLevelType w:val="hybridMultilevel"/>
    <w:tmpl w:val="7540B2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BA15980"/>
    <w:multiLevelType w:val="hybridMultilevel"/>
    <w:tmpl w:val="FF121744"/>
    <w:styleLink w:val="ImportedStyle8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0BB541E0"/>
    <w:multiLevelType w:val="hybridMultilevel"/>
    <w:tmpl w:val="B488519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F27F47"/>
    <w:multiLevelType w:val="hybridMultilevel"/>
    <w:tmpl w:val="20B8A1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C4571E3"/>
    <w:multiLevelType w:val="hybridMultilevel"/>
    <w:tmpl w:val="D23AA034"/>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C683408"/>
    <w:multiLevelType w:val="hybridMultilevel"/>
    <w:tmpl w:val="7882838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CB9341F"/>
    <w:multiLevelType w:val="hybridMultilevel"/>
    <w:tmpl w:val="6A7C70F4"/>
    <w:styleLink w:val="ImportedStyle1164"/>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0" w15:restartNumberingAfterBreak="0">
    <w:nsid w:val="0D4000D9"/>
    <w:multiLevelType w:val="hybridMultilevel"/>
    <w:tmpl w:val="78442EE0"/>
    <w:styleLink w:val="ImportedStyle114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0D50769E"/>
    <w:multiLevelType w:val="hybridMultilevel"/>
    <w:tmpl w:val="AF38A9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DFC284E"/>
    <w:multiLevelType w:val="hybridMultilevel"/>
    <w:tmpl w:val="D9FC4F0C"/>
    <w:styleLink w:val="Stilimportat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ED664E6"/>
    <w:multiLevelType w:val="hybridMultilevel"/>
    <w:tmpl w:val="D3D63CCC"/>
    <w:lvl w:ilvl="0" w:tplc="F6C6BB0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F642BE3"/>
    <w:multiLevelType w:val="multilevel"/>
    <w:tmpl w:val="CE8C7218"/>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F753806"/>
    <w:multiLevelType w:val="hybridMultilevel"/>
    <w:tmpl w:val="FDE62D3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F9573DB"/>
    <w:multiLevelType w:val="hybridMultilevel"/>
    <w:tmpl w:val="E98E85F0"/>
    <w:styleLink w:val="ImportedStyle1163"/>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03F68DC"/>
    <w:multiLevelType w:val="hybridMultilevel"/>
    <w:tmpl w:val="16921C90"/>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68" w15:restartNumberingAfterBreak="0">
    <w:nsid w:val="104F53B9"/>
    <w:multiLevelType w:val="hybridMultilevel"/>
    <w:tmpl w:val="48FEB4CE"/>
    <w:lvl w:ilvl="0" w:tplc="D1EE3282">
      <w:start w:val="3"/>
      <w:numFmt w:val="lowerLetter"/>
      <w:lvlText w:val="%1."/>
      <w:lvlJc w:val="left"/>
      <w:pPr>
        <w:ind w:left="14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107A44FE"/>
    <w:multiLevelType w:val="hybridMultilevel"/>
    <w:tmpl w:val="D0501B48"/>
    <w:styleLink w:val="ImportedStyle780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10971916"/>
    <w:multiLevelType w:val="hybridMultilevel"/>
    <w:tmpl w:val="123E589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09F66D7"/>
    <w:multiLevelType w:val="hybridMultilevel"/>
    <w:tmpl w:val="07E6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1273D03"/>
    <w:multiLevelType w:val="hybridMultilevel"/>
    <w:tmpl w:val="CB4C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12F684C"/>
    <w:multiLevelType w:val="hybridMultilevel"/>
    <w:tmpl w:val="C0282FC8"/>
    <w:lvl w:ilvl="0" w:tplc="2F40FA08">
      <w:start w:val="52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11786249"/>
    <w:multiLevelType w:val="hybridMultilevel"/>
    <w:tmpl w:val="7DACA7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1872A12"/>
    <w:multiLevelType w:val="hybridMultilevel"/>
    <w:tmpl w:val="78F23764"/>
    <w:lvl w:ilvl="0" w:tplc="0CF08D3C">
      <w:start w:val="1"/>
      <w:numFmt w:val="bullet"/>
      <w:lvlText w:val="-"/>
      <w:lvlJc w:val="left"/>
      <w:pPr>
        <w:ind w:left="1230" w:hanging="360"/>
      </w:pPr>
      <w:rPr>
        <w:rFonts w:ascii="Courier New" w:hAnsi="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6" w15:restartNumberingAfterBreak="0">
    <w:nsid w:val="124B7695"/>
    <w:multiLevelType w:val="hybridMultilevel"/>
    <w:tmpl w:val="FC82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25F6E78"/>
    <w:multiLevelType w:val="hybridMultilevel"/>
    <w:tmpl w:val="5BF079A8"/>
    <w:styleLink w:val="ImportedStyle8"/>
    <w:lvl w:ilvl="0" w:tplc="B94C0702">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48B81884">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FDC7E34">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231A06F8">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3CC070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8388012">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BCDCCEB2">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A32110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5625EF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2D8115E"/>
    <w:multiLevelType w:val="hybridMultilevel"/>
    <w:tmpl w:val="E7ECC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3391CC7"/>
    <w:multiLevelType w:val="hybridMultilevel"/>
    <w:tmpl w:val="CBD64EA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37534D1"/>
    <w:multiLevelType w:val="hybridMultilevel"/>
    <w:tmpl w:val="4A226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13902E2F"/>
    <w:multiLevelType w:val="hybridMultilevel"/>
    <w:tmpl w:val="B3E0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39A2B4A"/>
    <w:multiLevelType w:val="hybridMultilevel"/>
    <w:tmpl w:val="CFA6C0E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42D3CC9"/>
    <w:multiLevelType w:val="hybridMultilevel"/>
    <w:tmpl w:val="3CCCC5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1461007F"/>
    <w:multiLevelType w:val="hybridMultilevel"/>
    <w:tmpl w:val="367462E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49B3DB2"/>
    <w:multiLevelType w:val="hybridMultilevel"/>
    <w:tmpl w:val="3A0C33FC"/>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3A8D4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2074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C852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94EB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621D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B434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9C29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FC46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54C31D5"/>
    <w:multiLevelType w:val="hybridMultilevel"/>
    <w:tmpl w:val="E2E87D6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560465D"/>
    <w:multiLevelType w:val="multilevel"/>
    <w:tmpl w:val="5C8C0174"/>
    <w:lvl w:ilvl="0">
      <w:start w:val="1"/>
      <w:numFmt w:val="bullet"/>
      <w:lvlText w:val="-"/>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8" w15:restartNumberingAfterBreak="0">
    <w:nsid w:val="15686D29"/>
    <w:multiLevelType w:val="hybridMultilevel"/>
    <w:tmpl w:val="78DAC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1582411C"/>
    <w:multiLevelType w:val="hybridMultilevel"/>
    <w:tmpl w:val="26C47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15824209"/>
    <w:multiLevelType w:val="hybridMultilevel"/>
    <w:tmpl w:val="16EC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5DB1591"/>
    <w:multiLevelType w:val="hybridMultilevel"/>
    <w:tmpl w:val="03A2A802"/>
    <w:styleLink w:val="ImportedStyle78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6015655"/>
    <w:multiLevelType w:val="hybridMultilevel"/>
    <w:tmpl w:val="9B00D76C"/>
    <w:styleLink w:val="ImportedStyle11521"/>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169509F5"/>
    <w:multiLevelType w:val="multilevel"/>
    <w:tmpl w:val="66842D8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4" w15:restartNumberingAfterBreak="0">
    <w:nsid w:val="16D948CA"/>
    <w:multiLevelType w:val="hybridMultilevel"/>
    <w:tmpl w:val="688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72515E5"/>
    <w:multiLevelType w:val="hybridMultilevel"/>
    <w:tmpl w:val="350A42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7BB1A3E"/>
    <w:multiLevelType w:val="hybridMultilevel"/>
    <w:tmpl w:val="3BAC8B8E"/>
    <w:styleLink w:val="ImportedStyle116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7E433A7"/>
    <w:multiLevelType w:val="hybridMultilevel"/>
    <w:tmpl w:val="AAD09DEE"/>
    <w:styleLink w:val="ImportedStyle11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18471DD9"/>
    <w:multiLevelType w:val="multilevel"/>
    <w:tmpl w:val="D3EC82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184F4443"/>
    <w:multiLevelType w:val="hybridMultilevel"/>
    <w:tmpl w:val="EC5AE0E8"/>
    <w:styleLink w:val="ImportedStyle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89A76FB"/>
    <w:multiLevelType w:val="hybridMultilevel"/>
    <w:tmpl w:val="A8CE768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89B3291"/>
    <w:multiLevelType w:val="hybridMultilevel"/>
    <w:tmpl w:val="5088F716"/>
    <w:lvl w:ilvl="0" w:tplc="0CF08D3C">
      <w:start w:val="1"/>
      <w:numFmt w:val="bullet"/>
      <w:lvlText w:val="-"/>
      <w:lvlJc w:val="left"/>
      <w:pPr>
        <w:ind w:left="2394" w:hanging="360"/>
      </w:pPr>
      <w:rPr>
        <w:rFonts w:ascii="Courier New" w:hAnsi="Courier New" w:hint="default"/>
      </w:rPr>
    </w:lvl>
    <w:lvl w:ilvl="1" w:tplc="04090003" w:tentative="1">
      <w:start w:val="1"/>
      <w:numFmt w:val="bullet"/>
      <w:lvlText w:val="o"/>
      <w:lvlJc w:val="left"/>
      <w:pPr>
        <w:ind w:left="3114" w:hanging="360"/>
      </w:pPr>
      <w:rPr>
        <w:rFonts w:ascii="Courier New" w:hAnsi="Courier New" w:cs="Courier New" w:hint="default"/>
      </w:rPr>
    </w:lvl>
    <w:lvl w:ilvl="2" w:tplc="04090005" w:tentative="1">
      <w:start w:val="1"/>
      <w:numFmt w:val="bullet"/>
      <w:lvlText w:val=""/>
      <w:lvlJc w:val="left"/>
      <w:pPr>
        <w:ind w:left="3834" w:hanging="360"/>
      </w:pPr>
      <w:rPr>
        <w:rFonts w:ascii="Wingdings" w:hAnsi="Wingdings" w:hint="default"/>
      </w:rPr>
    </w:lvl>
    <w:lvl w:ilvl="3" w:tplc="04090001" w:tentative="1">
      <w:start w:val="1"/>
      <w:numFmt w:val="bullet"/>
      <w:lvlText w:val=""/>
      <w:lvlJc w:val="left"/>
      <w:pPr>
        <w:ind w:left="4554" w:hanging="360"/>
      </w:pPr>
      <w:rPr>
        <w:rFonts w:ascii="Symbol" w:hAnsi="Symbol" w:hint="default"/>
      </w:rPr>
    </w:lvl>
    <w:lvl w:ilvl="4" w:tplc="04090003" w:tentative="1">
      <w:start w:val="1"/>
      <w:numFmt w:val="bullet"/>
      <w:lvlText w:val="o"/>
      <w:lvlJc w:val="left"/>
      <w:pPr>
        <w:ind w:left="5274" w:hanging="360"/>
      </w:pPr>
      <w:rPr>
        <w:rFonts w:ascii="Courier New" w:hAnsi="Courier New" w:cs="Courier New" w:hint="default"/>
      </w:rPr>
    </w:lvl>
    <w:lvl w:ilvl="5" w:tplc="04090005" w:tentative="1">
      <w:start w:val="1"/>
      <w:numFmt w:val="bullet"/>
      <w:lvlText w:val=""/>
      <w:lvlJc w:val="left"/>
      <w:pPr>
        <w:ind w:left="5994" w:hanging="360"/>
      </w:pPr>
      <w:rPr>
        <w:rFonts w:ascii="Wingdings" w:hAnsi="Wingdings" w:hint="default"/>
      </w:rPr>
    </w:lvl>
    <w:lvl w:ilvl="6" w:tplc="04090001" w:tentative="1">
      <w:start w:val="1"/>
      <w:numFmt w:val="bullet"/>
      <w:lvlText w:val=""/>
      <w:lvlJc w:val="left"/>
      <w:pPr>
        <w:ind w:left="6714" w:hanging="360"/>
      </w:pPr>
      <w:rPr>
        <w:rFonts w:ascii="Symbol" w:hAnsi="Symbol" w:hint="default"/>
      </w:rPr>
    </w:lvl>
    <w:lvl w:ilvl="7" w:tplc="04090003" w:tentative="1">
      <w:start w:val="1"/>
      <w:numFmt w:val="bullet"/>
      <w:lvlText w:val="o"/>
      <w:lvlJc w:val="left"/>
      <w:pPr>
        <w:ind w:left="7434" w:hanging="360"/>
      </w:pPr>
      <w:rPr>
        <w:rFonts w:ascii="Courier New" w:hAnsi="Courier New" w:cs="Courier New" w:hint="default"/>
      </w:rPr>
    </w:lvl>
    <w:lvl w:ilvl="8" w:tplc="04090005" w:tentative="1">
      <w:start w:val="1"/>
      <w:numFmt w:val="bullet"/>
      <w:lvlText w:val=""/>
      <w:lvlJc w:val="left"/>
      <w:pPr>
        <w:ind w:left="8154" w:hanging="360"/>
      </w:pPr>
      <w:rPr>
        <w:rFonts w:ascii="Wingdings" w:hAnsi="Wingdings" w:hint="default"/>
      </w:rPr>
    </w:lvl>
  </w:abstractNum>
  <w:abstractNum w:abstractNumId="102" w15:restartNumberingAfterBreak="0">
    <w:nsid w:val="19824732"/>
    <w:multiLevelType w:val="hybridMultilevel"/>
    <w:tmpl w:val="3EA8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9C4196C"/>
    <w:multiLevelType w:val="hybridMultilevel"/>
    <w:tmpl w:val="D87467AE"/>
    <w:styleLink w:val="ImportedStyle8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A2A79F0"/>
    <w:multiLevelType w:val="hybridMultilevel"/>
    <w:tmpl w:val="8718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A89271D"/>
    <w:multiLevelType w:val="hybridMultilevel"/>
    <w:tmpl w:val="6E66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AA27F3D"/>
    <w:multiLevelType w:val="multilevel"/>
    <w:tmpl w:val="5B788CB8"/>
    <w:name w:val="Definition Numbering List"/>
    <w:styleLink w:val="ImportedStyle7804"/>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07" w15:restartNumberingAfterBreak="0">
    <w:nsid w:val="1ACF3CB8"/>
    <w:multiLevelType w:val="hybridMultilevel"/>
    <w:tmpl w:val="4A4813D2"/>
    <w:styleLink w:val="ImportedStyle1144"/>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08" w15:restartNumberingAfterBreak="0">
    <w:nsid w:val="1AD06019"/>
    <w:multiLevelType w:val="hybridMultilevel"/>
    <w:tmpl w:val="DFCA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B780115"/>
    <w:multiLevelType w:val="hybridMultilevel"/>
    <w:tmpl w:val="BEFC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BA534AE"/>
    <w:multiLevelType w:val="hybridMultilevel"/>
    <w:tmpl w:val="8D8CB0C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BC16E65"/>
    <w:multiLevelType w:val="hybridMultilevel"/>
    <w:tmpl w:val="EA92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C2C03CE"/>
    <w:multiLevelType w:val="hybridMultilevel"/>
    <w:tmpl w:val="2A18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CB91585"/>
    <w:multiLevelType w:val="hybridMultilevel"/>
    <w:tmpl w:val="99C00A00"/>
    <w:styleLink w:val="ImportedStyle1142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D1E2F21"/>
    <w:multiLevelType w:val="hybridMultilevel"/>
    <w:tmpl w:val="3AE6D8A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D730784"/>
    <w:multiLevelType w:val="hybridMultilevel"/>
    <w:tmpl w:val="12000FFA"/>
    <w:lvl w:ilvl="0" w:tplc="1CFC6D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1DF73EA7"/>
    <w:multiLevelType w:val="hybridMultilevel"/>
    <w:tmpl w:val="7C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E4D1A2C"/>
    <w:multiLevelType w:val="hybridMultilevel"/>
    <w:tmpl w:val="CB82C65C"/>
    <w:styleLink w:val="Stilimportat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FA64D51"/>
    <w:multiLevelType w:val="multilevel"/>
    <w:tmpl w:val="D4D6BF96"/>
    <w:lvl w:ilvl="0">
      <w:start w:val="1"/>
      <w:numFmt w:val="upperLetter"/>
      <w:lvlText w:val="%1."/>
      <w:lvlJc w:val="left"/>
      <w:pPr>
        <w:tabs>
          <w:tab w:val="num" w:pos="0"/>
        </w:tabs>
        <w:ind w:left="502" w:hanging="360"/>
      </w:pPr>
      <w:rPr>
        <w:b/>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19" w15:restartNumberingAfterBreak="0">
    <w:nsid w:val="20230B96"/>
    <w:multiLevelType w:val="hybridMultilevel"/>
    <w:tmpl w:val="5830C43A"/>
    <w:styleLink w:val="ImportedStyle1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10454A1"/>
    <w:multiLevelType w:val="hybridMultilevel"/>
    <w:tmpl w:val="F3386F62"/>
    <w:styleLink w:val="ImportedStyle78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125409C"/>
    <w:multiLevelType w:val="hybridMultilevel"/>
    <w:tmpl w:val="13424C3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2" w15:restartNumberingAfterBreak="0">
    <w:nsid w:val="219F18FA"/>
    <w:multiLevelType w:val="hybridMultilevel"/>
    <w:tmpl w:val="A9AE2DC6"/>
    <w:styleLink w:val="ImportedStyle12"/>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21EA4546"/>
    <w:multiLevelType w:val="hybridMultilevel"/>
    <w:tmpl w:val="FFFFFFFF"/>
    <w:styleLink w:val="ImportedStyle1"/>
    <w:lvl w:ilvl="0" w:tplc="C732696E">
      <w:start w:val="1"/>
      <w:numFmt w:val="decimal"/>
      <w:lvlText w:val="%1."/>
      <w:lvlJc w:val="left"/>
      <w:pPr>
        <w:tabs>
          <w:tab w:val="left" w:pos="420"/>
        </w:tabs>
        <w:ind w:left="419"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decimal"/>
      <w:lvlText w:val="%2."/>
      <w:lvlJc w:val="left"/>
      <w:pPr>
        <w:tabs>
          <w:tab w:val="left" w:pos="420"/>
        </w:tabs>
        <w:ind w:left="1005"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22A543BE"/>
    <w:multiLevelType w:val="hybridMultilevel"/>
    <w:tmpl w:val="46FA77F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33270E1"/>
    <w:multiLevelType w:val="multilevel"/>
    <w:tmpl w:val="930A6BF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6" w15:restartNumberingAfterBreak="0">
    <w:nsid w:val="23687A59"/>
    <w:multiLevelType w:val="hybridMultilevel"/>
    <w:tmpl w:val="F24E1B4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3CA3EB5"/>
    <w:multiLevelType w:val="multilevel"/>
    <w:tmpl w:val="D03C4EE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8" w15:restartNumberingAfterBreak="0">
    <w:nsid w:val="24190ADB"/>
    <w:multiLevelType w:val="hybridMultilevel"/>
    <w:tmpl w:val="2908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4A80C42"/>
    <w:multiLevelType w:val="hybridMultilevel"/>
    <w:tmpl w:val="E5D83F5C"/>
    <w:lvl w:ilvl="0" w:tplc="4A8C675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9F61410">
      <w:start w:val="1"/>
      <w:numFmt w:val="bullet"/>
      <w:lvlText w:val=""/>
      <w:lvlJc w:val="left"/>
      <w:pPr>
        <w:ind w:left="284" w:hanging="284"/>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2" w:tplc="E0DE3750">
      <w:start w:val="1"/>
      <w:numFmt w:val="lowerRoman"/>
      <w:lvlText w:val="%3."/>
      <w:lvlJc w:val="left"/>
      <w:pPr>
        <w:ind w:left="100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67AA5C40">
      <w:start w:val="1"/>
      <w:numFmt w:val="decimal"/>
      <w:lvlText w:val="%4."/>
      <w:lvlJc w:val="left"/>
      <w:pPr>
        <w:ind w:left="17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77F8FAF6">
      <w:start w:val="1"/>
      <w:numFmt w:val="lowerLetter"/>
      <w:lvlText w:val="%5."/>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4D807C0E">
      <w:start w:val="1"/>
      <w:numFmt w:val="lowerRoman"/>
      <w:lvlText w:val="%6."/>
      <w:lvlJc w:val="left"/>
      <w:pPr>
        <w:ind w:left="316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AD9CAF5C">
      <w:start w:val="1"/>
      <w:numFmt w:val="decimal"/>
      <w:lvlText w:val="%7."/>
      <w:lvlJc w:val="left"/>
      <w:pPr>
        <w:ind w:left="38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09F44924">
      <w:start w:val="1"/>
      <w:numFmt w:val="lowerLetter"/>
      <w:lvlText w:val="%8."/>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3870A132">
      <w:start w:val="1"/>
      <w:numFmt w:val="lowerRoman"/>
      <w:lvlText w:val="%9."/>
      <w:lvlJc w:val="left"/>
      <w:pPr>
        <w:ind w:left="5324"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5086093"/>
    <w:multiLevelType w:val="hybridMultilevel"/>
    <w:tmpl w:val="62141FD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5346432"/>
    <w:multiLevelType w:val="hybridMultilevel"/>
    <w:tmpl w:val="43A0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5B547EA"/>
    <w:multiLevelType w:val="hybridMultilevel"/>
    <w:tmpl w:val="D12E900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25BE3081"/>
    <w:multiLevelType w:val="hybridMultilevel"/>
    <w:tmpl w:val="0AA6F6D4"/>
    <w:lvl w:ilvl="0" w:tplc="DD7ED77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9F61410">
      <w:start w:val="1"/>
      <w:numFmt w:val="bullet"/>
      <w:lvlText w:val=""/>
      <w:lvlJc w:val="left"/>
      <w:pPr>
        <w:ind w:left="567" w:hanging="283"/>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792288C8">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FB9A07E0">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5C65F4E">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B04054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2BAE233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3CE9CAE">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3A16AC50">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25FE4252"/>
    <w:multiLevelType w:val="hybridMultilevel"/>
    <w:tmpl w:val="B0D8E65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5" w15:restartNumberingAfterBreak="0">
    <w:nsid w:val="26264115"/>
    <w:multiLevelType w:val="hybridMultilevel"/>
    <w:tmpl w:val="1402EF5E"/>
    <w:styleLink w:val="Stilimportat5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67D48C4"/>
    <w:multiLevelType w:val="hybridMultilevel"/>
    <w:tmpl w:val="87729FE4"/>
    <w:styleLink w:val="ImportedStyle116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269E3E93"/>
    <w:multiLevelType w:val="hybridMultilevel"/>
    <w:tmpl w:val="A58EE46A"/>
    <w:styleLink w:val="ImportedStyle6"/>
    <w:lvl w:ilvl="0" w:tplc="6D827F3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4EE25E8">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8E4ED4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A97444B2">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4B696D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70E992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4B24374C">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9EE2ACC">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32A6AA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26AC4879"/>
    <w:multiLevelType w:val="hybridMultilevel"/>
    <w:tmpl w:val="4E44E168"/>
    <w:styleLink w:val="ImportedStyle12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26AF305F"/>
    <w:multiLevelType w:val="hybridMultilevel"/>
    <w:tmpl w:val="4C0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27327006"/>
    <w:multiLevelType w:val="hybridMultilevel"/>
    <w:tmpl w:val="AD80BC6E"/>
    <w:lvl w:ilvl="0" w:tplc="60FE6F96">
      <w:start w:val="1"/>
      <w:numFmt w:val="lowerLetter"/>
      <w:lvlText w:val="%1."/>
      <w:lvlJc w:val="left"/>
      <w:pPr>
        <w:ind w:left="720" w:hanging="360"/>
      </w:pPr>
      <w:rPr>
        <w:b/>
      </w:rPr>
    </w:lvl>
    <w:lvl w:ilvl="1" w:tplc="231093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7441A52"/>
    <w:multiLevelType w:val="hybridMultilevel"/>
    <w:tmpl w:val="078A7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7551DBE"/>
    <w:multiLevelType w:val="hybridMultilevel"/>
    <w:tmpl w:val="65AA7FB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43" w15:restartNumberingAfterBreak="0">
    <w:nsid w:val="277564A2"/>
    <w:multiLevelType w:val="hybridMultilevel"/>
    <w:tmpl w:val="BC28E88E"/>
    <w:lvl w:ilvl="0" w:tplc="E9F6141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4" w15:restartNumberingAfterBreak="0">
    <w:nsid w:val="281B5136"/>
    <w:multiLevelType w:val="hybridMultilevel"/>
    <w:tmpl w:val="9294D4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286D0DEA"/>
    <w:multiLevelType w:val="hybridMultilevel"/>
    <w:tmpl w:val="F266FA00"/>
    <w:styleLink w:val="Stilimportat5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89D38CC"/>
    <w:multiLevelType w:val="hybridMultilevel"/>
    <w:tmpl w:val="5492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8FB61DB"/>
    <w:multiLevelType w:val="hybridMultilevel"/>
    <w:tmpl w:val="AABC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931094F"/>
    <w:multiLevelType w:val="hybridMultilevel"/>
    <w:tmpl w:val="7BF285EE"/>
    <w:styleLink w:val="Stilimportat1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A105EF0"/>
    <w:multiLevelType w:val="multilevel"/>
    <w:tmpl w:val="C1AC6AB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0" w15:restartNumberingAfterBreak="0">
    <w:nsid w:val="2A3E50F9"/>
    <w:multiLevelType w:val="hybridMultilevel"/>
    <w:tmpl w:val="2FAC51F0"/>
    <w:lvl w:ilvl="0" w:tplc="368ADC54">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9F61410">
      <w:start w:val="1"/>
      <w:numFmt w:val="bullet"/>
      <w:lvlText w:val=""/>
      <w:lvlJc w:val="left"/>
      <w:pPr>
        <w:ind w:left="567" w:hanging="283"/>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E34A3BD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3CBC5DA4">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7960D72">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C361F1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14A885C">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68A380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BE884F8">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2AFD6DBF"/>
    <w:multiLevelType w:val="hybridMultilevel"/>
    <w:tmpl w:val="18D4DD96"/>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2B2D23E4"/>
    <w:multiLevelType w:val="hybridMultilevel"/>
    <w:tmpl w:val="59B85EF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2B773100"/>
    <w:multiLevelType w:val="hybridMultilevel"/>
    <w:tmpl w:val="0128A93A"/>
    <w:styleLink w:val="ImportedStyle832"/>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2BAA487B"/>
    <w:multiLevelType w:val="hybridMultilevel"/>
    <w:tmpl w:val="2222BD80"/>
    <w:styleLink w:val="ImportedStyle8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2BEE7F4B"/>
    <w:multiLevelType w:val="hybridMultilevel"/>
    <w:tmpl w:val="E2AEE0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2BFC2662"/>
    <w:multiLevelType w:val="multilevel"/>
    <w:tmpl w:val="4B624DA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7" w15:restartNumberingAfterBreak="0">
    <w:nsid w:val="2C6D06F7"/>
    <w:multiLevelType w:val="hybridMultilevel"/>
    <w:tmpl w:val="E198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CD2236A"/>
    <w:multiLevelType w:val="hybridMultilevel"/>
    <w:tmpl w:val="61BAB2B2"/>
    <w:styleLink w:val="ImportedStyle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CE03988"/>
    <w:multiLevelType w:val="hybridMultilevel"/>
    <w:tmpl w:val="6F8A94F6"/>
    <w:numStyleLink w:val="ImportedStyle2"/>
  </w:abstractNum>
  <w:abstractNum w:abstractNumId="160" w15:restartNumberingAfterBreak="0">
    <w:nsid w:val="2CFE3709"/>
    <w:multiLevelType w:val="hybridMultilevel"/>
    <w:tmpl w:val="B4BAD57A"/>
    <w:numStyleLink w:val="ImportedStyle5"/>
  </w:abstractNum>
  <w:abstractNum w:abstractNumId="161" w15:restartNumberingAfterBreak="0">
    <w:nsid w:val="2D0377BD"/>
    <w:multiLevelType w:val="multilevel"/>
    <w:tmpl w:val="9C14323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2" w15:restartNumberingAfterBreak="0">
    <w:nsid w:val="2D8D41A3"/>
    <w:multiLevelType w:val="hybridMultilevel"/>
    <w:tmpl w:val="66E255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3" w15:restartNumberingAfterBreak="0">
    <w:nsid w:val="2DAF5FE6"/>
    <w:multiLevelType w:val="hybridMultilevel"/>
    <w:tmpl w:val="95F8C6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4" w15:restartNumberingAfterBreak="0">
    <w:nsid w:val="2DC930E7"/>
    <w:multiLevelType w:val="hybridMultilevel"/>
    <w:tmpl w:val="2C865F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5" w15:restartNumberingAfterBreak="0">
    <w:nsid w:val="2DE43620"/>
    <w:multiLevelType w:val="hybridMultilevel"/>
    <w:tmpl w:val="E636315C"/>
    <w:lvl w:ilvl="0" w:tplc="E9F6141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DFA0648"/>
    <w:multiLevelType w:val="hybridMultilevel"/>
    <w:tmpl w:val="53AEBFBE"/>
    <w:styleLink w:val="ImportedStyl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E040AB3"/>
    <w:multiLevelType w:val="hybridMultilevel"/>
    <w:tmpl w:val="4CCE0D6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E4B420A"/>
    <w:multiLevelType w:val="multilevel"/>
    <w:tmpl w:val="924AA82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9" w15:restartNumberingAfterBreak="0">
    <w:nsid w:val="2E5D6F99"/>
    <w:multiLevelType w:val="hybridMultilevel"/>
    <w:tmpl w:val="280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EBF7F06"/>
    <w:multiLevelType w:val="hybridMultilevel"/>
    <w:tmpl w:val="D16A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EEF3A14"/>
    <w:multiLevelType w:val="hybridMultilevel"/>
    <w:tmpl w:val="B6C2E19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EF10387"/>
    <w:multiLevelType w:val="hybridMultilevel"/>
    <w:tmpl w:val="ED98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F773729"/>
    <w:multiLevelType w:val="hybridMultilevel"/>
    <w:tmpl w:val="AD90FCE8"/>
    <w:styleLink w:val="ImportedStyle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FDD75A5"/>
    <w:multiLevelType w:val="hybridMultilevel"/>
    <w:tmpl w:val="19B47D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5" w15:restartNumberingAfterBreak="0">
    <w:nsid w:val="301B4A9D"/>
    <w:multiLevelType w:val="hybridMultilevel"/>
    <w:tmpl w:val="591859F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01F6290"/>
    <w:multiLevelType w:val="hybridMultilevel"/>
    <w:tmpl w:val="D0501B48"/>
    <w:styleLink w:val="ImportedStyle221"/>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30207850"/>
    <w:multiLevelType w:val="hybridMultilevel"/>
    <w:tmpl w:val="DC9017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30CB10C9"/>
    <w:multiLevelType w:val="hybridMultilevel"/>
    <w:tmpl w:val="EDF6AAC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0EB6F49"/>
    <w:multiLevelType w:val="hybridMultilevel"/>
    <w:tmpl w:val="0F80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11230A9"/>
    <w:multiLevelType w:val="hybridMultilevel"/>
    <w:tmpl w:val="9E56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31332AF2"/>
    <w:multiLevelType w:val="hybridMultilevel"/>
    <w:tmpl w:val="11B2293C"/>
    <w:styleLink w:val="Stilimportat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31BC25B0"/>
    <w:multiLevelType w:val="hybridMultilevel"/>
    <w:tmpl w:val="3854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31CA4435"/>
    <w:multiLevelType w:val="hybridMultilevel"/>
    <w:tmpl w:val="C960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31CD4ACC"/>
    <w:multiLevelType w:val="hybridMultilevel"/>
    <w:tmpl w:val="F51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20E05A5"/>
    <w:multiLevelType w:val="hybridMultilevel"/>
    <w:tmpl w:val="0B120BDC"/>
    <w:styleLink w:val="Stilimportat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21B7535"/>
    <w:multiLevelType w:val="hybridMultilevel"/>
    <w:tmpl w:val="95402EF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32355DE7"/>
    <w:multiLevelType w:val="hybridMultilevel"/>
    <w:tmpl w:val="E3583768"/>
    <w:lvl w:ilvl="0" w:tplc="94168F66">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8" w15:restartNumberingAfterBreak="0">
    <w:nsid w:val="32EE2440"/>
    <w:multiLevelType w:val="hybridMultilevel"/>
    <w:tmpl w:val="AD308A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332C5194"/>
    <w:multiLevelType w:val="hybridMultilevel"/>
    <w:tmpl w:val="D9E0E4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392303A"/>
    <w:multiLevelType w:val="hybridMultilevel"/>
    <w:tmpl w:val="EB187894"/>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33CC5E8F"/>
    <w:multiLevelType w:val="hybridMultilevel"/>
    <w:tmpl w:val="AA94941A"/>
    <w:styleLink w:val="Stilimportat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33D07DB0"/>
    <w:multiLevelType w:val="multilevel"/>
    <w:tmpl w:val="41EA344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3" w15:restartNumberingAfterBreak="0">
    <w:nsid w:val="3403042E"/>
    <w:multiLevelType w:val="hybridMultilevel"/>
    <w:tmpl w:val="2FF2D6D4"/>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746E0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BAAC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C603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B61F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C23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3C8B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40C7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56F0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35146D63"/>
    <w:multiLevelType w:val="hybridMultilevel"/>
    <w:tmpl w:val="65F6E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35147E84"/>
    <w:multiLevelType w:val="hybridMultilevel"/>
    <w:tmpl w:val="F10CEF3C"/>
    <w:lvl w:ilvl="0" w:tplc="E9F61410">
      <w:start w:val="1"/>
      <w:numFmt w:val="bullet"/>
      <w:lvlText w:val=""/>
      <w:lvlJc w:val="left"/>
      <w:pPr>
        <w:ind w:left="41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6" w15:restartNumberingAfterBreak="0">
    <w:nsid w:val="357D2906"/>
    <w:multiLevelType w:val="hybridMultilevel"/>
    <w:tmpl w:val="F744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358D2A15"/>
    <w:multiLevelType w:val="hybridMultilevel"/>
    <w:tmpl w:val="678E530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8" w15:restartNumberingAfterBreak="0">
    <w:nsid w:val="359A1674"/>
    <w:multiLevelType w:val="hybridMultilevel"/>
    <w:tmpl w:val="4C20C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35D570CF"/>
    <w:multiLevelType w:val="hybridMultilevel"/>
    <w:tmpl w:val="0C6E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35ED7E6D"/>
    <w:multiLevelType w:val="hybridMultilevel"/>
    <w:tmpl w:val="BE68561A"/>
    <w:styleLink w:val="ImportedStyle784"/>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01" w15:restartNumberingAfterBreak="0">
    <w:nsid w:val="36230BFE"/>
    <w:multiLevelType w:val="hybridMultilevel"/>
    <w:tmpl w:val="797E6956"/>
    <w:styleLink w:val="Stilimportat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362D2783"/>
    <w:multiLevelType w:val="hybridMultilevel"/>
    <w:tmpl w:val="2BCE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367E3116"/>
    <w:multiLevelType w:val="hybridMultilevel"/>
    <w:tmpl w:val="B91CE784"/>
    <w:lvl w:ilvl="0" w:tplc="E9F6141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4" w15:restartNumberingAfterBreak="0">
    <w:nsid w:val="368A1BAC"/>
    <w:multiLevelType w:val="hybridMultilevel"/>
    <w:tmpl w:val="93CA275C"/>
    <w:styleLink w:val="Stilimportat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376263E1"/>
    <w:multiLevelType w:val="hybridMultilevel"/>
    <w:tmpl w:val="51082522"/>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6" w15:restartNumberingAfterBreak="0">
    <w:nsid w:val="37684382"/>
    <w:multiLevelType w:val="hybridMultilevel"/>
    <w:tmpl w:val="0948795A"/>
    <w:styleLink w:val="ImportedStyle7802"/>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7" w15:restartNumberingAfterBreak="0">
    <w:nsid w:val="37724DFF"/>
    <w:multiLevelType w:val="hybridMultilevel"/>
    <w:tmpl w:val="CE205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8" w15:restartNumberingAfterBreak="0">
    <w:nsid w:val="37880825"/>
    <w:multiLevelType w:val="hybridMultilevel"/>
    <w:tmpl w:val="653E810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37D06003"/>
    <w:multiLevelType w:val="hybridMultilevel"/>
    <w:tmpl w:val="158042A8"/>
    <w:styleLink w:val="ImportedStyle114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0" w15:restartNumberingAfterBreak="0">
    <w:nsid w:val="38A56369"/>
    <w:multiLevelType w:val="hybridMultilevel"/>
    <w:tmpl w:val="706EBD8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9401BD8"/>
    <w:multiLevelType w:val="hybridMultilevel"/>
    <w:tmpl w:val="E7E03C4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95A0442"/>
    <w:multiLevelType w:val="hybridMultilevel"/>
    <w:tmpl w:val="F6549446"/>
    <w:lvl w:ilvl="0" w:tplc="6CB6FE3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397462D3"/>
    <w:multiLevelType w:val="hybridMultilevel"/>
    <w:tmpl w:val="6EA6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79ECD2AE">
      <w:start w:val="1"/>
      <w:numFmt w:val="bullet"/>
      <w:lvlText w:val="-"/>
      <w:lvlJc w:val="left"/>
      <w:pPr>
        <w:ind w:left="2880" w:hanging="360"/>
      </w:pPr>
      <w:rPr>
        <w:rFonts w:ascii="Courier New" w:hAnsi="Courier New"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39B644BE"/>
    <w:multiLevelType w:val="hybridMultilevel"/>
    <w:tmpl w:val="87A0AA7E"/>
    <w:lvl w:ilvl="0" w:tplc="0409000F">
      <w:start w:val="1"/>
      <w:numFmt w:val="decimal"/>
      <w:lvlText w:val="%1."/>
      <w:lvlJc w:val="left"/>
      <w:pPr>
        <w:ind w:left="720" w:hanging="360"/>
      </w:pPr>
    </w:lvl>
    <w:lvl w:ilvl="1" w:tplc="165647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A58028A"/>
    <w:multiLevelType w:val="hybridMultilevel"/>
    <w:tmpl w:val="C5ACF628"/>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6" w15:restartNumberingAfterBreak="0">
    <w:nsid w:val="3A83772F"/>
    <w:multiLevelType w:val="hybridMultilevel"/>
    <w:tmpl w:val="33F6BCF2"/>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36BB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2FEBA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922D0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B52FA4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246C3B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65A7C7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EA0BE6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79E340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3AA179AC"/>
    <w:multiLevelType w:val="hybridMultilevel"/>
    <w:tmpl w:val="86061218"/>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3AA33C8C"/>
    <w:multiLevelType w:val="hybridMultilevel"/>
    <w:tmpl w:val="FF121744"/>
    <w:styleLink w:val="Stilimportat2"/>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9" w15:restartNumberingAfterBreak="0">
    <w:nsid w:val="3AE519FF"/>
    <w:multiLevelType w:val="hybridMultilevel"/>
    <w:tmpl w:val="1D36F31C"/>
    <w:styleLink w:val="Stilimportat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3AF053E3"/>
    <w:multiLevelType w:val="hybridMultilevel"/>
    <w:tmpl w:val="C978883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3B0143D3"/>
    <w:multiLevelType w:val="hybridMultilevel"/>
    <w:tmpl w:val="B51EE4F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22" w15:restartNumberingAfterBreak="0">
    <w:nsid w:val="3B6675C1"/>
    <w:multiLevelType w:val="hybridMultilevel"/>
    <w:tmpl w:val="BE0C774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3" w15:restartNumberingAfterBreak="0">
    <w:nsid w:val="3B9B563F"/>
    <w:multiLevelType w:val="hybridMultilevel"/>
    <w:tmpl w:val="6200FF16"/>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15:restartNumberingAfterBreak="0">
    <w:nsid w:val="3BE74E71"/>
    <w:multiLevelType w:val="hybridMultilevel"/>
    <w:tmpl w:val="0EA8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3C4A2B94"/>
    <w:multiLevelType w:val="hybridMultilevel"/>
    <w:tmpl w:val="7582669A"/>
    <w:styleLink w:val="ImportedStyle13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6" w15:restartNumberingAfterBreak="0">
    <w:nsid w:val="3D080ECD"/>
    <w:multiLevelType w:val="hybridMultilevel"/>
    <w:tmpl w:val="FA5671D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3D2B59DE"/>
    <w:multiLevelType w:val="hybridMultilevel"/>
    <w:tmpl w:val="E4507C2A"/>
    <w:styleLink w:val="ImportedStyle4"/>
    <w:lvl w:ilvl="0" w:tplc="EEE690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52D6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AE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BA44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6AB9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608C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7C07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8E39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7A2E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3D994590"/>
    <w:multiLevelType w:val="hybridMultilevel"/>
    <w:tmpl w:val="CF601AEC"/>
    <w:lvl w:ilvl="0" w:tplc="6CB6FE3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FBA1127"/>
    <w:multiLevelType w:val="hybridMultilevel"/>
    <w:tmpl w:val="77569188"/>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3FC647AE"/>
    <w:multiLevelType w:val="hybridMultilevel"/>
    <w:tmpl w:val="FC469CA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FF1486B"/>
    <w:multiLevelType w:val="hybridMultilevel"/>
    <w:tmpl w:val="D6D2E7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2" w15:restartNumberingAfterBreak="0">
    <w:nsid w:val="405C3BA9"/>
    <w:multiLevelType w:val="hybridMultilevel"/>
    <w:tmpl w:val="F522BC5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40EC6AA5"/>
    <w:multiLevelType w:val="hybridMultilevel"/>
    <w:tmpl w:val="23909D4E"/>
    <w:styleLink w:val="ImportedStyle11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41021A24"/>
    <w:multiLevelType w:val="hybridMultilevel"/>
    <w:tmpl w:val="2E9C6672"/>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410F1450"/>
    <w:multiLevelType w:val="hybridMultilevel"/>
    <w:tmpl w:val="03726A84"/>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36" w15:restartNumberingAfterBreak="0">
    <w:nsid w:val="414F3EF6"/>
    <w:multiLevelType w:val="hybridMultilevel"/>
    <w:tmpl w:val="32428B2E"/>
    <w:styleLink w:val="ImportedStyle832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419C3B86"/>
    <w:multiLevelType w:val="hybridMultilevel"/>
    <w:tmpl w:val="835E1E8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41BE60DF"/>
    <w:multiLevelType w:val="hybridMultilevel"/>
    <w:tmpl w:val="325C78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9" w15:restartNumberingAfterBreak="0">
    <w:nsid w:val="41CC72A9"/>
    <w:multiLevelType w:val="hybridMultilevel"/>
    <w:tmpl w:val="F4E6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42520A4E"/>
    <w:multiLevelType w:val="hybridMultilevel"/>
    <w:tmpl w:val="FC82C15A"/>
    <w:lvl w:ilvl="0" w:tplc="2C3A26D8">
      <w:start w:val="1"/>
      <w:numFmt w:val="bullet"/>
      <w:lvlText w:val="-"/>
      <w:lvlJc w:val="left"/>
      <w:pPr>
        <w:ind w:left="720" w:hanging="360"/>
      </w:pPr>
      <w:rPr>
        <w:rFonts w:ascii="Calibri" w:eastAsia="MS ??"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42724E63"/>
    <w:multiLevelType w:val="hybridMultilevel"/>
    <w:tmpl w:val="CA0CB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42795417"/>
    <w:multiLevelType w:val="hybridMultilevel"/>
    <w:tmpl w:val="A6E2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433C0FE3"/>
    <w:multiLevelType w:val="hybridMultilevel"/>
    <w:tmpl w:val="E4507C2A"/>
    <w:numStyleLink w:val="ImportedStyle4"/>
  </w:abstractNum>
  <w:abstractNum w:abstractNumId="244" w15:restartNumberingAfterBreak="0">
    <w:nsid w:val="437809F6"/>
    <w:multiLevelType w:val="hybridMultilevel"/>
    <w:tmpl w:val="B8CE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440C3BB4"/>
    <w:multiLevelType w:val="hybridMultilevel"/>
    <w:tmpl w:val="699C05B4"/>
    <w:styleLink w:val="Stilimportat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442E6473"/>
    <w:multiLevelType w:val="hybridMultilevel"/>
    <w:tmpl w:val="98A2225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446634EC"/>
    <w:multiLevelType w:val="multilevel"/>
    <w:tmpl w:val="E5709FA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Symbol" w:hAnsi="Symbol" w:cs="Symbol"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8" w15:restartNumberingAfterBreak="0">
    <w:nsid w:val="447B6218"/>
    <w:multiLevelType w:val="hybridMultilevel"/>
    <w:tmpl w:val="9628FC04"/>
    <w:lvl w:ilvl="0" w:tplc="8834A458">
      <w:start w:val="1"/>
      <w:numFmt w:val="decimal"/>
      <w:lvlText w:val="%1."/>
      <w:lvlJc w:val="left"/>
      <w:pPr>
        <w:ind w:left="720" w:hanging="360"/>
      </w:pPr>
      <w:rPr>
        <w:rFonts w:hint="default"/>
        <w:color w:val="auto"/>
      </w:rPr>
    </w:lvl>
    <w:lvl w:ilvl="1" w:tplc="D58CDC5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448A351C"/>
    <w:multiLevelType w:val="hybridMultilevel"/>
    <w:tmpl w:val="A2E24934"/>
    <w:numStyleLink w:val="ImportedStyle9"/>
  </w:abstractNum>
  <w:abstractNum w:abstractNumId="250" w15:restartNumberingAfterBreak="0">
    <w:nsid w:val="44907934"/>
    <w:multiLevelType w:val="hybridMultilevel"/>
    <w:tmpl w:val="482AE5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1" w15:restartNumberingAfterBreak="0">
    <w:nsid w:val="45226498"/>
    <w:multiLevelType w:val="hybridMultilevel"/>
    <w:tmpl w:val="5AA604FA"/>
    <w:lvl w:ilvl="0" w:tplc="E9F6141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45A060D4"/>
    <w:multiLevelType w:val="hybridMultilevel"/>
    <w:tmpl w:val="E6FCF9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463C3F24"/>
    <w:multiLevelType w:val="hybridMultilevel"/>
    <w:tmpl w:val="ECA649C0"/>
    <w:styleLink w:val="ImportedStyle805"/>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54" w15:restartNumberingAfterBreak="0">
    <w:nsid w:val="469459AC"/>
    <w:multiLevelType w:val="hybridMultilevel"/>
    <w:tmpl w:val="FFFFFFFF"/>
    <w:numStyleLink w:val="ImportedStyle1"/>
  </w:abstractNum>
  <w:abstractNum w:abstractNumId="255" w15:restartNumberingAfterBreak="0">
    <w:nsid w:val="46C113F5"/>
    <w:multiLevelType w:val="multilevel"/>
    <w:tmpl w:val="B48E2C42"/>
    <w:lvl w:ilvl="0">
      <w:numFmt w:val="bullet"/>
      <w:lvlText w:val="-"/>
      <w:lvlJc w:val="left"/>
      <w:pPr>
        <w:tabs>
          <w:tab w:val="num" w:pos="0"/>
        </w:tabs>
        <w:ind w:left="720" w:hanging="360"/>
      </w:pPr>
      <w:rPr>
        <w:rFonts w:ascii="Minion" w:eastAsiaTheme="minorHAnsi" w:hAnsi="Minion"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6" w15:restartNumberingAfterBreak="0">
    <w:nsid w:val="46F854CD"/>
    <w:multiLevelType w:val="hybridMultilevel"/>
    <w:tmpl w:val="258CE6BA"/>
    <w:styleLink w:val="ImportedStyle7"/>
    <w:lvl w:ilvl="0" w:tplc="10865A54">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C2F4A6BE">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6489F18">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F1C6F4B0">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1744CB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71E1CC8">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C60E05A">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E48FF0A">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60E3564">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47152980"/>
    <w:multiLevelType w:val="multilevel"/>
    <w:tmpl w:val="C17C6CF8"/>
    <w:styleLink w:val="ImportedStyle11511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8" w15:restartNumberingAfterBreak="0">
    <w:nsid w:val="47955F1C"/>
    <w:multiLevelType w:val="hybridMultilevel"/>
    <w:tmpl w:val="F2FC5C3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48DD79D2"/>
    <w:multiLevelType w:val="hybridMultilevel"/>
    <w:tmpl w:val="6AB88836"/>
    <w:styleLink w:val="Stilimportat4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48FF11FD"/>
    <w:multiLevelType w:val="hybridMultilevel"/>
    <w:tmpl w:val="784EB702"/>
    <w:styleLink w:val="ImportedStyle821111"/>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1" w15:restartNumberingAfterBreak="0">
    <w:nsid w:val="493C3BC6"/>
    <w:multiLevelType w:val="hybridMultilevel"/>
    <w:tmpl w:val="AD16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4941096B"/>
    <w:multiLevelType w:val="hybridMultilevel"/>
    <w:tmpl w:val="1640DABA"/>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63" w15:restartNumberingAfterBreak="0">
    <w:nsid w:val="49592B10"/>
    <w:multiLevelType w:val="hybridMultilevel"/>
    <w:tmpl w:val="6A9416F2"/>
    <w:lvl w:ilvl="0" w:tplc="04090001">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4971495E"/>
    <w:multiLevelType w:val="hybridMultilevel"/>
    <w:tmpl w:val="98A0D54A"/>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DE6B1F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4D4078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E70242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9C66E2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D92045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B788B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BF86B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EF212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49C54BEA"/>
    <w:multiLevelType w:val="hybridMultilevel"/>
    <w:tmpl w:val="C646F75C"/>
    <w:styleLink w:val="Stilimportat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6" w15:restartNumberingAfterBreak="0">
    <w:nsid w:val="4A3212AF"/>
    <w:multiLevelType w:val="hybridMultilevel"/>
    <w:tmpl w:val="F886AF76"/>
    <w:styleLink w:val="ImportedStyle116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A35051A"/>
    <w:multiLevelType w:val="multilevel"/>
    <w:tmpl w:val="DE7853A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8" w15:restartNumberingAfterBreak="0">
    <w:nsid w:val="4A3B06DB"/>
    <w:multiLevelType w:val="hybridMultilevel"/>
    <w:tmpl w:val="41D63120"/>
    <w:styleLink w:val="ImportedStyle3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4A8B0B93"/>
    <w:multiLevelType w:val="hybridMultilevel"/>
    <w:tmpl w:val="4ACCC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15:restartNumberingAfterBreak="0">
    <w:nsid w:val="4AA024CF"/>
    <w:multiLevelType w:val="hybridMultilevel"/>
    <w:tmpl w:val="B13822E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4AE85C05"/>
    <w:multiLevelType w:val="hybridMultilevel"/>
    <w:tmpl w:val="EBB627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2" w15:restartNumberingAfterBreak="0">
    <w:nsid w:val="4B34607A"/>
    <w:multiLevelType w:val="hybridMultilevel"/>
    <w:tmpl w:val="DE9472C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4BB76D4F"/>
    <w:multiLevelType w:val="hybridMultilevel"/>
    <w:tmpl w:val="7604DC70"/>
    <w:styleLink w:val="ImportedStyle10"/>
    <w:lvl w:ilvl="0" w:tplc="2CF2839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5C498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2A2E3C">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F901762">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08210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64F422">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B0299B0">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C66AAC">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6E3954">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4C3A1131"/>
    <w:multiLevelType w:val="hybridMultilevel"/>
    <w:tmpl w:val="FFFFFFFF"/>
    <w:numStyleLink w:val="ImportedStyle1"/>
  </w:abstractNum>
  <w:abstractNum w:abstractNumId="275" w15:restartNumberingAfterBreak="0">
    <w:nsid w:val="4C5E07B5"/>
    <w:multiLevelType w:val="hybridMultilevel"/>
    <w:tmpl w:val="CD585612"/>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76" w15:restartNumberingAfterBreak="0">
    <w:nsid w:val="4CAF2C53"/>
    <w:multiLevelType w:val="hybridMultilevel"/>
    <w:tmpl w:val="428687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4CED7104"/>
    <w:multiLevelType w:val="hybridMultilevel"/>
    <w:tmpl w:val="FB1E4888"/>
    <w:styleLink w:val="ImportedStyle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4D017756"/>
    <w:multiLevelType w:val="hybridMultilevel"/>
    <w:tmpl w:val="E50ED98A"/>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79" w15:restartNumberingAfterBreak="0">
    <w:nsid w:val="4D410F02"/>
    <w:multiLevelType w:val="hybridMultilevel"/>
    <w:tmpl w:val="035666A0"/>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0" w15:restartNumberingAfterBreak="0">
    <w:nsid w:val="4D7E1096"/>
    <w:multiLevelType w:val="hybridMultilevel"/>
    <w:tmpl w:val="EAE62F74"/>
    <w:styleLink w:val="ImportedStyle114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D812068"/>
    <w:multiLevelType w:val="hybridMultilevel"/>
    <w:tmpl w:val="19CC1700"/>
    <w:lvl w:ilvl="0" w:tplc="3EF4A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DC138E2"/>
    <w:multiLevelType w:val="hybridMultilevel"/>
    <w:tmpl w:val="0526DA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4DCA7BDC"/>
    <w:multiLevelType w:val="hybridMultilevel"/>
    <w:tmpl w:val="151AC81C"/>
    <w:styleLink w:val="ImportedStyle20"/>
    <w:lvl w:ilvl="0" w:tplc="5BDC85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686F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1A3D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8083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2883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C83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8684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3C44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4E57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4F0F31F1"/>
    <w:multiLevelType w:val="hybridMultilevel"/>
    <w:tmpl w:val="3D3C7D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5" w15:restartNumberingAfterBreak="0">
    <w:nsid w:val="4F8D0B2B"/>
    <w:multiLevelType w:val="hybridMultilevel"/>
    <w:tmpl w:val="F0CEAC74"/>
    <w:styleLink w:val="Stilimportat1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15:restartNumberingAfterBreak="0">
    <w:nsid w:val="4FA536F5"/>
    <w:multiLevelType w:val="hybridMultilevel"/>
    <w:tmpl w:val="D462483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AA3085AC">
      <w:start w:val="1"/>
      <w:numFmt w:val="lowerLetter"/>
      <w:lvlText w:val="%3."/>
      <w:lvlJc w:val="left"/>
      <w:pPr>
        <w:ind w:left="2340"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4FD8500E"/>
    <w:multiLevelType w:val="hybridMultilevel"/>
    <w:tmpl w:val="DD00E4EE"/>
    <w:styleLink w:val="ImportedStyle80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4FD85B86"/>
    <w:multiLevelType w:val="hybridMultilevel"/>
    <w:tmpl w:val="E3DE70E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4FFE1302"/>
    <w:multiLevelType w:val="hybridMultilevel"/>
    <w:tmpl w:val="B6C8B03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90" w15:restartNumberingAfterBreak="0">
    <w:nsid w:val="50227F41"/>
    <w:multiLevelType w:val="hybridMultilevel"/>
    <w:tmpl w:val="5776D6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1" w15:restartNumberingAfterBreak="0">
    <w:nsid w:val="516672D1"/>
    <w:multiLevelType w:val="hybridMultilevel"/>
    <w:tmpl w:val="D464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51E45C5D"/>
    <w:multiLevelType w:val="hybridMultilevel"/>
    <w:tmpl w:val="6C46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5296789D"/>
    <w:multiLevelType w:val="hybridMultilevel"/>
    <w:tmpl w:val="DEF02B5E"/>
    <w:styleLink w:val="Stilimportat6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52DE4AE7"/>
    <w:multiLevelType w:val="multilevel"/>
    <w:tmpl w:val="96D4A6FE"/>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95" w15:restartNumberingAfterBreak="0">
    <w:nsid w:val="52E60EFA"/>
    <w:multiLevelType w:val="hybridMultilevel"/>
    <w:tmpl w:val="4CAA7CAA"/>
    <w:numStyleLink w:val="ImportedStyle3"/>
  </w:abstractNum>
  <w:abstractNum w:abstractNumId="296" w15:restartNumberingAfterBreak="0">
    <w:nsid w:val="538E3B71"/>
    <w:multiLevelType w:val="hybridMultilevel"/>
    <w:tmpl w:val="5234224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54242AD6"/>
    <w:multiLevelType w:val="hybridMultilevel"/>
    <w:tmpl w:val="01C2BB8E"/>
    <w:styleLink w:val="ImportedStyle1155"/>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298" w15:restartNumberingAfterBreak="0">
    <w:nsid w:val="54AE61D6"/>
    <w:multiLevelType w:val="hybridMultilevel"/>
    <w:tmpl w:val="1F321EC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55334F9E"/>
    <w:multiLevelType w:val="hybridMultilevel"/>
    <w:tmpl w:val="6284C9B0"/>
    <w:lvl w:ilvl="0" w:tplc="DC4C0DE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0" w15:restartNumberingAfterBreak="0">
    <w:nsid w:val="55584D6F"/>
    <w:multiLevelType w:val="hybridMultilevel"/>
    <w:tmpl w:val="C1C05534"/>
    <w:styleLink w:val="Stilimportat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55636F18"/>
    <w:multiLevelType w:val="hybridMultilevel"/>
    <w:tmpl w:val="7B5A9CE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55B95209"/>
    <w:multiLevelType w:val="hybridMultilevel"/>
    <w:tmpl w:val="C44ADE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55C4141D"/>
    <w:multiLevelType w:val="hybridMultilevel"/>
    <w:tmpl w:val="C3263C66"/>
    <w:styleLink w:val="ImportedStyle83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55F72259"/>
    <w:multiLevelType w:val="hybridMultilevel"/>
    <w:tmpl w:val="C3287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5" w15:restartNumberingAfterBreak="0">
    <w:nsid w:val="56263A73"/>
    <w:multiLevelType w:val="hybridMultilevel"/>
    <w:tmpl w:val="5CF8F44E"/>
    <w:styleLink w:val="Stilimportat7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56346031"/>
    <w:multiLevelType w:val="hybridMultilevel"/>
    <w:tmpl w:val="E144ABAC"/>
    <w:styleLink w:val="Stilimportat4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5653683D"/>
    <w:multiLevelType w:val="hybridMultilevel"/>
    <w:tmpl w:val="97A04DDC"/>
    <w:styleLink w:val="ImportedStyle8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569013AC"/>
    <w:multiLevelType w:val="hybridMultilevel"/>
    <w:tmpl w:val="CBC4A742"/>
    <w:styleLink w:val="Stilimportat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57D12BA9"/>
    <w:multiLevelType w:val="hybridMultilevel"/>
    <w:tmpl w:val="30ACB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5885420A"/>
    <w:multiLevelType w:val="hybridMultilevel"/>
    <w:tmpl w:val="8514EDA4"/>
    <w:styleLink w:val="ImportedStyle782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58B264A2"/>
    <w:multiLevelType w:val="hybridMultilevel"/>
    <w:tmpl w:val="B0BCA35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58B4860E"/>
    <w:multiLevelType w:val="multilevel"/>
    <w:tmpl w:val="0316B802"/>
    <w:lvl w:ilvl="0">
      <w:start w:val="1"/>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3" w15:restartNumberingAfterBreak="0">
    <w:nsid w:val="58D53BB8"/>
    <w:multiLevelType w:val="hybridMultilevel"/>
    <w:tmpl w:val="81A063F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14" w15:restartNumberingAfterBreak="0">
    <w:nsid w:val="59C408B6"/>
    <w:multiLevelType w:val="hybridMultilevel"/>
    <w:tmpl w:val="DA1AB3D4"/>
    <w:styleLink w:val="Stilimportat5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A1A62E3"/>
    <w:multiLevelType w:val="hybridMultilevel"/>
    <w:tmpl w:val="DA3A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5A401F88"/>
    <w:multiLevelType w:val="hybridMultilevel"/>
    <w:tmpl w:val="1E088808"/>
    <w:styleLink w:val="ImportedStyle115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5AB94193"/>
    <w:multiLevelType w:val="hybridMultilevel"/>
    <w:tmpl w:val="78586CE6"/>
    <w:numStyleLink w:val="ImportedStyle11"/>
  </w:abstractNum>
  <w:abstractNum w:abstractNumId="318" w15:restartNumberingAfterBreak="0">
    <w:nsid w:val="5B686ADA"/>
    <w:multiLevelType w:val="hybridMultilevel"/>
    <w:tmpl w:val="C0DC3F82"/>
    <w:lvl w:ilvl="0" w:tplc="1ED06FF6">
      <w:start w:val="1"/>
      <w:numFmt w:val="decimal"/>
      <w:lvlText w:val="%1."/>
      <w:lvlJc w:val="left"/>
      <w:pPr>
        <w:ind w:left="36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9" w15:restartNumberingAfterBreak="0">
    <w:nsid w:val="5B8E2B73"/>
    <w:multiLevelType w:val="hybridMultilevel"/>
    <w:tmpl w:val="50A67B9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5BAE6A4A"/>
    <w:multiLevelType w:val="hybridMultilevel"/>
    <w:tmpl w:val="E54AE6F4"/>
    <w:styleLink w:val="ImportedStyle822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5BF47327"/>
    <w:multiLevelType w:val="hybridMultilevel"/>
    <w:tmpl w:val="0516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5C126459"/>
    <w:multiLevelType w:val="hybridMultilevel"/>
    <w:tmpl w:val="6F8A94F6"/>
    <w:numStyleLink w:val="ImportedStyle2"/>
  </w:abstractNum>
  <w:abstractNum w:abstractNumId="323" w15:restartNumberingAfterBreak="0">
    <w:nsid w:val="5CE911B7"/>
    <w:multiLevelType w:val="hybridMultilevel"/>
    <w:tmpl w:val="992CD49C"/>
    <w:lvl w:ilvl="0" w:tplc="0CF08D3C">
      <w:start w:val="1"/>
      <w:numFmt w:val="bullet"/>
      <w:lvlText w:val="-"/>
      <w:lvlJc w:val="left"/>
      <w:pPr>
        <w:ind w:left="963" w:hanging="360"/>
      </w:pPr>
      <w:rPr>
        <w:rFonts w:ascii="Courier New" w:hAnsi="Courier New"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24" w15:restartNumberingAfterBreak="0">
    <w:nsid w:val="5CF314A0"/>
    <w:multiLevelType w:val="hybridMultilevel"/>
    <w:tmpl w:val="FEB656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5CF5000D"/>
    <w:multiLevelType w:val="hybridMultilevel"/>
    <w:tmpl w:val="4656E41E"/>
    <w:lvl w:ilvl="0" w:tplc="0CF08D3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6" w15:restartNumberingAfterBreak="0">
    <w:nsid w:val="5D2112EF"/>
    <w:multiLevelType w:val="hybridMultilevel"/>
    <w:tmpl w:val="91944D7E"/>
    <w:lvl w:ilvl="0" w:tplc="1468324E">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7" w15:restartNumberingAfterBreak="0">
    <w:nsid w:val="5D4D134F"/>
    <w:multiLevelType w:val="hybridMultilevel"/>
    <w:tmpl w:val="48262606"/>
    <w:lvl w:ilvl="0" w:tplc="0CF08D3C">
      <w:start w:val="1"/>
      <w:numFmt w:val="bullet"/>
      <w:lvlText w:val="-"/>
      <w:lvlJc w:val="left"/>
      <w:pPr>
        <w:ind w:left="915" w:hanging="360"/>
      </w:pPr>
      <w:rPr>
        <w:rFonts w:ascii="Courier New" w:hAnsi="Courier New" w:hint="default"/>
      </w:rPr>
    </w:lvl>
    <w:lvl w:ilvl="1" w:tplc="63947F78">
      <w:start w:val="1"/>
      <w:numFmt w:val="decimal"/>
      <w:lvlText w:val="%2."/>
      <w:lvlJc w:val="left"/>
      <w:pPr>
        <w:ind w:left="1635" w:hanging="360"/>
      </w:pPr>
      <w:rPr>
        <w:rFonts w:hint="default"/>
      </w:rPr>
    </w:lvl>
    <w:lvl w:ilvl="2" w:tplc="D6D06F38">
      <w:start w:val="1"/>
      <w:numFmt w:val="upperRoman"/>
      <w:lvlText w:val="%3."/>
      <w:lvlJc w:val="left"/>
      <w:pPr>
        <w:ind w:left="2895" w:hanging="720"/>
      </w:pPr>
      <w:rPr>
        <w:rFonts w:hint="default"/>
      </w:rPr>
    </w:lvl>
    <w:lvl w:ilvl="3" w:tplc="3468F51E">
      <w:start w:val="1"/>
      <w:numFmt w:val="lowerLetter"/>
      <w:lvlText w:val="%4)"/>
      <w:lvlJc w:val="left"/>
      <w:pPr>
        <w:ind w:left="3075" w:hanging="360"/>
      </w:pPr>
      <w:rPr>
        <w:rFonts w:hint="default"/>
      </w:r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28" w15:restartNumberingAfterBreak="0">
    <w:nsid w:val="5E2045AE"/>
    <w:multiLevelType w:val="hybridMultilevel"/>
    <w:tmpl w:val="8DB2566A"/>
    <w:styleLink w:val="Stilimportat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29" w15:restartNumberingAfterBreak="0">
    <w:nsid w:val="5E6C2C9D"/>
    <w:multiLevelType w:val="hybridMultilevel"/>
    <w:tmpl w:val="887A486E"/>
    <w:styleLink w:val="ImportedStyle803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5E7B6B76"/>
    <w:multiLevelType w:val="hybridMultilevel"/>
    <w:tmpl w:val="934C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5E8E3A68"/>
    <w:multiLevelType w:val="hybridMultilevel"/>
    <w:tmpl w:val="8078FCB4"/>
    <w:styleLink w:val="ImportedStyle80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5EA53D84"/>
    <w:multiLevelType w:val="hybridMultilevel"/>
    <w:tmpl w:val="76BEC9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5EAF192C"/>
    <w:multiLevelType w:val="hybridMultilevel"/>
    <w:tmpl w:val="8CBC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5EC74297"/>
    <w:multiLevelType w:val="hybridMultilevel"/>
    <w:tmpl w:val="D67A8CFE"/>
    <w:lvl w:ilvl="0" w:tplc="751E695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5" w15:restartNumberingAfterBreak="0">
    <w:nsid w:val="5F162174"/>
    <w:multiLevelType w:val="hybridMultilevel"/>
    <w:tmpl w:val="5BF079A8"/>
    <w:numStyleLink w:val="ImportedStyle8"/>
  </w:abstractNum>
  <w:abstractNum w:abstractNumId="336" w15:restartNumberingAfterBreak="0">
    <w:nsid w:val="5F191204"/>
    <w:multiLevelType w:val="hybridMultilevel"/>
    <w:tmpl w:val="8DAA4F8A"/>
    <w:lvl w:ilvl="0" w:tplc="E9F61410">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37" w15:restartNumberingAfterBreak="0">
    <w:nsid w:val="5F4E7C35"/>
    <w:multiLevelType w:val="hybridMultilevel"/>
    <w:tmpl w:val="820C6A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8" w15:restartNumberingAfterBreak="0">
    <w:nsid w:val="5FFE6367"/>
    <w:multiLevelType w:val="hybridMultilevel"/>
    <w:tmpl w:val="6EE25F5E"/>
    <w:lvl w:ilvl="0" w:tplc="0CF08D3C">
      <w:start w:val="1"/>
      <w:numFmt w:val="bullet"/>
      <w:lvlText w:val="-"/>
      <w:lvlJc w:val="left"/>
      <w:pPr>
        <w:ind w:left="1572" w:hanging="360"/>
      </w:pPr>
      <w:rPr>
        <w:rFonts w:ascii="Courier New" w:hAnsi="Courier New"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339" w15:restartNumberingAfterBreak="0">
    <w:nsid w:val="604A3EFF"/>
    <w:multiLevelType w:val="hybridMultilevel"/>
    <w:tmpl w:val="FFFFFFFF"/>
    <w:styleLink w:val="ImportedStyle100"/>
    <w:lvl w:ilvl="0" w:tplc="E280E886">
      <w:start w:val="1"/>
      <w:numFmt w:val="bullet"/>
      <w:lvlText w:val="•"/>
      <w:lvlJc w:val="left"/>
      <w:pPr>
        <w:ind w:left="320" w:hanging="3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DB04E07A">
      <w:start w:val="1"/>
      <w:numFmt w:val="bullet"/>
      <w:lvlText w:val="·"/>
      <w:lvlJc w:val="left"/>
      <w:pPr>
        <w:tabs>
          <w:tab w:val="left" w:pos="293"/>
        </w:tabs>
        <w:ind w:left="856"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E26F4E">
      <w:start w:val="1"/>
      <w:numFmt w:val="bullet"/>
      <w:lvlText w:val="·"/>
      <w:lvlJc w:val="left"/>
      <w:pPr>
        <w:tabs>
          <w:tab w:val="left" w:pos="293"/>
        </w:tabs>
        <w:ind w:left="1862"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594458A">
      <w:start w:val="1"/>
      <w:numFmt w:val="bullet"/>
      <w:lvlText w:val="·"/>
      <w:lvlJc w:val="left"/>
      <w:pPr>
        <w:tabs>
          <w:tab w:val="left" w:pos="293"/>
        </w:tabs>
        <w:ind w:left="2865"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7074B0">
      <w:start w:val="1"/>
      <w:numFmt w:val="bullet"/>
      <w:lvlText w:val="·"/>
      <w:lvlJc w:val="left"/>
      <w:pPr>
        <w:tabs>
          <w:tab w:val="left" w:pos="293"/>
        </w:tabs>
        <w:ind w:left="3868"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9AE1436">
      <w:start w:val="1"/>
      <w:numFmt w:val="bullet"/>
      <w:lvlText w:val="·"/>
      <w:lvlJc w:val="left"/>
      <w:pPr>
        <w:tabs>
          <w:tab w:val="left" w:pos="293"/>
        </w:tabs>
        <w:ind w:left="4871"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F908E54">
      <w:start w:val="1"/>
      <w:numFmt w:val="bullet"/>
      <w:lvlText w:val="·"/>
      <w:lvlJc w:val="left"/>
      <w:pPr>
        <w:tabs>
          <w:tab w:val="left" w:pos="293"/>
        </w:tabs>
        <w:ind w:left="5874"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621406">
      <w:start w:val="1"/>
      <w:numFmt w:val="bullet"/>
      <w:lvlText w:val="·"/>
      <w:lvlJc w:val="left"/>
      <w:pPr>
        <w:tabs>
          <w:tab w:val="left" w:pos="293"/>
        </w:tabs>
        <w:ind w:left="6877"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2AEBB5E">
      <w:start w:val="1"/>
      <w:numFmt w:val="bullet"/>
      <w:lvlText w:val="·"/>
      <w:lvlJc w:val="left"/>
      <w:pPr>
        <w:tabs>
          <w:tab w:val="left" w:pos="293"/>
        </w:tabs>
        <w:ind w:left="7880"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0" w15:restartNumberingAfterBreak="0">
    <w:nsid w:val="607A02EF"/>
    <w:multiLevelType w:val="hybridMultilevel"/>
    <w:tmpl w:val="0948795A"/>
    <w:styleLink w:val="ImportedStyle116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1" w15:restartNumberingAfterBreak="0">
    <w:nsid w:val="60DD3F14"/>
    <w:multiLevelType w:val="hybridMultilevel"/>
    <w:tmpl w:val="36EEA244"/>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42" w15:restartNumberingAfterBreak="0">
    <w:nsid w:val="60FC783F"/>
    <w:multiLevelType w:val="multilevel"/>
    <w:tmpl w:val="ACDA9EB0"/>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3" w15:restartNumberingAfterBreak="0">
    <w:nsid w:val="612635AF"/>
    <w:multiLevelType w:val="hybridMultilevel"/>
    <w:tmpl w:val="E6607DF6"/>
    <w:lvl w:ilvl="0" w:tplc="04090019">
      <w:start w:val="1"/>
      <w:numFmt w:val="lowerLetter"/>
      <w:lvlText w:val="%1."/>
      <w:lvlJc w:val="left"/>
      <w:pPr>
        <w:ind w:left="720" w:hanging="360"/>
      </w:pPr>
    </w:lvl>
    <w:lvl w:ilvl="1" w:tplc="F934E5C6">
      <w:start w:val="1"/>
      <w:numFmt w:val="decimal"/>
      <w:lvlText w:val="%2."/>
      <w:lvlJc w:val="left"/>
      <w:pPr>
        <w:ind w:left="1440" w:hanging="360"/>
      </w:pPr>
      <w:rPr>
        <w:rFonts w:hint="default"/>
      </w:rPr>
    </w:lvl>
    <w:lvl w:ilvl="2" w:tplc="D618EBE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615C552E"/>
    <w:multiLevelType w:val="hybridMultilevel"/>
    <w:tmpl w:val="2F486B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62966395"/>
    <w:multiLevelType w:val="hybridMultilevel"/>
    <w:tmpl w:val="512804AA"/>
    <w:lvl w:ilvl="0" w:tplc="E9F6141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6" w15:restartNumberingAfterBreak="0">
    <w:nsid w:val="62983061"/>
    <w:multiLevelType w:val="hybridMultilevel"/>
    <w:tmpl w:val="74A8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63B67CFE"/>
    <w:multiLevelType w:val="hybridMultilevel"/>
    <w:tmpl w:val="BF7CB172"/>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63C83624"/>
    <w:multiLevelType w:val="hybridMultilevel"/>
    <w:tmpl w:val="9524274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63CF398C"/>
    <w:multiLevelType w:val="hybridMultilevel"/>
    <w:tmpl w:val="1032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1" w15:restartNumberingAfterBreak="0">
    <w:nsid w:val="64677D99"/>
    <w:multiLevelType w:val="multilevel"/>
    <w:tmpl w:val="4A4813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64EB5039"/>
    <w:multiLevelType w:val="hybridMultilevel"/>
    <w:tmpl w:val="B1B63334"/>
    <w:lvl w:ilvl="0" w:tplc="C7408888">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651D643B"/>
    <w:multiLevelType w:val="hybridMultilevel"/>
    <w:tmpl w:val="F18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653B4236"/>
    <w:multiLevelType w:val="hybridMultilevel"/>
    <w:tmpl w:val="C51070D4"/>
    <w:lvl w:ilvl="0" w:tplc="FFA03796">
      <w:start w:val="1"/>
      <w:numFmt w:val="decimal"/>
      <w:lvlText w:val="%1."/>
      <w:lvlJc w:val="left"/>
      <w:pPr>
        <w:ind w:left="720" w:hanging="360"/>
      </w:pPr>
    </w:lvl>
    <w:lvl w:ilvl="1" w:tplc="F2680356">
      <w:start w:val="1"/>
      <w:numFmt w:val="lowerLetter"/>
      <w:lvlText w:val="%2."/>
      <w:lvlJc w:val="left"/>
      <w:pPr>
        <w:ind w:left="1440" w:hanging="360"/>
      </w:pPr>
    </w:lvl>
    <w:lvl w:ilvl="2" w:tplc="52C84158" w:tentative="1">
      <w:start w:val="1"/>
      <w:numFmt w:val="lowerRoman"/>
      <w:lvlText w:val="%3."/>
      <w:lvlJc w:val="right"/>
      <w:pPr>
        <w:ind w:left="2160" w:hanging="180"/>
      </w:pPr>
    </w:lvl>
    <w:lvl w:ilvl="3" w:tplc="19866776" w:tentative="1">
      <w:start w:val="1"/>
      <w:numFmt w:val="decimal"/>
      <w:lvlText w:val="%4."/>
      <w:lvlJc w:val="left"/>
      <w:pPr>
        <w:ind w:left="2880" w:hanging="360"/>
      </w:pPr>
    </w:lvl>
    <w:lvl w:ilvl="4" w:tplc="8DB0FAD6" w:tentative="1">
      <w:start w:val="1"/>
      <w:numFmt w:val="lowerLetter"/>
      <w:lvlText w:val="%5."/>
      <w:lvlJc w:val="left"/>
      <w:pPr>
        <w:ind w:left="3600" w:hanging="360"/>
      </w:pPr>
    </w:lvl>
    <w:lvl w:ilvl="5" w:tplc="AACCE422" w:tentative="1">
      <w:start w:val="1"/>
      <w:numFmt w:val="lowerRoman"/>
      <w:lvlText w:val="%6."/>
      <w:lvlJc w:val="right"/>
      <w:pPr>
        <w:ind w:left="4320" w:hanging="180"/>
      </w:pPr>
    </w:lvl>
    <w:lvl w:ilvl="6" w:tplc="B03674C8" w:tentative="1">
      <w:start w:val="1"/>
      <w:numFmt w:val="decimal"/>
      <w:lvlText w:val="%7."/>
      <w:lvlJc w:val="left"/>
      <w:pPr>
        <w:ind w:left="5040" w:hanging="360"/>
      </w:pPr>
    </w:lvl>
    <w:lvl w:ilvl="7" w:tplc="B79C8714" w:tentative="1">
      <w:start w:val="1"/>
      <w:numFmt w:val="lowerLetter"/>
      <w:lvlText w:val="%8."/>
      <w:lvlJc w:val="left"/>
      <w:pPr>
        <w:ind w:left="5760" w:hanging="360"/>
      </w:pPr>
    </w:lvl>
    <w:lvl w:ilvl="8" w:tplc="7804CA9C" w:tentative="1">
      <w:start w:val="1"/>
      <w:numFmt w:val="lowerRoman"/>
      <w:lvlText w:val="%9."/>
      <w:lvlJc w:val="right"/>
      <w:pPr>
        <w:ind w:left="6480" w:hanging="180"/>
      </w:pPr>
    </w:lvl>
  </w:abstractNum>
  <w:abstractNum w:abstractNumId="355" w15:restartNumberingAfterBreak="0">
    <w:nsid w:val="655778CA"/>
    <w:multiLevelType w:val="hybridMultilevel"/>
    <w:tmpl w:val="44725FD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658D19E9"/>
    <w:multiLevelType w:val="hybridMultilevel"/>
    <w:tmpl w:val="85FEE24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666D2E5A"/>
    <w:multiLevelType w:val="hybridMultilevel"/>
    <w:tmpl w:val="D9C87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8" w15:restartNumberingAfterBreak="0">
    <w:nsid w:val="667320DF"/>
    <w:multiLevelType w:val="hybridMultilevel"/>
    <w:tmpl w:val="9B1E4C02"/>
    <w:lvl w:ilvl="0" w:tplc="50EA7566">
      <w:start w:val="1"/>
      <w:numFmt w:val="upperRoman"/>
      <w:lvlText w:val="%1."/>
      <w:lvlJc w:val="left"/>
      <w:pPr>
        <w:ind w:left="720" w:hanging="720"/>
      </w:pPr>
      <w:rPr>
        <w:rFonts w:cs="Times New Roman" w:hint="default"/>
        <w:b/>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6AC0E9B6">
      <w:start w:val="1"/>
      <w:numFmt w:val="decimal"/>
      <w:lvlText w:val="%4."/>
      <w:lvlJc w:val="left"/>
      <w:pPr>
        <w:ind w:left="2880" w:hanging="360"/>
      </w:pPr>
      <w:rPr>
        <w:rFonts w:ascii="Times New Roman" w:eastAsiaTheme="minorHAnsi" w:hAnsi="Times New Roman" w:cs="Times New Roman" w:hint="default"/>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59" w15:restartNumberingAfterBreak="0">
    <w:nsid w:val="66A819E4"/>
    <w:multiLevelType w:val="hybridMultilevel"/>
    <w:tmpl w:val="D53C1962"/>
    <w:styleLink w:val="ImportedStyle834"/>
    <w:lvl w:ilvl="0" w:tplc="0409000F">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04090019">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409001B">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0409000F">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04090019">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409001B">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409000F">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4090019">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409001B">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60" w15:restartNumberingAfterBreak="0">
    <w:nsid w:val="66CB596F"/>
    <w:multiLevelType w:val="hybridMultilevel"/>
    <w:tmpl w:val="E4507C2A"/>
    <w:lvl w:ilvl="0" w:tplc="94D4F92E">
      <w:numFmt w:val="decimal"/>
      <w:lvlText w:val=""/>
      <w:lvlJc w:val="left"/>
    </w:lvl>
    <w:lvl w:ilvl="1" w:tplc="1D1411D2">
      <w:numFmt w:val="decimal"/>
      <w:lvlText w:val=""/>
      <w:lvlJc w:val="left"/>
    </w:lvl>
    <w:lvl w:ilvl="2" w:tplc="E7E84538">
      <w:numFmt w:val="decimal"/>
      <w:lvlText w:val=""/>
      <w:lvlJc w:val="left"/>
    </w:lvl>
    <w:lvl w:ilvl="3" w:tplc="FB06D478">
      <w:numFmt w:val="decimal"/>
      <w:lvlText w:val=""/>
      <w:lvlJc w:val="left"/>
    </w:lvl>
    <w:lvl w:ilvl="4" w:tplc="BEE4ADCC">
      <w:numFmt w:val="decimal"/>
      <w:lvlText w:val=""/>
      <w:lvlJc w:val="left"/>
    </w:lvl>
    <w:lvl w:ilvl="5" w:tplc="DFB831D6">
      <w:numFmt w:val="decimal"/>
      <w:lvlText w:val=""/>
      <w:lvlJc w:val="left"/>
    </w:lvl>
    <w:lvl w:ilvl="6" w:tplc="322AF030">
      <w:numFmt w:val="decimal"/>
      <w:lvlText w:val=""/>
      <w:lvlJc w:val="left"/>
    </w:lvl>
    <w:lvl w:ilvl="7" w:tplc="299C9D00">
      <w:numFmt w:val="decimal"/>
      <w:lvlText w:val=""/>
      <w:lvlJc w:val="left"/>
    </w:lvl>
    <w:lvl w:ilvl="8" w:tplc="99B8910E">
      <w:numFmt w:val="decimal"/>
      <w:lvlText w:val=""/>
      <w:lvlJc w:val="left"/>
    </w:lvl>
  </w:abstractNum>
  <w:abstractNum w:abstractNumId="361" w15:restartNumberingAfterBreak="0">
    <w:nsid w:val="67742704"/>
    <w:multiLevelType w:val="hybridMultilevel"/>
    <w:tmpl w:val="224036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2" w15:restartNumberingAfterBreak="0">
    <w:nsid w:val="67B37D5F"/>
    <w:multiLevelType w:val="hybridMultilevel"/>
    <w:tmpl w:val="9BB4AE4C"/>
    <w:lvl w:ilvl="0" w:tplc="4EE4D6CA">
      <w:start w:val="1"/>
      <w:numFmt w:val="decimal"/>
      <w:lvlText w:val="%1."/>
      <w:lvlJc w:val="left"/>
      <w:pPr>
        <w:ind w:left="720" w:hanging="360"/>
      </w:pPr>
      <w:rPr>
        <w:rFonts w:hint="default"/>
        <w:b/>
      </w:rPr>
    </w:lvl>
    <w:lvl w:ilvl="1" w:tplc="C524B174" w:tentative="1">
      <w:start w:val="1"/>
      <w:numFmt w:val="lowerLetter"/>
      <w:lvlText w:val="%2."/>
      <w:lvlJc w:val="left"/>
      <w:pPr>
        <w:ind w:left="1440" w:hanging="360"/>
      </w:pPr>
    </w:lvl>
    <w:lvl w:ilvl="2" w:tplc="1CB0174E" w:tentative="1">
      <w:start w:val="1"/>
      <w:numFmt w:val="lowerRoman"/>
      <w:lvlText w:val="%3."/>
      <w:lvlJc w:val="right"/>
      <w:pPr>
        <w:ind w:left="2160" w:hanging="180"/>
      </w:pPr>
    </w:lvl>
    <w:lvl w:ilvl="3" w:tplc="62802D1A" w:tentative="1">
      <w:start w:val="1"/>
      <w:numFmt w:val="decimal"/>
      <w:lvlText w:val="%4."/>
      <w:lvlJc w:val="left"/>
      <w:pPr>
        <w:ind w:left="2880" w:hanging="360"/>
      </w:pPr>
    </w:lvl>
    <w:lvl w:ilvl="4" w:tplc="C386A51E" w:tentative="1">
      <w:start w:val="1"/>
      <w:numFmt w:val="lowerLetter"/>
      <w:lvlText w:val="%5."/>
      <w:lvlJc w:val="left"/>
      <w:pPr>
        <w:ind w:left="3600" w:hanging="360"/>
      </w:pPr>
    </w:lvl>
    <w:lvl w:ilvl="5" w:tplc="01CE9F3A" w:tentative="1">
      <w:start w:val="1"/>
      <w:numFmt w:val="lowerRoman"/>
      <w:lvlText w:val="%6."/>
      <w:lvlJc w:val="right"/>
      <w:pPr>
        <w:ind w:left="4320" w:hanging="180"/>
      </w:pPr>
    </w:lvl>
    <w:lvl w:ilvl="6" w:tplc="E76474F2" w:tentative="1">
      <w:start w:val="1"/>
      <w:numFmt w:val="decimal"/>
      <w:lvlText w:val="%7."/>
      <w:lvlJc w:val="left"/>
      <w:pPr>
        <w:ind w:left="5040" w:hanging="360"/>
      </w:pPr>
    </w:lvl>
    <w:lvl w:ilvl="7" w:tplc="E42C19D0" w:tentative="1">
      <w:start w:val="1"/>
      <w:numFmt w:val="lowerLetter"/>
      <w:lvlText w:val="%8."/>
      <w:lvlJc w:val="left"/>
      <w:pPr>
        <w:ind w:left="5760" w:hanging="360"/>
      </w:pPr>
    </w:lvl>
    <w:lvl w:ilvl="8" w:tplc="9B9A0E5C" w:tentative="1">
      <w:start w:val="1"/>
      <w:numFmt w:val="lowerRoman"/>
      <w:lvlText w:val="%9."/>
      <w:lvlJc w:val="right"/>
      <w:pPr>
        <w:ind w:left="6480" w:hanging="180"/>
      </w:pPr>
    </w:lvl>
  </w:abstractNum>
  <w:abstractNum w:abstractNumId="363" w15:restartNumberingAfterBreak="0">
    <w:nsid w:val="67BC5923"/>
    <w:multiLevelType w:val="hybridMultilevel"/>
    <w:tmpl w:val="0128A93A"/>
    <w:styleLink w:val="ImportedStyle321"/>
    <w:lvl w:ilvl="0" w:tplc="D8C6C62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4" w15:restartNumberingAfterBreak="0">
    <w:nsid w:val="686B18D2"/>
    <w:multiLevelType w:val="hybridMultilevel"/>
    <w:tmpl w:val="C5F2848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688745B1"/>
    <w:multiLevelType w:val="hybridMultilevel"/>
    <w:tmpl w:val="A1C6CE38"/>
    <w:lvl w:ilvl="0" w:tplc="CB5E695C">
      <w:start w:val="13"/>
      <w:numFmt w:val="bullet"/>
      <w:lvlText w:val="•"/>
      <w:lvlJc w:val="left"/>
      <w:pPr>
        <w:ind w:left="720" w:hanging="360"/>
      </w:pPr>
      <w:rPr>
        <w:rFonts w:ascii="Times New Roman" w:eastAsia="Times New Roman" w:hAnsi="Times New Roman" w:cs="Times New Roman" w:hint="default"/>
      </w:rPr>
    </w:lvl>
    <w:lvl w:ilvl="1" w:tplc="835A7AE6" w:tentative="1">
      <w:start w:val="1"/>
      <w:numFmt w:val="bullet"/>
      <w:lvlText w:val="o"/>
      <w:lvlJc w:val="left"/>
      <w:pPr>
        <w:ind w:left="1440" w:hanging="360"/>
      </w:pPr>
      <w:rPr>
        <w:rFonts w:ascii="Courier New" w:hAnsi="Courier New" w:cs="Courier New" w:hint="default"/>
      </w:rPr>
    </w:lvl>
    <w:lvl w:ilvl="2" w:tplc="262CF1AE" w:tentative="1">
      <w:start w:val="1"/>
      <w:numFmt w:val="bullet"/>
      <w:lvlText w:val=""/>
      <w:lvlJc w:val="left"/>
      <w:pPr>
        <w:ind w:left="2160" w:hanging="360"/>
      </w:pPr>
      <w:rPr>
        <w:rFonts w:ascii="Wingdings" w:hAnsi="Wingdings" w:hint="default"/>
      </w:rPr>
    </w:lvl>
    <w:lvl w:ilvl="3" w:tplc="42205678" w:tentative="1">
      <w:start w:val="1"/>
      <w:numFmt w:val="bullet"/>
      <w:lvlText w:val=""/>
      <w:lvlJc w:val="left"/>
      <w:pPr>
        <w:ind w:left="2880" w:hanging="360"/>
      </w:pPr>
      <w:rPr>
        <w:rFonts w:ascii="Symbol" w:hAnsi="Symbol" w:hint="default"/>
      </w:rPr>
    </w:lvl>
    <w:lvl w:ilvl="4" w:tplc="931E5F8A" w:tentative="1">
      <w:start w:val="1"/>
      <w:numFmt w:val="bullet"/>
      <w:lvlText w:val="o"/>
      <w:lvlJc w:val="left"/>
      <w:pPr>
        <w:ind w:left="3600" w:hanging="360"/>
      </w:pPr>
      <w:rPr>
        <w:rFonts w:ascii="Courier New" w:hAnsi="Courier New" w:cs="Courier New" w:hint="default"/>
      </w:rPr>
    </w:lvl>
    <w:lvl w:ilvl="5" w:tplc="91DE5B7A" w:tentative="1">
      <w:start w:val="1"/>
      <w:numFmt w:val="bullet"/>
      <w:lvlText w:val=""/>
      <w:lvlJc w:val="left"/>
      <w:pPr>
        <w:ind w:left="4320" w:hanging="360"/>
      </w:pPr>
      <w:rPr>
        <w:rFonts w:ascii="Wingdings" w:hAnsi="Wingdings" w:hint="default"/>
      </w:rPr>
    </w:lvl>
    <w:lvl w:ilvl="6" w:tplc="B8FAC3AC" w:tentative="1">
      <w:start w:val="1"/>
      <w:numFmt w:val="bullet"/>
      <w:lvlText w:val=""/>
      <w:lvlJc w:val="left"/>
      <w:pPr>
        <w:ind w:left="5040" w:hanging="360"/>
      </w:pPr>
      <w:rPr>
        <w:rFonts w:ascii="Symbol" w:hAnsi="Symbol" w:hint="default"/>
      </w:rPr>
    </w:lvl>
    <w:lvl w:ilvl="7" w:tplc="3F2A9DC6" w:tentative="1">
      <w:start w:val="1"/>
      <w:numFmt w:val="bullet"/>
      <w:lvlText w:val="o"/>
      <w:lvlJc w:val="left"/>
      <w:pPr>
        <w:ind w:left="5760" w:hanging="360"/>
      </w:pPr>
      <w:rPr>
        <w:rFonts w:ascii="Courier New" w:hAnsi="Courier New" w:cs="Courier New" w:hint="default"/>
      </w:rPr>
    </w:lvl>
    <w:lvl w:ilvl="8" w:tplc="23DC0AFC" w:tentative="1">
      <w:start w:val="1"/>
      <w:numFmt w:val="bullet"/>
      <w:lvlText w:val=""/>
      <w:lvlJc w:val="left"/>
      <w:pPr>
        <w:ind w:left="6480" w:hanging="360"/>
      </w:pPr>
      <w:rPr>
        <w:rFonts w:ascii="Wingdings" w:hAnsi="Wingdings" w:hint="default"/>
      </w:rPr>
    </w:lvl>
  </w:abstractNum>
  <w:abstractNum w:abstractNumId="366" w15:restartNumberingAfterBreak="0">
    <w:nsid w:val="68BF3473"/>
    <w:multiLevelType w:val="hybridMultilevel"/>
    <w:tmpl w:val="E1C4A000"/>
    <w:styleLink w:val="Stilimportat611"/>
    <w:lvl w:ilvl="0" w:tplc="6CB6FE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698134A6"/>
    <w:multiLevelType w:val="hybridMultilevel"/>
    <w:tmpl w:val="1BA4DE96"/>
    <w:lvl w:ilvl="0" w:tplc="0CF08D3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698B3F50"/>
    <w:multiLevelType w:val="hybridMultilevel"/>
    <w:tmpl w:val="2E361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69901312"/>
    <w:multiLevelType w:val="hybridMultilevel"/>
    <w:tmpl w:val="B7C0F8B0"/>
    <w:styleLink w:val="ImportedStyle21"/>
    <w:lvl w:ilvl="0" w:tplc="6CB6FE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6A0F168D"/>
    <w:multiLevelType w:val="hybridMultilevel"/>
    <w:tmpl w:val="C156A8F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1" w15:restartNumberingAfterBreak="0">
    <w:nsid w:val="6A766FBF"/>
    <w:multiLevelType w:val="multilevel"/>
    <w:tmpl w:val="80B29BC8"/>
    <w:lvl w:ilvl="0">
      <w:start w:val="1"/>
      <w:numFmt w:val="upperRoman"/>
      <w:lvlText w:val="%1."/>
      <w:lvlJc w:val="left"/>
      <w:pPr>
        <w:tabs>
          <w:tab w:val="num" w:pos="0"/>
        </w:tabs>
        <w:ind w:left="720" w:hanging="720"/>
      </w:pPr>
      <w:rPr>
        <w:b/>
        <w:bCs/>
        <w:i w:val="0"/>
        <w:i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2" w15:restartNumberingAfterBreak="0">
    <w:nsid w:val="6B416AB5"/>
    <w:multiLevelType w:val="hybridMultilevel"/>
    <w:tmpl w:val="C1A43FD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73" w15:restartNumberingAfterBreak="0">
    <w:nsid w:val="6B6B36D6"/>
    <w:multiLevelType w:val="hybridMultilevel"/>
    <w:tmpl w:val="C48471B2"/>
    <w:lvl w:ilvl="0" w:tplc="0CF08D3C">
      <w:start w:val="1"/>
      <w:numFmt w:val="bullet"/>
      <w:lvlText w:val="-"/>
      <w:lvlJc w:val="left"/>
      <w:pPr>
        <w:ind w:left="1830" w:hanging="360"/>
      </w:pPr>
      <w:rPr>
        <w:rFonts w:ascii="Courier New" w:hAnsi="Courier New"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74" w15:restartNumberingAfterBreak="0">
    <w:nsid w:val="6B9A31AD"/>
    <w:multiLevelType w:val="hybridMultilevel"/>
    <w:tmpl w:val="F06ABE3C"/>
    <w:styleLink w:val="ImportedStyle803"/>
    <w:lvl w:ilvl="0" w:tplc="0CF08D3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5" w15:restartNumberingAfterBreak="0">
    <w:nsid w:val="6BEC7C3F"/>
    <w:multiLevelType w:val="hybridMultilevel"/>
    <w:tmpl w:val="AB2E7EC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6C3A38FA"/>
    <w:multiLevelType w:val="hybridMultilevel"/>
    <w:tmpl w:val="01AA412C"/>
    <w:styleLink w:val="ImportedStyle824"/>
    <w:lvl w:ilvl="0" w:tplc="82661AB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2BC3F4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B86A394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2C4A55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36E92E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776704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A8DA1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842EE2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FD3A4F7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77" w15:restartNumberingAfterBreak="0">
    <w:nsid w:val="6CA017EB"/>
    <w:multiLevelType w:val="hybridMultilevel"/>
    <w:tmpl w:val="6B82DA34"/>
    <w:styleLink w:val="Stilimportat331"/>
    <w:lvl w:ilvl="0" w:tplc="BA8637C8">
      <w:start w:val="1"/>
      <w:numFmt w:val="bullet"/>
      <w:lvlText w:val="-"/>
      <w:lvlJc w:val="left"/>
      <w:pPr>
        <w:ind w:left="840" w:hanging="360"/>
      </w:pPr>
      <w:rPr>
        <w:rFonts w:ascii="Courier New" w:hAnsi="Courier New" w:hint="default"/>
      </w:rPr>
    </w:lvl>
    <w:lvl w:ilvl="1" w:tplc="4B882E80" w:tentative="1">
      <w:start w:val="1"/>
      <w:numFmt w:val="bullet"/>
      <w:lvlText w:val="o"/>
      <w:lvlJc w:val="left"/>
      <w:pPr>
        <w:ind w:left="1560" w:hanging="360"/>
      </w:pPr>
      <w:rPr>
        <w:rFonts w:ascii="Courier New" w:hAnsi="Courier New" w:cs="Courier New" w:hint="default"/>
      </w:rPr>
    </w:lvl>
    <w:lvl w:ilvl="2" w:tplc="3022E448" w:tentative="1">
      <w:start w:val="1"/>
      <w:numFmt w:val="bullet"/>
      <w:lvlText w:val=""/>
      <w:lvlJc w:val="left"/>
      <w:pPr>
        <w:ind w:left="2280" w:hanging="360"/>
      </w:pPr>
      <w:rPr>
        <w:rFonts w:ascii="Wingdings" w:hAnsi="Wingdings" w:hint="default"/>
      </w:rPr>
    </w:lvl>
    <w:lvl w:ilvl="3" w:tplc="5DDC56C4" w:tentative="1">
      <w:start w:val="1"/>
      <w:numFmt w:val="bullet"/>
      <w:lvlText w:val=""/>
      <w:lvlJc w:val="left"/>
      <w:pPr>
        <w:ind w:left="3000" w:hanging="360"/>
      </w:pPr>
      <w:rPr>
        <w:rFonts w:ascii="Symbol" w:hAnsi="Symbol" w:hint="default"/>
      </w:rPr>
    </w:lvl>
    <w:lvl w:ilvl="4" w:tplc="29ECCC94" w:tentative="1">
      <w:start w:val="1"/>
      <w:numFmt w:val="bullet"/>
      <w:lvlText w:val="o"/>
      <w:lvlJc w:val="left"/>
      <w:pPr>
        <w:ind w:left="3720" w:hanging="360"/>
      </w:pPr>
      <w:rPr>
        <w:rFonts w:ascii="Courier New" w:hAnsi="Courier New" w:cs="Courier New" w:hint="default"/>
      </w:rPr>
    </w:lvl>
    <w:lvl w:ilvl="5" w:tplc="05A62D2E" w:tentative="1">
      <w:start w:val="1"/>
      <w:numFmt w:val="bullet"/>
      <w:lvlText w:val=""/>
      <w:lvlJc w:val="left"/>
      <w:pPr>
        <w:ind w:left="4440" w:hanging="360"/>
      </w:pPr>
      <w:rPr>
        <w:rFonts w:ascii="Wingdings" w:hAnsi="Wingdings" w:hint="default"/>
      </w:rPr>
    </w:lvl>
    <w:lvl w:ilvl="6" w:tplc="BE902248" w:tentative="1">
      <w:start w:val="1"/>
      <w:numFmt w:val="bullet"/>
      <w:lvlText w:val=""/>
      <w:lvlJc w:val="left"/>
      <w:pPr>
        <w:ind w:left="5160" w:hanging="360"/>
      </w:pPr>
      <w:rPr>
        <w:rFonts w:ascii="Symbol" w:hAnsi="Symbol" w:hint="default"/>
      </w:rPr>
    </w:lvl>
    <w:lvl w:ilvl="7" w:tplc="66C056B6" w:tentative="1">
      <w:start w:val="1"/>
      <w:numFmt w:val="bullet"/>
      <w:lvlText w:val="o"/>
      <w:lvlJc w:val="left"/>
      <w:pPr>
        <w:ind w:left="5880" w:hanging="360"/>
      </w:pPr>
      <w:rPr>
        <w:rFonts w:ascii="Courier New" w:hAnsi="Courier New" w:cs="Courier New" w:hint="default"/>
      </w:rPr>
    </w:lvl>
    <w:lvl w:ilvl="8" w:tplc="E1E6DDFA" w:tentative="1">
      <w:start w:val="1"/>
      <w:numFmt w:val="bullet"/>
      <w:lvlText w:val=""/>
      <w:lvlJc w:val="left"/>
      <w:pPr>
        <w:ind w:left="6600" w:hanging="360"/>
      </w:pPr>
      <w:rPr>
        <w:rFonts w:ascii="Wingdings" w:hAnsi="Wingdings" w:hint="default"/>
      </w:rPr>
    </w:lvl>
  </w:abstractNum>
  <w:abstractNum w:abstractNumId="378" w15:restartNumberingAfterBreak="0">
    <w:nsid w:val="6CCE63A5"/>
    <w:multiLevelType w:val="hybridMultilevel"/>
    <w:tmpl w:val="E0AEFD56"/>
    <w:styleLink w:val="ImportedStyle78021"/>
    <w:lvl w:ilvl="0" w:tplc="0CF08D3C">
      <w:start w:val="1"/>
      <w:numFmt w:val="lowerLetter"/>
      <w:lvlText w:val="%1."/>
      <w:lvlJc w:val="left"/>
      <w:pPr>
        <w:ind w:left="720" w:hanging="360"/>
      </w:pPr>
    </w:lvl>
    <w:lvl w:ilvl="1" w:tplc="04090003">
      <w:start w:val="1"/>
      <w:numFmt w:val="upperLetter"/>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9" w15:restartNumberingAfterBreak="0">
    <w:nsid w:val="6DE666D8"/>
    <w:multiLevelType w:val="multilevel"/>
    <w:tmpl w:val="4E8CE434"/>
    <w:lvl w:ilvl="0">
      <w:start w:val="1"/>
      <w:numFmt w:val="lowerLetter"/>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80" w15:restartNumberingAfterBreak="0">
    <w:nsid w:val="6DFB0578"/>
    <w:multiLevelType w:val="hybridMultilevel"/>
    <w:tmpl w:val="FFBA14D8"/>
    <w:styleLink w:val="ImportedStyle801"/>
    <w:lvl w:ilvl="0" w:tplc="04090019">
      <w:start w:val="1"/>
      <w:numFmt w:val="bullet"/>
      <w:lvlText w:val="-"/>
      <w:lvlJc w:val="left"/>
      <w:pPr>
        <w:ind w:left="720" w:hanging="360"/>
      </w:pPr>
      <w:rPr>
        <w:rFonts w:ascii="Courier New" w:hAnsi="Courier New" w:hint="default"/>
      </w:rPr>
    </w:lvl>
    <w:lvl w:ilvl="1" w:tplc="65BA2A3C"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1" w15:restartNumberingAfterBreak="0">
    <w:nsid w:val="6E2425B5"/>
    <w:multiLevelType w:val="hybridMultilevel"/>
    <w:tmpl w:val="970C0D12"/>
    <w:lvl w:ilvl="0" w:tplc="0CF08D3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2" w15:restartNumberingAfterBreak="0">
    <w:nsid w:val="6EDB24D5"/>
    <w:multiLevelType w:val="hybridMultilevel"/>
    <w:tmpl w:val="650028D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83" w15:restartNumberingAfterBreak="0">
    <w:nsid w:val="6EF86B83"/>
    <w:multiLevelType w:val="hybridMultilevel"/>
    <w:tmpl w:val="7F7AEEE8"/>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08AC06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7FEC4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764E5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43C668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6880A7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0DACDA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350DD5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0CA2E6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4" w15:restartNumberingAfterBreak="0">
    <w:nsid w:val="6F624FF6"/>
    <w:multiLevelType w:val="hybridMultilevel"/>
    <w:tmpl w:val="1BEC7A1C"/>
    <w:styleLink w:val="Stilimportat22"/>
    <w:lvl w:ilvl="0" w:tplc="04090011">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5" w15:restartNumberingAfterBreak="0">
    <w:nsid w:val="6FD52015"/>
    <w:multiLevelType w:val="hybridMultilevel"/>
    <w:tmpl w:val="5510CAC4"/>
    <w:lvl w:ilvl="0" w:tplc="04090001">
      <w:start w:val="1"/>
      <w:numFmt w:val="bullet"/>
      <w:lvlText w:val=""/>
      <w:lvlJc w:val="left"/>
      <w:pPr>
        <w:ind w:left="720" w:hanging="360"/>
      </w:pPr>
      <w:rPr>
        <w:rFonts w:ascii="Symbol" w:hAnsi="Symbol" w:hint="default"/>
      </w:rPr>
    </w:lvl>
    <w:lvl w:ilvl="1" w:tplc="0CF08D3C"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6" w15:restartNumberingAfterBreak="0">
    <w:nsid w:val="70006FA1"/>
    <w:multiLevelType w:val="hybridMultilevel"/>
    <w:tmpl w:val="A9AE2DC6"/>
    <w:lvl w:ilvl="0" w:tplc="95DED9C0">
      <w:numFmt w:val="decimal"/>
      <w:lvlText w:val=""/>
      <w:lvlJc w:val="left"/>
    </w:lvl>
    <w:lvl w:ilvl="1" w:tplc="31701D96">
      <w:numFmt w:val="decimal"/>
      <w:lvlText w:val=""/>
      <w:lvlJc w:val="left"/>
    </w:lvl>
    <w:lvl w:ilvl="2" w:tplc="633ED7E4">
      <w:numFmt w:val="decimal"/>
      <w:lvlText w:val=""/>
      <w:lvlJc w:val="left"/>
    </w:lvl>
    <w:lvl w:ilvl="3" w:tplc="F228A408">
      <w:numFmt w:val="decimal"/>
      <w:lvlText w:val=""/>
      <w:lvlJc w:val="left"/>
    </w:lvl>
    <w:lvl w:ilvl="4" w:tplc="5CEE9FD0">
      <w:numFmt w:val="decimal"/>
      <w:lvlText w:val=""/>
      <w:lvlJc w:val="left"/>
    </w:lvl>
    <w:lvl w:ilvl="5" w:tplc="9566EC8A">
      <w:numFmt w:val="decimal"/>
      <w:lvlText w:val=""/>
      <w:lvlJc w:val="left"/>
    </w:lvl>
    <w:lvl w:ilvl="6" w:tplc="EF681D82">
      <w:numFmt w:val="decimal"/>
      <w:lvlText w:val=""/>
      <w:lvlJc w:val="left"/>
    </w:lvl>
    <w:lvl w:ilvl="7" w:tplc="62D64340">
      <w:numFmt w:val="decimal"/>
      <w:lvlText w:val=""/>
      <w:lvlJc w:val="left"/>
    </w:lvl>
    <w:lvl w:ilvl="8" w:tplc="7B7EF270">
      <w:numFmt w:val="decimal"/>
      <w:lvlText w:val=""/>
      <w:lvlJc w:val="left"/>
    </w:lvl>
  </w:abstractNum>
  <w:abstractNum w:abstractNumId="387" w15:restartNumberingAfterBreak="0">
    <w:nsid w:val="70595AEA"/>
    <w:multiLevelType w:val="hybridMultilevel"/>
    <w:tmpl w:val="3D4E2276"/>
    <w:styleLink w:val="ImportedStyle803211"/>
    <w:lvl w:ilvl="0" w:tplc="04180015">
      <w:start w:val="1"/>
      <w:numFmt w:val="bullet"/>
      <w:lvlText w:val="-"/>
      <w:lvlJc w:val="left"/>
      <w:pPr>
        <w:ind w:left="720" w:hanging="360"/>
      </w:pPr>
      <w:rPr>
        <w:rFonts w:ascii="Courier New" w:hAnsi="Courier New"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388" w15:restartNumberingAfterBreak="0">
    <w:nsid w:val="707579F9"/>
    <w:multiLevelType w:val="hybridMultilevel"/>
    <w:tmpl w:val="214A7C7A"/>
    <w:styleLink w:val="ImportedStyle7802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70C21015"/>
    <w:multiLevelType w:val="hybridMultilevel"/>
    <w:tmpl w:val="62E8BF2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70DC6EC2"/>
    <w:multiLevelType w:val="hybridMultilevel"/>
    <w:tmpl w:val="BBB22C7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710F0F72"/>
    <w:multiLevelType w:val="multilevel"/>
    <w:tmpl w:val="5E509738"/>
    <w:lvl w:ilvl="0">
      <w:start w:val="1"/>
      <w:numFmt w:val="lowerLetter"/>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2" w15:restartNumberingAfterBreak="0">
    <w:nsid w:val="71604692"/>
    <w:multiLevelType w:val="hybridMultilevel"/>
    <w:tmpl w:val="158042A8"/>
    <w:styleLink w:val="ImportedStyle782"/>
    <w:lvl w:ilvl="0" w:tplc="0CF08D3C">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3" w15:restartNumberingAfterBreak="0">
    <w:nsid w:val="71714CC1"/>
    <w:multiLevelType w:val="hybridMultilevel"/>
    <w:tmpl w:val="7F90301E"/>
    <w:styleLink w:val="ImportedStyle802"/>
    <w:lvl w:ilvl="0" w:tplc="B89CE3E2">
      <w:start w:val="1"/>
      <w:numFmt w:val="bullet"/>
      <w:lvlText w:val="-"/>
      <w:lvlJc w:val="left"/>
      <w:pPr>
        <w:ind w:left="720" w:hanging="360"/>
      </w:pPr>
      <w:rPr>
        <w:rFonts w:ascii="Courier New" w:hAnsi="Courier New" w:hint="default"/>
      </w:rPr>
    </w:lvl>
    <w:lvl w:ilvl="1" w:tplc="DBB098AE" w:tentative="1">
      <w:start w:val="1"/>
      <w:numFmt w:val="bullet"/>
      <w:lvlText w:val="o"/>
      <w:lvlJc w:val="left"/>
      <w:pPr>
        <w:ind w:left="1440" w:hanging="360"/>
      </w:pPr>
      <w:rPr>
        <w:rFonts w:ascii="Courier New" w:hAnsi="Courier New" w:cs="Courier New" w:hint="default"/>
      </w:rPr>
    </w:lvl>
    <w:lvl w:ilvl="2" w:tplc="E5A6A16A" w:tentative="1">
      <w:start w:val="1"/>
      <w:numFmt w:val="bullet"/>
      <w:lvlText w:val=""/>
      <w:lvlJc w:val="left"/>
      <w:pPr>
        <w:ind w:left="2160" w:hanging="360"/>
      </w:pPr>
      <w:rPr>
        <w:rFonts w:ascii="Wingdings" w:hAnsi="Wingdings" w:hint="default"/>
      </w:rPr>
    </w:lvl>
    <w:lvl w:ilvl="3" w:tplc="EC4E1CE2" w:tentative="1">
      <w:start w:val="1"/>
      <w:numFmt w:val="bullet"/>
      <w:lvlText w:val=""/>
      <w:lvlJc w:val="left"/>
      <w:pPr>
        <w:ind w:left="2880" w:hanging="360"/>
      </w:pPr>
      <w:rPr>
        <w:rFonts w:ascii="Symbol" w:hAnsi="Symbol" w:hint="default"/>
      </w:rPr>
    </w:lvl>
    <w:lvl w:ilvl="4" w:tplc="65AAA3AE" w:tentative="1">
      <w:start w:val="1"/>
      <w:numFmt w:val="bullet"/>
      <w:lvlText w:val="o"/>
      <w:lvlJc w:val="left"/>
      <w:pPr>
        <w:ind w:left="3600" w:hanging="360"/>
      </w:pPr>
      <w:rPr>
        <w:rFonts w:ascii="Courier New" w:hAnsi="Courier New" w:cs="Courier New" w:hint="default"/>
      </w:rPr>
    </w:lvl>
    <w:lvl w:ilvl="5" w:tplc="F078EA00" w:tentative="1">
      <w:start w:val="1"/>
      <w:numFmt w:val="bullet"/>
      <w:lvlText w:val=""/>
      <w:lvlJc w:val="left"/>
      <w:pPr>
        <w:ind w:left="4320" w:hanging="360"/>
      </w:pPr>
      <w:rPr>
        <w:rFonts w:ascii="Wingdings" w:hAnsi="Wingdings" w:hint="default"/>
      </w:rPr>
    </w:lvl>
    <w:lvl w:ilvl="6" w:tplc="A418DEF4" w:tentative="1">
      <w:start w:val="1"/>
      <w:numFmt w:val="bullet"/>
      <w:lvlText w:val=""/>
      <w:lvlJc w:val="left"/>
      <w:pPr>
        <w:ind w:left="5040" w:hanging="360"/>
      </w:pPr>
      <w:rPr>
        <w:rFonts w:ascii="Symbol" w:hAnsi="Symbol" w:hint="default"/>
      </w:rPr>
    </w:lvl>
    <w:lvl w:ilvl="7" w:tplc="D72C52E0" w:tentative="1">
      <w:start w:val="1"/>
      <w:numFmt w:val="bullet"/>
      <w:lvlText w:val="o"/>
      <w:lvlJc w:val="left"/>
      <w:pPr>
        <w:ind w:left="5760" w:hanging="360"/>
      </w:pPr>
      <w:rPr>
        <w:rFonts w:ascii="Courier New" w:hAnsi="Courier New" w:cs="Courier New" w:hint="default"/>
      </w:rPr>
    </w:lvl>
    <w:lvl w:ilvl="8" w:tplc="E7BC97D2" w:tentative="1">
      <w:start w:val="1"/>
      <w:numFmt w:val="bullet"/>
      <w:lvlText w:val=""/>
      <w:lvlJc w:val="left"/>
      <w:pPr>
        <w:ind w:left="6480" w:hanging="360"/>
      </w:pPr>
      <w:rPr>
        <w:rFonts w:ascii="Wingdings" w:hAnsi="Wingdings" w:hint="default"/>
      </w:rPr>
    </w:lvl>
  </w:abstractNum>
  <w:abstractNum w:abstractNumId="394" w15:restartNumberingAfterBreak="0">
    <w:nsid w:val="71AB0645"/>
    <w:multiLevelType w:val="hybridMultilevel"/>
    <w:tmpl w:val="659ED79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71F51E80"/>
    <w:multiLevelType w:val="multilevel"/>
    <w:tmpl w:val="7DCA2BFE"/>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96" w15:restartNumberingAfterBreak="0">
    <w:nsid w:val="721F6651"/>
    <w:multiLevelType w:val="hybridMultilevel"/>
    <w:tmpl w:val="0C8EE32E"/>
    <w:lvl w:ilvl="0" w:tplc="0CF08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723E0A20"/>
    <w:multiLevelType w:val="hybridMultilevel"/>
    <w:tmpl w:val="27CC401A"/>
    <w:lvl w:ilvl="0" w:tplc="E9F61410">
      <w:start w:val="9"/>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8" w15:restartNumberingAfterBreak="0">
    <w:nsid w:val="72812210"/>
    <w:multiLevelType w:val="hybridMultilevel"/>
    <w:tmpl w:val="FEAE25F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7291742D"/>
    <w:multiLevelType w:val="hybridMultilevel"/>
    <w:tmpl w:val="8D4ADB68"/>
    <w:lvl w:ilvl="0" w:tplc="04180015">
      <w:start w:val="1"/>
      <w:numFmt w:val="bullet"/>
      <w:lvlText w:val=""/>
      <w:lvlJc w:val="left"/>
      <w:pPr>
        <w:ind w:left="720" w:hanging="360"/>
      </w:pPr>
      <w:rPr>
        <w:rFonts w:ascii="Symbol" w:hAnsi="Symbol" w:hint="default"/>
      </w:rPr>
    </w:lvl>
    <w:lvl w:ilvl="1" w:tplc="04180019">
      <w:start w:val="1"/>
      <w:numFmt w:val="bullet"/>
      <w:lvlText w:val=""/>
      <w:lvlJc w:val="left"/>
      <w:pPr>
        <w:ind w:left="1440" w:hanging="360"/>
      </w:pPr>
      <w:rPr>
        <w:rFonts w:ascii="Symbol" w:hAnsi="Symbol"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400" w15:restartNumberingAfterBreak="0">
    <w:nsid w:val="7292117B"/>
    <w:multiLevelType w:val="hybridMultilevel"/>
    <w:tmpl w:val="9CA4DB08"/>
    <w:styleLink w:val="ImportedStyle7801"/>
    <w:lvl w:ilvl="0" w:tplc="04090001">
      <w:start w:val="1"/>
      <w:numFmt w:val="bullet"/>
      <w:lvlText w:val="-"/>
      <w:lvlJc w:val="left"/>
      <w:pPr>
        <w:ind w:left="720" w:hanging="360"/>
      </w:pPr>
      <w:rPr>
        <w:rFonts w:ascii="Courier New" w:hAnsi="Courier New" w:hint="default"/>
      </w:rPr>
    </w:lvl>
    <w:lvl w:ilvl="1" w:tplc="E9F61410"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72D94777"/>
    <w:multiLevelType w:val="hybridMultilevel"/>
    <w:tmpl w:val="ECAE6FEE"/>
    <w:styleLink w:val="ImportedStyle7805"/>
    <w:lvl w:ilvl="0" w:tplc="0CF08D3C">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04090003">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4090005">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04090001">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4090003">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04090005">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04090001">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04090003">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04090005">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02" w15:restartNumberingAfterBreak="0">
    <w:nsid w:val="733D3C8D"/>
    <w:multiLevelType w:val="hybridMultilevel"/>
    <w:tmpl w:val="6A70E238"/>
    <w:styleLink w:val="ImportedStyle1141"/>
    <w:lvl w:ilvl="0" w:tplc="8B1C2946">
      <w:start w:val="1"/>
      <w:numFmt w:val="bullet"/>
      <w:lvlText w:val="-"/>
      <w:lvlJc w:val="left"/>
      <w:pPr>
        <w:ind w:left="720" w:hanging="360"/>
      </w:pPr>
      <w:rPr>
        <w:rFonts w:ascii="Courier New" w:hAnsi="Courier New" w:hint="default"/>
      </w:rPr>
    </w:lvl>
    <w:lvl w:ilvl="1" w:tplc="C8723C82" w:tentative="1">
      <w:start w:val="1"/>
      <w:numFmt w:val="bullet"/>
      <w:lvlText w:val="o"/>
      <w:lvlJc w:val="left"/>
      <w:pPr>
        <w:ind w:left="1440" w:hanging="360"/>
      </w:pPr>
      <w:rPr>
        <w:rFonts w:ascii="Courier New" w:hAnsi="Courier New" w:cs="Courier New" w:hint="default"/>
      </w:rPr>
    </w:lvl>
    <w:lvl w:ilvl="2" w:tplc="D8BC23D8" w:tentative="1">
      <w:start w:val="1"/>
      <w:numFmt w:val="bullet"/>
      <w:lvlText w:val=""/>
      <w:lvlJc w:val="left"/>
      <w:pPr>
        <w:ind w:left="2160" w:hanging="360"/>
      </w:pPr>
      <w:rPr>
        <w:rFonts w:ascii="Wingdings" w:hAnsi="Wingdings" w:hint="default"/>
      </w:rPr>
    </w:lvl>
    <w:lvl w:ilvl="3" w:tplc="63C4E19E" w:tentative="1">
      <w:start w:val="1"/>
      <w:numFmt w:val="bullet"/>
      <w:lvlText w:val=""/>
      <w:lvlJc w:val="left"/>
      <w:pPr>
        <w:ind w:left="2880" w:hanging="360"/>
      </w:pPr>
      <w:rPr>
        <w:rFonts w:ascii="Symbol" w:hAnsi="Symbol" w:hint="default"/>
      </w:rPr>
    </w:lvl>
    <w:lvl w:ilvl="4" w:tplc="032CF088" w:tentative="1">
      <w:start w:val="1"/>
      <w:numFmt w:val="bullet"/>
      <w:lvlText w:val="o"/>
      <w:lvlJc w:val="left"/>
      <w:pPr>
        <w:ind w:left="3600" w:hanging="360"/>
      </w:pPr>
      <w:rPr>
        <w:rFonts w:ascii="Courier New" w:hAnsi="Courier New" w:cs="Courier New" w:hint="default"/>
      </w:rPr>
    </w:lvl>
    <w:lvl w:ilvl="5" w:tplc="506CD15E" w:tentative="1">
      <w:start w:val="1"/>
      <w:numFmt w:val="bullet"/>
      <w:lvlText w:val=""/>
      <w:lvlJc w:val="left"/>
      <w:pPr>
        <w:ind w:left="4320" w:hanging="360"/>
      </w:pPr>
      <w:rPr>
        <w:rFonts w:ascii="Wingdings" w:hAnsi="Wingdings" w:hint="default"/>
      </w:rPr>
    </w:lvl>
    <w:lvl w:ilvl="6" w:tplc="A43E4CB6" w:tentative="1">
      <w:start w:val="1"/>
      <w:numFmt w:val="bullet"/>
      <w:lvlText w:val=""/>
      <w:lvlJc w:val="left"/>
      <w:pPr>
        <w:ind w:left="5040" w:hanging="360"/>
      </w:pPr>
      <w:rPr>
        <w:rFonts w:ascii="Symbol" w:hAnsi="Symbol" w:hint="default"/>
      </w:rPr>
    </w:lvl>
    <w:lvl w:ilvl="7" w:tplc="75D4CF7A" w:tentative="1">
      <w:start w:val="1"/>
      <w:numFmt w:val="bullet"/>
      <w:lvlText w:val="o"/>
      <w:lvlJc w:val="left"/>
      <w:pPr>
        <w:ind w:left="5760" w:hanging="360"/>
      </w:pPr>
      <w:rPr>
        <w:rFonts w:ascii="Courier New" w:hAnsi="Courier New" w:cs="Courier New" w:hint="default"/>
      </w:rPr>
    </w:lvl>
    <w:lvl w:ilvl="8" w:tplc="FD1CDA9A" w:tentative="1">
      <w:start w:val="1"/>
      <w:numFmt w:val="bullet"/>
      <w:lvlText w:val=""/>
      <w:lvlJc w:val="left"/>
      <w:pPr>
        <w:ind w:left="6480" w:hanging="360"/>
      </w:pPr>
      <w:rPr>
        <w:rFonts w:ascii="Wingdings" w:hAnsi="Wingdings" w:hint="default"/>
      </w:rPr>
    </w:lvl>
  </w:abstractNum>
  <w:abstractNum w:abstractNumId="403" w15:restartNumberingAfterBreak="0">
    <w:nsid w:val="737E6808"/>
    <w:multiLevelType w:val="hybridMultilevel"/>
    <w:tmpl w:val="A2E24934"/>
    <w:styleLink w:val="ImportedStyle9"/>
    <w:lvl w:ilvl="0" w:tplc="DB12BF0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8661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98C81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196C5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7203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3E5654">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6E6A7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FC73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08317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4" w15:restartNumberingAfterBreak="0">
    <w:nsid w:val="74313BD5"/>
    <w:multiLevelType w:val="hybridMultilevel"/>
    <w:tmpl w:val="167869FA"/>
    <w:styleLink w:val="ImportedStyle833"/>
    <w:lvl w:ilvl="0" w:tplc="0CF08D3C">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5" w15:restartNumberingAfterBreak="0">
    <w:nsid w:val="74E125D2"/>
    <w:multiLevelType w:val="hybridMultilevel"/>
    <w:tmpl w:val="6AF4A266"/>
    <w:lvl w:ilvl="0" w:tplc="0012F56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801F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F61410">
      <w:start w:val="1"/>
      <w:numFmt w:val="bullet"/>
      <w:lvlText w:val=""/>
      <w:lvlJc w:val="left"/>
      <w:pPr>
        <w:ind w:left="709" w:hanging="283"/>
      </w:pPr>
      <w:rPr>
        <w:rFonts w:ascii="Symbol" w:hAnsi="Symbol" w:hint="default"/>
        <w:caps w:val="0"/>
        <w:smallCaps w:val="0"/>
        <w:strike w:val="0"/>
        <w:dstrike w:val="0"/>
        <w:outline w:val="0"/>
        <w:emboss w:val="0"/>
        <w:imprint w:val="0"/>
        <w:spacing w:val="0"/>
        <w:w w:val="100"/>
        <w:kern w:val="0"/>
        <w:position w:val="0"/>
        <w:highlight w:val="none"/>
        <w:vertAlign w:val="baseline"/>
      </w:rPr>
    </w:lvl>
    <w:lvl w:ilvl="3" w:tplc="084CAF0E">
      <w:start w:val="1"/>
      <w:numFmt w:val="decimal"/>
      <w:lvlText w:val="%4."/>
      <w:lvlJc w:val="left"/>
      <w:pPr>
        <w:ind w:left="1565" w:hanging="463"/>
      </w:pPr>
      <w:rPr>
        <w:rFonts w:hAnsi="Arial Unicode MS"/>
        <w:caps w:val="0"/>
        <w:smallCaps w:val="0"/>
        <w:strike w:val="0"/>
        <w:dstrike w:val="0"/>
        <w:outline w:val="0"/>
        <w:emboss w:val="0"/>
        <w:imprint w:val="0"/>
        <w:spacing w:val="0"/>
        <w:w w:val="100"/>
        <w:kern w:val="0"/>
        <w:position w:val="0"/>
        <w:highlight w:val="none"/>
        <w:vertAlign w:val="baseline"/>
      </w:rPr>
    </w:lvl>
    <w:lvl w:ilvl="4" w:tplc="5F466642">
      <w:start w:val="1"/>
      <w:numFmt w:val="lowerLetter"/>
      <w:lvlText w:val="%5."/>
      <w:lvlJc w:val="left"/>
      <w:pPr>
        <w:ind w:left="2285" w:hanging="463"/>
      </w:pPr>
      <w:rPr>
        <w:rFonts w:hAnsi="Arial Unicode MS"/>
        <w:caps w:val="0"/>
        <w:smallCaps w:val="0"/>
        <w:strike w:val="0"/>
        <w:dstrike w:val="0"/>
        <w:outline w:val="0"/>
        <w:emboss w:val="0"/>
        <w:imprint w:val="0"/>
        <w:spacing w:val="0"/>
        <w:w w:val="100"/>
        <w:kern w:val="0"/>
        <w:position w:val="0"/>
        <w:highlight w:val="none"/>
        <w:vertAlign w:val="baseline"/>
      </w:rPr>
    </w:lvl>
    <w:lvl w:ilvl="5" w:tplc="61DC8E20">
      <w:start w:val="1"/>
      <w:numFmt w:val="lowerRoman"/>
      <w:lvlText w:val="%6."/>
      <w:lvlJc w:val="left"/>
      <w:pPr>
        <w:ind w:left="3005" w:hanging="403"/>
      </w:pPr>
      <w:rPr>
        <w:rFonts w:hAnsi="Arial Unicode MS"/>
        <w:caps w:val="0"/>
        <w:smallCaps w:val="0"/>
        <w:strike w:val="0"/>
        <w:dstrike w:val="0"/>
        <w:outline w:val="0"/>
        <w:emboss w:val="0"/>
        <w:imprint w:val="0"/>
        <w:spacing w:val="0"/>
        <w:w w:val="100"/>
        <w:kern w:val="0"/>
        <w:position w:val="0"/>
        <w:highlight w:val="none"/>
        <w:vertAlign w:val="baseline"/>
      </w:rPr>
    </w:lvl>
    <w:lvl w:ilvl="6" w:tplc="F69A2160">
      <w:start w:val="1"/>
      <w:numFmt w:val="decimal"/>
      <w:lvlText w:val="%7."/>
      <w:lvlJc w:val="left"/>
      <w:pPr>
        <w:ind w:left="3725" w:hanging="463"/>
      </w:pPr>
      <w:rPr>
        <w:rFonts w:hAnsi="Arial Unicode MS"/>
        <w:caps w:val="0"/>
        <w:smallCaps w:val="0"/>
        <w:strike w:val="0"/>
        <w:dstrike w:val="0"/>
        <w:outline w:val="0"/>
        <w:emboss w:val="0"/>
        <w:imprint w:val="0"/>
        <w:spacing w:val="0"/>
        <w:w w:val="100"/>
        <w:kern w:val="0"/>
        <w:position w:val="0"/>
        <w:highlight w:val="none"/>
        <w:vertAlign w:val="baseline"/>
      </w:rPr>
    </w:lvl>
    <w:lvl w:ilvl="7" w:tplc="E454E524">
      <w:start w:val="1"/>
      <w:numFmt w:val="lowerLetter"/>
      <w:lvlText w:val="%8."/>
      <w:lvlJc w:val="left"/>
      <w:pPr>
        <w:ind w:left="4445" w:hanging="463"/>
      </w:pPr>
      <w:rPr>
        <w:rFonts w:hAnsi="Arial Unicode MS"/>
        <w:caps w:val="0"/>
        <w:smallCaps w:val="0"/>
        <w:strike w:val="0"/>
        <w:dstrike w:val="0"/>
        <w:outline w:val="0"/>
        <w:emboss w:val="0"/>
        <w:imprint w:val="0"/>
        <w:spacing w:val="0"/>
        <w:w w:val="100"/>
        <w:kern w:val="0"/>
        <w:position w:val="0"/>
        <w:highlight w:val="none"/>
        <w:vertAlign w:val="baseline"/>
      </w:rPr>
    </w:lvl>
    <w:lvl w:ilvl="8" w:tplc="31027750">
      <w:start w:val="1"/>
      <w:numFmt w:val="lowerRoman"/>
      <w:lvlText w:val="%9."/>
      <w:lvlJc w:val="left"/>
      <w:pPr>
        <w:ind w:left="5165" w:hanging="4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6" w15:restartNumberingAfterBreak="0">
    <w:nsid w:val="750A4C5D"/>
    <w:multiLevelType w:val="hybridMultilevel"/>
    <w:tmpl w:val="03D8F6E8"/>
    <w:styleLink w:val="Stilimportat731"/>
    <w:lvl w:ilvl="0" w:tplc="04090003">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752302B5"/>
    <w:multiLevelType w:val="hybridMultilevel"/>
    <w:tmpl w:val="FB187424"/>
    <w:styleLink w:val="Stilimportat32"/>
    <w:lvl w:ilvl="0" w:tplc="0CF08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757A185B"/>
    <w:multiLevelType w:val="hybridMultilevel"/>
    <w:tmpl w:val="3F10B4E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75AA4CA4"/>
    <w:multiLevelType w:val="hybridMultilevel"/>
    <w:tmpl w:val="CDBE78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75D36899"/>
    <w:multiLevelType w:val="hybridMultilevel"/>
    <w:tmpl w:val="8A2C5D1E"/>
    <w:lvl w:ilvl="0" w:tplc="9DE62A5A">
      <w:start w:val="1"/>
      <w:numFmt w:val="upperRoman"/>
      <w:lvlText w:val="%1."/>
      <w:lvlJc w:val="left"/>
      <w:pPr>
        <w:ind w:left="1008" w:hanging="720"/>
      </w:pPr>
      <w:rPr>
        <w:rFonts w:hint="default"/>
      </w:rPr>
    </w:lvl>
    <w:lvl w:ilvl="1" w:tplc="04090003">
      <w:start w:val="1"/>
      <w:numFmt w:val="lowerLetter"/>
      <w:lvlText w:val="%2."/>
      <w:lvlJc w:val="left"/>
      <w:pPr>
        <w:ind w:left="1368" w:hanging="360"/>
      </w:pPr>
    </w:lvl>
    <w:lvl w:ilvl="2" w:tplc="04090005" w:tentative="1">
      <w:start w:val="1"/>
      <w:numFmt w:val="lowerRoman"/>
      <w:lvlText w:val="%3."/>
      <w:lvlJc w:val="right"/>
      <w:pPr>
        <w:ind w:left="2088" w:hanging="180"/>
      </w:pPr>
    </w:lvl>
    <w:lvl w:ilvl="3" w:tplc="04090001" w:tentative="1">
      <w:start w:val="1"/>
      <w:numFmt w:val="decimal"/>
      <w:lvlText w:val="%4."/>
      <w:lvlJc w:val="left"/>
      <w:pPr>
        <w:ind w:left="2808" w:hanging="360"/>
      </w:pPr>
    </w:lvl>
    <w:lvl w:ilvl="4" w:tplc="04090003" w:tentative="1">
      <w:start w:val="1"/>
      <w:numFmt w:val="lowerLetter"/>
      <w:lvlText w:val="%5."/>
      <w:lvlJc w:val="left"/>
      <w:pPr>
        <w:ind w:left="3528" w:hanging="360"/>
      </w:pPr>
    </w:lvl>
    <w:lvl w:ilvl="5" w:tplc="04090005" w:tentative="1">
      <w:start w:val="1"/>
      <w:numFmt w:val="lowerRoman"/>
      <w:lvlText w:val="%6."/>
      <w:lvlJc w:val="right"/>
      <w:pPr>
        <w:ind w:left="4248" w:hanging="180"/>
      </w:pPr>
    </w:lvl>
    <w:lvl w:ilvl="6" w:tplc="04090001" w:tentative="1">
      <w:start w:val="1"/>
      <w:numFmt w:val="decimal"/>
      <w:lvlText w:val="%7."/>
      <w:lvlJc w:val="left"/>
      <w:pPr>
        <w:ind w:left="4968" w:hanging="360"/>
      </w:pPr>
    </w:lvl>
    <w:lvl w:ilvl="7" w:tplc="04090003" w:tentative="1">
      <w:start w:val="1"/>
      <w:numFmt w:val="lowerLetter"/>
      <w:lvlText w:val="%8."/>
      <w:lvlJc w:val="left"/>
      <w:pPr>
        <w:ind w:left="5688" w:hanging="360"/>
      </w:pPr>
    </w:lvl>
    <w:lvl w:ilvl="8" w:tplc="04090005" w:tentative="1">
      <w:start w:val="1"/>
      <w:numFmt w:val="lowerRoman"/>
      <w:lvlText w:val="%9."/>
      <w:lvlJc w:val="right"/>
      <w:pPr>
        <w:ind w:left="6408" w:hanging="180"/>
      </w:pPr>
    </w:lvl>
  </w:abstractNum>
  <w:abstractNum w:abstractNumId="411" w15:restartNumberingAfterBreak="0">
    <w:nsid w:val="763066D4"/>
    <w:multiLevelType w:val="hybridMultilevel"/>
    <w:tmpl w:val="303CE894"/>
    <w:lvl w:ilvl="0" w:tplc="7420704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2" w15:restartNumberingAfterBreak="0">
    <w:nsid w:val="76768588"/>
    <w:multiLevelType w:val="multilevel"/>
    <w:tmpl w:val="0E2A024E"/>
    <w:styleLink w:val="ImportedStyle783"/>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13" w15:restartNumberingAfterBreak="0">
    <w:nsid w:val="76AB4795"/>
    <w:multiLevelType w:val="multilevel"/>
    <w:tmpl w:val="DFCE797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4" w15:restartNumberingAfterBreak="0">
    <w:nsid w:val="76B672C3"/>
    <w:multiLevelType w:val="hybridMultilevel"/>
    <w:tmpl w:val="EF623A7C"/>
    <w:styleLink w:val="Stilimportat64"/>
    <w:lvl w:ilvl="0" w:tplc="735CF216">
      <w:start w:val="1"/>
      <w:numFmt w:val="bullet"/>
      <w:lvlText w:val="-"/>
      <w:lvlJc w:val="left"/>
      <w:pPr>
        <w:ind w:left="720" w:hanging="360"/>
      </w:pPr>
      <w:rPr>
        <w:rFonts w:ascii="Courier New" w:hAnsi="Courier New" w:hint="default"/>
      </w:rPr>
    </w:lvl>
    <w:lvl w:ilvl="1" w:tplc="010CA19A" w:tentative="1">
      <w:start w:val="1"/>
      <w:numFmt w:val="bullet"/>
      <w:lvlText w:val="o"/>
      <w:lvlJc w:val="left"/>
      <w:pPr>
        <w:ind w:left="1440" w:hanging="360"/>
      </w:pPr>
      <w:rPr>
        <w:rFonts w:ascii="Courier New" w:hAnsi="Courier New" w:cs="Courier New" w:hint="default"/>
      </w:rPr>
    </w:lvl>
    <w:lvl w:ilvl="2" w:tplc="FAB0E884" w:tentative="1">
      <w:start w:val="1"/>
      <w:numFmt w:val="bullet"/>
      <w:lvlText w:val=""/>
      <w:lvlJc w:val="left"/>
      <w:pPr>
        <w:ind w:left="2160" w:hanging="360"/>
      </w:pPr>
      <w:rPr>
        <w:rFonts w:ascii="Wingdings" w:hAnsi="Wingdings" w:hint="default"/>
      </w:rPr>
    </w:lvl>
    <w:lvl w:ilvl="3" w:tplc="97A29DC8" w:tentative="1">
      <w:start w:val="1"/>
      <w:numFmt w:val="bullet"/>
      <w:lvlText w:val=""/>
      <w:lvlJc w:val="left"/>
      <w:pPr>
        <w:ind w:left="2880" w:hanging="360"/>
      </w:pPr>
      <w:rPr>
        <w:rFonts w:ascii="Symbol" w:hAnsi="Symbol" w:hint="default"/>
      </w:rPr>
    </w:lvl>
    <w:lvl w:ilvl="4" w:tplc="93C0B706" w:tentative="1">
      <w:start w:val="1"/>
      <w:numFmt w:val="bullet"/>
      <w:lvlText w:val="o"/>
      <w:lvlJc w:val="left"/>
      <w:pPr>
        <w:ind w:left="3600" w:hanging="360"/>
      </w:pPr>
      <w:rPr>
        <w:rFonts w:ascii="Courier New" w:hAnsi="Courier New" w:cs="Courier New" w:hint="default"/>
      </w:rPr>
    </w:lvl>
    <w:lvl w:ilvl="5" w:tplc="F720495C" w:tentative="1">
      <w:start w:val="1"/>
      <w:numFmt w:val="bullet"/>
      <w:lvlText w:val=""/>
      <w:lvlJc w:val="left"/>
      <w:pPr>
        <w:ind w:left="4320" w:hanging="360"/>
      </w:pPr>
      <w:rPr>
        <w:rFonts w:ascii="Wingdings" w:hAnsi="Wingdings" w:hint="default"/>
      </w:rPr>
    </w:lvl>
    <w:lvl w:ilvl="6" w:tplc="C2F01F88" w:tentative="1">
      <w:start w:val="1"/>
      <w:numFmt w:val="bullet"/>
      <w:lvlText w:val=""/>
      <w:lvlJc w:val="left"/>
      <w:pPr>
        <w:ind w:left="5040" w:hanging="360"/>
      </w:pPr>
      <w:rPr>
        <w:rFonts w:ascii="Symbol" w:hAnsi="Symbol" w:hint="default"/>
      </w:rPr>
    </w:lvl>
    <w:lvl w:ilvl="7" w:tplc="FB988858" w:tentative="1">
      <w:start w:val="1"/>
      <w:numFmt w:val="bullet"/>
      <w:lvlText w:val="o"/>
      <w:lvlJc w:val="left"/>
      <w:pPr>
        <w:ind w:left="5760" w:hanging="360"/>
      </w:pPr>
      <w:rPr>
        <w:rFonts w:ascii="Courier New" w:hAnsi="Courier New" w:cs="Courier New" w:hint="default"/>
      </w:rPr>
    </w:lvl>
    <w:lvl w:ilvl="8" w:tplc="2A5207FE" w:tentative="1">
      <w:start w:val="1"/>
      <w:numFmt w:val="bullet"/>
      <w:lvlText w:val=""/>
      <w:lvlJc w:val="left"/>
      <w:pPr>
        <w:ind w:left="6480" w:hanging="360"/>
      </w:pPr>
      <w:rPr>
        <w:rFonts w:ascii="Wingdings" w:hAnsi="Wingdings" w:hint="default"/>
      </w:rPr>
    </w:lvl>
  </w:abstractNum>
  <w:abstractNum w:abstractNumId="415" w15:restartNumberingAfterBreak="0">
    <w:nsid w:val="76D2332A"/>
    <w:multiLevelType w:val="hybridMultilevel"/>
    <w:tmpl w:val="1F1031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6" w15:restartNumberingAfterBreak="0">
    <w:nsid w:val="78790A07"/>
    <w:multiLevelType w:val="hybridMultilevel"/>
    <w:tmpl w:val="4CAA7CAA"/>
    <w:numStyleLink w:val="ImportedStyle3"/>
  </w:abstractNum>
  <w:abstractNum w:abstractNumId="417" w15:restartNumberingAfterBreak="0">
    <w:nsid w:val="789F3408"/>
    <w:multiLevelType w:val="hybridMultilevel"/>
    <w:tmpl w:val="8558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78A34FFD"/>
    <w:multiLevelType w:val="hybridMultilevel"/>
    <w:tmpl w:val="3190BD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9" w15:restartNumberingAfterBreak="0">
    <w:nsid w:val="78A94905"/>
    <w:multiLevelType w:val="hybridMultilevel"/>
    <w:tmpl w:val="26F62B0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78B5168E"/>
    <w:multiLevelType w:val="hybridMultilevel"/>
    <w:tmpl w:val="623C36B4"/>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421" w15:restartNumberingAfterBreak="0">
    <w:nsid w:val="78DF54EB"/>
    <w:multiLevelType w:val="hybridMultilevel"/>
    <w:tmpl w:val="2014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78DF6773"/>
    <w:multiLevelType w:val="hybridMultilevel"/>
    <w:tmpl w:val="0FB61E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795177F8"/>
    <w:multiLevelType w:val="hybridMultilevel"/>
    <w:tmpl w:val="5E56840C"/>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24" w15:restartNumberingAfterBreak="0">
    <w:nsid w:val="79CF4E6B"/>
    <w:multiLevelType w:val="hybridMultilevel"/>
    <w:tmpl w:val="4E44E168"/>
    <w:styleLink w:val="ImportedStyle822"/>
    <w:lvl w:ilvl="0" w:tplc="0CF08D3C">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5" w15:restartNumberingAfterBreak="0">
    <w:nsid w:val="7A8C0DA5"/>
    <w:multiLevelType w:val="hybridMultilevel"/>
    <w:tmpl w:val="B65C97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DEE8EF34">
      <w:start w:val="1"/>
      <w:numFmt w:val="upperRoman"/>
      <w:lvlText w:val="%3."/>
      <w:lvlJc w:val="left"/>
      <w:pPr>
        <w:ind w:left="2700" w:hanging="720"/>
      </w:pPr>
      <w:rPr>
        <w:rFonts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7A973E35"/>
    <w:multiLevelType w:val="hybridMultilevel"/>
    <w:tmpl w:val="8550B49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7AF56B0D"/>
    <w:multiLevelType w:val="hybridMultilevel"/>
    <w:tmpl w:val="CA386C44"/>
    <w:lvl w:ilvl="0" w:tplc="DEC6D618">
      <w:start w:val="1"/>
      <w:numFmt w:val="bullet"/>
      <w:lvlText w:val="-"/>
      <w:lvlJc w:val="left"/>
      <w:pPr>
        <w:ind w:left="720" w:hanging="360"/>
      </w:pPr>
      <w:rPr>
        <w:rFonts w:ascii="Courier New" w:hAnsi="Courier New" w:hint="default"/>
      </w:rPr>
    </w:lvl>
    <w:lvl w:ilvl="1" w:tplc="DAA69298" w:tentative="1">
      <w:start w:val="1"/>
      <w:numFmt w:val="bullet"/>
      <w:lvlText w:val="o"/>
      <w:lvlJc w:val="left"/>
      <w:pPr>
        <w:ind w:left="1440" w:hanging="360"/>
      </w:pPr>
      <w:rPr>
        <w:rFonts w:ascii="Courier New" w:hAnsi="Courier New" w:cs="Courier New" w:hint="default"/>
      </w:rPr>
    </w:lvl>
    <w:lvl w:ilvl="2" w:tplc="6D442790" w:tentative="1">
      <w:start w:val="1"/>
      <w:numFmt w:val="bullet"/>
      <w:lvlText w:val=""/>
      <w:lvlJc w:val="left"/>
      <w:pPr>
        <w:ind w:left="2160" w:hanging="360"/>
      </w:pPr>
      <w:rPr>
        <w:rFonts w:ascii="Wingdings" w:hAnsi="Wingdings" w:hint="default"/>
      </w:rPr>
    </w:lvl>
    <w:lvl w:ilvl="3" w:tplc="3EB88860" w:tentative="1">
      <w:start w:val="1"/>
      <w:numFmt w:val="bullet"/>
      <w:lvlText w:val=""/>
      <w:lvlJc w:val="left"/>
      <w:pPr>
        <w:ind w:left="2880" w:hanging="360"/>
      </w:pPr>
      <w:rPr>
        <w:rFonts w:ascii="Symbol" w:hAnsi="Symbol" w:hint="default"/>
      </w:rPr>
    </w:lvl>
    <w:lvl w:ilvl="4" w:tplc="3EE077F6" w:tentative="1">
      <w:start w:val="1"/>
      <w:numFmt w:val="bullet"/>
      <w:lvlText w:val="o"/>
      <w:lvlJc w:val="left"/>
      <w:pPr>
        <w:ind w:left="3600" w:hanging="360"/>
      </w:pPr>
      <w:rPr>
        <w:rFonts w:ascii="Courier New" w:hAnsi="Courier New" w:cs="Courier New" w:hint="default"/>
      </w:rPr>
    </w:lvl>
    <w:lvl w:ilvl="5" w:tplc="8F622A68" w:tentative="1">
      <w:start w:val="1"/>
      <w:numFmt w:val="bullet"/>
      <w:lvlText w:val=""/>
      <w:lvlJc w:val="left"/>
      <w:pPr>
        <w:ind w:left="4320" w:hanging="360"/>
      </w:pPr>
      <w:rPr>
        <w:rFonts w:ascii="Wingdings" w:hAnsi="Wingdings" w:hint="default"/>
      </w:rPr>
    </w:lvl>
    <w:lvl w:ilvl="6" w:tplc="32B008FC" w:tentative="1">
      <w:start w:val="1"/>
      <w:numFmt w:val="bullet"/>
      <w:lvlText w:val=""/>
      <w:lvlJc w:val="left"/>
      <w:pPr>
        <w:ind w:left="5040" w:hanging="360"/>
      </w:pPr>
      <w:rPr>
        <w:rFonts w:ascii="Symbol" w:hAnsi="Symbol" w:hint="default"/>
      </w:rPr>
    </w:lvl>
    <w:lvl w:ilvl="7" w:tplc="0C741370" w:tentative="1">
      <w:start w:val="1"/>
      <w:numFmt w:val="bullet"/>
      <w:lvlText w:val="o"/>
      <w:lvlJc w:val="left"/>
      <w:pPr>
        <w:ind w:left="5760" w:hanging="360"/>
      </w:pPr>
      <w:rPr>
        <w:rFonts w:ascii="Courier New" w:hAnsi="Courier New" w:cs="Courier New" w:hint="default"/>
      </w:rPr>
    </w:lvl>
    <w:lvl w:ilvl="8" w:tplc="1A2A2604" w:tentative="1">
      <w:start w:val="1"/>
      <w:numFmt w:val="bullet"/>
      <w:lvlText w:val=""/>
      <w:lvlJc w:val="left"/>
      <w:pPr>
        <w:ind w:left="6480" w:hanging="360"/>
      </w:pPr>
      <w:rPr>
        <w:rFonts w:ascii="Wingdings" w:hAnsi="Wingdings" w:hint="default"/>
      </w:rPr>
    </w:lvl>
  </w:abstractNum>
  <w:abstractNum w:abstractNumId="428" w15:restartNumberingAfterBreak="0">
    <w:nsid w:val="7B0B3692"/>
    <w:multiLevelType w:val="hybridMultilevel"/>
    <w:tmpl w:val="84645B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9" w15:restartNumberingAfterBreak="0">
    <w:nsid w:val="7B442C60"/>
    <w:multiLevelType w:val="hybridMultilevel"/>
    <w:tmpl w:val="38FA41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7B4D1559"/>
    <w:multiLevelType w:val="hybridMultilevel"/>
    <w:tmpl w:val="B92C7C46"/>
    <w:styleLink w:val="ImportedStyle8021"/>
    <w:lvl w:ilvl="0" w:tplc="0CF08D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1" w15:restartNumberingAfterBreak="0">
    <w:nsid w:val="7B577E1B"/>
    <w:multiLevelType w:val="hybridMultilevel"/>
    <w:tmpl w:val="4CAA7CAA"/>
    <w:styleLink w:val="ImportedStyle3"/>
    <w:lvl w:ilvl="0" w:tplc="04090001">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2" w15:restartNumberingAfterBreak="0">
    <w:nsid w:val="7D4D3820"/>
    <w:multiLevelType w:val="hybridMultilevel"/>
    <w:tmpl w:val="D47AEBF4"/>
    <w:lvl w:ilvl="0" w:tplc="2ACC4976">
      <w:start w:val="1"/>
      <w:numFmt w:val="bullet"/>
      <w:lvlText w:val="-"/>
      <w:lvlJc w:val="left"/>
      <w:pPr>
        <w:ind w:left="720" w:hanging="360"/>
      </w:pPr>
      <w:rPr>
        <w:rFonts w:ascii="Courier New" w:hAnsi="Courier New" w:hint="default"/>
      </w:rPr>
    </w:lvl>
    <w:lvl w:ilvl="1" w:tplc="9E3E5BE8" w:tentative="1">
      <w:start w:val="1"/>
      <w:numFmt w:val="bullet"/>
      <w:lvlText w:val="o"/>
      <w:lvlJc w:val="left"/>
      <w:pPr>
        <w:ind w:left="1440" w:hanging="360"/>
      </w:pPr>
      <w:rPr>
        <w:rFonts w:ascii="Courier New" w:hAnsi="Courier New" w:cs="Courier New" w:hint="default"/>
      </w:rPr>
    </w:lvl>
    <w:lvl w:ilvl="2" w:tplc="40383962" w:tentative="1">
      <w:start w:val="1"/>
      <w:numFmt w:val="bullet"/>
      <w:lvlText w:val=""/>
      <w:lvlJc w:val="left"/>
      <w:pPr>
        <w:ind w:left="2160" w:hanging="360"/>
      </w:pPr>
      <w:rPr>
        <w:rFonts w:ascii="Wingdings" w:hAnsi="Wingdings" w:hint="default"/>
      </w:rPr>
    </w:lvl>
    <w:lvl w:ilvl="3" w:tplc="DB387F16" w:tentative="1">
      <w:start w:val="1"/>
      <w:numFmt w:val="bullet"/>
      <w:lvlText w:val=""/>
      <w:lvlJc w:val="left"/>
      <w:pPr>
        <w:ind w:left="2880" w:hanging="360"/>
      </w:pPr>
      <w:rPr>
        <w:rFonts w:ascii="Symbol" w:hAnsi="Symbol" w:hint="default"/>
      </w:rPr>
    </w:lvl>
    <w:lvl w:ilvl="4" w:tplc="08343778" w:tentative="1">
      <w:start w:val="1"/>
      <w:numFmt w:val="bullet"/>
      <w:lvlText w:val="o"/>
      <w:lvlJc w:val="left"/>
      <w:pPr>
        <w:ind w:left="3600" w:hanging="360"/>
      </w:pPr>
      <w:rPr>
        <w:rFonts w:ascii="Courier New" w:hAnsi="Courier New" w:cs="Courier New" w:hint="default"/>
      </w:rPr>
    </w:lvl>
    <w:lvl w:ilvl="5" w:tplc="49269154" w:tentative="1">
      <w:start w:val="1"/>
      <w:numFmt w:val="bullet"/>
      <w:lvlText w:val=""/>
      <w:lvlJc w:val="left"/>
      <w:pPr>
        <w:ind w:left="4320" w:hanging="360"/>
      </w:pPr>
      <w:rPr>
        <w:rFonts w:ascii="Wingdings" w:hAnsi="Wingdings" w:hint="default"/>
      </w:rPr>
    </w:lvl>
    <w:lvl w:ilvl="6" w:tplc="C3EA7C2E" w:tentative="1">
      <w:start w:val="1"/>
      <w:numFmt w:val="bullet"/>
      <w:lvlText w:val=""/>
      <w:lvlJc w:val="left"/>
      <w:pPr>
        <w:ind w:left="5040" w:hanging="360"/>
      </w:pPr>
      <w:rPr>
        <w:rFonts w:ascii="Symbol" w:hAnsi="Symbol" w:hint="default"/>
      </w:rPr>
    </w:lvl>
    <w:lvl w:ilvl="7" w:tplc="8918F8E0" w:tentative="1">
      <w:start w:val="1"/>
      <w:numFmt w:val="bullet"/>
      <w:lvlText w:val="o"/>
      <w:lvlJc w:val="left"/>
      <w:pPr>
        <w:ind w:left="5760" w:hanging="360"/>
      </w:pPr>
      <w:rPr>
        <w:rFonts w:ascii="Courier New" w:hAnsi="Courier New" w:cs="Courier New" w:hint="default"/>
      </w:rPr>
    </w:lvl>
    <w:lvl w:ilvl="8" w:tplc="317236C8" w:tentative="1">
      <w:start w:val="1"/>
      <w:numFmt w:val="bullet"/>
      <w:lvlText w:val=""/>
      <w:lvlJc w:val="left"/>
      <w:pPr>
        <w:ind w:left="6480" w:hanging="360"/>
      </w:pPr>
      <w:rPr>
        <w:rFonts w:ascii="Wingdings" w:hAnsi="Wingdings" w:hint="default"/>
      </w:rPr>
    </w:lvl>
  </w:abstractNum>
  <w:abstractNum w:abstractNumId="433" w15:restartNumberingAfterBreak="0">
    <w:nsid w:val="7DCC5EE8"/>
    <w:multiLevelType w:val="hybridMultilevel"/>
    <w:tmpl w:val="81D2E91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7DF505E1"/>
    <w:multiLevelType w:val="multilevel"/>
    <w:tmpl w:val="E9867A40"/>
    <w:styleLink w:val="Stilimportat53"/>
    <w:lvl w:ilvl="0">
      <w:start w:val="1"/>
      <w:numFmt w:val="decimal"/>
      <w:lvlText w:val="%1."/>
      <w:lvlJc w:val="left"/>
      <w:pPr>
        <w:ind w:left="720" w:hanging="360"/>
      </w:pPr>
      <w:rPr>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5" w15:restartNumberingAfterBreak="0">
    <w:nsid w:val="7E0C6783"/>
    <w:multiLevelType w:val="hybridMultilevel"/>
    <w:tmpl w:val="9A9A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7E16645D"/>
    <w:multiLevelType w:val="multilevel"/>
    <w:tmpl w:val="3A2E679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37" w15:restartNumberingAfterBreak="0">
    <w:nsid w:val="7EA851B2"/>
    <w:multiLevelType w:val="hybridMultilevel"/>
    <w:tmpl w:val="A056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7EE31BA9"/>
    <w:multiLevelType w:val="hybridMultilevel"/>
    <w:tmpl w:val="FDCE8C74"/>
    <w:lvl w:ilvl="0" w:tplc="CB589BC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7EE31CDF"/>
    <w:multiLevelType w:val="multilevel"/>
    <w:tmpl w:val="8772A5D6"/>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0" w15:restartNumberingAfterBreak="0">
    <w:nsid w:val="7F4E3782"/>
    <w:multiLevelType w:val="hybridMultilevel"/>
    <w:tmpl w:val="70E67FC0"/>
    <w:lvl w:ilvl="0" w:tplc="B66253E8">
      <w:start w:val="1"/>
      <w:numFmt w:val="bullet"/>
      <w:lvlText w:val="-"/>
      <w:lvlJc w:val="left"/>
      <w:pPr>
        <w:ind w:left="720" w:hanging="360"/>
      </w:pPr>
      <w:rPr>
        <w:rFonts w:ascii="Courier New" w:hAnsi="Courier New" w:hint="default"/>
      </w:rPr>
    </w:lvl>
    <w:lvl w:ilvl="1" w:tplc="770A29BC" w:tentative="1">
      <w:start w:val="1"/>
      <w:numFmt w:val="bullet"/>
      <w:lvlText w:val="o"/>
      <w:lvlJc w:val="left"/>
      <w:pPr>
        <w:ind w:left="1440" w:hanging="360"/>
      </w:pPr>
      <w:rPr>
        <w:rFonts w:ascii="Courier New" w:hAnsi="Courier New" w:cs="Courier New" w:hint="default"/>
      </w:rPr>
    </w:lvl>
    <w:lvl w:ilvl="2" w:tplc="824E843A" w:tentative="1">
      <w:start w:val="1"/>
      <w:numFmt w:val="bullet"/>
      <w:lvlText w:val=""/>
      <w:lvlJc w:val="left"/>
      <w:pPr>
        <w:ind w:left="2160" w:hanging="360"/>
      </w:pPr>
      <w:rPr>
        <w:rFonts w:ascii="Wingdings" w:hAnsi="Wingdings" w:hint="default"/>
      </w:rPr>
    </w:lvl>
    <w:lvl w:ilvl="3" w:tplc="43C2D8E0" w:tentative="1">
      <w:start w:val="1"/>
      <w:numFmt w:val="bullet"/>
      <w:lvlText w:val=""/>
      <w:lvlJc w:val="left"/>
      <w:pPr>
        <w:ind w:left="2880" w:hanging="360"/>
      </w:pPr>
      <w:rPr>
        <w:rFonts w:ascii="Symbol" w:hAnsi="Symbol" w:hint="default"/>
      </w:rPr>
    </w:lvl>
    <w:lvl w:ilvl="4" w:tplc="99946CCE" w:tentative="1">
      <w:start w:val="1"/>
      <w:numFmt w:val="bullet"/>
      <w:lvlText w:val="o"/>
      <w:lvlJc w:val="left"/>
      <w:pPr>
        <w:ind w:left="3600" w:hanging="360"/>
      </w:pPr>
      <w:rPr>
        <w:rFonts w:ascii="Courier New" w:hAnsi="Courier New" w:cs="Courier New" w:hint="default"/>
      </w:rPr>
    </w:lvl>
    <w:lvl w:ilvl="5" w:tplc="7F0C6338" w:tentative="1">
      <w:start w:val="1"/>
      <w:numFmt w:val="bullet"/>
      <w:lvlText w:val=""/>
      <w:lvlJc w:val="left"/>
      <w:pPr>
        <w:ind w:left="4320" w:hanging="360"/>
      </w:pPr>
      <w:rPr>
        <w:rFonts w:ascii="Wingdings" w:hAnsi="Wingdings" w:hint="default"/>
      </w:rPr>
    </w:lvl>
    <w:lvl w:ilvl="6" w:tplc="E0025DC4" w:tentative="1">
      <w:start w:val="1"/>
      <w:numFmt w:val="bullet"/>
      <w:lvlText w:val=""/>
      <w:lvlJc w:val="left"/>
      <w:pPr>
        <w:ind w:left="5040" w:hanging="360"/>
      </w:pPr>
      <w:rPr>
        <w:rFonts w:ascii="Symbol" w:hAnsi="Symbol" w:hint="default"/>
      </w:rPr>
    </w:lvl>
    <w:lvl w:ilvl="7" w:tplc="8D5C754E" w:tentative="1">
      <w:start w:val="1"/>
      <w:numFmt w:val="bullet"/>
      <w:lvlText w:val="o"/>
      <w:lvlJc w:val="left"/>
      <w:pPr>
        <w:ind w:left="5760" w:hanging="360"/>
      </w:pPr>
      <w:rPr>
        <w:rFonts w:ascii="Courier New" w:hAnsi="Courier New" w:cs="Courier New" w:hint="default"/>
      </w:rPr>
    </w:lvl>
    <w:lvl w:ilvl="8" w:tplc="939AFDD0" w:tentative="1">
      <w:start w:val="1"/>
      <w:numFmt w:val="bullet"/>
      <w:lvlText w:val=""/>
      <w:lvlJc w:val="left"/>
      <w:pPr>
        <w:ind w:left="6480" w:hanging="360"/>
      </w:pPr>
      <w:rPr>
        <w:rFonts w:ascii="Wingdings" w:hAnsi="Wingdings" w:hint="default"/>
      </w:rPr>
    </w:lvl>
  </w:abstractNum>
  <w:abstractNum w:abstractNumId="441" w15:restartNumberingAfterBreak="0">
    <w:nsid w:val="7F6F202A"/>
    <w:multiLevelType w:val="hybridMultilevel"/>
    <w:tmpl w:val="6A58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7FA10815"/>
    <w:multiLevelType w:val="hybridMultilevel"/>
    <w:tmpl w:val="893EBA5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FEB221C"/>
    <w:multiLevelType w:val="hybridMultilevel"/>
    <w:tmpl w:val="96D00D9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0"/>
  </w:num>
  <w:num w:numId="2">
    <w:abstractNumId w:val="401"/>
  </w:num>
  <w:num w:numId="3">
    <w:abstractNumId w:val="253"/>
  </w:num>
  <w:num w:numId="4">
    <w:abstractNumId w:val="376"/>
  </w:num>
  <w:num w:numId="5">
    <w:abstractNumId w:val="359"/>
  </w:num>
  <w:num w:numId="6">
    <w:abstractNumId w:val="107"/>
  </w:num>
  <w:num w:numId="7">
    <w:abstractNumId w:val="297"/>
  </w:num>
  <w:num w:numId="8">
    <w:abstractNumId w:val="59"/>
  </w:num>
  <w:num w:numId="9">
    <w:abstractNumId w:val="434"/>
  </w:num>
  <w:num w:numId="10">
    <w:abstractNumId w:val="260"/>
  </w:num>
  <w:num w:numId="11">
    <w:abstractNumId w:val="47"/>
  </w:num>
  <w:num w:numId="12">
    <w:abstractNumId w:val="431"/>
  </w:num>
  <w:num w:numId="13">
    <w:abstractNumId w:val="176"/>
  </w:num>
  <w:num w:numId="14">
    <w:abstractNumId w:val="218"/>
  </w:num>
  <w:num w:numId="15">
    <w:abstractNumId w:val="392"/>
  </w:num>
  <w:num w:numId="16">
    <w:abstractNumId w:val="206"/>
  </w:num>
  <w:num w:numId="17">
    <w:abstractNumId w:val="374"/>
  </w:num>
  <w:num w:numId="18">
    <w:abstractNumId w:val="424"/>
  </w:num>
  <w:num w:numId="19">
    <w:abstractNumId w:val="153"/>
  </w:num>
  <w:num w:numId="20">
    <w:abstractNumId w:val="430"/>
  </w:num>
  <w:num w:numId="21">
    <w:abstractNumId w:val="316"/>
  </w:num>
  <w:num w:numId="22">
    <w:abstractNumId w:val="96"/>
  </w:num>
  <w:num w:numId="23">
    <w:abstractNumId w:val="122"/>
  </w:num>
  <w:num w:numId="24">
    <w:abstractNumId w:val="92"/>
  </w:num>
  <w:num w:numId="25">
    <w:abstractNumId w:val="166"/>
  </w:num>
  <w:num w:numId="26">
    <w:abstractNumId w:val="285"/>
  </w:num>
  <w:num w:numId="27">
    <w:abstractNumId w:val="384"/>
  </w:num>
  <w:num w:numId="28">
    <w:abstractNumId w:val="407"/>
  </w:num>
  <w:num w:numId="29">
    <w:abstractNumId w:val="46"/>
  </w:num>
  <w:num w:numId="30">
    <w:abstractNumId w:val="181"/>
  </w:num>
  <w:num w:numId="31">
    <w:abstractNumId w:val="265"/>
  </w:num>
  <w:num w:numId="32">
    <w:abstractNumId w:val="185"/>
  </w:num>
  <w:num w:numId="33">
    <w:abstractNumId w:val="393"/>
  </w:num>
  <w:num w:numId="34">
    <w:abstractNumId w:val="119"/>
  </w:num>
  <w:num w:numId="35">
    <w:abstractNumId w:val="120"/>
  </w:num>
  <w:num w:numId="36">
    <w:abstractNumId w:val="400"/>
  </w:num>
  <w:num w:numId="37">
    <w:abstractNumId w:val="380"/>
  </w:num>
  <w:num w:numId="38">
    <w:abstractNumId w:val="307"/>
  </w:num>
  <w:num w:numId="39">
    <w:abstractNumId w:val="303"/>
  </w:num>
  <w:num w:numId="40">
    <w:abstractNumId w:val="402"/>
  </w:num>
  <w:num w:numId="41">
    <w:abstractNumId w:val="233"/>
  </w:num>
  <w:num w:numId="42">
    <w:abstractNumId w:val="266"/>
  </w:num>
  <w:num w:numId="43">
    <w:abstractNumId w:val="9"/>
  </w:num>
  <w:num w:numId="44">
    <w:abstractNumId w:val="369"/>
  </w:num>
  <w:num w:numId="45">
    <w:abstractNumId w:val="173"/>
  </w:num>
  <w:num w:numId="46">
    <w:abstractNumId w:val="308"/>
  </w:num>
  <w:num w:numId="47">
    <w:abstractNumId w:val="245"/>
  </w:num>
  <w:num w:numId="48">
    <w:abstractNumId w:val="18"/>
  </w:num>
  <w:num w:numId="49">
    <w:abstractNumId w:val="204"/>
  </w:num>
  <w:num w:numId="50">
    <w:abstractNumId w:val="219"/>
  </w:num>
  <w:num w:numId="51">
    <w:abstractNumId w:val="99"/>
  </w:num>
  <w:num w:numId="52">
    <w:abstractNumId w:val="158"/>
  </w:num>
  <w:num w:numId="53">
    <w:abstractNumId w:val="38"/>
  </w:num>
  <w:num w:numId="54">
    <w:abstractNumId w:val="412"/>
  </w:num>
  <w:num w:numId="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1"/>
  </w:num>
  <w:num w:numId="57">
    <w:abstractNumId w:val="154"/>
  </w:num>
  <w:num w:numId="58">
    <w:abstractNumId w:val="404"/>
  </w:num>
  <w:num w:numId="59">
    <w:abstractNumId w:val="60"/>
  </w:num>
  <w:num w:numId="60">
    <w:abstractNumId w:val="97"/>
  </w:num>
  <w:num w:numId="61">
    <w:abstractNumId w:val="66"/>
  </w:num>
  <w:num w:numId="62">
    <w:abstractNumId w:val="30"/>
  </w:num>
  <w:num w:numId="63">
    <w:abstractNumId w:val="329"/>
  </w:num>
  <w:num w:numId="64">
    <w:abstractNumId w:val="91"/>
  </w:num>
  <w:num w:numId="65">
    <w:abstractNumId w:val="388"/>
  </w:num>
  <w:num w:numId="66">
    <w:abstractNumId w:val="387"/>
  </w:num>
  <w:num w:numId="67">
    <w:abstractNumId w:val="320"/>
  </w:num>
  <w:num w:numId="68">
    <w:abstractNumId w:val="44"/>
  </w:num>
  <w:num w:numId="69">
    <w:abstractNumId w:val="350"/>
  </w:num>
  <w:num w:numId="70">
    <w:abstractNumId w:val="287"/>
  </w:num>
  <w:num w:numId="71">
    <w:abstractNumId w:val="280"/>
  </w:num>
  <w:num w:numId="72">
    <w:abstractNumId w:val="257"/>
  </w:num>
  <w:num w:numId="73">
    <w:abstractNumId w:val="123"/>
  </w:num>
  <w:num w:numId="74">
    <w:abstractNumId w:val="339"/>
  </w:num>
  <w:num w:numId="75">
    <w:abstractNumId w:val="69"/>
  </w:num>
  <w:num w:numId="76">
    <w:abstractNumId w:val="54"/>
  </w:num>
  <w:num w:numId="77">
    <w:abstractNumId w:val="209"/>
  </w:num>
  <w:num w:numId="78">
    <w:abstractNumId w:val="340"/>
  </w:num>
  <w:num w:numId="79">
    <w:abstractNumId w:val="138"/>
  </w:num>
  <w:num w:numId="80">
    <w:abstractNumId w:val="363"/>
  </w:num>
  <w:num w:numId="81">
    <w:abstractNumId w:val="310"/>
  </w:num>
  <w:num w:numId="82">
    <w:abstractNumId w:val="378"/>
  </w:num>
  <w:num w:numId="83">
    <w:abstractNumId w:val="103"/>
  </w:num>
  <w:num w:numId="84">
    <w:abstractNumId w:val="236"/>
  </w:num>
  <w:num w:numId="85">
    <w:abstractNumId w:val="113"/>
  </w:num>
  <w:num w:numId="86">
    <w:abstractNumId w:val="136"/>
  </w:num>
  <w:num w:numId="87">
    <w:abstractNumId w:val="225"/>
  </w:num>
  <w:num w:numId="88">
    <w:abstractNumId w:val="277"/>
  </w:num>
  <w:num w:numId="89">
    <w:abstractNumId w:val="268"/>
  </w:num>
  <w:num w:numId="90">
    <w:abstractNumId w:val="300"/>
  </w:num>
  <w:num w:numId="91">
    <w:abstractNumId w:val="328"/>
  </w:num>
  <w:num w:numId="92">
    <w:abstractNumId w:val="40"/>
  </w:num>
  <w:num w:numId="93">
    <w:abstractNumId w:val="37"/>
  </w:num>
  <w:num w:numId="94">
    <w:abstractNumId w:val="62"/>
  </w:num>
  <w:num w:numId="95">
    <w:abstractNumId w:val="259"/>
  </w:num>
  <w:num w:numId="96">
    <w:abstractNumId w:val="377"/>
  </w:num>
  <w:num w:numId="97">
    <w:abstractNumId w:val="145"/>
  </w:num>
  <w:num w:numId="98">
    <w:abstractNumId w:val="306"/>
  </w:num>
  <w:num w:numId="99">
    <w:abstractNumId w:val="366"/>
  </w:num>
  <w:num w:numId="100">
    <w:abstractNumId w:val="135"/>
  </w:num>
  <w:num w:numId="101">
    <w:abstractNumId w:val="305"/>
  </w:num>
  <w:num w:numId="102">
    <w:abstractNumId w:val="293"/>
  </w:num>
  <w:num w:numId="103">
    <w:abstractNumId w:val="406"/>
  </w:num>
  <w:num w:numId="104">
    <w:abstractNumId w:val="148"/>
  </w:num>
  <w:num w:numId="105">
    <w:abstractNumId w:val="24"/>
  </w:num>
  <w:num w:numId="106">
    <w:abstractNumId w:val="201"/>
  </w:num>
  <w:num w:numId="107">
    <w:abstractNumId w:val="27"/>
  </w:num>
  <w:num w:numId="108">
    <w:abstractNumId w:val="191"/>
  </w:num>
  <w:num w:numId="109">
    <w:abstractNumId w:val="314"/>
  </w:num>
  <w:num w:numId="110">
    <w:abstractNumId w:val="414"/>
  </w:num>
  <w:num w:numId="111">
    <w:abstractNumId w:val="117"/>
  </w:num>
  <w:num w:numId="112">
    <w:abstractNumId w:val="106"/>
  </w:num>
  <w:num w:numId="113">
    <w:abstractNumId w:val="240"/>
  </w:num>
  <w:num w:numId="114">
    <w:abstractNumId w:val="440"/>
  </w:num>
  <w:num w:numId="115">
    <w:abstractNumId w:val="324"/>
  </w:num>
  <w:num w:numId="116">
    <w:abstractNumId w:val="354"/>
  </w:num>
  <w:num w:numId="117">
    <w:abstractNumId w:val="270"/>
  </w:num>
  <w:num w:numId="118">
    <w:abstractNumId w:val="194"/>
  </w:num>
  <w:num w:numId="119">
    <w:abstractNumId w:val="50"/>
  </w:num>
  <w:num w:numId="120">
    <w:abstractNumId w:val="394"/>
  </w:num>
  <w:num w:numId="121">
    <w:abstractNumId w:val="237"/>
  </w:num>
  <w:num w:numId="122">
    <w:abstractNumId w:val="186"/>
  </w:num>
  <w:num w:numId="123">
    <w:abstractNumId w:val="189"/>
  </w:num>
  <w:num w:numId="124">
    <w:abstractNumId w:val="115"/>
  </w:num>
  <w:num w:numId="125">
    <w:abstractNumId w:val="399"/>
  </w:num>
  <w:num w:numId="126">
    <w:abstractNumId w:val="82"/>
  </w:num>
  <w:num w:numId="127">
    <w:abstractNumId w:val="53"/>
  </w:num>
  <w:num w:numId="128">
    <w:abstractNumId w:val="427"/>
  </w:num>
  <w:num w:numId="129">
    <w:abstractNumId w:val="155"/>
  </w:num>
  <w:num w:numId="130">
    <w:abstractNumId w:val="86"/>
  </w:num>
  <w:num w:numId="131">
    <w:abstractNumId w:val="396"/>
  </w:num>
  <w:num w:numId="132">
    <w:abstractNumId w:val="134"/>
  </w:num>
  <w:num w:numId="133">
    <w:abstractNumId w:val="326"/>
  </w:num>
  <w:num w:numId="134">
    <w:abstractNumId w:val="319"/>
  </w:num>
  <w:num w:numId="135">
    <w:abstractNumId w:val="36"/>
  </w:num>
  <w:num w:numId="136">
    <w:abstractNumId w:val="385"/>
  </w:num>
  <w:num w:numId="137">
    <w:abstractNumId w:val="162"/>
  </w:num>
  <w:num w:numId="138">
    <w:abstractNumId w:val="397"/>
  </w:num>
  <w:num w:numId="139">
    <w:abstractNumId w:val="362"/>
  </w:num>
  <w:num w:numId="140">
    <w:abstractNumId w:val="279"/>
  </w:num>
  <w:num w:numId="141">
    <w:abstractNumId w:val="42"/>
  </w:num>
  <w:num w:numId="142">
    <w:abstractNumId w:val="232"/>
  </w:num>
  <w:num w:numId="143">
    <w:abstractNumId w:val="312"/>
  </w:num>
  <w:num w:numId="144">
    <w:abstractNumId w:val="411"/>
  </w:num>
  <w:num w:numId="145">
    <w:abstractNumId w:val="410"/>
  </w:num>
  <w:num w:numId="146">
    <w:abstractNumId w:val="178"/>
  </w:num>
  <w:num w:numId="147">
    <w:abstractNumId w:val="422"/>
  </w:num>
  <w:num w:numId="148">
    <w:abstractNumId w:val="419"/>
  </w:num>
  <w:num w:numId="149">
    <w:abstractNumId w:val="334"/>
  </w:num>
  <w:num w:numId="150">
    <w:abstractNumId w:val="381"/>
  </w:num>
  <w:num w:numId="151">
    <w:abstractNumId w:val="436"/>
  </w:num>
  <w:num w:numId="152">
    <w:abstractNumId w:val="65"/>
  </w:num>
  <w:num w:numId="153">
    <w:abstractNumId w:val="442"/>
  </w:num>
  <w:num w:numId="154">
    <w:abstractNumId w:val="367"/>
  </w:num>
  <w:num w:numId="155">
    <w:abstractNumId w:val="212"/>
  </w:num>
  <w:num w:numId="156">
    <w:abstractNumId w:val="228"/>
  </w:num>
  <w:num w:numId="157">
    <w:abstractNumId w:val="365"/>
  </w:num>
  <w:num w:numId="158">
    <w:abstractNumId w:val="258"/>
  </w:num>
  <w:num w:numId="159">
    <w:abstractNumId w:val="349"/>
  </w:num>
  <w:num w:numId="160">
    <w:abstractNumId w:val="28"/>
  </w:num>
  <w:num w:numId="161">
    <w:abstractNumId w:val="214"/>
  </w:num>
  <w:num w:numId="162">
    <w:abstractNumId w:val="171"/>
  </w:num>
  <w:num w:numId="163">
    <w:abstractNumId w:val="443"/>
  </w:num>
  <w:num w:numId="164">
    <w:abstractNumId w:val="309"/>
  </w:num>
  <w:num w:numId="165">
    <w:abstractNumId w:val="140"/>
  </w:num>
  <w:num w:numId="166">
    <w:abstractNumId w:val="144"/>
  </w:num>
  <w:num w:numId="167">
    <w:abstractNumId w:val="188"/>
  </w:num>
  <w:num w:numId="168">
    <w:abstractNumId w:val="432"/>
  </w:num>
  <w:num w:numId="169">
    <w:abstractNumId w:val="32"/>
  </w:num>
  <w:num w:numId="170">
    <w:abstractNumId w:val="170"/>
  </w:num>
  <w:num w:numId="171">
    <w:abstractNumId w:val="105"/>
  </w:num>
  <w:num w:numId="172">
    <w:abstractNumId w:val="22"/>
  </w:num>
  <w:num w:numId="173">
    <w:abstractNumId w:val="184"/>
  </w:num>
  <w:num w:numId="174">
    <w:abstractNumId w:val="210"/>
  </w:num>
  <w:num w:numId="175">
    <w:abstractNumId w:val="58"/>
  </w:num>
  <w:num w:numId="176">
    <w:abstractNumId w:val="15"/>
  </w:num>
  <w:num w:numId="177">
    <w:abstractNumId w:val="110"/>
  </w:num>
  <w:num w:numId="178">
    <w:abstractNumId w:val="263"/>
  </w:num>
  <w:num w:numId="179">
    <w:abstractNumId w:val="45"/>
  </w:num>
  <w:num w:numId="180">
    <w:abstractNumId w:val="199"/>
  </w:num>
  <w:num w:numId="181">
    <w:abstractNumId w:val="35"/>
  </w:num>
  <w:num w:numId="182">
    <w:abstractNumId w:val="141"/>
  </w:num>
  <w:num w:numId="183">
    <w:abstractNumId w:val="358"/>
  </w:num>
  <w:num w:numId="184">
    <w:abstractNumId w:val="327"/>
  </w:num>
  <w:num w:numId="185">
    <w:abstractNumId w:val="63"/>
  </w:num>
  <w:num w:numId="186">
    <w:abstractNumId w:val="251"/>
  </w:num>
  <w:num w:numId="187">
    <w:abstractNumId w:val="165"/>
  </w:num>
  <w:num w:numId="188">
    <w:abstractNumId w:val="429"/>
  </w:num>
  <w:num w:numId="189">
    <w:abstractNumId w:val="343"/>
  </w:num>
  <w:num w:numId="190">
    <w:abstractNumId w:val="19"/>
  </w:num>
  <w:num w:numId="191">
    <w:abstractNumId w:val="368"/>
  </w:num>
  <w:num w:numId="192">
    <w:abstractNumId w:val="174"/>
  </w:num>
  <w:num w:numId="193">
    <w:abstractNumId w:val="423"/>
  </w:num>
  <w:num w:numId="194">
    <w:abstractNumId w:val="75"/>
  </w:num>
  <w:num w:numId="195">
    <w:abstractNumId w:val="29"/>
  </w:num>
  <w:num w:numId="196">
    <w:abstractNumId w:val="231"/>
  </w:num>
  <w:num w:numId="197">
    <w:abstractNumId w:val="241"/>
  </w:num>
  <w:num w:numId="198">
    <w:abstractNumId w:val="104"/>
  </w:num>
  <w:num w:numId="199">
    <w:abstractNumId w:val="250"/>
  </w:num>
  <w:num w:numId="200">
    <w:abstractNumId w:val="289"/>
  </w:num>
  <w:num w:numId="201">
    <w:abstractNumId w:val="78"/>
  </w:num>
  <w:num w:numId="202">
    <w:abstractNumId w:val="88"/>
  </w:num>
  <w:num w:numId="203">
    <w:abstractNumId w:val="382"/>
  </w:num>
  <w:num w:numId="204">
    <w:abstractNumId w:val="337"/>
  </w:num>
  <w:num w:numId="205">
    <w:abstractNumId w:val="51"/>
  </w:num>
  <w:num w:numId="206">
    <w:abstractNumId w:val="41"/>
  </w:num>
  <w:num w:numId="207">
    <w:abstractNumId w:val="428"/>
  </w:num>
  <w:num w:numId="208">
    <w:abstractNumId w:val="242"/>
  </w:num>
  <w:num w:numId="209">
    <w:abstractNumId w:val="304"/>
  </w:num>
  <w:num w:numId="210">
    <w:abstractNumId w:val="357"/>
  </w:num>
  <w:num w:numId="211">
    <w:abstractNumId w:val="269"/>
  </w:num>
  <w:num w:numId="212">
    <w:abstractNumId w:val="290"/>
  </w:num>
  <w:num w:numId="213">
    <w:abstractNumId w:val="372"/>
  </w:num>
  <w:num w:numId="214">
    <w:abstractNumId w:val="196"/>
  </w:num>
  <w:num w:numId="215">
    <w:abstractNumId w:val="177"/>
  </w:num>
  <w:num w:numId="216">
    <w:abstractNumId w:val="370"/>
  </w:num>
  <w:num w:numId="217">
    <w:abstractNumId w:val="235"/>
  </w:num>
  <w:num w:numId="218">
    <w:abstractNumId w:val="418"/>
  </w:num>
  <w:num w:numId="219">
    <w:abstractNumId w:val="67"/>
  </w:num>
  <w:num w:numId="220">
    <w:abstractNumId w:val="221"/>
  </w:num>
  <w:num w:numId="221">
    <w:abstractNumId w:val="435"/>
  </w:num>
  <w:num w:numId="222">
    <w:abstractNumId w:val="207"/>
  </w:num>
  <w:num w:numId="223">
    <w:abstractNumId w:val="262"/>
  </w:num>
  <w:num w:numId="224">
    <w:abstractNumId w:val="278"/>
  </w:num>
  <w:num w:numId="225">
    <w:abstractNumId w:val="239"/>
  </w:num>
  <w:num w:numId="226">
    <w:abstractNumId w:val="325"/>
  </w:num>
  <w:num w:numId="227">
    <w:abstractNumId w:val="373"/>
  </w:num>
  <w:num w:numId="228">
    <w:abstractNumId w:val="284"/>
  </w:num>
  <w:num w:numId="229">
    <w:abstractNumId w:val="313"/>
  </w:num>
  <w:num w:numId="230">
    <w:abstractNumId w:val="89"/>
  </w:num>
  <w:num w:numId="231">
    <w:abstractNumId w:val="80"/>
  </w:num>
  <w:num w:numId="232">
    <w:abstractNumId w:val="198"/>
  </w:num>
  <w:num w:numId="233">
    <w:abstractNumId w:val="142"/>
  </w:num>
  <w:num w:numId="234">
    <w:abstractNumId w:val="341"/>
  </w:num>
  <w:num w:numId="235">
    <w:abstractNumId w:val="95"/>
  </w:num>
  <w:num w:numId="236">
    <w:abstractNumId w:val="26"/>
  </w:num>
  <w:num w:numId="237">
    <w:abstractNumId w:val="238"/>
  </w:num>
  <w:num w:numId="238">
    <w:abstractNumId w:val="139"/>
  </w:num>
  <w:num w:numId="239">
    <w:abstractNumId w:val="275"/>
  </w:num>
  <w:num w:numId="240">
    <w:abstractNumId w:val="222"/>
  </w:num>
  <w:num w:numId="241">
    <w:abstractNumId w:val="31"/>
  </w:num>
  <w:num w:numId="242">
    <w:abstractNumId w:val="197"/>
  </w:num>
  <w:num w:numId="243">
    <w:abstractNumId w:val="361"/>
  </w:num>
  <w:num w:numId="244">
    <w:abstractNumId w:val="143"/>
  </w:num>
  <w:num w:numId="245">
    <w:abstractNumId w:val="415"/>
  </w:num>
  <w:num w:numId="246">
    <w:abstractNumId w:val="203"/>
  </w:num>
  <w:num w:numId="247">
    <w:abstractNumId w:val="83"/>
  </w:num>
  <w:num w:numId="248">
    <w:abstractNumId w:val="345"/>
  </w:num>
  <w:num w:numId="249">
    <w:abstractNumId w:val="164"/>
  </w:num>
  <w:num w:numId="250">
    <w:abstractNumId w:val="163"/>
  </w:num>
  <w:num w:numId="251">
    <w:abstractNumId w:val="215"/>
  </w:num>
  <w:num w:numId="252">
    <w:abstractNumId w:val="205"/>
  </w:num>
  <w:num w:numId="253">
    <w:abstractNumId w:val="274"/>
  </w:num>
  <w:num w:numId="254">
    <w:abstractNumId w:val="49"/>
  </w:num>
  <w:num w:numId="255">
    <w:abstractNumId w:val="322"/>
  </w:num>
  <w:num w:numId="256">
    <w:abstractNumId w:val="295"/>
  </w:num>
  <w:num w:numId="257">
    <w:abstractNumId w:val="227"/>
  </w:num>
  <w:num w:numId="258">
    <w:abstractNumId w:val="360"/>
  </w:num>
  <w:num w:numId="259">
    <w:abstractNumId w:val="159"/>
    <w:lvlOverride w:ilvl="0">
      <w:startOverride w:val="2"/>
      <w:lvl w:ilvl="0" w:tplc="E5DA9FB8">
        <w:start w:val="2"/>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AE5474">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AEA9D0">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A80582">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EAAC5E">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768476">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B0834E4">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81A6F7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768BB9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0">
    <w:abstractNumId w:val="14"/>
  </w:num>
  <w:num w:numId="261">
    <w:abstractNumId w:val="16"/>
  </w:num>
  <w:num w:numId="262">
    <w:abstractNumId w:val="13"/>
  </w:num>
  <w:num w:numId="263">
    <w:abstractNumId w:val="137"/>
  </w:num>
  <w:num w:numId="264">
    <w:abstractNumId w:val="256"/>
  </w:num>
  <w:num w:numId="265">
    <w:abstractNumId w:val="77"/>
  </w:num>
  <w:num w:numId="266">
    <w:abstractNumId w:val="335"/>
  </w:num>
  <w:num w:numId="267">
    <w:abstractNumId w:val="403"/>
  </w:num>
  <w:num w:numId="268">
    <w:abstractNumId w:val="249"/>
  </w:num>
  <w:num w:numId="269">
    <w:abstractNumId w:val="273"/>
  </w:num>
  <w:num w:numId="270">
    <w:abstractNumId w:val="317"/>
  </w:num>
  <w:num w:numId="271">
    <w:abstractNumId w:val="386"/>
  </w:num>
  <w:num w:numId="272">
    <w:abstractNumId w:val="12"/>
  </w:num>
  <w:num w:numId="273">
    <w:abstractNumId w:val="281"/>
  </w:num>
  <w:num w:numId="274">
    <w:abstractNumId w:val="133"/>
  </w:num>
  <w:num w:numId="275">
    <w:abstractNumId w:val="150"/>
  </w:num>
  <w:num w:numId="276">
    <w:abstractNumId w:val="208"/>
  </w:num>
  <w:num w:numId="277">
    <w:abstractNumId w:val="347"/>
  </w:num>
  <w:num w:numId="278">
    <w:abstractNumId w:val="70"/>
  </w:num>
  <w:num w:numId="279">
    <w:abstractNumId w:val="389"/>
  </w:num>
  <w:num w:numId="280">
    <w:abstractNumId w:val="375"/>
  </w:num>
  <w:num w:numId="281">
    <w:abstractNumId w:val="286"/>
  </w:num>
  <w:num w:numId="282">
    <w:abstractNumId w:val="101"/>
  </w:num>
  <w:num w:numId="283">
    <w:abstractNumId w:val="338"/>
  </w:num>
  <w:num w:numId="284">
    <w:abstractNumId w:val="299"/>
  </w:num>
  <w:num w:numId="285">
    <w:abstractNumId w:val="318"/>
  </w:num>
  <w:num w:numId="286">
    <w:abstractNumId w:val="68"/>
  </w:num>
  <w:num w:numId="287">
    <w:abstractNumId w:val="351"/>
  </w:num>
  <w:num w:numId="288">
    <w:abstractNumId w:val="187"/>
  </w:num>
  <w:num w:numId="289">
    <w:abstractNumId w:val="223"/>
  </w:num>
  <w:num w:numId="290">
    <w:abstractNumId w:val="195"/>
  </w:num>
  <w:num w:numId="291">
    <w:abstractNumId w:val="131"/>
  </w:num>
  <w:num w:numId="292">
    <w:abstractNumId w:val="43"/>
  </w:num>
  <w:num w:numId="293">
    <w:abstractNumId w:val="57"/>
  </w:num>
  <w:num w:numId="294">
    <w:abstractNumId w:val="416"/>
  </w:num>
  <w:num w:numId="295">
    <w:abstractNumId w:val="356"/>
  </w:num>
  <w:num w:numId="296">
    <w:abstractNumId w:val="348"/>
  </w:num>
  <w:num w:numId="297">
    <w:abstractNumId w:val="220"/>
  </w:num>
  <w:num w:numId="298">
    <w:abstractNumId w:val="433"/>
  </w:num>
  <w:num w:numId="299">
    <w:abstractNumId w:val="100"/>
  </w:num>
  <w:num w:numId="300">
    <w:abstractNumId w:val="311"/>
  </w:num>
  <w:num w:numId="301">
    <w:abstractNumId w:val="302"/>
  </w:num>
  <w:num w:numId="302">
    <w:abstractNumId w:val="264"/>
  </w:num>
  <w:num w:numId="303">
    <w:abstractNumId w:val="193"/>
  </w:num>
  <w:num w:numId="304">
    <w:abstractNumId w:val="254"/>
  </w:num>
  <w:num w:numId="305">
    <w:abstractNumId w:val="283"/>
  </w:num>
  <w:num w:numId="306">
    <w:abstractNumId w:val="243"/>
  </w:num>
  <w:num w:numId="307">
    <w:abstractNumId w:val="160"/>
  </w:num>
  <w:num w:numId="308">
    <w:abstractNumId w:val="25"/>
  </w:num>
  <w:num w:numId="309">
    <w:abstractNumId w:val="229"/>
  </w:num>
  <w:num w:numId="310">
    <w:abstractNumId w:val="216"/>
  </w:num>
  <w:num w:numId="311">
    <w:abstractNumId w:val="383"/>
  </w:num>
  <w:num w:numId="312">
    <w:abstractNumId w:val="85"/>
  </w:num>
  <w:num w:numId="313">
    <w:abstractNumId w:val="405"/>
  </w:num>
  <w:num w:numId="314">
    <w:abstractNumId w:val="129"/>
  </w:num>
  <w:num w:numId="315">
    <w:abstractNumId w:val="161"/>
  </w:num>
  <w:num w:numId="316">
    <w:abstractNumId w:val="20"/>
  </w:num>
  <w:num w:numId="317">
    <w:abstractNumId w:val="371"/>
  </w:num>
  <w:num w:numId="318">
    <w:abstractNumId w:val="391"/>
  </w:num>
  <w:num w:numId="319">
    <w:abstractNumId w:val="413"/>
  </w:num>
  <w:num w:numId="320">
    <w:abstractNumId w:val="156"/>
  </w:num>
  <w:num w:numId="321">
    <w:abstractNumId w:val="127"/>
  </w:num>
  <w:num w:numId="322">
    <w:abstractNumId w:val="11"/>
  </w:num>
  <w:num w:numId="323">
    <w:abstractNumId w:val="192"/>
  </w:num>
  <w:num w:numId="324">
    <w:abstractNumId w:val="64"/>
  </w:num>
  <w:num w:numId="325">
    <w:abstractNumId w:val="379"/>
  </w:num>
  <w:num w:numId="326">
    <w:abstractNumId w:val="93"/>
  </w:num>
  <w:num w:numId="327">
    <w:abstractNumId w:val="149"/>
  </w:num>
  <w:num w:numId="328">
    <w:abstractNumId w:val="247"/>
  </w:num>
  <w:num w:numId="329">
    <w:abstractNumId w:val="125"/>
  </w:num>
  <w:num w:numId="330">
    <w:abstractNumId w:val="87"/>
  </w:num>
  <w:num w:numId="331">
    <w:abstractNumId w:val="439"/>
  </w:num>
  <w:num w:numId="332">
    <w:abstractNumId w:val="255"/>
  </w:num>
  <w:num w:numId="333">
    <w:abstractNumId w:val="98"/>
  </w:num>
  <w:num w:numId="334">
    <w:abstractNumId w:val="342"/>
  </w:num>
  <w:num w:numId="335">
    <w:abstractNumId w:val="118"/>
  </w:num>
  <w:num w:numId="336">
    <w:abstractNumId w:val="267"/>
  </w:num>
  <w:num w:numId="337">
    <w:abstractNumId w:val="294"/>
  </w:num>
  <w:num w:numId="338">
    <w:abstractNumId w:val="395"/>
  </w:num>
  <w:num w:numId="339">
    <w:abstractNumId w:val="168"/>
  </w:num>
  <w:num w:numId="340">
    <w:abstractNumId w:val="425"/>
  </w:num>
  <w:num w:numId="341">
    <w:abstractNumId w:val="124"/>
  </w:num>
  <w:num w:numId="342">
    <w:abstractNumId w:val="332"/>
  </w:num>
  <w:num w:numId="343">
    <w:abstractNumId w:val="179"/>
  </w:num>
  <w:num w:numId="344">
    <w:abstractNumId w:val="180"/>
  </w:num>
  <w:num w:numId="345">
    <w:abstractNumId w:val="230"/>
  </w:num>
  <w:num w:numId="346">
    <w:abstractNumId w:val="301"/>
  </w:num>
  <w:num w:numId="347">
    <w:abstractNumId w:val="438"/>
  </w:num>
  <w:num w:numId="348">
    <w:abstractNumId w:val="81"/>
  </w:num>
  <w:num w:numId="349">
    <w:abstractNumId w:val="128"/>
  </w:num>
  <w:num w:numId="350">
    <w:abstractNumId w:val="252"/>
  </w:num>
  <w:num w:numId="351">
    <w:abstractNumId w:val="352"/>
  </w:num>
  <w:num w:numId="352">
    <w:abstractNumId w:val="146"/>
  </w:num>
  <w:num w:numId="353">
    <w:abstractNumId w:val="213"/>
  </w:num>
  <w:num w:numId="354">
    <w:abstractNumId w:val="272"/>
  </w:num>
  <w:num w:numId="355">
    <w:abstractNumId w:val="55"/>
  </w:num>
  <w:num w:numId="356">
    <w:abstractNumId w:val="420"/>
  </w:num>
  <w:num w:numId="357">
    <w:abstractNumId w:val="323"/>
  </w:num>
  <w:num w:numId="358">
    <w:abstractNumId w:val="157"/>
  </w:num>
  <w:num w:numId="359">
    <w:abstractNumId w:val="437"/>
  </w:num>
  <w:num w:numId="360">
    <w:abstractNumId w:val="298"/>
  </w:num>
  <w:num w:numId="361">
    <w:abstractNumId w:val="79"/>
  </w:num>
  <w:num w:numId="362">
    <w:abstractNumId w:val="291"/>
  </w:num>
  <w:num w:numId="363">
    <w:abstractNumId w:val="292"/>
  </w:num>
  <w:num w:numId="364">
    <w:abstractNumId w:val="72"/>
  </w:num>
  <w:num w:numId="365">
    <w:abstractNumId w:val="441"/>
  </w:num>
  <w:num w:numId="366">
    <w:abstractNumId w:val="211"/>
  </w:num>
  <w:num w:numId="367">
    <w:abstractNumId w:val="108"/>
  </w:num>
  <w:num w:numId="368">
    <w:abstractNumId w:val="56"/>
  </w:num>
  <w:num w:numId="369">
    <w:abstractNumId w:val="261"/>
  </w:num>
  <w:num w:numId="370">
    <w:abstractNumId w:val="330"/>
  </w:num>
  <w:num w:numId="371">
    <w:abstractNumId w:val="23"/>
  </w:num>
  <w:num w:numId="372">
    <w:abstractNumId w:val="224"/>
  </w:num>
  <w:num w:numId="373">
    <w:abstractNumId w:val="116"/>
  </w:num>
  <w:num w:numId="374">
    <w:abstractNumId w:val="102"/>
  </w:num>
  <w:num w:numId="375">
    <w:abstractNumId w:val="10"/>
  </w:num>
  <w:num w:numId="376">
    <w:abstractNumId w:val="202"/>
  </w:num>
  <w:num w:numId="377">
    <w:abstractNumId w:val="353"/>
  </w:num>
  <w:num w:numId="378">
    <w:abstractNumId w:val="333"/>
  </w:num>
  <w:num w:numId="379">
    <w:abstractNumId w:val="246"/>
  </w:num>
  <w:num w:numId="380">
    <w:abstractNumId w:val="52"/>
  </w:num>
  <w:num w:numId="381">
    <w:abstractNumId w:val="426"/>
  </w:num>
  <w:num w:numId="382">
    <w:abstractNumId w:val="248"/>
  </w:num>
  <w:num w:numId="383">
    <w:abstractNumId w:val="408"/>
  </w:num>
  <w:num w:numId="384">
    <w:abstractNumId w:val="296"/>
  </w:num>
  <w:num w:numId="385">
    <w:abstractNumId w:val="152"/>
  </w:num>
  <w:num w:numId="386">
    <w:abstractNumId w:val="217"/>
  </w:num>
  <w:num w:numId="387">
    <w:abstractNumId w:val="74"/>
  </w:num>
  <w:num w:numId="388">
    <w:abstractNumId w:val="132"/>
  </w:num>
  <w:num w:numId="389">
    <w:abstractNumId w:val="346"/>
  </w:num>
  <w:num w:numId="390">
    <w:abstractNumId w:val="71"/>
  </w:num>
  <w:num w:numId="391">
    <w:abstractNumId w:val="417"/>
  </w:num>
  <w:num w:numId="392">
    <w:abstractNumId w:val="109"/>
  </w:num>
  <w:num w:numId="393">
    <w:abstractNumId w:val="421"/>
  </w:num>
  <w:num w:numId="394">
    <w:abstractNumId w:val="183"/>
  </w:num>
  <w:num w:numId="395">
    <w:abstractNumId w:val="172"/>
  </w:num>
  <w:num w:numId="396">
    <w:abstractNumId w:val="130"/>
  </w:num>
  <w:num w:numId="397">
    <w:abstractNumId w:val="17"/>
  </w:num>
  <w:num w:numId="398">
    <w:abstractNumId w:val="76"/>
  </w:num>
  <w:num w:numId="399">
    <w:abstractNumId w:val="111"/>
  </w:num>
  <w:num w:numId="400">
    <w:abstractNumId w:val="48"/>
  </w:num>
  <w:num w:numId="401">
    <w:abstractNumId w:val="94"/>
  </w:num>
  <w:num w:numId="402">
    <w:abstractNumId w:val="282"/>
  </w:num>
  <w:num w:numId="403">
    <w:abstractNumId w:val="364"/>
  </w:num>
  <w:num w:numId="404">
    <w:abstractNumId w:val="398"/>
  </w:num>
  <w:num w:numId="405">
    <w:abstractNumId w:val="39"/>
  </w:num>
  <w:num w:numId="406">
    <w:abstractNumId w:val="321"/>
  </w:num>
  <w:num w:numId="407">
    <w:abstractNumId w:val="112"/>
  </w:num>
  <w:num w:numId="408">
    <w:abstractNumId w:val="167"/>
  </w:num>
  <w:num w:numId="409">
    <w:abstractNumId w:val="271"/>
  </w:num>
  <w:num w:numId="410">
    <w:abstractNumId w:val="151"/>
  </w:num>
  <w:num w:numId="411">
    <w:abstractNumId w:val="409"/>
  </w:num>
  <w:num w:numId="412">
    <w:abstractNumId w:val="288"/>
  </w:num>
  <w:num w:numId="413">
    <w:abstractNumId w:val="21"/>
  </w:num>
  <w:num w:numId="414">
    <w:abstractNumId w:val="169"/>
  </w:num>
  <w:num w:numId="415">
    <w:abstractNumId w:val="182"/>
  </w:num>
  <w:num w:numId="416">
    <w:abstractNumId w:val="147"/>
  </w:num>
  <w:num w:numId="417">
    <w:abstractNumId w:val="90"/>
  </w:num>
  <w:num w:numId="418">
    <w:abstractNumId w:val="226"/>
  </w:num>
  <w:num w:numId="419">
    <w:abstractNumId w:val="114"/>
  </w:num>
  <w:num w:numId="420">
    <w:abstractNumId w:val="34"/>
  </w:num>
  <w:num w:numId="421">
    <w:abstractNumId w:val="126"/>
  </w:num>
  <w:num w:numId="422">
    <w:abstractNumId w:val="121"/>
  </w:num>
  <w:num w:numId="423">
    <w:abstractNumId w:val="276"/>
  </w:num>
  <w:num w:numId="424">
    <w:abstractNumId w:val="390"/>
  </w:num>
  <w:num w:numId="425">
    <w:abstractNumId w:val="61"/>
  </w:num>
  <w:num w:numId="426">
    <w:abstractNumId w:val="344"/>
  </w:num>
  <w:num w:numId="427">
    <w:abstractNumId w:val="315"/>
  </w:num>
  <w:num w:numId="428">
    <w:abstractNumId w:val="175"/>
  </w:num>
  <w:num w:numId="429">
    <w:abstractNumId w:val="355"/>
  </w:num>
  <w:num w:numId="430">
    <w:abstractNumId w:val="84"/>
  </w:num>
  <w:num w:numId="431">
    <w:abstractNumId w:val="190"/>
  </w:num>
  <w:num w:numId="432">
    <w:abstractNumId w:val="234"/>
  </w:num>
  <w:num w:numId="433">
    <w:abstractNumId w:val="244"/>
  </w:num>
  <w:num w:numId="434">
    <w:abstractNumId w:val="73"/>
  </w:num>
  <w:num w:numId="435">
    <w:abstractNumId w:val="33"/>
  </w:num>
  <w:num w:numId="436">
    <w:abstractNumId w:val="336"/>
  </w:num>
  <w:numIdMacAtCleanup w:val="4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23FA"/>
    <w:rsid w:val="000031AB"/>
    <w:rsid w:val="00005C31"/>
    <w:rsid w:val="00006444"/>
    <w:rsid w:val="000071BD"/>
    <w:rsid w:val="000103F8"/>
    <w:rsid w:val="00012646"/>
    <w:rsid w:val="0001482A"/>
    <w:rsid w:val="00015BD9"/>
    <w:rsid w:val="00015F45"/>
    <w:rsid w:val="00020C92"/>
    <w:rsid w:val="000220DA"/>
    <w:rsid w:val="0002346C"/>
    <w:rsid w:val="00025A68"/>
    <w:rsid w:val="00030D7E"/>
    <w:rsid w:val="000326F6"/>
    <w:rsid w:val="00033D06"/>
    <w:rsid w:val="0003558A"/>
    <w:rsid w:val="000368E1"/>
    <w:rsid w:val="000446DE"/>
    <w:rsid w:val="0005089D"/>
    <w:rsid w:val="00052F83"/>
    <w:rsid w:val="00054368"/>
    <w:rsid w:val="00057C04"/>
    <w:rsid w:val="00060942"/>
    <w:rsid w:val="000620D6"/>
    <w:rsid w:val="00063F2C"/>
    <w:rsid w:val="0006701A"/>
    <w:rsid w:val="00073F52"/>
    <w:rsid w:val="0008199C"/>
    <w:rsid w:val="0008237D"/>
    <w:rsid w:val="00083B52"/>
    <w:rsid w:val="00090693"/>
    <w:rsid w:val="0009279D"/>
    <w:rsid w:val="000947AB"/>
    <w:rsid w:val="0009597C"/>
    <w:rsid w:val="00096169"/>
    <w:rsid w:val="000A65D6"/>
    <w:rsid w:val="000B1D50"/>
    <w:rsid w:val="000C031B"/>
    <w:rsid w:val="000C091B"/>
    <w:rsid w:val="000C0BD4"/>
    <w:rsid w:val="000C1063"/>
    <w:rsid w:val="000C1C91"/>
    <w:rsid w:val="000C28F7"/>
    <w:rsid w:val="000C34F2"/>
    <w:rsid w:val="000C4B2F"/>
    <w:rsid w:val="000D0C44"/>
    <w:rsid w:val="000D3509"/>
    <w:rsid w:val="000D382A"/>
    <w:rsid w:val="000D4834"/>
    <w:rsid w:val="000E083C"/>
    <w:rsid w:val="000E1773"/>
    <w:rsid w:val="000E1C54"/>
    <w:rsid w:val="000E30FB"/>
    <w:rsid w:val="000E3A24"/>
    <w:rsid w:val="000E5697"/>
    <w:rsid w:val="000F1448"/>
    <w:rsid w:val="000F3041"/>
    <w:rsid w:val="00103011"/>
    <w:rsid w:val="0010504D"/>
    <w:rsid w:val="001075DA"/>
    <w:rsid w:val="00110086"/>
    <w:rsid w:val="00114F24"/>
    <w:rsid w:val="0012116F"/>
    <w:rsid w:val="0012230F"/>
    <w:rsid w:val="001237A1"/>
    <w:rsid w:val="00126C7A"/>
    <w:rsid w:val="00126E49"/>
    <w:rsid w:val="00127A22"/>
    <w:rsid w:val="00141F8A"/>
    <w:rsid w:val="0014252E"/>
    <w:rsid w:val="0014286D"/>
    <w:rsid w:val="00146BDC"/>
    <w:rsid w:val="00152CF3"/>
    <w:rsid w:val="00156B74"/>
    <w:rsid w:val="00157586"/>
    <w:rsid w:val="001628FB"/>
    <w:rsid w:val="00164AA7"/>
    <w:rsid w:val="00177472"/>
    <w:rsid w:val="00181D93"/>
    <w:rsid w:val="00182883"/>
    <w:rsid w:val="00185444"/>
    <w:rsid w:val="001878F4"/>
    <w:rsid w:val="00194979"/>
    <w:rsid w:val="0019773B"/>
    <w:rsid w:val="001A1F4E"/>
    <w:rsid w:val="001A7884"/>
    <w:rsid w:val="001A7F68"/>
    <w:rsid w:val="001B6E9E"/>
    <w:rsid w:val="001B799C"/>
    <w:rsid w:val="001C0A5A"/>
    <w:rsid w:val="001C152E"/>
    <w:rsid w:val="001C34B6"/>
    <w:rsid w:val="001D1F01"/>
    <w:rsid w:val="001D2164"/>
    <w:rsid w:val="001D66ED"/>
    <w:rsid w:val="001E2680"/>
    <w:rsid w:val="001E322D"/>
    <w:rsid w:val="001E5762"/>
    <w:rsid w:val="001E611A"/>
    <w:rsid w:val="001F010C"/>
    <w:rsid w:val="001F3C19"/>
    <w:rsid w:val="00205026"/>
    <w:rsid w:val="00207E86"/>
    <w:rsid w:val="00212B90"/>
    <w:rsid w:val="002211B0"/>
    <w:rsid w:val="0022348D"/>
    <w:rsid w:val="00224480"/>
    <w:rsid w:val="00224A4F"/>
    <w:rsid w:val="00226E40"/>
    <w:rsid w:val="002317E6"/>
    <w:rsid w:val="002378EC"/>
    <w:rsid w:val="00240DAE"/>
    <w:rsid w:val="00242F1D"/>
    <w:rsid w:val="00243A70"/>
    <w:rsid w:val="00243F35"/>
    <w:rsid w:val="00257E59"/>
    <w:rsid w:val="00263D10"/>
    <w:rsid w:val="00263D66"/>
    <w:rsid w:val="002646F3"/>
    <w:rsid w:val="002653FF"/>
    <w:rsid w:val="00270806"/>
    <w:rsid w:val="00270839"/>
    <w:rsid w:val="0027157D"/>
    <w:rsid w:val="00277337"/>
    <w:rsid w:val="00277873"/>
    <w:rsid w:val="00277B6D"/>
    <w:rsid w:val="002816DF"/>
    <w:rsid w:val="00282DDA"/>
    <w:rsid w:val="002845DD"/>
    <w:rsid w:val="00284CCE"/>
    <w:rsid w:val="00285262"/>
    <w:rsid w:val="00290950"/>
    <w:rsid w:val="002A69C8"/>
    <w:rsid w:val="002B13F8"/>
    <w:rsid w:val="002B4D9B"/>
    <w:rsid w:val="002C204E"/>
    <w:rsid w:val="002C2FE7"/>
    <w:rsid w:val="002C3486"/>
    <w:rsid w:val="002C529C"/>
    <w:rsid w:val="002D1DB0"/>
    <w:rsid w:val="002D4CD3"/>
    <w:rsid w:val="002D78B2"/>
    <w:rsid w:val="002E0594"/>
    <w:rsid w:val="002E0F58"/>
    <w:rsid w:val="002E1E69"/>
    <w:rsid w:val="002E28DF"/>
    <w:rsid w:val="002E39D1"/>
    <w:rsid w:val="002E3B4B"/>
    <w:rsid w:val="002E5591"/>
    <w:rsid w:val="002F1F5C"/>
    <w:rsid w:val="002F24A4"/>
    <w:rsid w:val="002F2AA1"/>
    <w:rsid w:val="002F306E"/>
    <w:rsid w:val="00300269"/>
    <w:rsid w:val="00301CF8"/>
    <w:rsid w:val="003064E4"/>
    <w:rsid w:val="00306FEC"/>
    <w:rsid w:val="00307DD1"/>
    <w:rsid w:val="003152E0"/>
    <w:rsid w:val="00322400"/>
    <w:rsid w:val="00323567"/>
    <w:rsid w:val="00335DB6"/>
    <w:rsid w:val="003361B5"/>
    <w:rsid w:val="003523C5"/>
    <w:rsid w:val="00352CA0"/>
    <w:rsid w:val="00352FAC"/>
    <w:rsid w:val="00353ACB"/>
    <w:rsid w:val="00356734"/>
    <w:rsid w:val="00357AEA"/>
    <w:rsid w:val="00357EF0"/>
    <w:rsid w:val="00361404"/>
    <w:rsid w:val="003712D7"/>
    <w:rsid w:val="00373FA2"/>
    <w:rsid w:val="00374080"/>
    <w:rsid w:val="003758F9"/>
    <w:rsid w:val="00375D98"/>
    <w:rsid w:val="00380B65"/>
    <w:rsid w:val="003821A3"/>
    <w:rsid w:val="003872F6"/>
    <w:rsid w:val="00387A45"/>
    <w:rsid w:val="00387A94"/>
    <w:rsid w:val="00387D2A"/>
    <w:rsid w:val="003905F4"/>
    <w:rsid w:val="00395F0D"/>
    <w:rsid w:val="00397BD4"/>
    <w:rsid w:val="003A1D40"/>
    <w:rsid w:val="003A20B3"/>
    <w:rsid w:val="003A2CAE"/>
    <w:rsid w:val="003A3EDE"/>
    <w:rsid w:val="003A4B26"/>
    <w:rsid w:val="003A7EB0"/>
    <w:rsid w:val="003B229D"/>
    <w:rsid w:val="003B335F"/>
    <w:rsid w:val="003C09BE"/>
    <w:rsid w:val="003C3F05"/>
    <w:rsid w:val="003D28E9"/>
    <w:rsid w:val="003D2A1B"/>
    <w:rsid w:val="003D31AA"/>
    <w:rsid w:val="003D3E28"/>
    <w:rsid w:val="003D45FD"/>
    <w:rsid w:val="003D5EC9"/>
    <w:rsid w:val="003D6AB0"/>
    <w:rsid w:val="003E084E"/>
    <w:rsid w:val="003E219A"/>
    <w:rsid w:val="003E397A"/>
    <w:rsid w:val="003E449D"/>
    <w:rsid w:val="003E53F3"/>
    <w:rsid w:val="003F5C10"/>
    <w:rsid w:val="003F7680"/>
    <w:rsid w:val="003F7B8B"/>
    <w:rsid w:val="004063D2"/>
    <w:rsid w:val="004071BD"/>
    <w:rsid w:val="00410685"/>
    <w:rsid w:val="00411917"/>
    <w:rsid w:val="004121B5"/>
    <w:rsid w:val="00413879"/>
    <w:rsid w:val="004141C1"/>
    <w:rsid w:val="00416A88"/>
    <w:rsid w:val="00420296"/>
    <w:rsid w:val="00422150"/>
    <w:rsid w:val="00425542"/>
    <w:rsid w:val="00432630"/>
    <w:rsid w:val="00436731"/>
    <w:rsid w:val="00443188"/>
    <w:rsid w:val="004446BA"/>
    <w:rsid w:val="0044604A"/>
    <w:rsid w:val="0044660C"/>
    <w:rsid w:val="00452BFC"/>
    <w:rsid w:val="004532A2"/>
    <w:rsid w:val="00453701"/>
    <w:rsid w:val="00456B0D"/>
    <w:rsid w:val="00460190"/>
    <w:rsid w:val="00462AA4"/>
    <w:rsid w:val="0046526C"/>
    <w:rsid w:val="00466342"/>
    <w:rsid w:val="00466B30"/>
    <w:rsid w:val="004726A6"/>
    <w:rsid w:val="0048013C"/>
    <w:rsid w:val="00482B6D"/>
    <w:rsid w:val="00486A0E"/>
    <w:rsid w:val="00491234"/>
    <w:rsid w:val="0049170F"/>
    <w:rsid w:val="004930FD"/>
    <w:rsid w:val="004934F7"/>
    <w:rsid w:val="00494565"/>
    <w:rsid w:val="00495726"/>
    <w:rsid w:val="00495DDE"/>
    <w:rsid w:val="00496505"/>
    <w:rsid w:val="00497797"/>
    <w:rsid w:val="00497CCF"/>
    <w:rsid w:val="004A1CE3"/>
    <w:rsid w:val="004A3DEF"/>
    <w:rsid w:val="004A6CD3"/>
    <w:rsid w:val="004B3049"/>
    <w:rsid w:val="004C5669"/>
    <w:rsid w:val="004C7EA2"/>
    <w:rsid w:val="004D2E26"/>
    <w:rsid w:val="004D3144"/>
    <w:rsid w:val="004D3C79"/>
    <w:rsid w:val="004D62D7"/>
    <w:rsid w:val="004D6729"/>
    <w:rsid w:val="004D7D9F"/>
    <w:rsid w:val="004E0A67"/>
    <w:rsid w:val="004E0C6D"/>
    <w:rsid w:val="004E4B20"/>
    <w:rsid w:val="004E5B2E"/>
    <w:rsid w:val="004E7783"/>
    <w:rsid w:val="004F52FA"/>
    <w:rsid w:val="004F587D"/>
    <w:rsid w:val="004F786E"/>
    <w:rsid w:val="0050106B"/>
    <w:rsid w:val="00502837"/>
    <w:rsid w:val="005116B2"/>
    <w:rsid w:val="005120AF"/>
    <w:rsid w:val="00512203"/>
    <w:rsid w:val="005124B3"/>
    <w:rsid w:val="00512A9D"/>
    <w:rsid w:val="00514991"/>
    <w:rsid w:val="005206F8"/>
    <w:rsid w:val="0052213A"/>
    <w:rsid w:val="00523292"/>
    <w:rsid w:val="00525F18"/>
    <w:rsid w:val="00526CA6"/>
    <w:rsid w:val="00526EEB"/>
    <w:rsid w:val="0053387E"/>
    <w:rsid w:val="0054131D"/>
    <w:rsid w:val="00542889"/>
    <w:rsid w:val="005461FA"/>
    <w:rsid w:val="00551186"/>
    <w:rsid w:val="00554ED5"/>
    <w:rsid w:val="00573579"/>
    <w:rsid w:val="005738DE"/>
    <w:rsid w:val="00575A2A"/>
    <w:rsid w:val="00576DFB"/>
    <w:rsid w:val="00581D06"/>
    <w:rsid w:val="005835A1"/>
    <w:rsid w:val="00592D9F"/>
    <w:rsid w:val="00594567"/>
    <w:rsid w:val="005961DE"/>
    <w:rsid w:val="00596892"/>
    <w:rsid w:val="00597C7D"/>
    <w:rsid w:val="005B11C1"/>
    <w:rsid w:val="005B3A2D"/>
    <w:rsid w:val="005B3E86"/>
    <w:rsid w:val="005B6D5A"/>
    <w:rsid w:val="005C398C"/>
    <w:rsid w:val="005D08ED"/>
    <w:rsid w:val="005D1455"/>
    <w:rsid w:val="005D23DB"/>
    <w:rsid w:val="005D283E"/>
    <w:rsid w:val="005D4B89"/>
    <w:rsid w:val="005D74D6"/>
    <w:rsid w:val="005E184E"/>
    <w:rsid w:val="005E2FFE"/>
    <w:rsid w:val="005F040E"/>
    <w:rsid w:val="005F5412"/>
    <w:rsid w:val="005F5AFB"/>
    <w:rsid w:val="005F7E85"/>
    <w:rsid w:val="00602A9F"/>
    <w:rsid w:val="00604955"/>
    <w:rsid w:val="0060623A"/>
    <w:rsid w:val="006135F3"/>
    <w:rsid w:val="0061729C"/>
    <w:rsid w:val="00621C21"/>
    <w:rsid w:val="006240AC"/>
    <w:rsid w:val="00625465"/>
    <w:rsid w:val="00626C3A"/>
    <w:rsid w:val="00626D7F"/>
    <w:rsid w:val="00631B5A"/>
    <w:rsid w:val="00633798"/>
    <w:rsid w:val="00636649"/>
    <w:rsid w:val="006418AE"/>
    <w:rsid w:val="006442B7"/>
    <w:rsid w:val="00644959"/>
    <w:rsid w:val="00644D52"/>
    <w:rsid w:val="006452F9"/>
    <w:rsid w:val="00651477"/>
    <w:rsid w:val="006561A5"/>
    <w:rsid w:val="0065626C"/>
    <w:rsid w:val="006602E1"/>
    <w:rsid w:val="00663317"/>
    <w:rsid w:val="0066467E"/>
    <w:rsid w:val="00667C7C"/>
    <w:rsid w:val="006712A2"/>
    <w:rsid w:val="00677047"/>
    <w:rsid w:val="00677B8F"/>
    <w:rsid w:val="00683196"/>
    <w:rsid w:val="006847BC"/>
    <w:rsid w:val="00685454"/>
    <w:rsid w:val="00687D4C"/>
    <w:rsid w:val="00690EF5"/>
    <w:rsid w:val="0069177C"/>
    <w:rsid w:val="00692351"/>
    <w:rsid w:val="00697562"/>
    <w:rsid w:val="006A0AD8"/>
    <w:rsid w:val="006A2B3A"/>
    <w:rsid w:val="006A440B"/>
    <w:rsid w:val="006A4B0B"/>
    <w:rsid w:val="006A60C9"/>
    <w:rsid w:val="006A6484"/>
    <w:rsid w:val="006B13DF"/>
    <w:rsid w:val="006B2949"/>
    <w:rsid w:val="006B4ACA"/>
    <w:rsid w:val="006C0239"/>
    <w:rsid w:val="006C40D3"/>
    <w:rsid w:val="006D3621"/>
    <w:rsid w:val="006D446B"/>
    <w:rsid w:val="006D627D"/>
    <w:rsid w:val="006E00D5"/>
    <w:rsid w:val="006E2F50"/>
    <w:rsid w:val="006E71C9"/>
    <w:rsid w:val="006E7FB5"/>
    <w:rsid w:val="006F38B5"/>
    <w:rsid w:val="006F7666"/>
    <w:rsid w:val="00700ABF"/>
    <w:rsid w:val="00702F6B"/>
    <w:rsid w:val="00703B74"/>
    <w:rsid w:val="00705704"/>
    <w:rsid w:val="00706BBA"/>
    <w:rsid w:val="00711D0F"/>
    <w:rsid w:val="00711E82"/>
    <w:rsid w:val="007123D4"/>
    <w:rsid w:val="00712D31"/>
    <w:rsid w:val="0071640D"/>
    <w:rsid w:val="00716791"/>
    <w:rsid w:val="00724B1E"/>
    <w:rsid w:val="00724D2E"/>
    <w:rsid w:val="007318CA"/>
    <w:rsid w:val="00740C4B"/>
    <w:rsid w:val="00754D1D"/>
    <w:rsid w:val="00755BE0"/>
    <w:rsid w:val="00762007"/>
    <w:rsid w:val="00765225"/>
    <w:rsid w:val="00765D7E"/>
    <w:rsid w:val="0076724F"/>
    <w:rsid w:val="00774F3A"/>
    <w:rsid w:val="00776203"/>
    <w:rsid w:val="00784C8F"/>
    <w:rsid w:val="00786FAF"/>
    <w:rsid w:val="007912E0"/>
    <w:rsid w:val="00791DD9"/>
    <w:rsid w:val="00792575"/>
    <w:rsid w:val="00793D58"/>
    <w:rsid w:val="007954D0"/>
    <w:rsid w:val="00796159"/>
    <w:rsid w:val="007A0A5B"/>
    <w:rsid w:val="007A2949"/>
    <w:rsid w:val="007A3BC4"/>
    <w:rsid w:val="007A5293"/>
    <w:rsid w:val="007B2FC2"/>
    <w:rsid w:val="007B3701"/>
    <w:rsid w:val="007B3FC6"/>
    <w:rsid w:val="007B51F3"/>
    <w:rsid w:val="007B60B7"/>
    <w:rsid w:val="007B69C1"/>
    <w:rsid w:val="007C01AD"/>
    <w:rsid w:val="007C7742"/>
    <w:rsid w:val="007C79DF"/>
    <w:rsid w:val="007D2F09"/>
    <w:rsid w:val="007D450E"/>
    <w:rsid w:val="007D6682"/>
    <w:rsid w:val="007D7981"/>
    <w:rsid w:val="007E0810"/>
    <w:rsid w:val="007E2EED"/>
    <w:rsid w:val="007E4648"/>
    <w:rsid w:val="007E53DA"/>
    <w:rsid w:val="007E65F5"/>
    <w:rsid w:val="007F16BA"/>
    <w:rsid w:val="007F23E0"/>
    <w:rsid w:val="007F50EA"/>
    <w:rsid w:val="00807921"/>
    <w:rsid w:val="0081059F"/>
    <w:rsid w:val="00814972"/>
    <w:rsid w:val="008216E5"/>
    <w:rsid w:val="0082217A"/>
    <w:rsid w:val="00826584"/>
    <w:rsid w:val="00830391"/>
    <w:rsid w:val="00830440"/>
    <w:rsid w:val="00830C43"/>
    <w:rsid w:val="00833780"/>
    <w:rsid w:val="00836B53"/>
    <w:rsid w:val="0084092D"/>
    <w:rsid w:val="00842F00"/>
    <w:rsid w:val="00846614"/>
    <w:rsid w:val="008466F5"/>
    <w:rsid w:val="00846C18"/>
    <w:rsid w:val="00850142"/>
    <w:rsid w:val="00852BDF"/>
    <w:rsid w:val="00855DC7"/>
    <w:rsid w:val="00855DCD"/>
    <w:rsid w:val="00857B17"/>
    <w:rsid w:val="008623C0"/>
    <w:rsid w:val="00864E28"/>
    <w:rsid w:val="00866B81"/>
    <w:rsid w:val="00867EE7"/>
    <w:rsid w:val="0087046B"/>
    <w:rsid w:val="00870A07"/>
    <w:rsid w:val="00877027"/>
    <w:rsid w:val="0087724F"/>
    <w:rsid w:val="00877B58"/>
    <w:rsid w:val="00880ABE"/>
    <w:rsid w:val="00882DD2"/>
    <w:rsid w:val="00887DBC"/>
    <w:rsid w:val="00892DEE"/>
    <w:rsid w:val="0089326E"/>
    <w:rsid w:val="00893754"/>
    <w:rsid w:val="0089423A"/>
    <w:rsid w:val="0089458B"/>
    <w:rsid w:val="008A3533"/>
    <w:rsid w:val="008A4FD4"/>
    <w:rsid w:val="008A7DDF"/>
    <w:rsid w:val="008B4451"/>
    <w:rsid w:val="008B4CDC"/>
    <w:rsid w:val="008B6053"/>
    <w:rsid w:val="008B7399"/>
    <w:rsid w:val="008C0F9F"/>
    <w:rsid w:val="008C5D31"/>
    <w:rsid w:val="008D2CAE"/>
    <w:rsid w:val="008D602D"/>
    <w:rsid w:val="008D7C06"/>
    <w:rsid w:val="008E14AA"/>
    <w:rsid w:val="008E2D91"/>
    <w:rsid w:val="008E3A18"/>
    <w:rsid w:val="008E4740"/>
    <w:rsid w:val="008E5582"/>
    <w:rsid w:val="008F15A7"/>
    <w:rsid w:val="008F35EE"/>
    <w:rsid w:val="008F49DC"/>
    <w:rsid w:val="009015CB"/>
    <w:rsid w:val="00902664"/>
    <w:rsid w:val="0090451B"/>
    <w:rsid w:val="00907E19"/>
    <w:rsid w:val="00911499"/>
    <w:rsid w:val="0091229A"/>
    <w:rsid w:val="00912971"/>
    <w:rsid w:val="0091336B"/>
    <w:rsid w:val="0091562A"/>
    <w:rsid w:val="0091650C"/>
    <w:rsid w:val="00922E71"/>
    <w:rsid w:val="00924785"/>
    <w:rsid w:val="00925398"/>
    <w:rsid w:val="009261D7"/>
    <w:rsid w:val="00934A11"/>
    <w:rsid w:val="0093529D"/>
    <w:rsid w:val="0093784E"/>
    <w:rsid w:val="00941B64"/>
    <w:rsid w:val="0095003E"/>
    <w:rsid w:val="00955887"/>
    <w:rsid w:val="00956F7B"/>
    <w:rsid w:val="00963703"/>
    <w:rsid w:val="00966160"/>
    <w:rsid w:val="00966EE2"/>
    <w:rsid w:val="0096744F"/>
    <w:rsid w:val="00967AF7"/>
    <w:rsid w:val="00970874"/>
    <w:rsid w:val="009717FB"/>
    <w:rsid w:val="00972F84"/>
    <w:rsid w:val="0097304D"/>
    <w:rsid w:val="0097654D"/>
    <w:rsid w:val="00976E9B"/>
    <w:rsid w:val="00984957"/>
    <w:rsid w:val="00993CA0"/>
    <w:rsid w:val="009A5E4F"/>
    <w:rsid w:val="009B0D7F"/>
    <w:rsid w:val="009B58D4"/>
    <w:rsid w:val="009B5D62"/>
    <w:rsid w:val="009C0CAD"/>
    <w:rsid w:val="009C2D8E"/>
    <w:rsid w:val="009C34A2"/>
    <w:rsid w:val="009C55B0"/>
    <w:rsid w:val="009C62F7"/>
    <w:rsid w:val="009C6498"/>
    <w:rsid w:val="009C6601"/>
    <w:rsid w:val="009D17BB"/>
    <w:rsid w:val="009D1C71"/>
    <w:rsid w:val="009D2F5B"/>
    <w:rsid w:val="009D3143"/>
    <w:rsid w:val="009E4551"/>
    <w:rsid w:val="009E7BBA"/>
    <w:rsid w:val="009F1EE3"/>
    <w:rsid w:val="009F24A5"/>
    <w:rsid w:val="009F4B60"/>
    <w:rsid w:val="009F52F2"/>
    <w:rsid w:val="009F7069"/>
    <w:rsid w:val="009F7C7A"/>
    <w:rsid w:val="00A0127E"/>
    <w:rsid w:val="00A04303"/>
    <w:rsid w:val="00A05388"/>
    <w:rsid w:val="00A07166"/>
    <w:rsid w:val="00A150B7"/>
    <w:rsid w:val="00A20D0E"/>
    <w:rsid w:val="00A22E71"/>
    <w:rsid w:val="00A261D7"/>
    <w:rsid w:val="00A2685A"/>
    <w:rsid w:val="00A436C8"/>
    <w:rsid w:val="00A45894"/>
    <w:rsid w:val="00A46837"/>
    <w:rsid w:val="00A46B6B"/>
    <w:rsid w:val="00A504C8"/>
    <w:rsid w:val="00A54905"/>
    <w:rsid w:val="00A674D0"/>
    <w:rsid w:val="00A75B3C"/>
    <w:rsid w:val="00A7622B"/>
    <w:rsid w:val="00A76432"/>
    <w:rsid w:val="00A80323"/>
    <w:rsid w:val="00A827C3"/>
    <w:rsid w:val="00A90262"/>
    <w:rsid w:val="00A90C2A"/>
    <w:rsid w:val="00A92FD1"/>
    <w:rsid w:val="00A9441C"/>
    <w:rsid w:val="00A951AA"/>
    <w:rsid w:val="00AA298D"/>
    <w:rsid w:val="00AA3F50"/>
    <w:rsid w:val="00AA4ABD"/>
    <w:rsid w:val="00AA6B8A"/>
    <w:rsid w:val="00AA7BF4"/>
    <w:rsid w:val="00AA7CA0"/>
    <w:rsid w:val="00AB420F"/>
    <w:rsid w:val="00AB4B76"/>
    <w:rsid w:val="00AB4EF2"/>
    <w:rsid w:val="00AB68AD"/>
    <w:rsid w:val="00AC1071"/>
    <w:rsid w:val="00AC2B09"/>
    <w:rsid w:val="00AD009B"/>
    <w:rsid w:val="00AD3CF4"/>
    <w:rsid w:val="00AD6638"/>
    <w:rsid w:val="00AD667F"/>
    <w:rsid w:val="00AE0B7E"/>
    <w:rsid w:val="00AE5632"/>
    <w:rsid w:val="00AF1FB9"/>
    <w:rsid w:val="00AF74C9"/>
    <w:rsid w:val="00AF7FF2"/>
    <w:rsid w:val="00B0599A"/>
    <w:rsid w:val="00B1190A"/>
    <w:rsid w:val="00B11AD7"/>
    <w:rsid w:val="00B130AF"/>
    <w:rsid w:val="00B17DD0"/>
    <w:rsid w:val="00B17F34"/>
    <w:rsid w:val="00B2014D"/>
    <w:rsid w:val="00B25104"/>
    <w:rsid w:val="00B4022A"/>
    <w:rsid w:val="00B4050C"/>
    <w:rsid w:val="00B46C02"/>
    <w:rsid w:val="00B47836"/>
    <w:rsid w:val="00B54EEC"/>
    <w:rsid w:val="00B55E44"/>
    <w:rsid w:val="00B61866"/>
    <w:rsid w:val="00B618A1"/>
    <w:rsid w:val="00B64991"/>
    <w:rsid w:val="00B755CF"/>
    <w:rsid w:val="00B7683A"/>
    <w:rsid w:val="00B80AB2"/>
    <w:rsid w:val="00B812CA"/>
    <w:rsid w:val="00B8208F"/>
    <w:rsid w:val="00B82D53"/>
    <w:rsid w:val="00B85045"/>
    <w:rsid w:val="00B95B97"/>
    <w:rsid w:val="00B97F15"/>
    <w:rsid w:val="00BA296B"/>
    <w:rsid w:val="00BA3715"/>
    <w:rsid w:val="00BB32BB"/>
    <w:rsid w:val="00BB3E8A"/>
    <w:rsid w:val="00BB4268"/>
    <w:rsid w:val="00BB47DD"/>
    <w:rsid w:val="00BB7F32"/>
    <w:rsid w:val="00BC2004"/>
    <w:rsid w:val="00BC2EA7"/>
    <w:rsid w:val="00BC676E"/>
    <w:rsid w:val="00BC76E0"/>
    <w:rsid w:val="00BD17D9"/>
    <w:rsid w:val="00BF0BF2"/>
    <w:rsid w:val="00BF1729"/>
    <w:rsid w:val="00BF1D73"/>
    <w:rsid w:val="00BF3FD9"/>
    <w:rsid w:val="00BF6A0E"/>
    <w:rsid w:val="00BF7F57"/>
    <w:rsid w:val="00C012ED"/>
    <w:rsid w:val="00C067C0"/>
    <w:rsid w:val="00C07103"/>
    <w:rsid w:val="00C10A55"/>
    <w:rsid w:val="00C112F9"/>
    <w:rsid w:val="00C17F7B"/>
    <w:rsid w:val="00C21C40"/>
    <w:rsid w:val="00C23442"/>
    <w:rsid w:val="00C23E31"/>
    <w:rsid w:val="00C243B8"/>
    <w:rsid w:val="00C24E4D"/>
    <w:rsid w:val="00C25DE9"/>
    <w:rsid w:val="00C26335"/>
    <w:rsid w:val="00C27EC8"/>
    <w:rsid w:val="00C323F5"/>
    <w:rsid w:val="00C33E54"/>
    <w:rsid w:val="00C40468"/>
    <w:rsid w:val="00C46B3E"/>
    <w:rsid w:val="00C47C90"/>
    <w:rsid w:val="00C5117B"/>
    <w:rsid w:val="00C5388B"/>
    <w:rsid w:val="00C55F6E"/>
    <w:rsid w:val="00C61080"/>
    <w:rsid w:val="00C70413"/>
    <w:rsid w:val="00C74DAB"/>
    <w:rsid w:val="00C77F28"/>
    <w:rsid w:val="00C836C3"/>
    <w:rsid w:val="00C83DA3"/>
    <w:rsid w:val="00C97B63"/>
    <w:rsid w:val="00CA4F71"/>
    <w:rsid w:val="00CA661A"/>
    <w:rsid w:val="00CA773E"/>
    <w:rsid w:val="00CA7EE0"/>
    <w:rsid w:val="00CB2AEA"/>
    <w:rsid w:val="00CB2EC0"/>
    <w:rsid w:val="00CB7B02"/>
    <w:rsid w:val="00CC2A67"/>
    <w:rsid w:val="00CC4843"/>
    <w:rsid w:val="00CD2290"/>
    <w:rsid w:val="00CD7EBB"/>
    <w:rsid w:val="00CE592D"/>
    <w:rsid w:val="00CF5C71"/>
    <w:rsid w:val="00CF66CE"/>
    <w:rsid w:val="00D01E43"/>
    <w:rsid w:val="00D035BB"/>
    <w:rsid w:val="00D05E4C"/>
    <w:rsid w:val="00D11DF1"/>
    <w:rsid w:val="00D135F2"/>
    <w:rsid w:val="00D20EF3"/>
    <w:rsid w:val="00D2160A"/>
    <w:rsid w:val="00D21BCD"/>
    <w:rsid w:val="00D21FE7"/>
    <w:rsid w:val="00D22D0C"/>
    <w:rsid w:val="00D2667A"/>
    <w:rsid w:val="00D322C9"/>
    <w:rsid w:val="00D326B0"/>
    <w:rsid w:val="00D35395"/>
    <w:rsid w:val="00D373E9"/>
    <w:rsid w:val="00D40119"/>
    <w:rsid w:val="00D429EE"/>
    <w:rsid w:val="00D455B9"/>
    <w:rsid w:val="00D46DA0"/>
    <w:rsid w:val="00D50185"/>
    <w:rsid w:val="00D50C2C"/>
    <w:rsid w:val="00D50CB1"/>
    <w:rsid w:val="00D52647"/>
    <w:rsid w:val="00D52719"/>
    <w:rsid w:val="00D55A5E"/>
    <w:rsid w:val="00D6374D"/>
    <w:rsid w:val="00D64364"/>
    <w:rsid w:val="00D6532E"/>
    <w:rsid w:val="00D65633"/>
    <w:rsid w:val="00D70884"/>
    <w:rsid w:val="00D70C78"/>
    <w:rsid w:val="00D70F17"/>
    <w:rsid w:val="00D73C86"/>
    <w:rsid w:val="00D74AA1"/>
    <w:rsid w:val="00D8296E"/>
    <w:rsid w:val="00D83042"/>
    <w:rsid w:val="00D830EE"/>
    <w:rsid w:val="00D86953"/>
    <w:rsid w:val="00D8742F"/>
    <w:rsid w:val="00D948E8"/>
    <w:rsid w:val="00D9653D"/>
    <w:rsid w:val="00DA471D"/>
    <w:rsid w:val="00DC2FBE"/>
    <w:rsid w:val="00DC645E"/>
    <w:rsid w:val="00DC7E56"/>
    <w:rsid w:val="00DD20F6"/>
    <w:rsid w:val="00DD3CD1"/>
    <w:rsid w:val="00DD5A4C"/>
    <w:rsid w:val="00DD693A"/>
    <w:rsid w:val="00DE2C03"/>
    <w:rsid w:val="00DE2DCA"/>
    <w:rsid w:val="00DE6C74"/>
    <w:rsid w:val="00DF169E"/>
    <w:rsid w:val="00DF6D1B"/>
    <w:rsid w:val="00DF777E"/>
    <w:rsid w:val="00E00FBC"/>
    <w:rsid w:val="00E02EA5"/>
    <w:rsid w:val="00E048D3"/>
    <w:rsid w:val="00E107A2"/>
    <w:rsid w:val="00E11CB3"/>
    <w:rsid w:val="00E13C47"/>
    <w:rsid w:val="00E13DE7"/>
    <w:rsid w:val="00E16516"/>
    <w:rsid w:val="00E2123D"/>
    <w:rsid w:val="00E217F9"/>
    <w:rsid w:val="00E21EBE"/>
    <w:rsid w:val="00E2314A"/>
    <w:rsid w:val="00E250D1"/>
    <w:rsid w:val="00E271F3"/>
    <w:rsid w:val="00E27CE8"/>
    <w:rsid w:val="00E3074C"/>
    <w:rsid w:val="00E31973"/>
    <w:rsid w:val="00E34D9A"/>
    <w:rsid w:val="00E35213"/>
    <w:rsid w:val="00E359F3"/>
    <w:rsid w:val="00E36648"/>
    <w:rsid w:val="00E36FBC"/>
    <w:rsid w:val="00E4086C"/>
    <w:rsid w:val="00E434B8"/>
    <w:rsid w:val="00E52C48"/>
    <w:rsid w:val="00E57AB3"/>
    <w:rsid w:val="00E61310"/>
    <w:rsid w:val="00E61E9A"/>
    <w:rsid w:val="00E63AA9"/>
    <w:rsid w:val="00E669E4"/>
    <w:rsid w:val="00E6793D"/>
    <w:rsid w:val="00E72DE0"/>
    <w:rsid w:val="00E73D1B"/>
    <w:rsid w:val="00E74F9B"/>
    <w:rsid w:val="00E758C6"/>
    <w:rsid w:val="00E80E07"/>
    <w:rsid w:val="00E83E5E"/>
    <w:rsid w:val="00E84B22"/>
    <w:rsid w:val="00E9378E"/>
    <w:rsid w:val="00E940A2"/>
    <w:rsid w:val="00E94A04"/>
    <w:rsid w:val="00E9543F"/>
    <w:rsid w:val="00E976BF"/>
    <w:rsid w:val="00EA08B6"/>
    <w:rsid w:val="00EA270F"/>
    <w:rsid w:val="00EA5289"/>
    <w:rsid w:val="00EB0ED5"/>
    <w:rsid w:val="00EB2BE1"/>
    <w:rsid w:val="00EB57C3"/>
    <w:rsid w:val="00EC214C"/>
    <w:rsid w:val="00EC4FB3"/>
    <w:rsid w:val="00EC7E14"/>
    <w:rsid w:val="00ED04A6"/>
    <w:rsid w:val="00ED3DAF"/>
    <w:rsid w:val="00ED40CD"/>
    <w:rsid w:val="00ED712E"/>
    <w:rsid w:val="00ED745D"/>
    <w:rsid w:val="00EE362F"/>
    <w:rsid w:val="00EE51A0"/>
    <w:rsid w:val="00EE7CF8"/>
    <w:rsid w:val="00EF60B8"/>
    <w:rsid w:val="00F04600"/>
    <w:rsid w:val="00F046C2"/>
    <w:rsid w:val="00F07297"/>
    <w:rsid w:val="00F1121F"/>
    <w:rsid w:val="00F145AE"/>
    <w:rsid w:val="00F1529A"/>
    <w:rsid w:val="00F15344"/>
    <w:rsid w:val="00F1613C"/>
    <w:rsid w:val="00F17F82"/>
    <w:rsid w:val="00F240C9"/>
    <w:rsid w:val="00F2509C"/>
    <w:rsid w:val="00F2702F"/>
    <w:rsid w:val="00F30A68"/>
    <w:rsid w:val="00F311BF"/>
    <w:rsid w:val="00F35068"/>
    <w:rsid w:val="00F357C6"/>
    <w:rsid w:val="00F40279"/>
    <w:rsid w:val="00F40AC6"/>
    <w:rsid w:val="00F4278B"/>
    <w:rsid w:val="00F43ACA"/>
    <w:rsid w:val="00F44A52"/>
    <w:rsid w:val="00F47B80"/>
    <w:rsid w:val="00F5022E"/>
    <w:rsid w:val="00F5632A"/>
    <w:rsid w:val="00F60E9F"/>
    <w:rsid w:val="00F63F20"/>
    <w:rsid w:val="00F672DB"/>
    <w:rsid w:val="00F749F6"/>
    <w:rsid w:val="00F827D1"/>
    <w:rsid w:val="00F84324"/>
    <w:rsid w:val="00F861A2"/>
    <w:rsid w:val="00F93341"/>
    <w:rsid w:val="00F941DA"/>
    <w:rsid w:val="00F97C25"/>
    <w:rsid w:val="00FA419A"/>
    <w:rsid w:val="00FA5204"/>
    <w:rsid w:val="00FA61CF"/>
    <w:rsid w:val="00FA67AB"/>
    <w:rsid w:val="00FA7DAD"/>
    <w:rsid w:val="00FB1B4D"/>
    <w:rsid w:val="00FB391C"/>
    <w:rsid w:val="00FB4A54"/>
    <w:rsid w:val="00FB797E"/>
    <w:rsid w:val="00FC1AD6"/>
    <w:rsid w:val="00FD0138"/>
    <w:rsid w:val="00FD4E4F"/>
    <w:rsid w:val="00FD52B8"/>
    <w:rsid w:val="00FD7621"/>
    <w:rsid w:val="00FE10DC"/>
    <w:rsid w:val="00FE3C09"/>
    <w:rsid w:val="00FE5799"/>
    <w:rsid w:val="00FE5C91"/>
    <w:rsid w:val="00FE6C5B"/>
    <w:rsid w:val="00FE7680"/>
    <w:rsid w:val="00FF0435"/>
    <w:rsid w:val="00FF351C"/>
    <w:rsid w:val="00FF566F"/>
    <w:rsid w:val="00FF5D45"/>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2ADF242F-DC31-4C43-9A75-1B727328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B0"/>
  </w:style>
  <w:style w:type="paragraph" w:styleId="Heading1">
    <w:name w:val="heading 1"/>
    <w:basedOn w:val="Normal"/>
    <w:link w:val="Heading1Char"/>
    <w:uiPriority w:val="9"/>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73"/>
      </w:numPr>
    </w:pPr>
  </w:style>
  <w:style w:type="numbering" w:customStyle="1" w:styleId="ImportedStyle2">
    <w:name w:val="Imported Style 2"/>
    <w:rsid w:val="005206F8"/>
    <w:pPr>
      <w:numPr>
        <w:numId w:val="254"/>
      </w:numPr>
    </w:pPr>
  </w:style>
  <w:style w:type="numbering" w:customStyle="1" w:styleId="ImportedStyle3">
    <w:name w:val="Imported Style 3"/>
    <w:rsid w:val="005206F8"/>
    <w:pPr>
      <w:numPr>
        <w:numId w:val="12"/>
      </w:numPr>
    </w:pPr>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unhideWhenUsed/>
    <w:rsid w:val="003F5C10"/>
    <w:rPr>
      <w:sz w:val="16"/>
      <w:szCs w:val="16"/>
    </w:rPr>
  </w:style>
  <w:style w:type="paragraph" w:styleId="CommentText">
    <w:name w:val="annotation text"/>
    <w:aliases w:val="Comment Text Char1 Char,Comment Text Char Char Char,Merknadstekst,Annotationtext,Kommentartext"/>
    <w:basedOn w:val="Normal"/>
    <w:link w:val="CommentTextChar"/>
    <w:uiPriority w:val="99"/>
    <w:unhideWhenUsed/>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semiHidden/>
    <w:unhideWhenUsed/>
    <w:rsid w:val="003F5C10"/>
    <w:rPr>
      <w:b/>
      <w:bCs/>
    </w:rPr>
  </w:style>
  <w:style w:type="character" w:customStyle="1" w:styleId="CommentSubjectChar">
    <w:name w:val="Comment Subject Char"/>
    <w:basedOn w:val="CommentTextChar"/>
    <w:link w:val="CommentSubject"/>
    <w:uiPriority w:val="99"/>
    <w:semiHidden/>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semiHidden/>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pPr>
      <w:numPr>
        <w:numId w:val="14"/>
      </w:numPr>
    </w:pPr>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pPr>
      <w:numPr>
        <w:numId w:val="33"/>
      </w:numPr>
    </w:pPr>
  </w:style>
  <w:style w:type="numbering" w:customStyle="1" w:styleId="ImportedStyle1152">
    <w:name w:val="Imported Style 1152"/>
    <w:rsid w:val="00182883"/>
    <w:pPr>
      <w:numPr>
        <w:numId w:val="34"/>
      </w:numPr>
    </w:pPr>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uiPriority w:val="99"/>
    <w:semiHidden/>
    <w:unhideWhenUsed/>
    <w:rsid w:val="00A504C8"/>
    <w:rPr>
      <w:color w:val="605E5C"/>
      <w:shd w:val="clear" w:color="auto" w:fill="E1DFDD"/>
    </w:rPr>
  </w:style>
  <w:style w:type="numbering" w:customStyle="1" w:styleId="ImportedStyle781">
    <w:name w:val="Imported Style 781"/>
    <w:rsid w:val="00A504C8"/>
    <w:pPr>
      <w:numPr>
        <w:numId w:val="35"/>
      </w:numPr>
    </w:pPr>
  </w:style>
  <w:style w:type="numbering" w:customStyle="1" w:styleId="ImportedStyle7801">
    <w:name w:val="Imported Style 78.01"/>
    <w:rsid w:val="00A504C8"/>
    <w:pPr>
      <w:numPr>
        <w:numId w:val="36"/>
      </w:numPr>
    </w:pPr>
  </w:style>
  <w:style w:type="numbering" w:customStyle="1" w:styleId="ImportedStyle801">
    <w:name w:val="Imported Style 801"/>
    <w:rsid w:val="00A504C8"/>
    <w:pPr>
      <w:numPr>
        <w:numId w:val="37"/>
      </w:numPr>
    </w:pPr>
  </w:style>
  <w:style w:type="numbering" w:customStyle="1" w:styleId="ImportedStyle821">
    <w:name w:val="Imported Style 821"/>
    <w:rsid w:val="00A504C8"/>
    <w:pPr>
      <w:numPr>
        <w:numId w:val="38"/>
      </w:numPr>
    </w:pPr>
  </w:style>
  <w:style w:type="numbering" w:customStyle="1" w:styleId="ImportedStyle831">
    <w:name w:val="Imported Style 831"/>
    <w:rsid w:val="00A504C8"/>
    <w:pPr>
      <w:numPr>
        <w:numId w:val="39"/>
      </w:numPr>
    </w:pPr>
  </w:style>
  <w:style w:type="numbering" w:customStyle="1" w:styleId="ImportedStyle1141">
    <w:name w:val="Imported Style 1141"/>
    <w:rsid w:val="00A504C8"/>
    <w:pPr>
      <w:numPr>
        <w:numId w:val="40"/>
      </w:numPr>
    </w:pPr>
  </w:style>
  <w:style w:type="numbering" w:customStyle="1" w:styleId="ImportedStyle1151">
    <w:name w:val="Imported Style 1151"/>
    <w:rsid w:val="00A504C8"/>
    <w:pPr>
      <w:numPr>
        <w:numId w:val="41"/>
      </w:numPr>
    </w:pPr>
  </w:style>
  <w:style w:type="numbering" w:customStyle="1" w:styleId="ImportedStyle1161">
    <w:name w:val="Imported Style 1161"/>
    <w:rsid w:val="00A504C8"/>
    <w:pPr>
      <w:numPr>
        <w:numId w:val="42"/>
      </w:numPr>
    </w:pPr>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pPr>
      <w:numPr>
        <w:numId w:val="43"/>
      </w:numPr>
    </w:pPr>
  </w:style>
  <w:style w:type="numbering" w:customStyle="1" w:styleId="ImportedStyle21">
    <w:name w:val="Imported Style 21"/>
    <w:rsid w:val="00A504C8"/>
    <w:pPr>
      <w:numPr>
        <w:numId w:val="44"/>
      </w:numPr>
    </w:pPr>
  </w:style>
  <w:style w:type="numbering" w:customStyle="1" w:styleId="ImportedStyle31">
    <w:name w:val="Imported Style 31"/>
    <w:rsid w:val="00A504C8"/>
    <w:pPr>
      <w:numPr>
        <w:numId w:val="45"/>
      </w:numPr>
    </w:pPr>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pPr>
      <w:numPr>
        <w:numId w:val="46"/>
      </w:numPr>
    </w:pPr>
  </w:style>
  <w:style w:type="numbering" w:customStyle="1" w:styleId="Stilimportat21">
    <w:name w:val="Stil importat 21"/>
    <w:rsid w:val="00A504C8"/>
    <w:pPr>
      <w:numPr>
        <w:numId w:val="47"/>
      </w:numPr>
    </w:pPr>
  </w:style>
  <w:style w:type="numbering" w:customStyle="1" w:styleId="Stilimportat31">
    <w:name w:val="Stil importat 31"/>
    <w:rsid w:val="00A504C8"/>
    <w:pPr>
      <w:numPr>
        <w:numId w:val="48"/>
      </w:numPr>
    </w:pPr>
  </w:style>
  <w:style w:type="numbering" w:customStyle="1" w:styleId="Stilimportat41">
    <w:name w:val="Stil importat 41"/>
    <w:rsid w:val="00A504C8"/>
    <w:pPr>
      <w:numPr>
        <w:numId w:val="49"/>
      </w:numPr>
    </w:pPr>
  </w:style>
  <w:style w:type="numbering" w:customStyle="1" w:styleId="Stilimportat51">
    <w:name w:val="Stil importat 51"/>
    <w:rsid w:val="00A504C8"/>
    <w:pPr>
      <w:numPr>
        <w:numId w:val="50"/>
      </w:numPr>
    </w:pPr>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pPr>
      <w:numPr>
        <w:numId w:val="15"/>
      </w:numPr>
    </w:pPr>
  </w:style>
  <w:style w:type="numbering" w:customStyle="1" w:styleId="ImportedStyle7802">
    <w:name w:val="Imported Style 78.02"/>
    <w:rsid w:val="006E7FB5"/>
    <w:pPr>
      <w:numPr>
        <w:numId w:val="16"/>
      </w:numPr>
    </w:pPr>
  </w:style>
  <w:style w:type="numbering" w:customStyle="1" w:styleId="ImportedStyle803">
    <w:name w:val="Imported Style 803"/>
    <w:rsid w:val="006E7FB5"/>
    <w:pPr>
      <w:numPr>
        <w:numId w:val="17"/>
      </w:numPr>
    </w:pPr>
  </w:style>
  <w:style w:type="numbering" w:customStyle="1" w:styleId="ImportedStyle822">
    <w:name w:val="Imported Style 822"/>
    <w:rsid w:val="006E7FB5"/>
    <w:pPr>
      <w:numPr>
        <w:numId w:val="18"/>
      </w:numPr>
    </w:pPr>
  </w:style>
  <w:style w:type="numbering" w:customStyle="1" w:styleId="ImportedStyle832">
    <w:name w:val="Imported Style 832"/>
    <w:rsid w:val="006E7FB5"/>
    <w:pPr>
      <w:numPr>
        <w:numId w:val="19"/>
      </w:numPr>
    </w:pPr>
  </w:style>
  <w:style w:type="numbering" w:customStyle="1" w:styleId="ImportedStyle1142">
    <w:name w:val="Imported Style 1142"/>
    <w:rsid w:val="006E7FB5"/>
  </w:style>
  <w:style w:type="numbering" w:customStyle="1" w:styleId="ImportedStyle1153">
    <w:name w:val="Imported Style 1153"/>
    <w:rsid w:val="006E7FB5"/>
    <w:pPr>
      <w:numPr>
        <w:numId w:val="21"/>
      </w:numPr>
    </w:pPr>
  </w:style>
  <w:style w:type="numbering" w:customStyle="1" w:styleId="ImportedStyle1162">
    <w:name w:val="Imported Style 1162"/>
    <w:rsid w:val="006E7FB5"/>
    <w:pPr>
      <w:numPr>
        <w:numId w:val="22"/>
      </w:numPr>
    </w:pPr>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pPr>
      <w:numPr>
        <w:numId w:val="23"/>
      </w:numPr>
    </w:pPr>
  </w:style>
  <w:style w:type="numbering" w:customStyle="1" w:styleId="ImportedStyle22">
    <w:name w:val="Imported Style 22"/>
    <w:rsid w:val="006E7FB5"/>
  </w:style>
  <w:style w:type="numbering" w:customStyle="1" w:styleId="ImportedStyle32">
    <w:name w:val="Imported Style 32"/>
    <w:rsid w:val="006E7FB5"/>
    <w:pPr>
      <w:numPr>
        <w:numId w:val="25"/>
      </w:numPr>
    </w:pPr>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pPr>
      <w:numPr>
        <w:numId w:val="26"/>
      </w:numPr>
    </w:pPr>
  </w:style>
  <w:style w:type="numbering" w:customStyle="1" w:styleId="Stilimportat22">
    <w:name w:val="Stil importat 22"/>
    <w:rsid w:val="006E7FB5"/>
    <w:pPr>
      <w:numPr>
        <w:numId w:val="27"/>
      </w:numPr>
    </w:pPr>
  </w:style>
  <w:style w:type="numbering" w:customStyle="1" w:styleId="Stilimportat32">
    <w:name w:val="Stil importat 32"/>
    <w:rsid w:val="006E7FB5"/>
    <w:pPr>
      <w:numPr>
        <w:numId w:val="28"/>
      </w:numPr>
    </w:pPr>
  </w:style>
  <w:style w:type="numbering" w:customStyle="1" w:styleId="Stilimportat42">
    <w:name w:val="Stil importat 42"/>
    <w:rsid w:val="006E7FB5"/>
    <w:pPr>
      <w:numPr>
        <w:numId w:val="29"/>
      </w:numPr>
    </w:pPr>
  </w:style>
  <w:style w:type="numbering" w:customStyle="1" w:styleId="Stilimportat52">
    <w:name w:val="Stil importat 52"/>
    <w:rsid w:val="006E7FB5"/>
    <w:pPr>
      <w:numPr>
        <w:numId w:val="30"/>
      </w:numPr>
    </w:pPr>
  </w:style>
  <w:style w:type="numbering" w:customStyle="1" w:styleId="Stilimportat62">
    <w:name w:val="Stil importat 62"/>
    <w:rsid w:val="006E7FB5"/>
    <w:pPr>
      <w:numPr>
        <w:numId w:val="31"/>
      </w:numPr>
    </w:pPr>
  </w:style>
  <w:style w:type="numbering" w:customStyle="1" w:styleId="Stilimportat72">
    <w:name w:val="Stil importat 72"/>
    <w:rsid w:val="006E7FB5"/>
    <w:pPr>
      <w:numPr>
        <w:numId w:val="32"/>
      </w:numPr>
    </w:pPr>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semiHidden/>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semiHidden/>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pPr>
      <w:numPr>
        <w:numId w:val="64"/>
      </w:numPr>
    </w:pPr>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pPr>
      <w:numPr>
        <w:numId w:val="62"/>
      </w:numPr>
    </w:pPr>
  </w:style>
  <w:style w:type="numbering" w:customStyle="1" w:styleId="ImportedStyle7802311">
    <w:name w:val="Imported Style 78.02311"/>
    <w:rsid w:val="002D1DB0"/>
    <w:pPr>
      <w:numPr>
        <w:numId w:val="65"/>
      </w:numPr>
    </w:pPr>
  </w:style>
  <w:style w:type="numbering" w:customStyle="1" w:styleId="ImportedStyle803211">
    <w:name w:val="Imported Style 803211"/>
    <w:rsid w:val="002D1DB0"/>
    <w:pPr>
      <w:numPr>
        <w:numId w:val="66"/>
      </w:numPr>
    </w:pPr>
  </w:style>
  <w:style w:type="numbering" w:customStyle="1" w:styleId="ImportedStyle82211111">
    <w:name w:val="Imported Style 82211111"/>
    <w:rsid w:val="002D1DB0"/>
    <w:pPr>
      <w:numPr>
        <w:numId w:val="67"/>
      </w:numPr>
    </w:pPr>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pPr>
      <w:numPr>
        <w:numId w:val="68"/>
      </w:numPr>
    </w:pPr>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DefaultParagraphFont"/>
    <w:rsid w:val="00A05388"/>
  </w:style>
  <w:style w:type="character" w:customStyle="1" w:styleId="psearchhighlight">
    <w:name w:val="psearchhighlight"/>
    <w:basedOn w:val="DefaultParagraphFont"/>
    <w:rsid w:val="00A05388"/>
  </w:style>
  <w:style w:type="paragraph" w:customStyle="1" w:styleId="NormalAgency">
    <w:name w:val="Normal (Agency)"/>
    <w:link w:val="NormalAgencyChar"/>
    <w:qFormat/>
    <w:rsid w:val="0009279D"/>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09279D"/>
    <w:rPr>
      <w:rFonts w:ascii="Times New Roman" w:eastAsia="Verdana" w:hAnsi="Times New Roman" w:cs="Verdana"/>
      <w:szCs w:val="18"/>
      <w:lang w:val="en-GB" w:eastAsia="en-GB"/>
    </w:rPr>
  </w:style>
  <w:style w:type="numbering" w:customStyle="1" w:styleId="ImportedStyle80111">
    <w:name w:val="Imported Style 80111"/>
    <w:rsid w:val="00D01E43"/>
    <w:pPr>
      <w:numPr>
        <w:numId w:val="70"/>
      </w:numPr>
    </w:pPr>
  </w:style>
  <w:style w:type="numbering" w:customStyle="1" w:styleId="ImportedStyle114112">
    <w:name w:val="Imported Style 114112"/>
    <w:rsid w:val="00D01E43"/>
    <w:pPr>
      <w:numPr>
        <w:numId w:val="71"/>
      </w:numPr>
    </w:pPr>
  </w:style>
  <w:style w:type="numbering" w:customStyle="1" w:styleId="ImportedStyle115111">
    <w:name w:val="Imported Style 115111"/>
    <w:rsid w:val="00D01E43"/>
    <w:pPr>
      <w:numPr>
        <w:numId w:val="72"/>
      </w:numPr>
    </w:pPr>
  </w:style>
  <w:style w:type="numbering" w:customStyle="1" w:styleId="ImportedStyle801111">
    <w:name w:val="Imported Style 801111"/>
    <w:rsid w:val="0087046B"/>
  </w:style>
  <w:style w:type="numbering" w:customStyle="1" w:styleId="ImportedStyle1141121">
    <w:name w:val="Imported Style 1141121"/>
    <w:rsid w:val="0087046B"/>
  </w:style>
  <w:style w:type="numbering" w:customStyle="1" w:styleId="ImportedStyle1151111">
    <w:name w:val="Imported Style 1151111"/>
    <w:rsid w:val="0087046B"/>
  </w:style>
  <w:style w:type="numbering" w:customStyle="1" w:styleId="ImportedStyle821111">
    <w:name w:val="Imported Style 821111"/>
    <w:rsid w:val="0087046B"/>
    <w:pPr>
      <w:numPr>
        <w:numId w:val="10"/>
      </w:numPr>
    </w:pPr>
  </w:style>
  <w:style w:type="numbering" w:customStyle="1" w:styleId="ImportedStyle831121">
    <w:name w:val="Imported Style 831121"/>
    <w:rsid w:val="0087046B"/>
  </w:style>
  <w:style w:type="character" w:customStyle="1" w:styleId="ListParagraphChar">
    <w:name w:val="List Paragraph Char"/>
    <w:link w:val="ListParagraph"/>
    <w:uiPriority w:val="34"/>
    <w:rsid w:val="005835A1"/>
    <w:rPr>
      <w:rFonts w:ascii="Times New Roman" w:eastAsia="Times New Roman" w:hAnsi="Times New Roman" w:cs="Times New Roman"/>
      <w:color w:val="000000"/>
      <w:sz w:val="24"/>
      <w:szCs w:val="24"/>
      <w:u w:color="000000"/>
      <w:bdr w:val="nil"/>
      <w:lang w:eastAsia="ro-RO"/>
    </w:rPr>
  </w:style>
  <w:style w:type="paragraph" w:customStyle="1" w:styleId="Heading">
    <w:name w:val="Heading"/>
    <w:rsid w:val="00323567"/>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numbering" w:customStyle="1" w:styleId="ImportedStyle100">
    <w:name w:val="Imported Style 1.0"/>
    <w:rsid w:val="00323567"/>
    <w:pPr>
      <w:numPr>
        <w:numId w:val="74"/>
      </w:numPr>
    </w:pPr>
  </w:style>
  <w:style w:type="table" w:customStyle="1" w:styleId="TableGrid24">
    <w:name w:val="Table Grid24"/>
    <w:basedOn w:val="TableNormal"/>
    <w:next w:val="TableGrid"/>
    <w:uiPriority w:val="59"/>
    <w:rsid w:val="00C26335"/>
    <w:pPr>
      <w:spacing w:after="0" w:line="240" w:lineRule="auto"/>
      <w:ind w:left="357" w:hanging="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
    <w:name w:val="Imported Style 78.03"/>
    <w:rsid w:val="00A9441C"/>
  </w:style>
  <w:style w:type="numbering" w:customStyle="1" w:styleId="NoList16">
    <w:name w:val="No List16"/>
    <w:next w:val="NoList"/>
    <w:uiPriority w:val="99"/>
    <w:semiHidden/>
    <w:unhideWhenUsed/>
    <w:rsid w:val="00877B58"/>
  </w:style>
  <w:style w:type="numbering" w:customStyle="1" w:styleId="NoList17">
    <w:name w:val="No List17"/>
    <w:next w:val="NoList"/>
    <w:uiPriority w:val="99"/>
    <w:semiHidden/>
    <w:unhideWhenUsed/>
    <w:rsid w:val="00877B58"/>
  </w:style>
  <w:style w:type="numbering" w:customStyle="1" w:styleId="Stilimportat13">
    <w:name w:val="Stil importat 13"/>
    <w:rsid w:val="00877B58"/>
  </w:style>
  <w:style w:type="numbering" w:customStyle="1" w:styleId="Stilimportat23">
    <w:name w:val="Stil importat 23"/>
    <w:rsid w:val="00877B58"/>
  </w:style>
  <w:style w:type="numbering" w:customStyle="1" w:styleId="Stilimportat33">
    <w:name w:val="Stil importat 33"/>
    <w:rsid w:val="00877B58"/>
  </w:style>
  <w:style w:type="numbering" w:customStyle="1" w:styleId="Stilimportat43">
    <w:name w:val="Stil importat 43"/>
    <w:rsid w:val="00877B58"/>
  </w:style>
  <w:style w:type="numbering" w:customStyle="1" w:styleId="Stilimportat53">
    <w:name w:val="Stil importat 53"/>
    <w:rsid w:val="00877B58"/>
    <w:pPr>
      <w:numPr>
        <w:numId w:val="9"/>
      </w:numPr>
    </w:pPr>
  </w:style>
  <w:style w:type="numbering" w:customStyle="1" w:styleId="Stilimportat63">
    <w:name w:val="Stil importat 63"/>
    <w:rsid w:val="00877B58"/>
    <w:pPr>
      <w:numPr>
        <w:numId w:val="11"/>
      </w:numPr>
    </w:pPr>
  </w:style>
  <w:style w:type="numbering" w:customStyle="1" w:styleId="Stilimportat73">
    <w:name w:val="Stil importat 73"/>
    <w:rsid w:val="00877B58"/>
  </w:style>
  <w:style w:type="table" w:customStyle="1" w:styleId="TableGrid25">
    <w:name w:val="Table Grid25"/>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877B5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877B58"/>
    <w:pPr>
      <w:numPr>
        <w:numId w:val="51"/>
      </w:numPr>
    </w:pPr>
  </w:style>
  <w:style w:type="numbering" w:customStyle="1" w:styleId="ImportedStyle23">
    <w:name w:val="Imported Style 23"/>
    <w:rsid w:val="00877B58"/>
    <w:pPr>
      <w:numPr>
        <w:numId w:val="52"/>
      </w:numPr>
    </w:pPr>
  </w:style>
  <w:style w:type="numbering" w:customStyle="1" w:styleId="ImportedStyle33">
    <w:name w:val="Imported Style 33"/>
    <w:rsid w:val="00877B58"/>
    <w:pPr>
      <w:numPr>
        <w:numId w:val="53"/>
      </w:numPr>
    </w:pPr>
  </w:style>
  <w:style w:type="paragraph" w:customStyle="1" w:styleId="Heading41">
    <w:name w:val="Heading 41"/>
    <w:basedOn w:val="Normal"/>
    <w:next w:val="Normal"/>
    <w:uiPriority w:val="9"/>
    <w:unhideWhenUsed/>
    <w:qFormat/>
    <w:rsid w:val="00877B58"/>
    <w:pPr>
      <w:keepNext/>
      <w:keepLines/>
      <w:spacing w:before="40" w:after="0"/>
      <w:outlineLvl w:val="3"/>
    </w:pPr>
    <w:rPr>
      <w:rFonts w:ascii="Calibri Light" w:eastAsia="Times New Roman" w:hAnsi="Calibri Light" w:cs="Times New Roman"/>
      <w:i/>
      <w:iCs/>
      <w:color w:val="2E74B5"/>
    </w:rPr>
  </w:style>
  <w:style w:type="numbering" w:customStyle="1" w:styleId="NoList115">
    <w:name w:val="No List115"/>
    <w:next w:val="NoList"/>
    <w:uiPriority w:val="99"/>
    <w:semiHidden/>
    <w:unhideWhenUsed/>
    <w:rsid w:val="00877B58"/>
  </w:style>
  <w:style w:type="table" w:customStyle="1" w:styleId="TableGrid53">
    <w:name w:val="Table Grid5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
    <w:name w:val="Imported Style 783"/>
    <w:rsid w:val="00877B58"/>
    <w:pPr>
      <w:numPr>
        <w:numId w:val="54"/>
      </w:numPr>
    </w:pPr>
  </w:style>
  <w:style w:type="numbering" w:customStyle="1" w:styleId="ImportedStyle7804">
    <w:name w:val="Imported Style 78.04"/>
    <w:rsid w:val="00877B58"/>
    <w:pPr>
      <w:numPr>
        <w:numId w:val="112"/>
      </w:numPr>
    </w:pPr>
  </w:style>
  <w:style w:type="numbering" w:customStyle="1" w:styleId="ImportedStyle804">
    <w:name w:val="Imported Style 804"/>
    <w:rsid w:val="00877B58"/>
    <w:pPr>
      <w:numPr>
        <w:numId w:val="56"/>
      </w:numPr>
    </w:pPr>
  </w:style>
  <w:style w:type="numbering" w:customStyle="1" w:styleId="ImportedStyle823">
    <w:name w:val="Imported Style 823"/>
    <w:rsid w:val="00877B58"/>
    <w:pPr>
      <w:numPr>
        <w:numId w:val="57"/>
      </w:numPr>
    </w:pPr>
  </w:style>
  <w:style w:type="numbering" w:customStyle="1" w:styleId="ImportedStyle833">
    <w:name w:val="Imported Style 833"/>
    <w:rsid w:val="00877B58"/>
    <w:pPr>
      <w:numPr>
        <w:numId w:val="58"/>
      </w:numPr>
    </w:pPr>
  </w:style>
  <w:style w:type="numbering" w:customStyle="1" w:styleId="ImportedStyle1143">
    <w:name w:val="Imported Style 1143"/>
    <w:rsid w:val="00877B58"/>
    <w:pPr>
      <w:numPr>
        <w:numId w:val="59"/>
      </w:numPr>
    </w:pPr>
  </w:style>
  <w:style w:type="numbering" w:customStyle="1" w:styleId="ImportedStyle1154">
    <w:name w:val="Imported Style 1154"/>
    <w:rsid w:val="00877B58"/>
    <w:pPr>
      <w:numPr>
        <w:numId w:val="60"/>
      </w:numPr>
    </w:pPr>
  </w:style>
  <w:style w:type="numbering" w:customStyle="1" w:styleId="ImportedStyle1163">
    <w:name w:val="Imported Style 1163"/>
    <w:rsid w:val="00877B58"/>
    <w:pPr>
      <w:numPr>
        <w:numId w:val="61"/>
      </w:numPr>
    </w:pPr>
  </w:style>
  <w:style w:type="table" w:customStyle="1" w:styleId="TableNormal13">
    <w:name w:val="Table Normal13"/>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
    <w:name w:val="Imported Style 111"/>
    <w:rsid w:val="00877B58"/>
  </w:style>
  <w:style w:type="numbering" w:customStyle="1" w:styleId="ImportedStyle211">
    <w:name w:val="Imported Style 211"/>
    <w:rsid w:val="00877B58"/>
  </w:style>
  <w:style w:type="numbering" w:customStyle="1" w:styleId="ImportedStyle311">
    <w:name w:val="Imported Style 311"/>
    <w:rsid w:val="00877B58"/>
  </w:style>
  <w:style w:type="table" w:customStyle="1" w:styleId="TableGrid113">
    <w:name w:val="Table Grid113"/>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77B58"/>
  </w:style>
  <w:style w:type="table" w:customStyle="1" w:styleId="TableGrid211">
    <w:name w:val="Table Grid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77B58"/>
  </w:style>
  <w:style w:type="table" w:customStyle="1" w:styleId="TableGrid311">
    <w:name w:val="Table Grid3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877B58"/>
  </w:style>
  <w:style w:type="numbering" w:customStyle="1" w:styleId="NoList111111">
    <w:name w:val="No List111111"/>
    <w:next w:val="NoList"/>
    <w:uiPriority w:val="99"/>
    <w:semiHidden/>
    <w:unhideWhenUsed/>
    <w:rsid w:val="00877B58"/>
  </w:style>
  <w:style w:type="table" w:customStyle="1" w:styleId="TableGrid1111">
    <w:name w:val="Table Grid11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877B58"/>
  </w:style>
  <w:style w:type="numbering" w:customStyle="1" w:styleId="Stilimportat111">
    <w:name w:val="Stil importat 111"/>
    <w:rsid w:val="00877B58"/>
    <w:pPr>
      <w:numPr>
        <w:numId w:val="90"/>
      </w:numPr>
    </w:pPr>
  </w:style>
  <w:style w:type="numbering" w:customStyle="1" w:styleId="Stilimportat211">
    <w:name w:val="Stil importat 211"/>
    <w:rsid w:val="00877B58"/>
    <w:pPr>
      <w:numPr>
        <w:numId w:val="91"/>
      </w:numPr>
    </w:pPr>
  </w:style>
  <w:style w:type="numbering" w:customStyle="1" w:styleId="Stilimportat311">
    <w:name w:val="Stil importat 311"/>
    <w:rsid w:val="00877B58"/>
    <w:pPr>
      <w:numPr>
        <w:numId w:val="93"/>
      </w:numPr>
    </w:pPr>
  </w:style>
  <w:style w:type="numbering" w:customStyle="1" w:styleId="Stilimportat411">
    <w:name w:val="Stil importat 411"/>
    <w:rsid w:val="00877B58"/>
    <w:pPr>
      <w:numPr>
        <w:numId w:val="95"/>
      </w:numPr>
    </w:pPr>
  </w:style>
  <w:style w:type="numbering" w:customStyle="1" w:styleId="Stilimportat511">
    <w:name w:val="Stil importat 511"/>
    <w:rsid w:val="00877B58"/>
    <w:pPr>
      <w:numPr>
        <w:numId w:val="97"/>
      </w:numPr>
    </w:pPr>
  </w:style>
  <w:style w:type="numbering" w:customStyle="1" w:styleId="Stilimportat611">
    <w:name w:val="Stil importat 611"/>
    <w:rsid w:val="00877B58"/>
    <w:pPr>
      <w:numPr>
        <w:numId w:val="99"/>
      </w:numPr>
    </w:pPr>
  </w:style>
  <w:style w:type="numbering" w:customStyle="1" w:styleId="Stilimportat711">
    <w:name w:val="Stil importat 711"/>
    <w:rsid w:val="00877B58"/>
    <w:pPr>
      <w:numPr>
        <w:numId w:val="101"/>
      </w:numPr>
    </w:pPr>
  </w:style>
  <w:style w:type="numbering" w:customStyle="1" w:styleId="NoList43">
    <w:name w:val="No List43"/>
    <w:next w:val="NoList"/>
    <w:uiPriority w:val="99"/>
    <w:semiHidden/>
    <w:unhideWhenUsed/>
    <w:rsid w:val="00877B58"/>
  </w:style>
  <w:style w:type="numbering" w:customStyle="1" w:styleId="NoList123">
    <w:name w:val="No List123"/>
    <w:next w:val="NoList"/>
    <w:uiPriority w:val="99"/>
    <w:semiHidden/>
    <w:unhideWhenUsed/>
    <w:rsid w:val="00877B58"/>
  </w:style>
  <w:style w:type="table" w:customStyle="1" w:styleId="TableGrid411">
    <w:name w:val="Table Grid4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877B58"/>
  </w:style>
  <w:style w:type="numbering" w:customStyle="1" w:styleId="NoList1123">
    <w:name w:val="No List1123"/>
    <w:next w:val="NoList"/>
    <w:uiPriority w:val="99"/>
    <w:semiHidden/>
    <w:unhideWhenUsed/>
    <w:rsid w:val="00877B58"/>
  </w:style>
  <w:style w:type="table" w:customStyle="1" w:styleId="TableGrid123">
    <w:name w:val="Table Grid12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uiPriority w:val="99"/>
    <w:semiHidden/>
    <w:unhideWhenUsed/>
    <w:rsid w:val="00877B58"/>
  </w:style>
  <w:style w:type="table" w:customStyle="1" w:styleId="TableGrid511">
    <w:name w:val="Table Grid51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877B58"/>
    <w:rPr>
      <w:rFonts w:ascii="Calibri" w:eastAsia="Times New Roman" w:hAnsi="Calibri" w:cs="Times New Roman"/>
      <w:b/>
      <w:bCs/>
      <w:sz w:val="28"/>
      <w:szCs w:val="28"/>
    </w:rPr>
  </w:style>
  <w:style w:type="numbering" w:customStyle="1" w:styleId="NoList61">
    <w:name w:val="No List61"/>
    <w:next w:val="NoList"/>
    <w:uiPriority w:val="99"/>
    <w:semiHidden/>
    <w:unhideWhenUsed/>
    <w:rsid w:val="00877B58"/>
  </w:style>
  <w:style w:type="table" w:customStyle="1" w:styleId="TableGrid71">
    <w:name w:val="Table Grid7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1">
    <w:name w:val="Imported Style 7811"/>
    <w:rsid w:val="00877B58"/>
  </w:style>
  <w:style w:type="numbering" w:customStyle="1" w:styleId="ImportedStyle78011">
    <w:name w:val="Imported Style 78.011"/>
    <w:rsid w:val="00877B58"/>
    <w:pPr>
      <w:numPr>
        <w:numId w:val="75"/>
      </w:numPr>
    </w:pPr>
  </w:style>
  <w:style w:type="numbering" w:customStyle="1" w:styleId="ImportedStyle8011">
    <w:name w:val="Imported Style 8011"/>
    <w:rsid w:val="00877B58"/>
  </w:style>
  <w:style w:type="numbering" w:customStyle="1" w:styleId="ImportedStyle8211">
    <w:name w:val="Imported Style 8211"/>
    <w:rsid w:val="00877B58"/>
    <w:pPr>
      <w:numPr>
        <w:numId w:val="76"/>
      </w:numPr>
    </w:pPr>
  </w:style>
  <w:style w:type="numbering" w:customStyle="1" w:styleId="ImportedStyle8311">
    <w:name w:val="Imported Style 8311"/>
    <w:rsid w:val="00877B58"/>
  </w:style>
  <w:style w:type="numbering" w:customStyle="1" w:styleId="ImportedStyle11411">
    <w:name w:val="Imported Style 11411"/>
    <w:rsid w:val="00877B58"/>
    <w:pPr>
      <w:numPr>
        <w:numId w:val="77"/>
      </w:numPr>
    </w:pPr>
  </w:style>
  <w:style w:type="numbering" w:customStyle="1" w:styleId="ImportedStyle11511">
    <w:name w:val="Imported Style 11511"/>
    <w:rsid w:val="00877B58"/>
  </w:style>
  <w:style w:type="numbering" w:customStyle="1" w:styleId="ImportedStyle11611">
    <w:name w:val="Imported Style 11611"/>
    <w:rsid w:val="00877B58"/>
    <w:pPr>
      <w:numPr>
        <w:numId w:val="78"/>
      </w:numPr>
    </w:pPr>
  </w:style>
  <w:style w:type="table" w:customStyle="1" w:styleId="TableNormal111">
    <w:name w:val="Table Normal11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877B58"/>
    <w:pPr>
      <w:numPr>
        <w:numId w:val="79"/>
      </w:numPr>
    </w:pPr>
  </w:style>
  <w:style w:type="numbering" w:customStyle="1" w:styleId="ImportedStyle221">
    <w:name w:val="Imported Style 221"/>
    <w:rsid w:val="00877B58"/>
    <w:pPr>
      <w:numPr>
        <w:numId w:val="13"/>
      </w:numPr>
    </w:pPr>
  </w:style>
  <w:style w:type="numbering" w:customStyle="1" w:styleId="ImportedStyle321">
    <w:name w:val="Imported Style 321"/>
    <w:rsid w:val="00877B58"/>
    <w:pPr>
      <w:numPr>
        <w:numId w:val="80"/>
      </w:numPr>
    </w:pPr>
  </w:style>
  <w:style w:type="table" w:customStyle="1" w:styleId="TableGrid131">
    <w:name w:val="Table Grid13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77B58"/>
  </w:style>
  <w:style w:type="table" w:customStyle="1" w:styleId="TableGrid221">
    <w:name w:val="Table Grid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877B58"/>
  </w:style>
  <w:style w:type="table" w:customStyle="1" w:styleId="TableGrid321">
    <w:name w:val="Table Grid3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877B58"/>
  </w:style>
  <w:style w:type="numbering" w:customStyle="1" w:styleId="NoList11121">
    <w:name w:val="No List11121"/>
    <w:next w:val="NoList"/>
    <w:uiPriority w:val="99"/>
    <w:semiHidden/>
    <w:unhideWhenUsed/>
    <w:rsid w:val="00877B58"/>
  </w:style>
  <w:style w:type="table" w:customStyle="1" w:styleId="TableGrid1121">
    <w:name w:val="Table Grid11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877B58"/>
  </w:style>
  <w:style w:type="numbering" w:customStyle="1" w:styleId="Stilimportat121">
    <w:name w:val="Stil importat 121"/>
    <w:rsid w:val="00877B58"/>
    <w:pPr>
      <w:numPr>
        <w:numId w:val="92"/>
      </w:numPr>
    </w:pPr>
  </w:style>
  <w:style w:type="numbering" w:customStyle="1" w:styleId="Stilimportat221">
    <w:name w:val="Stil importat 221"/>
    <w:rsid w:val="00877B58"/>
  </w:style>
  <w:style w:type="numbering" w:customStyle="1" w:styleId="Stilimportat321">
    <w:name w:val="Stil importat 321"/>
    <w:rsid w:val="00877B58"/>
  </w:style>
  <w:style w:type="numbering" w:customStyle="1" w:styleId="Stilimportat421">
    <w:name w:val="Stil importat 421"/>
    <w:rsid w:val="00877B58"/>
  </w:style>
  <w:style w:type="numbering" w:customStyle="1" w:styleId="Stilimportat521">
    <w:name w:val="Stil importat 521"/>
    <w:rsid w:val="00877B58"/>
  </w:style>
  <w:style w:type="numbering" w:customStyle="1" w:styleId="Stilimportat621">
    <w:name w:val="Stil importat 621"/>
    <w:rsid w:val="00877B58"/>
  </w:style>
  <w:style w:type="numbering" w:customStyle="1" w:styleId="Stilimportat721">
    <w:name w:val="Stil importat 721"/>
    <w:rsid w:val="00877B58"/>
  </w:style>
  <w:style w:type="numbering" w:customStyle="1" w:styleId="NoList411">
    <w:name w:val="No List411"/>
    <w:next w:val="NoList"/>
    <w:uiPriority w:val="99"/>
    <w:semiHidden/>
    <w:unhideWhenUsed/>
    <w:rsid w:val="00877B58"/>
  </w:style>
  <w:style w:type="numbering" w:customStyle="1" w:styleId="NoList1211">
    <w:name w:val="No List1211"/>
    <w:next w:val="NoList"/>
    <w:uiPriority w:val="99"/>
    <w:semiHidden/>
    <w:unhideWhenUsed/>
    <w:rsid w:val="00877B58"/>
  </w:style>
  <w:style w:type="table" w:customStyle="1" w:styleId="TableGrid421">
    <w:name w:val="Table Grid4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877B58"/>
  </w:style>
  <w:style w:type="numbering" w:customStyle="1" w:styleId="NoList11211">
    <w:name w:val="No List11211"/>
    <w:next w:val="NoList"/>
    <w:uiPriority w:val="99"/>
    <w:semiHidden/>
    <w:unhideWhenUsed/>
    <w:rsid w:val="00877B58"/>
  </w:style>
  <w:style w:type="table" w:customStyle="1" w:styleId="TableGrid1211">
    <w:name w:val="Table Grid1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877B58"/>
  </w:style>
  <w:style w:type="table" w:customStyle="1" w:styleId="TableGrid521">
    <w:name w:val="Table Grid52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77B58"/>
  </w:style>
  <w:style w:type="table" w:customStyle="1" w:styleId="TableGrid81">
    <w:name w:val="Table Grid8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1">
    <w:name w:val="Imported Style 7821"/>
    <w:rsid w:val="00877B58"/>
    <w:pPr>
      <w:numPr>
        <w:numId w:val="81"/>
      </w:numPr>
    </w:pPr>
  </w:style>
  <w:style w:type="numbering" w:customStyle="1" w:styleId="ImportedStyle78021">
    <w:name w:val="Imported Style 78.021"/>
    <w:rsid w:val="00877B58"/>
    <w:pPr>
      <w:numPr>
        <w:numId w:val="82"/>
      </w:numPr>
    </w:pPr>
  </w:style>
  <w:style w:type="numbering" w:customStyle="1" w:styleId="ImportedStyle8021">
    <w:name w:val="Imported Style 8021"/>
    <w:rsid w:val="00877B58"/>
    <w:pPr>
      <w:numPr>
        <w:numId w:val="20"/>
      </w:numPr>
    </w:pPr>
  </w:style>
  <w:style w:type="numbering" w:customStyle="1" w:styleId="ImportedStyle8221">
    <w:name w:val="Imported Style 8221"/>
    <w:rsid w:val="00877B58"/>
    <w:pPr>
      <w:numPr>
        <w:numId w:val="83"/>
      </w:numPr>
    </w:pPr>
  </w:style>
  <w:style w:type="numbering" w:customStyle="1" w:styleId="ImportedStyle8321">
    <w:name w:val="Imported Style 8321"/>
    <w:rsid w:val="00877B58"/>
    <w:pPr>
      <w:numPr>
        <w:numId w:val="84"/>
      </w:numPr>
    </w:pPr>
  </w:style>
  <w:style w:type="numbering" w:customStyle="1" w:styleId="ImportedStyle11421">
    <w:name w:val="Imported Style 11421"/>
    <w:rsid w:val="00877B58"/>
    <w:pPr>
      <w:numPr>
        <w:numId w:val="85"/>
      </w:numPr>
    </w:pPr>
  </w:style>
  <w:style w:type="numbering" w:customStyle="1" w:styleId="ImportedStyle11521">
    <w:name w:val="Imported Style 11521"/>
    <w:rsid w:val="00877B58"/>
    <w:pPr>
      <w:numPr>
        <w:numId w:val="24"/>
      </w:numPr>
    </w:pPr>
  </w:style>
  <w:style w:type="numbering" w:customStyle="1" w:styleId="ImportedStyle11621">
    <w:name w:val="Imported Style 11621"/>
    <w:rsid w:val="00877B58"/>
    <w:pPr>
      <w:numPr>
        <w:numId w:val="86"/>
      </w:numPr>
    </w:pPr>
  </w:style>
  <w:style w:type="table" w:customStyle="1" w:styleId="TableNormal121">
    <w:name w:val="Table Normal12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
    <w:name w:val="Imported Style 131"/>
    <w:rsid w:val="00877B58"/>
    <w:pPr>
      <w:numPr>
        <w:numId w:val="87"/>
      </w:numPr>
    </w:pPr>
  </w:style>
  <w:style w:type="numbering" w:customStyle="1" w:styleId="ImportedStyle231">
    <w:name w:val="Imported Style 231"/>
    <w:rsid w:val="00877B58"/>
    <w:pPr>
      <w:numPr>
        <w:numId w:val="88"/>
      </w:numPr>
    </w:pPr>
  </w:style>
  <w:style w:type="numbering" w:customStyle="1" w:styleId="ImportedStyle331">
    <w:name w:val="Imported Style 331"/>
    <w:rsid w:val="00877B58"/>
    <w:pPr>
      <w:numPr>
        <w:numId w:val="89"/>
      </w:numPr>
    </w:pPr>
  </w:style>
  <w:style w:type="table" w:customStyle="1" w:styleId="TableGrid141">
    <w:name w:val="Table Grid14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877B58"/>
  </w:style>
  <w:style w:type="table" w:customStyle="1" w:styleId="TableGrid231">
    <w:name w:val="Table Grid2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877B58"/>
  </w:style>
  <w:style w:type="table" w:customStyle="1" w:styleId="TableGrid331">
    <w:name w:val="Table Grid3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877B58"/>
  </w:style>
  <w:style w:type="numbering" w:customStyle="1" w:styleId="NoList11131">
    <w:name w:val="No List11131"/>
    <w:next w:val="NoList"/>
    <w:uiPriority w:val="99"/>
    <w:semiHidden/>
    <w:unhideWhenUsed/>
    <w:rsid w:val="00877B58"/>
  </w:style>
  <w:style w:type="table" w:customStyle="1" w:styleId="TableGrid1131">
    <w:name w:val="Table Grid11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877B58"/>
  </w:style>
  <w:style w:type="numbering" w:customStyle="1" w:styleId="Stilimportat131">
    <w:name w:val="Stil importat 131"/>
    <w:rsid w:val="00877B58"/>
    <w:pPr>
      <w:numPr>
        <w:numId w:val="104"/>
      </w:numPr>
    </w:pPr>
  </w:style>
  <w:style w:type="numbering" w:customStyle="1" w:styleId="Stilimportat231">
    <w:name w:val="Stil importat 231"/>
    <w:rsid w:val="00877B58"/>
    <w:pPr>
      <w:numPr>
        <w:numId w:val="94"/>
      </w:numPr>
    </w:pPr>
  </w:style>
  <w:style w:type="numbering" w:customStyle="1" w:styleId="Stilimportat331">
    <w:name w:val="Stil importat 331"/>
    <w:rsid w:val="00877B58"/>
    <w:pPr>
      <w:numPr>
        <w:numId w:val="96"/>
      </w:numPr>
    </w:pPr>
  </w:style>
  <w:style w:type="numbering" w:customStyle="1" w:styleId="Stilimportat431">
    <w:name w:val="Stil importat 431"/>
    <w:rsid w:val="00877B58"/>
    <w:pPr>
      <w:numPr>
        <w:numId w:val="98"/>
      </w:numPr>
    </w:pPr>
  </w:style>
  <w:style w:type="numbering" w:customStyle="1" w:styleId="Stilimportat531">
    <w:name w:val="Stil importat 531"/>
    <w:rsid w:val="00877B58"/>
    <w:pPr>
      <w:numPr>
        <w:numId w:val="100"/>
      </w:numPr>
    </w:pPr>
  </w:style>
  <w:style w:type="numbering" w:customStyle="1" w:styleId="Stilimportat631">
    <w:name w:val="Stil importat 631"/>
    <w:rsid w:val="00877B58"/>
    <w:pPr>
      <w:numPr>
        <w:numId w:val="102"/>
      </w:numPr>
    </w:pPr>
  </w:style>
  <w:style w:type="numbering" w:customStyle="1" w:styleId="Stilimportat731">
    <w:name w:val="Stil importat 731"/>
    <w:rsid w:val="00877B58"/>
    <w:pPr>
      <w:numPr>
        <w:numId w:val="103"/>
      </w:numPr>
    </w:pPr>
  </w:style>
  <w:style w:type="numbering" w:customStyle="1" w:styleId="NoList421">
    <w:name w:val="No List421"/>
    <w:next w:val="NoList"/>
    <w:uiPriority w:val="99"/>
    <w:semiHidden/>
    <w:unhideWhenUsed/>
    <w:rsid w:val="00877B58"/>
  </w:style>
  <w:style w:type="numbering" w:customStyle="1" w:styleId="NoList1221">
    <w:name w:val="No List1221"/>
    <w:next w:val="NoList"/>
    <w:uiPriority w:val="99"/>
    <w:semiHidden/>
    <w:unhideWhenUsed/>
    <w:rsid w:val="00877B58"/>
  </w:style>
  <w:style w:type="table" w:customStyle="1" w:styleId="TableGrid431">
    <w:name w:val="Table Grid4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877B58"/>
  </w:style>
  <w:style w:type="numbering" w:customStyle="1" w:styleId="NoList11221">
    <w:name w:val="No List11221"/>
    <w:next w:val="NoList"/>
    <w:uiPriority w:val="99"/>
    <w:semiHidden/>
    <w:unhideWhenUsed/>
    <w:rsid w:val="00877B58"/>
  </w:style>
  <w:style w:type="table" w:customStyle="1" w:styleId="TableGrid1221">
    <w:name w:val="Table Grid1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877B58"/>
  </w:style>
  <w:style w:type="table" w:customStyle="1" w:styleId="TableGrid531">
    <w:name w:val="Table Grid53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
    <w:name w:val="Stil importat 14"/>
    <w:rsid w:val="00877B58"/>
    <w:pPr>
      <w:numPr>
        <w:numId w:val="105"/>
      </w:numPr>
    </w:pPr>
  </w:style>
  <w:style w:type="numbering" w:customStyle="1" w:styleId="Stilimportat24">
    <w:name w:val="Stil importat 24"/>
    <w:rsid w:val="00877B58"/>
    <w:pPr>
      <w:numPr>
        <w:numId w:val="106"/>
      </w:numPr>
    </w:pPr>
  </w:style>
  <w:style w:type="numbering" w:customStyle="1" w:styleId="Stilimportat34">
    <w:name w:val="Stil importat 34"/>
    <w:rsid w:val="00877B58"/>
    <w:pPr>
      <w:numPr>
        <w:numId w:val="107"/>
      </w:numPr>
    </w:pPr>
  </w:style>
  <w:style w:type="numbering" w:customStyle="1" w:styleId="Stilimportat44">
    <w:name w:val="Stil importat 44"/>
    <w:rsid w:val="00877B58"/>
    <w:pPr>
      <w:numPr>
        <w:numId w:val="108"/>
      </w:numPr>
    </w:pPr>
  </w:style>
  <w:style w:type="numbering" w:customStyle="1" w:styleId="Stilimportat54">
    <w:name w:val="Stil importat 54"/>
    <w:rsid w:val="00877B58"/>
    <w:pPr>
      <w:numPr>
        <w:numId w:val="109"/>
      </w:numPr>
    </w:pPr>
  </w:style>
  <w:style w:type="numbering" w:customStyle="1" w:styleId="Stilimportat64">
    <w:name w:val="Stil importat 64"/>
    <w:rsid w:val="00877B58"/>
    <w:pPr>
      <w:numPr>
        <w:numId w:val="110"/>
      </w:numPr>
    </w:pPr>
  </w:style>
  <w:style w:type="numbering" w:customStyle="1" w:styleId="Stilimportat74">
    <w:name w:val="Stil importat 74"/>
    <w:rsid w:val="00877B58"/>
    <w:pPr>
      <w:numPr>
        <w:numId w:val="111"/>
      </w:numPr>
    </w:pPr>
  </w:style>
  <w:style w:type="numbering" w:customStyle="1" w:styleId="ImportedStyle8031">
    <w:name w:val="Imported Style 8031"/>
    <w:rsid w:val="00877B58"/>
    <w:pPr>
      <w:numPr>
        <w:numId w:val="63"/>
      </w:numPr>
    </w:pPr>
  </w:style>
  <w:style w:type="paragraph" w:customStyle="1" w:styleId="al">
    <w:name w:val="a_l"/>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c">
    <w:name w:val="a_c"/>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211111">
    <w:name w:val="Stil importat 211111"/>
    <w:rsid w:val="00D35395"/>
  </w:style>
  <w:style w:type="numbering" w:customStyle="1" w:styleId="Stilimportat311111">
    <w:name w:val="Stil importat 311111"/>
    <w:rsid w:val="00D35395"/>
  </w:style>
  <w:style w:type="table" w:customStyle="1" w:styleId="TableGrid30">
    <w:name w:val="Table Grid30"/>
    <w:basedOn w:val="TableNormal"/>
    <w:next w:val="TableGrid"/>
    <w:uiPriority w:val="39"/>
    <w:rsid w:val="00D353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532">
    <w:name w:val="Stil importat 532"/>
    <w:rsid w:val="0081059F"/>
  </w:style>
  <w:style w:type="numbering" w:customStyle="1" w:styleId="ImportedStyle801112">
    <w:name w:val="Imported Style 801112"/>
    <w:rsid w:val="00301CF8"/>
  </w:style>
  <w:style w:type="numbering" w:customStyle="1" w:styleId="ImportedStyle1141122">
    <w:name w:val="Imported Style 1141122"/>
    <w:rsid w:val="00301CF8"/>
  </w:style>
  <w:style w:type="numbering" w:customStyle="1" w:styleId="ImportedStyle1151112">
    <w:name w:val="Imported Style 1151112"/>
    <w:rsid w:val="00301CF8"/>
  </w:style>
  <w:style w:type="numbering" w:customStyle="1" w:styleId="NoList18">
    <w:name w:val="No List18"/>
    <w:next w:val="NoList"/>
    <w:uiPriority w:val="99"/>
    <w:semiHidden/>
    <w:unhideWhenUsed/>
    <w:rsid w:val="00D05E4C"/>
  </w:style>
  <w:style w:type="table" w:customStyle="1" w:styleId="PlainTable21">
    <w:name w:val="Plain Table 21"/>
    <w:basedOn w:val="TableNormal"/>
    <w:uiPriority w:val="42"/>
    <w:rsid w:val="00D05E4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8">
    <w:name w:val="Table Grid28"/>
    <w:basedOn w:val="TableNormal"/>
    <w:next w:val="TableGrid"/>
    <w:uiPriority w:val="59"/>
    <w:rsid w:val="00D05E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D05E4C"/>
  </w:style>
  <w:style w:type="paragraph" w:customStyle="1" w:styleId="rvps1">
    <w:name w:val="rvps1"/>
    <w:basedOn w:val="Normal"/>
    <w:rsid w:val="00D05E4C"/>
    <w:pPr>
      <w:spacing w:before="100" w:beforeAutospacing="1" w:after="100" w:afterAutospacing="1" w:line="240" w:lineRule="auto"/>
    </w:pPr>
    <w:rPr>
      <w:rFonts w:ascii="Times New Roman" w:eastAsia="Times New Roman" w:hAnsi="Times New Roman" w:cs="Times New Roman"/>
      <w:sz w:val="24"/>
      <w:szCs w:val="24"/>
      <w:lang w:eastAsia="ro-RO"/>
    </w:rPr>
  </w:style>
  <w:style w:type="numbering" w:customStyle="1" w:styleId="ImportedStyle784">
    <w:name w:val="Imported Style 784"/>
    <w:rsid w:val="00D05E4C"/>
    <w:pPr>
      <w:numPr>
        <w:numId w:val="1"/>
      </w:numPr>
    </w:pPr>
  </w:style>
  <w:style w:type="numbering" w:customStyle="1" w:styleId="ImportedStyle7805">
    <w:name w:val="Imported Style 78.05"/>
    <w:rsid w:val="00D05E4C"/>
    <w:pPr>
      <w:numPr>
        <w:numId w:val="2"/>
      </w:numPr>
    </w:pPr>
  </w:style>
  <w:style w:type="numbering" w:customStyle="1" w:styleId="ImportedStyle805">
    <w:name w:val="Imported Style 805"/>
    <w:rsid w:val="00D05E4C"/>
    <w:pPr>
      <w:numPr>
        <w:numId w:val="3"/>
      </w:numPr>
    </w:pPr>
  </w:style>
  <w:style w:type="numbering" w:customStyle="1" w:styleId="ImportedStyle824">
    <w:name w:val="Imported Style 824"/>
    <w:rsid w:val="00D05E4C"/>
    <w:pPr>
      <w:numPr>
        <w:numId w:val="4"/>
      </w:numPr>
    </w:pPr>
  </w:style>
  <w:style w:type="numbering" w:customStyle="1" w:styleId="ImportedStyle834">
    <w:name w:val="Imported Style 834"/>
    <w:rsid w:val="00D05E4C"/>
    <w:pPr>
      <w:numPr>
        <w:numId w:val="5"/>
      </w:numPr>
    </w:pPr>
  </w:style>
  <w:style w:type="numbering" w:customStyle="1" w:styleId="ImportedStyle1144">
    <w:name w:val="Imported Style 1144"/>
    <w:rsid w:val="00D05E4C"/>
    <w:pPr>
      <w:numPr>
        <w:numId w:val="6"/>
      </w:numPr>
    </w:pPr>
  </w:style>
  <w:style w:type="numbering" w:customStyle="1" w:styleId="ImportedStyle1155">
    <w:name w:val="Imported Style 1155"/>
    <w:rsid w:val="00D05E4C"/>
    <w:pPr>
      <w:numPr>
        <w:numId w:val="7"/>
      </w:numPr>
    </w:pPr>
  </w:style>
  <w:style w:type="numbering" w:customStyle="1" w:styleId="ImportedStyle1164">
    <w:name w:val="Imported Style 1164"/>
    <w:rsid w:val="00D05E4C"/>
    <w:pPr>
      <w:numPr>
        <w:numId w:val="8"/>
      </w:numPr>
    </w:pPr>
  </w:style>
  <w:style w:type="numbering" w:customStyle="1" w:styleId="ImportedStyle4">
    <w:name w:val="Imported Style 4"/>
    <w:rsid w:val="00C5117B"/>
    <w:pPr>
      <w:numPr>
        <w:numId w:val="257"/>
      </w:numPr>
    </w:pPr>
  </w:style>
  <w:style w:type="numbering" w:customStyle="1" w:styleId="ImportedStyle5">
    <w:name w:val="Imported Style 5"/>
    <w:rsid w:val="00C5117B"/>
    <w:pPr>
      <w:numPr>
        <w:numId w:val="261"/>
      </w:numPr>
    </w:pPr>
  </w:style>
  <w:style w:type="numbering" w:customStyle="1" w:styleId="ImportedStyle6">
    <w:name w:val="Imported Style 6"/>
    <w:rsid w:val="00C5117B"/>
    <w:pPr>
      <w:numPr>
        <w:numId w:val="263"/>
      </w:numPr>
    </w:pPr>
  </w:style>
  <w:style w:type="numbering" w:customStyle="1" w:styleId="ImportedStyle7">
    <w:name w:val="Imported Style 7"/>
    <w:rsid w:val="00C5117B"/>
    <w:pPr>
      <w:numPr>
        <w:numId w:val="264"/>
      </w:numPr>
    </w:pPr>
  </w:style>
  <w:style w:type="numbering" w:customStyle="1" w:styleId="ImportedStyle8">
    <w:name w:val="Imported Style 8"/>
    <w:rsid w:val="00C5117B"/>
    <w:pPr>
      <w:numPr>
        <w:numId w:val="265"/>
      </w:numPr>
    </w:pPr>
  </w:style>
  <w:style w:type="numbering" w:customStyle="1" w:styleId="ImportedStyle9">
    <w:name w:val="Imported Style 9"/>
    <w:rsid w:val="00C5117B"/>
    <w:pPr>
      <w:numPr>
        <w:numId w:val="267"/>
      </w:numPr>
    </w:pPr>
  </w:style>
  <w:style w:type="numbering" w:customStyle="1" w:styleId="ImportedStyle10">
    <w:name w:val="Imported Style 10"/>
    <w:rsid w:val="00C5117B"/>
    <w:pPr>
      <w:numPr>
        <w:numId w:val="269"/>
      </w:numPr>
    </w:pPr>
  </w:style>
  <w:style w:type="numbering" w:customStyle="1" w:styleId="ImportedStyle801113">
    <w:name w:val="Imported Style 801113"/>
    <w:rsid w:val="00E02EA5"/>
  </w:style>
  <w:style w:type="numbering" w:customStyle="1" w:styleId="ImportedStyle1141123">
    <w:name w:val="Imported Style 1141123"/>
    <w:rsid w:val="00E02EA5"/>
  </w:style>
  <w:style w:type="numbering" w:customStyle="1" w:styleId="ImportedStyle1151113">
    <w:name w:val="Imported Style 1151113"/>
    <w:rsid w:val="00E02EA5"/>
  </w:style>
  <w:style w:type="paragraph" w:customStyle="1" w:styleId="BodyA">
    <w:name w:val="Body A"/>
    <w:rsid w:val="00A827C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style>
  <w:style w:type="numbering" w:customStyle="1" w:styleId="ImportedStyle20">
    <w:name w:val="Imported Style 2.0"/>
    <w:rsid w:val="00A827C3"/>
    <w:pPr>
      <w:numPr>
        <w:numId w:val="305"/>
      </w:numPr>
    </w:pPr>
  </w:style>
  <w:style w:type="numbering" w:customStyle="1" w:styleId="NoList19">
    <w:name w:val="No List19"/>
    <w:next w:val="NoList"/>
    <w:uiPriority w:val="99"/>
    <w:semiHidden/>
    <w:unhideWhenUsed/>
    <w:rsid w:val="009F1EE3"/>
  </w:style>
  <w:style w:type="table" w:customStyle="1" w:styleId="TableGrid29">
    <w:name w:val="Table Grid29"/>
    <w:basedOn w:val="TableNormal"/>
    <w:next w:val="TableGrid"/>
    <w:uiPriority w:val="59"/>
    <w:rsid w:val="009F1EE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9F1EE3"/>
    <w:rPr>
      <w:vertAlign w:val="superscript"/>
    </w:rPr>
  </w:style>
  <w:style w:type="paragraph" w:customStyle="1" w:styleId="TableContents">
    <w:name w:val="Table Contents"/>
    <w:basedOn w:val="Normal"/>
    <w:qFormat/>
    <w:rsid w:val="009F1EE3"/>
    <w:pPr>
      <w:suppressAutoHyphens/>
      <w:spacing w:after="200" w:line="276" w:lineRule="auto"/>
    </w:pPr>
    <w:rPr>
      <w:rFonts w:ascii="Calibri" w:eastAsia="Times New Roman" w:hAnsi="Calibri" w:cs="Times New Roman"/>
      <w:color w:val="00000A"/>
      <w:lang w:val="en-US"/>
    </w:rPr>
  </w:style>
  <w:style w:type="paragraph" w:customStyle="1" w:styleId="TableHeading">
    <w:name w:val="Table Heading"/>
    <w:basedOn w:val="TableContents"/>
    <w:rsid w:val="009F1EE3"/>
  </w:style>
  <w:style w:type="paragraph" w:customStyle="1" w:styleId="Footnote">
    <w:name w:val="Footnote"/>
    <w:basedOn w:val="Normal"/>
    <w:rsid w:val="009F1EE3"/>
    <w:pPr>
      <w:suppressAutoHyphens/>
      <w:spacing w:after="200" w:line="276" w:lineRule="auto"/>
    </w:pPr>
    <w:rPr>
      <w:rFonts w:ascii="Calibri" w:eastAsia="Times New Roman" w:hAnsi="Calibri" w:cs="Times New Roman"/>
      <w:color w:val="00000A"/>
      <w:lang w:val="en-US"/>
    </w:rPr>
  </w:style>
  <w:style w:type="character" w:customStyle="1" w:styleId="A8">
    <w:name w:val="A8"/>
    <w:uiPriority w:val="99"/>
    <w:rsid w:val="009F1EE3"/>
    <w:rPr>
      <w:rFonts w:cs="Minion Pro"/>
      <w:color w:val="000000"/>
    </w:rPr>
  </w:style>
  <w:style w:type="paragraph" w:customStyle="1" w:styleId="Pa21">
    <w:name w:val="Pa21"/>
    <w:basedOn w:val="Default"/>
    <w:next w:val="Default"/>
    <w:uiPriority w:val="99"/>
    <w:rsid w:val="009F1EE3"/>
    <w:pPr>
      <w:spacing w:line="141" w:lineRule="atLeast"/>
    </w:pPr>
    <w:rPr>
      <w:rFonts w:ascii="Avenir LT Std 55 Roman" w:hAnsi="Avenir LT Std 55 Roman" w:cs="Times New Roman"/>
      <w:color w:val="auto"/>
    </w:rPr>
  </w:style>
  <w:style w:type="paragraph" w:customStyle="1" w:styleId="Pa22">
    <w:name w:val="Pa22"/>
    <w:basedOn w:val="Default"/>
    <w:next w:val="Default"/>
    <w:uiPriority w:val="99"/>
    <w:rsid w:val="009F1EE3"/>
    <w:pPr>
      <w:spacing w:line="181" w:lineRule="atLeast"/>
    </w:pPr>
    <w:rPr>
      <w:rFonts w:ascii="Avenir LT Std 55 Roman" w:hAnsi="Avenir LT Std 55 Roman" w:cs="Times New Roman"/>
      <w:color w:val="auto"/>
    </w:rPr>
  </w:style>
  <w:style w:type="paragraph" w:styleId="BodyText3">
    <w:name w:val="Body Text 3"/>
    <w:basedOn w:val="Normal"/>
    <w:link w:val="BodyText3Char"/>
    <w:semiHidden/>
    <w:rsid w:val="009F1EE3"/>
    <w:pPr>
      <w:spacing w:after="0" w:line="240" w:lineRule="auto"/>
      <w:jc w:val="both"/>
    </w:pPr>
    <w:rPr>
      <w:rFonts w:ascii="Times New Roman" w:eastAsia="Times New Roman" w:hAnsi="Times New Roman" w:cs="Times New Roman"/>
      <w:color w:val="000000"/>
      <w:sz w:val="18"/>
      <w:szCs w:val="24"/>
    </w:rPr>
  </w:style>
  <w:style w:type="character" w:customStyle="1" w:styleId="BodyText3Char">
    <w:name w:val="Body Text 3 Char"/>
    <w:basedOn w:val="DefaultParagraphFont"/>
    <w:link w:val="BodyText3"/>
    <w:semiHidden/>
    <w:rsid w:val="009F1EE3"/>
    <w:rPr>
      <w:rFonts w:ascii="Times New Roman" w:eastAsia="Times New Roman" w:hAnsi="Times New Roman" w:cs="Times New Roman"/>
      <w:color w:val="000000"/>
      <w:sz w:val="18"/>
      <w:szCs w:val="24"/>
    </w:rPr>
  </w:style>
  <w:style w:type="paragraph" w:customStyle="1" w:styleId="Standard">
    <w:name w:val="Standard"/>
    <w:rsid w:val="009F1EE3"/>
    <w:pPr>
      <w:suppressAutoHyphens/>
      <w:autoSpaceDN w:val="0"/>
      <w:spacing w:after="200" w:line="276" w:lineRule="auto"/>
      <w:textAlignment w:val="baseline"/>
    </w:pPr>
    <w:rPr>
      <w:rFonts w:ascii="Calibri" w:eastAsia="SimSun" w:hAnsi="Calibri" w:cs="Calibri"/>
      <w:kern w:val="3"/>
      <w:lang w:val="en-US"/>
    </w:rPr>
  </w:style>
  <w:style w:type="paragraph" w:customStyle="1" w:styleId="Listparagraf1">
    <w:name w:val="Listă paragraf1"/>
    <w:basedOn w:val="Normal"/>
    <w:rsid w:val="009F1EE3"/>
    <w:pPr>
      <w:spacing w:after="0" w:line="240" w:lineRule="auto"/>
      <w:ind w:left="720"/>
      <w:contextualSpacing/>
    </w:pPr>
    <w:rPr>
      <w:rFonts w:ascii="Times New Roman" w:eastAsia="Calibri" w:hAnsi="Times New Roman" w:cs="Times New Roman"/>
      <w:sz w:val="24"/>
      <w:szCs w:val="24"/>
      <w:lang w:eastAsia="ro-RO"/>
    </w:rPr>
  </w:style>
  <w:style w:type="character" w:customStyle="1" w:styleId="InternetLink">
    <w:name w:val="Internet Link"/>
    <w:rsid w:val="009F1EE3"/>
    <w:rPr>
      <w:color w:val="000080"/>
      <w:u w:val="single"/>
    </w:rPr>
  </w:style>
  <w:style w:type="paragraph" w:customStyle="1" w:styleId="Listparagraf2">
    <w:name w:val="Listă paragraf2"/>
    <w:basedOn w:val="Normal"/>
    <w:rsid w:val="009F1EE3"/>
    <w:pPr>
      <w:spacing w:after="0" w:line="240" w:lineRule="auto"/>
      <w:ind w:left="720"/>
      <w:contextualSpacing/>
    </w:pPr>
    <w:rPr>
      <w:rFonts w:ascii="Times New Roman" w:eastAsia="Calibri" w:hAnsi="Times New Roman" w:cs="Times New Roman"/>
      <w:sz w:val="24"/>
      <w:szCs w:val="24"/>
      <w:lang w:eastAsia="ro-RO"/>
    </w:rPr>
  </w:style>
  <w:style w:type="table" w:customStyle="1" w:styleId="TableGridLight1">
    <w:name w:val="Table Grid Light1"/>
    <w:basedOn w:val="TableNormal"/>
    <w:uiPriority w:val="40"/>
    <w:rsid w:val="009F1EE3"/>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9635">
      <w:bodyDiv w:val="1"/>
      <w:marLeft w:val="0"/>
      <w:marRight w:val="0"/>
      <w:marTop w:val="0"/>
      <w:marBottom w:val="0"/>
      <w:divBdr>
        <w:top w:val="none" w:sz="0" w:space="0" w:color="auto"/>
        <w:left w:val="none" w:sz="0" w:space="0" w:color="auto"/>
        <w:bottom w:val="none" w:sz="0" w:space="0" w:color="auto"/>
        <w:right w:val="none" w:sz="0" w:space="0" w:color="auto"/>
      </w:divBdr>
    </w:div>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324743347">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00255">
      <w:bodyDiv w:val="1"/>
      <w:marLeft w:val="0"/>
      <w:marRight w:val="0"/>
      <w:marTop w:val="0"/>
      <w:marBottom w:val="0"/>
      <w:divBdr>
        <w:top w:val="none" w:sz="0" w:space="0" w:color="auto"/>
        <w:left w:val="none" w:sz="0" w:space="0" w:color="auto"/>
        <w:bottom w:val="none" w:sz="0" w:space="0" w:color="auto"/>
        <w:right w:val="none" w:sz="0" w:space="0" w:color="auto"/>
      </w:divBdr>
    </w:div>
    <w:div w:id="658580231">
      <w:bodyDiv w:val="1"/>
      <w:marLeft w:val="0"/>
      <w:marRight w:val="0"/>
      <w:marTop w:val="0"/>
      <w:marBottom w:val="0"/>
      <w:divBdr>
        <w:top w:val="none" w:sz="0" w:space="0" w:color="auto"/>
        <w:left w:val="none" w:sz="0" w:space="0" w:color="auto"/>
        <w:bottom w:val="none" w:sz="0" w:space="0" w:color="auto"/>
        <w:right w:val="none" w:sz="0" w:space="0" w:color="auto"/>
      </w:divBdr>
    </w:div>
    <w:div w:id="715084278">
      <w:bodyDiv w:val="1"/>
      <w:marLeft w:val="0"/>
      <w:marRight w:val="0"/>
      <w:marTop w:val="0"/>
      <w:marBottom w:val="0"/>
      <w:divBdr>
        <w:top w:val="none" w:sz="0" w:space="0" w:color="auto"/>
        <w:left w:val="none" w:sz="0" w:space="0" w:color="auto"/>
        <w:bottom w:val="none" w:sz="0" w:space="0" w:color="auto"/>
        <w:right w:val="none" w:sz="0" w:space="0" w:color="auto"/>
      </w:divBdr>
    </w:div>
    <w:div w:id="771707899">
      <w:bodyDiv w:val="1"/>
      <w:marLeft w:val="0"/>
      <w:marRight w:val="0"/>
      <w:marTop w:val="0"/>
      <w:marBottom w:val="0"/>
      <w:divBdr>
        <w:top w:val="none" w:sz="0" w:space="0" w:color="auto"/>
        <w:left w:val="none" w:sz="0" w:space="0" w:color="auto"/>
        <w:bottom w:val="none" w:sz="0" w:space="0" w:color="auto"/>
        <w:right w:val="none" w:sz="0" w:space="0" w:color="auto"/>
      </w:divBdr>
    </w:div>
    <w:div w:id="826285164">
      <w:bodyDiv w:val="1"/>
      <w:marLeft w:val="0"/>
      <w:marRight w:val="0"/>
      <w:marTop w:val="0"/>
      <w:marBottom w:val="0"/>
      <w:divBdr>
        <w:top w:val="none" w:sz="0" w:space="0" w:color="auto"/>
        <w:left w:val="none" w:sz="0" w:space="0" w:color="auto"/>
        <w:bottom w:val="none" w:sz="0" w:space="0" w:color="auto"/>
        <w:right w:val="none" w:sz="0" w:space="0" w:color="auto"/>
      </w:divBdr>
    </w:div>
    <w:div w:id="855269192">
      <w:bodyDiv w:val="1"/>
      <w:marLeft w:val="0"/>
      <w:marRight w:val="0"/>
      <w:marTop w:val="0"/>
      <w:marBottom w:val="0"/>
      <w:divBdr>
        <w:top w:val="none" w:sz="0" w:space="0" w:color="auto"/>
        <w:left w:val="none" w:sz="0" w:space="0" w:color="auto"/>
        <w:bottom w:val="none" w:sz="0" w:space="0" w:color="auto"/>
        <w:right w:val="none" w:sz="0" w:space="0" w:color="auto"/>
      </w:divBdr>
    </w:div>
    <w:div w:id="950356215">
      <w:bodyDiv w:val="1"/>
      <w:marLeft w:val="0"/>
      <w:marRight w:val="0"/>
      <w:marTop w:val="0"/>
      <w:marBottom w:val="0"/>
      <w:divBdr>
        <w:top w:val="none" w:sz="0" w:space="0" w:color="auto"/>
        <w:left w:val="none" w:sz="0" w:space="0" w:color="auto"/>
        <w:bottom w:val="none" w:sz="0" w:space="0" w:color="auto"/>
        <w:right w:val="none" w:sz="0" w:space="0" w:color="auto"/>
      </w:divBdr>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1509">
      <w:bodyDiv w:val="1"/>
      <w:marLeft w:val="0"/>
      <w:marRight w:val="0"/>
      <w:marTop w:val="0"/>
      <w:marBottom w:val="0"/>
      <w:divBdr>
        <w:top w:val="none" w:sz="0" w:space="0" w:color="auto"/>
        <w:left w:val="none" w:sz="0" w:space="0" w:color="auto"/>
        <w:bottom w:val="none" w:sz="0" w:space="0" w:color="auto"/>
        <w:right w:val="none" w:sz="0" w:space="0" w:color="auto"/>
      </w:divBdr>
    </w:div>
    <w:div w:id="1088885305">
      <w:bodyDiv w:val="1"/>
      <w:marLeft w:val="0"/>
      <w:marRight w:val="0"/>
      <w:marTop w:val="0"/>
      <w:marBottom w:val="0"/>
      <w:divBdr>
        <w:top w:val="none" w:sz="0" w:space="0" w:color="auto"/>
        <w:left w:val="none" w:sz="0" w:space="0" w:color="auto"/>
        <w:bottom w:val="none" w:sz="0" w:space="0" w:color="auto"/>
        <w:right w:val="none" w:sz="0" w:space="0" w:color="auto"/>
      </w:divBdr>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660540">
      <w:bodyDiv w:val="1"/>
      <w:marLeft w:val="0"/>
      <w:marRight w:val="0"/>
      <w:marTop w:val="0"/>
      <w:marBottom w:val="0"/>
      <w:divBdr>
        <w:top w:val="none" w:sz="0" w:space="0" w:color="auto"/>
        <w:left w:val="none" w:sz="0" w:space="0" w:color="auto"/>
        <w:bottom w:val="none" w:sz="0" w:space="0" w:color="auto"/>
        <w:right w:val="none" w:sz="0" w:space="0" w:color="auto"/>
      </w:divBdr>
    </w:div>
    <w:div w:id="1504197406">
      <w:bodyDiv w:val="1"/>
      <w:marLeft w:val="0"/>
      <w:marRight w:val="0"/>
      <w:marTop w:val="0"/>
      <w:marBottom w:val="0"/>
      <w:divBdr>
        <w:top w:val="none" w:sz="0" w:space="0" w:color="auto"/>
        <w:left w:val="none" w:sz="0" w:space="0" w:color="auto"/>
        <w:bottom w:val="none" w:sz="0" w:space="0" w:color="auto"/>
        <w:right w:val="none" w:sz="0" w:space="0" w:color="auto"/>
      </w:divBdr>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557669526">
      <w:bodyDiv w:val="1"/>
      <w:marLeft w:val="0"/>
      <w:marRight w:val="0"/>
      <w:marTop w:val="0"/>
      <w:marBottom w:val="0"/>
      <w:divBdr>
        <w:top w:val="none" w:sz="0" w:space="0" w:color="auto"/>
        <w:left w:val="none" w:sz="0" w:space="0" w:color="auto"/>
        <w:bottom w:val="none" w:sz="0" w:space="0" w:color="auto"/>
        <w:right w:val="none" w:sz="0" w:space="0" w:color="auto"/>
      </w:divBdr>
    </w:div>
    <w:div w:id="1612318833">
      <w:bodyDiv w:val="1"/>
      <w:marLeft w:val="0"/>
      <w:marRight w:val="0"/>
      <w:marTop w:val="0"/>
      <w:marBottom w:val="0"/>
      <w:divBdr>
        <w:top w:val="none" w:sz="0" w:space="0" w:color="auto"/>
        <w:left w:val="none" w:sz="0" w:space="0" w:color="auto"/>
        <w:bottom w:val="none" w:sz="0" w:space="0" w:color="auto"/>
        <w:right w:val="none" w:sz="0" w:space="0" w:color="auto"/>
      </w:divBdr>
    </w:div>
    <w:div w:id="1650358355">
      <w:bodyDiv w:val="1"/>
      <w:marLeft w:val="0"/>
      <w:marRight w:val="0"/>
      <w:marTop w:val="0"/>
      <w:marBottom w:val="0"/>
      <w:divBdr>
        <w:top w:val="none" w:sz="0" w:space="0" w:color="auto"/>
        <w:left w:val="none" w:sz="0" w:space="0" w:color="auto"/>
        <w:bottom w:val="none" w:sz="0" w:space="0" w:color="auto"/>
        <w:right w:val="none" w:sz="0" w:space="0" w:color="auto"/>
      </w:divBdr>
    </w:div>
    <w:div w:id="1854957300">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B53FD-A3A4-492F-9B48-475DB6A2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57375</Words>
  <Characters>327038</Characters>
  <Application>Microsoft Office Word</Application>
  <DocSecurity>0</DocSecurity>
  <Lines>2725</Lines>
  <Paragraphs>767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383646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2</cp:revision>
  <cp:lastPrinted>2023-09-18T14:12:00Z</cp:lastPrinted>
  <dcterms:created xsi:type="dcterms:W3CDTF">2023-12-11T14:39:00Z</dcterms:created>
  <dcterms:modified xsi:type="dcterms:W3CDTF">2023-12-11T14:39:00Z</dcterms:modified>
</cp:coreProperties>
</file>