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Nr</w:t>
      </w:r>
      <w:r w:rsidR="00A1298E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D575C7">
        <w:rPr>
          <w:rFonts w:ascii="Arial" w:hAnsi="Arial" w:cs="Arial"/>
          <w:b/>
          <w:noProof/>
          <w:sz w:val="24"/>
          <w:szCs w:val="24"/>
        </w:rPr>
        <w:t>31553</w:t>
      </w:r>
      <w:bookmarkStart w:id="0" w:name="_GoBack"/>
      <w:bookmarkEnd w:id="0"/>
      <w:r w:rsidR="002547FB" w:rsidRPr="00A1298E">
        <w:rPr>
          <w:rFonts w:ascii="Arial" w:hAnsi="Arial" w:cs="Arial"/>
          <w:b/>
          <w:noProof/>
          <w:sz w:val="24"/>
          <w:szCs w:val="24"/>
        </w:rPr>
        <w:t>/SPMAG/</w:t>
      </w:r>
      <w:r w:rsidR="00A603C2">
        <w:rPr>
          <w:rFonts w:ascii="Arial" w:hAnsi="Arial" w:cs="Arial"/>
          <w:b/>
          <w:noProof/>
          <w:sz w:val="24"/>
          <w:szCs w:val="24"/>
        </w:rPr>
        <w:t>19</w:t>
      </w:r>
      <w:r w:rsidRPr="00A1298E">
        <w:rPr>
          <w:rFonts w:ascii="Arial" w:hAnsi="Arial" w:cs="Arial"/>
          <w:b/>
          <w:noProof/>
          <w:sz w:val="24"/>
          <w:szCs w:val="24"/>
        </w:rPr>
        <w:t>.0</w:t>
      </w:r>
      <w:r w:rsidR="00C62BC3">
        <w:rPr>
          <w:rFonts w:ascii="Arial" w:hAnsi="Arial" w:cs="Arial"/>
          <w:b/>
          <w:noProof/>
          <w:sz w:val="24"/>
          <w:szCs w:val="24"/>
        </w:rPr>
        <w:t>7</w:t>
      </w:r>
      <w:r w:rsidRPr="00A1298E">
        <w:rPr>
          <w:rFonts w:ascii="Arial" w:hAnsi="Arial" w:cs="Arial"/>
          <w:b/>
          <w:noProof/>
          <w:sz w:val="24"/>
          <w:szCs w:val="24"/>
        </w:rPr>
        <w:t>.202</w:t>
      </w:r>
      <w:r w:rsidR="00EF25D9">
        <w:rPr>
          <w:rFonts w:ascii="Arial" w:hAnsi="Arial" w:cs="Arial"/>
          <w:b/>
          <w:noProof/>
          <w:sz w:val="24"/>
          <w:szCs w:val="24"/>
        </w:rPr>
        <w:t>4</w:t>
      </w:r>
    </w:p>
    <w:p w:rsidR="00C52736" w:rsidRDefault="00C52736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BE4AD2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</w:t>
      </w:r>
      <w:r w:rsidR="002547FB">
        <w:rPr>
          <w:rFonts w:ascii="Arial" w:hAnsi="Arial" w:cs="Arial"/>
          <w:b/>
          <w:noProof/>
          <w:sz w:val="24"/>
          <w:szCs w:val="24"/>
        </w:rPr>
        <w:t>in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A603C2">
        <w:rPr>
          <w:rFonts w:ascii="Arial" w:hAnsi="Arial" w:cs="Arial"/>
          <w:b/>
          <w:noProof/>
          <w:sz w:val="24"/>
          <w:szCs w:val="24"/>
        </w:rPr>
        <w:t>19</w:t>
      </w:r>
      <w:r>
        <w:rPr>
          <w:rFonts w:ascii="Arial" w:hAnsi="Arial" w:cs="Arial"/>
          <w:b/>
          <w:noProof/>
          <w:sz w:val="24"/>
          <w:szCs w:val="24"/>
        </w:rPr>
        <w:t>.</w:t>
      </w:r>
      <w:r w:rsidR="003F21E8" w:rsidRPr="00A54899">
        <w:rPr>
          <w:rFonts w:ascii="Arial" w:hAnsi="Arial" w:cs="Arial"/>
          <w:b/>
          <w:noProof/>
          <w:sz w:val="24"/>
          <w:szCs w:val="24"/>
        </w:rPr>
        <w:t>0</w:t>
      </w:r>
      <w:r w:rsidR="00C62BC3">
        <w:rPr>
          <w:rFonts w:ascii="Arial" w:hAnsi="Arial" w:cs="Arial"/>
          <w:b/>
          <w:noProof/>
          <w:sz w:val="24"/>
          <w:szCs w:val="24"/>
        </w:rPr>
        <w:t>7</w:t>
      </w:r>
      <w:r w:rsidR="00EF25D9">
        <w:rPr>
          <w:rFonts w:ascii="Arial" w:hAnsi="Arial" w:cs="Arial"/>
          <w:b/>
          <w:noProof/>
          <w:sz w:val="24"/>
          <w:szCs w:val="24"/>
        </w:rPr>
        <w:t>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</w:t>
      </w:r>
      <w:r w:rsidR="00930B46" w:rsidRPr="00930B46">
        <w:rPr>
          <w:rFonts w:ascii="Arial" w:eastAsia="Calibri" w:hAnsi="Arial" w:cs="Arial"/>
          <w:noProof/>
          <w:sz w:val="24"/>
          <w:szCs w:val="24"/>
        </w:rPr>
        <w:t>a unui post vacant de execuție (ofițer de poliție penitenciară), biolog specialist/principal, cu normă întreagă, 7 ore/zi la Penitenciarul</w:t>
      </w:r>
      <w:r w:rsidR="00930B46">
        <w:rPr>
          <w:rFonts w:ascii="Arial" w:eastAsia="Calibri" w:hAnsi="Arial" w:cs="Arial"/>
          <w:noProof/>
          <w:sz w:val="24"/>
          <w:szCs w:val="24"/>
        </w:rPr>
        <w:t>-</w:t>
      </w:r>
      <w:r w:rsidR="00930B46" w:rsidRPr="00930B46">
        <w:rPr>
          <w:rFonts w:ascii="Arial" w:eastAsia="Calibri" w:hAnsi="Arial" w:cs="Arial"/>
          <w:noProof/>
          <w:sz w:val="24"/>
          <w:szCs w:val="24"/>
        </w:rPr>
        <w:t xml:space="preserve">Spital </w:t>
      </w:r>
      <w:r w:rsidR="00930B46">
        <w:rPr>
          <w:rFonts w:ascii="Arial" w:eastAsia="Calibri" w:hAnsi="Arial" w:cs="Arial"/>
          <w:noProof/>
          <w:sz w:val="24"/>
          <w:szCs w:val="24"/>
        </w:rPr>
        <w:t>Mioveni</w:t>
      </w:r>
      <w:r w:rsidR="005140AC">
        <w:rPr>
          <w:rFonts w:ascii="Arial" w:eastAsia="Calibri" w:hAnsi="Arial" w:cs="Arial"/>
          <w:noProof/>
          <w:sz w:val="24"/>
          <w:szCs w:val="24"/>
        </w:rPr>
        <w:t>: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EF25D9" w:rsidRDefault="00B51D35" w:rsidP="00EF2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Penitenciarul-Spital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Mioveni</w:t>
      </w:r>
      <w:proofErr w:type="spellEnd"/>
      <w:r w:rsidR="00EF25D9"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EF25D9" w:rsidRPr="00DD7B5B" w:rsidRDefault="00EF25D9" w:rsidP="00EF25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</w:t>
      </w:r>
      <w:r w:rsidR="00B51D35">
        <w:rPr>
          <w:rFonts w:ascii="Arial" w:hAnsi="Arial" w:cs="Arial"/>
          <w:sz w:val="24"/>
          <w:szCs w:val="24"/>
        </w:rPr>
        <w:t>de biolog specialist/principal</w:t>
      </w:r>
      <w:r w:rsidR="00797731">
        <w:rPr>
          <w:rFonts w:ascii="Arial" w:hAnsi="Arial" w:cs="Arial"/>
          <w:sz w:val="24"/>
          <w:szCs w:val="24"/>
        </w:rPr>
        <w:t xml:space="preserve"> </w:t>
      </w:r>
      <w:r w:rsidR="00B51D35" w:rsidRPr="00044FAB">
        <w:rPr>
          <w:rFonts w:ascii="Arial" w:hAnsi="Arial" w:cs="Arial"/>
          <w:sz w:val="24"/>
          <w:szCs w:val="24"/>
        </w:rPr>
        <w:t xml:space="preserve">în cadrul </w:t>
      </w:r>
      <w:r w:rsidR="00044FAB" w:rsidRPr="00044FAB">
        <w:rPr>
          <w:rFonts w:ascii="Arial" w:hAnsi="Arial" w:cs="Arial"/>
          <w:sz w:val="24"/>
          <w:szCs w:val="24"/>
        </w:rPr>
        <w:t>Compartimentului Laborator analize medicale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EF25D9" w:rsidRDefault="00EF25D9" w:rsidP="00EF25D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955554" w:rsidRDefault="00955554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C52736">
        <w:rPr>
          <w:rFonts w:ascii="Arial" w:eastAsia="Calibri" w:hAnsi="Arial" w:cs="Arial"/>
          <w:sz w:val="24"/>
          <w:szCs w:val="24"/>
        </w:rPr>
        <w:t>Pentru postu</w:t>
      </w:r>
      <w:r w:rsidR="00515CEC">
        <w:rPr>
          <w:rFonts w:ascii="Arial" w:eastAsia="Calibri" w:hAnsi="Arial" w:cs="Arial"/>
          <w:sz w:val="24"/>
          <w:szCs w:val="24"/>
        </w:rPr>
        <w:t xml:space="preserve">l </w:t>
      </w:r>
      <w:r w:rsidRPr="00C52736">
        <w:rPr>
          <w:rFonts w:ascii="Arial" w:eastAsia="Calibri" w:hAnsi="Arial" w:cs="Arial"/>
          <w:sz w:val="24"/>
          <w:szCs w:val="24"/>
        </w:rPr>
        <w:t xml:space="preserve">de </w:t>
      </w:r>
      <w:r w:rsidR="00515CEC">
        <w:rPr>
          <w:rFonts w:ascii="Arial" w:eastAsia="Calibri" w:hAnsi="Arial" w:cs="Arial"/>
          <w:sz w:val="24"/>
          <w:szCs w:val="24"/>
        </w:rPr>
        <w:t>biolog</w:t>
      </w:r>
      <w:r w:rsidRPr="00C52736">
        <w:rPr>
          <w:rFonts w:ascii="Arial" w:eastAsia="Calibri" w:hAnsi="Arial" w:cs="Arial"/>
          <w:sz w:val="24"/>
          <w:szCs w:val="24"/>
        </w:rPr>
        <w:t xml:space="preserve"> se pot prezenta la concurs </w:t>
      </w:r>
      <w:r w:rsidR="00515CEC">
        <w:rPr>
          <w:rFonts w:ascii="Arial" w:eastAsia="Calibri" w:hAnsi="Arial" w:cs="Arial"/>
          <w:b/>
          <w:sz w:val="24"/>
          <w:szCs w:val="24"/>
        </w:rPr>
        <w:t>biologii specialiști/principali</w:t>
      </w:r>
      <w:r w:rsidRPr="00C52736">
        <w:rPr>
          <w:rFonts w:ascii="Arial" w:eastAsia="Calibri" w:hAnsi="Arial" w:cs="Arial"/>
          <w:b/>
          <w:sz w:val="24"/>
          <w:szCs w:val="24"/>
        </w:rPr>
        <w:t>, confirma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ț</w:t>
      </w:r>
      <w:r w:rsidRPr="00C52736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="00515CEC">
        <w:rPr>
          <w:rFonts w:ascii="Arial" w:eastAsia="Calibri" w:hAnsi="Arial" w:cs="Arial"/>
          <w:b/>
          <w:sz w:val="24"/>
          <w:szCs w:val="24"/>
        </w:rPr>
        <w:t xml:space="preserve"> (specialitatea biochimie)</w:t>
      </w:r>
      <w:r w:rsidRPr="00C52736">
        <w:rPr>
          <w:rFonts w:ascii="Arial" w:eastAsia="Calibri" w:hAnsi="Arial" w:cs="Arial"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4D54B0" w:rsidRDefault="004D54B0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4D54B0" w:rsidRDefault="004D54B0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4D54B0" w:rsidRPr="00A54899" w:rsidRDefault="004D54B0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7B1DA3" w:rsidRDefault="007B1DA3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C52736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44FAB" w:rsidRDefault="00044FAB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044FAB" w:rsidRDefault="00044FAB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C52736" w:rsidRPr="00A54899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D00900">
        <w:rPr>
          <w:rFonts w:ascii="Arial" w:eastAsia="Times New Roman" w:hAnsi="Arial" w:cs="Arial"/>
          <w:sz w:val="24"/>
          <w:szCs w:val="24"/>
          <w:lang w:eastAsia="ro-RO"/>
        </w:rPr>
        <w:t>biologie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411AC2">
        <w:rPr>
          <w:rFonts w:ascii="Arial" w:eastAsia="Times New Roman" w:hAnsi="Arial" w:cs="Arial"/>
          <w:sz w:val="24"/>
          <w:szCs w:val="24"/>
          <w:lang w:eastAsia="ro-RO"/>
        </w:rPr>
        <w:t>biologie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specializarea </w:t>
      </w:r>
      <w:r w:rsidR="00411AC2">
        <w:rPr>
          <w:rFonts w:ascii="Arial" w:eastAsia="Times New Roman" w:hAnsi="Arial" w:cs="Arial"/>
          <w:sz w:val="24"/>
          <w:szCs w:val="24"/>
          <w:lang w:eastAsia="ro-RO"/>
        </w:rPr>
        <w:t>biologie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</w:t>
      </w:r>
      <w:r w:rsidR="00411AC2">
        <w:rPr>
          <w:rFonts w:ascii="Arial" w:eastAsia="Calibri" w:hAnsi="Arial" w:cs="Arial"/>
          <w:sz w:val="24"/>
          <w:szCs w:val="24"/>
          <w:lang w:eastAsia="ro-RO"/>
        </w:rPr>
        <w:t>principal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în specialitatea postului scos la concurs</w:t>
      </w:r>
      <w:r w:rsidR="00805659">
        <w:rPr>
          <w:rFonts w:ascii="Arial" w:eastAsia="Calibri" w:hAnsi="Arial" w:cs="Arial"/>
          <w:sz w:val="24"/>
          <w:szCs w:val="24"/>
          <w:lang w:eastAsia="ro-RO"/>
        </w:rPr>
        <w:t xml:space="preserve"> (specialitatea biochimie)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</w:t>
      </w:r>
      <w:r w:rsidR="007129D7">
        <w:rPr>
          <w:rFonts w:ascii="Arial" w:eastAsia="Times New Roman" w:hAnsi="Arial" w:cs="Arial"/>
          <w:sz w:val="24"/>
          <w:szCs w:val="24"/>
          <w:lang w:eastAsia="ro-RO"/>
        </w:rPr>
        <w:t>Ordinul biochimiștilor, biologilor și chimiștilor în sistemul sanitar din România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) cu viza pe anul în curs;</w:t>
      </w:r>
    </w:p>
    <w:p w:rsidR="00867EF3" w:rsidRPr="00386DAB" w:rsidRDefault="00867EF3" w:rsidP="00386DAB">
      <w:pPr>
        <w:pStyle w:val="Default"/>
        <w:numPr>
          <w:ilvl w:val="0"/>
          <w:numId w:val="6"/>
        </w:numPr>
      </w:pPr>
      <w:proofErr w:type="gramStart"/>
      <w:r w:rsidRPr="00386DAB">
        <w:t>nu</w:t>
      </w:r>
      <w:proofErr w:type="gramEnd"/>
      <w:r w:rsidRPr="00386DAB">
        <w:t xml:space="preserve"> </w:t>
      </w:r>
      <w:proofErr w:type="spellStart"/>
      <w:r w:rsidRPr="00386DAB">
        <w:t>i</w:t>
      </w:r>
      <w:proofErr w:type="spellEnd"/>
      <w:r w:rsidRPr="00386DAB">
        <w:t xml:space="preserve">-a </w:t>
      </w:r>
      <w:proofErr w:type="spellStart"/>
      <w:r w:rsidRPr="00386DAB">
        <w:t>fost</w:t>
      </w:r>
      <w:proofErr w:type="spellEnd"/>
      <w:r w:rsidRPr="00386DAB">
        <w:t xml:space="preserve"> </w:t>
      </w:r>
      <w:proofErr w:type="spellStart"/>
      <w:r w:rsidRPr="00386DAB">
        <w:t>aplicată</w:t>
      </w:r>
      <w:proofErr w:type="spellEnd"/>
      <w:r w:rsidRPr="00386DAB">
        <w:t xml:space="preserve"> </w:t>
      </w:r>
      <w:proofErr w:type="spellStart"/>
      <w:r w:rsidRPr="00386DAB">
        <w:t>una</w:t>
      </w:r>
      <w:proofErr w:type="spellEnd"/>
      <w:r w:rsidRPr="00386DAB">
        <w:t xml:space="preserve"> </w:t>
      </w:r>
      <w:proofErr w:type="spellStart"/>
      <w:r w:rsidRPr="00386DAB">
        <w:t>dintre</w:t>
      </w:r>
      <w:proofErr w:type="spellEnd"/>
      <w:r w:rsidRPr="00386DAB">
        <w:t xml:space="preserve"> </w:t>
      </w:r>
      <w:proofErr w:type="spellStart"/>
      <w:r w:rsidRPr="00386DAB">
        <w:t>sancţiunile</w:t>
      </w:r>
      <w:proofErr w:type="spellEnd"/>
      <w:r w:rsidRPr="00386DAB">
        <w:t xml:space="preserve"> </w:t>
      </w:r>
      <w:proofErr w:type="spellStart"/>
      <w:r w:rsidRPr="00386DAB">
        <w:t>prevăzute</w:t>
      </w:r>
      <w:proofErr w:type="spellEnd"/>
      <w:r w:rsidRPr="00386DAB">
        <w:t xml:space="preserve"> la art. </w:t>
      </w:r>
      <w:proofErr w:type="gramStart"/>
      <w:r w:rsidRPr="00386DAB">
        <w:t>39</w:t>
      </w:r>
      <w:proofErr w:type="gramEnd"/>
      <w:r w:rsidRPr="00386DAB">
        <w:t xml:space="preserve"> </w:t>
      </w:r>
      <w:proofErr w:type="spellStart"/>
      <w:r w:rsidRPr="00386DAB">
        <w:t>alin</w:t>
      </w:r>
      <w:proofErr w:type="spellEnd"/>
      <w:r w:rsidRPr="00386DAB">
        <w:t xml:space="preserve">. (1) </w:t>
      </w:r>
      <w:proofErr w:type="gramStart"/>
      <w:r w:rsidRPr="00386DAB">
        <w:t>lit</w:t>
      </w:r>
      <w:proofErr w:type="gramEnd"/>
      <w:r w:rsidRPr="00386DAB">
        <w:t xml:space="preserve">. c) </w:t>
      </w:r>
      <w:proofErr w:type="spellStart"/>
      <w:proofErr w:type="gramStart"/>
      <w:r w:rsidRPr="00386DAB">
        <w:t>sau</w:t>
      </w:r>
      <w:proofErr w:type="spellEnd"/>
      <w:proofErr w:type="gramEnd"/>
      <w:r w:rsidRPr="00386DAB">
        <w:t xml:space="preserve"> d) din </w:t>
      </w:r>
      <w:proofErr w:type="spellStart"/>
      <w:r w:rsidRPr="00386DAB">
        <w:t>Legea</w:t>
      </w:r>
      <w:proofErr w:type="spellEnd"/>
      <w:r w:rsidRPr="00386DAB">
        <w:t xml:space="preserve"> </w:t>
      </w:r>
      <w:proofErr w:type="spellStart"/>
      <w:r w:rsidRPr="00386DAB">
        <w:t>nr</w:t>
      </w:r>
      <w:proofErr w:type="spellEnd"/>
      <w:r w:rsidRPr="00386DAB">
        <w:t xml:space="preserve">. 460/2003 </w:t>
      </w:r>
      <w:proofErr w:type="spellStart"/>
      <w:r w:rsidRPr="00386DAB">
        <w:t>privind</w:t>
      </w:r>
      <w:proofErr w:type="spellEnd"/>
      <w:r w:rsidRPr="00386DAB">
        <w:t xml:space="preserve"> </w:t>
      </w:r>
      <w:proofErr w:type="spellStart"/>
      <w:r w:rsidRPr="00386DAB">
        <w:t>exercitarea</w:t>
      </w:r>
      <w:proofErr w:type="spellEnd"/>
      <w:r w:rsidRPr="00386DAB">
        <w:t xml:space="preserve"> </w:t>
      </w:r>
      <w:proofErr w:type="spellStart"/>
      <w:r w:rsidRPr="00386DAB">
        <w:t>profesiunilor</w:t>
      </w:r>
      <w:proofErr w:type="spellEnd"/>
      <w:r w:rsidRPr="00386DAB">
        <w:t xml:space="preserve"> de </w:t>
      </w:r>
      <w:proofErr w:type="spellStart"/>
      <w:r w:rsidRPr="00386DAB">
        <w:t>biochimist</w:t>
      </w:r>
      <w:proofErr w:type="spellEnd"/>
      <w:r w:rsidRPr="00386DAB">
        <w:t xml:space="preserve">, </w:t>
      </w:r>
      <w:proofErr w:type="spellStart"/>
      <w:r w:rsidRPr="00386DAB">
        <w:t>biolog</w:t>
      </w:r>
      <w:proofErr w:type="spellEnd"/>
      <w:r w:rsidRPr="00386DAB">
        <w:t xml:space="preserve"> </w:t>
      </w:r>
      <w:proofErr w:type="spellStart"/>
      <w:r w:rsidRPr="00386DAB">
        <w:t>şi</w:t>
      </w:r>
      <w:proofErr w:type="spellEnd"/>
      <w:r w:rsidRPr="00386DAB">
        <w:t xml:space="preserve"> </w:t>
      </w:r>
      <w:proofErr w:type="spellStart"/>
      <w:r w:rsidRPr="00386DAB">
        <w:t>chimist</w:t>
      </w:r>
      <w:proofErr w:type="spellEnd"/>
      <w:r w:rsidRPr="00386DAB">
        <w:t xml:space="preserve">, </w:t>
      </w:r>
      <w:proofErr w:type="spellStart"/>
      <w:r w:rsidRPr="00386DAB">
        <w:t>înfiinţarea</w:t>
      </w:r>
      <w:proofErr w:type="spellEnd"/>
      <w:r w:rsidRPr="00386DAB">
        <w:t xml:space="preserve">, </w:t>
      </w:r>
      <w:proofErr w:type="spellStart"/>
      <w:r w:rsidRPr="00386DAB">
        <w:t>organizarea</w:t>
      </w:r>
      <w:proofErr w:type="spellEnd"/>
      <w:r w:rsidRPr="00386DAB">
        <w:t xml:space="preserve"> </w:t>
      </w:r>
      <w:proofErr w:type="spellStart"/>
      <w:r w:rsidRPr="00386DAB">
        <w:t>şi</w:t>
      </w:r>
      <w:proofErr w:type="spellEnd"/>
      <w:r w:rsidRPr="00386DAB">
        <w:t xml:space="preserve"> </w:t>
      </w:r>
      <w:proofErr w:type="spellStart"/>
      <w:r w:rsidRPr="00386DAB">
        <w:t>funcţionarea</w:t>
      </w:r>
      <w:proofErr w:type="spellEnd"/>
      <w:r w:rsidRPr="00386DAB">
        <w:t xml:space="preserve"> </w:t>
      </w:r>
      <w:proofErr w:type="spellStart"/>
      <w:r w:rsidRPr="00386DAB">
        <w:t>Ordinului</w:t>
      </w:r>
      <w:proofErr w:type="spellEnd"/>
      <w:r w:rsidRPr="00386DAB">
        <w:t xml:space="preserve"> </w:t>
      </w:r>
      <w:proofErr w:type="spellStart"/>
      <w:r w:rsidRPr="00386DAB">
        <w:t>Biochimiştilor</w:t>
      </w:r>
      <w:proofErr w:type="spellEnd"/>
      <w:r w:rsidRPr="00386DAB">
        <w:t xml:space="preserve">, </w:t>
      </w:r>
      <w:proofErr w:type="spellStart"/>
      <w:r w:rsidRPr="00386DAB">
        <w:t>Biologilor</w:t>
      </w:r>
      <w:proofErr w:type="spellEnd"/>
      <w:r w:rsidRPr="00386DAB">
        <w:t xml:space="preserve"> </w:t>
      </w:r>
      <w:proofErr w:type="spellStart"/>
      <w:r w:rsidRPr="00386DAB">
        <w:t>şi</w:t>
      </w:r>
      <w:proofErr w:type="spellEnd"/>
      <w:r w:rsidRPr="00386DAB">
        <w:t xml:space="preserve"> </w:t>
      </w:r>
      <w:proofErr w:type="spellStart"/>
      <w:r w:rsidRPr="00386DAB">
        <w:t>Chimiştilor</w:t>
      </w:r>
      <w:proofErr w:type="spellEnd"/>
      <w:r w:rsidRPr="00386DAB">
        <w:t xml:space="preserve"> </w:t>
      </w:r>
      <w:proofErr w:type="spellStart"/>
      <w:r w:rsidRPr="00386DAB">
        <w:t>în</w:t>
      </w:r>
      <w:proofErr w:type="spellEnd"/>
      <w:r w:rsidRPr="00386DAB">
        <w:t xml:space="preserve"> </w:t>
      </w:r>
      <w:proofErr w:type="spellStart"/>
      <w:r w:rsidRPr="00386DAB">
        <w:t>sistemul</w:t>
      </w:r>
      <w:proofErr w:type="spellEnd"/>
      <w:r w:rsidRPr="00386DAB">
        <w:t xml:space="preserve"> </w:t>
      </w:r>
      <w:proofErr w:type="spellStart"/>
      <w:r w:rsidRPr="00386DAB">
        <w:t>sanitar</w:t>
      </w:r>
      <w:proofErr w:type="spellEnd"/>
      <w:r w:rsidRPr="00386DAB">
        <w:t xml:space="preserve"> din </w:t>
      </w:r>
      <w:proofErr w:type="spellStart"/>
      <w:r w:rsidRPr="00386DAB">
        <w:t>România</w:t>
      </w:r>
      <w:proofErr w:type="spellEnd"/>
      <w:r w:rsidRPr="00386DAB">
        <w:t xml:space="preserve">, cu </w:t>
      </w:r>
      <w:proofErr w:type="spellStart"/>
      <w:r w:rsidRPr="00386DAB">
        <w:t>modificările</w:t>
      </w:r>
      <w:proofErr w:type="spellEnd"/>
      <w:r w:rsidRPr="00386DAB">
        <w:t xml:space="preserve"> </w:t>
      </w:r>
      <w:proofErr w:type="spellStart"/>
      <w:r w:rsidRPr="00386DAB">
        <w:t>şi</w:t>
      </w:r>
      <w:proofErr w:type="spellEnd"/>
      <w:r w:rsidRPr="00386DAB">
        <w:t xml:space="preserve"> </w:t>
      </w:r>
      <w:proofErr w:type="spellStart"/>
      <w:r w:rsidRPr="00386DAB">
        <w:t>completările</w:t>
      </w:r>
      <w:proofErr w:type="spellEnd"/>
      <w:r w:rsidRPr="00386DAB">
        <w:t xml:space="preserve"> </w:t>
      </w:r>
      <w:proofErr w:type="spellStart"/>
      <w:r w:rsidRPr="00386DAB">
        <w:t>ulterioare</w:t>
      </w:r>
      <w:proofErr w:type="spellEnd"/>
      <w:r w:rsidRPr="00386DAB">
        <w:t xml:space="preserve">; 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lastRenderedPageBreak/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1298E" w:rsidRPr="005135BA" w:rsidRDefault="00A1298E" w:rsidP="00A1298E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 xml:space="preserve">În termen de 10 zile lucrătoare de la data publicării anunțului, respectiv în perioada </w:t>
      </w:r>
      <w:r w:rsidR="00805659">
        <w:rPr>
          <w:rFonts w:ascii="Arial" w:eastAsia="Calibri" w:hAnsi="Arial" w:cs="Arial"/>
          <w:b/>
          <w:sz w:val="24"/>
          <w:szCs w:val="24"/>
        </w:rPr>
        <w:t>22</w:t>
      </w:r>
      <w:r w:rsidR="00BE4AD2" w:rsidRPr="00BE4AD2">
        <w:rPr>
          <w:rFonts w:ascii="Arial" w:eastAsia="Calibri" w:hAnsi="Arial" w:cs="Arial"/>
          <w:b/>
          <w:sz w:val="24"/>
          <w:szCs w:val="24"/>
        </w:rPr>
        <w:t>.0</w:t>
      </w:r>
      <w:r w:rsidR="00805659">
        <w:rPr>
          <w:rFonts w:ascii="Arial" w:eastAsia="Calibri" w:hAnsi="Arial" w:cs="Arial"/>
          <w:b/>
          <w:sz w:val="24"/>
          <w:szCs w:val="24"/>
        </w:rPr>
        <w:t>7</w:t>
      </w:r>
      <w:r w:rsidR="00BE4AD2" w:rsidRPr="00BE4AD2">
        <w:rPr>
          <w:rFonts w:ascii="Arial" w:eastAsia="Calibri" w:hAnsi="Arial" w:cs="Arial"/>
          <w:b/>
          <w:sz w:val="24"/>
          <w:szCs w:val="24"/>
        </w:rPr>
        <w:t xml:space="preserve">.2024 – </w:t>
      </w:r>
      <w:r w:rsidR="00805659">
        <w:rPr>
          <w:rFonts w:ascii="Arial" w:eastAsia="Calibri" w:hAnsi="Arial" w:cs="Arial"/>
          <w:b/>
          <w:sz w:val="24"/>
          <w:szCs w:val="24"/>
        </w:rPr>
        <w:t>02.08</w:t>
      </w:r>
      <w:r w:rsidR="00BE4AD2" w:rsidRPr="00BE4AD2">
        <w:rPr>
          <w:rFonts w:ascii="Arial" w:eastAsia="Calibri" w:hAnsi="Arial" w:cs="Arial"/>
          <w:b/>
          <w:sz w:val="24"/>
          <w:szCs w:val="24"/>
        </w:rPr>
        <w:t xml:space="preserve">.2024 </w:t>
      </w:r>
      <w:r w:rsidRPr="00C930DE">
        <w:rPr>
          <w:rFonts w:ascii="Arial" w:eastAsia="Calibri" w:hAnsi="Arial" w:cs="Arial"/>
          <w:b/>
          <w:sz w:val="24"/>
          <w:szCs w:val="24"/>
        </w:rPr>
        <w:t>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</w:t>
      </w:r>
      <w:r w:rsidR="00805659">
        <w:rPr>
          <w:rFonts w:ascii="Arial" w:eastAsia="Calibri" w:hAnsi="Arial" w:cs="Arial"/>
          <w:b/>
          <w:i/>
          <w:color w:val="00B050"/>
          <w:u w:val="single"/>
        </w:rPr>
        <w:t>BIOLOG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1298E" w:rsidRPr="00A54899" w:rsidRDefault="00A1298E" w:rsidP="00A1298E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FF1851">
        <w:rPr>
          <w:rFonts w:ascii="Arial" w:eastAsia="Calibri" w:hAnsi="Arial" w:cs="Arial"/>
          <w:sz w:val="24"/>
          <w:szCs w:val="24"/>
        </w:rPr>
        <w:t>adeverința/</w:t>
      </w:r>
      <w:r w:rsidRPr="00A54899">
        <w:rPr>
          <w:rFonts w:ascii="Arial" w:eastAsia="Calibri" w:hAnsi="Arial" w:cs="Arial"/>
          <w:sz w:val="24"/>
          <w:szCs w:val="24"/>
        </w:rPr>
        <w:t>certificatul de specialist sau pr</w:t>
      </w:r>
      <w:r w:rsidR="00F47326">
        <w:rPr>
          <w:rFonts w:ascii="Arial" w:eastAsia="Calibri" w:hAnsi="Arial" w:cs="Arial"/>
          <w:sz w:val="24"/>
          <w:szCs w:val="24"/>
        </w:rPr>
        <w:t>incipal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386DAB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zute la </w:t>
      </w:r>
      <w:r w:rsidR="00386DAB" w:rsidRPr="00386DAB">
        <w:rPr>
          <w:rFonts w:ascii="Arial" w:hAnsi="Arial" w:cs="Arial"/>
          <w:sz w:val="24"/>
          <w:szCs w:val="24"/>
        </w:rPr>
        <w:t xml:space="preserve">art. 39 alin. (1) lit. c) sau d) din Legea nr. 460/2003 privind exercitarea profesiunilor de biochimist, biolog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şi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 chimist,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înfiinţarea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, organizarea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şi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funcţionarea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 Ordinului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Biochimiştilor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, Biologilor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şi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Chimiştilor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 în sistemul sanitar din România, cu modificările </w:t>
      </w:r>
      <w:proofErr w:type="spellStart"/>
      <w:r w:rsidR="00386DAB" w:rsidRPr="00386DAB">
        <w:rPr>
          <w:rFonts w:ascii="Arial" w:hAnsi="Arial" w:cs="Arial"/>
          <w:sz w:val="24"/>
          <w:szCs w:val="24"/>
        </w:rPr>
        <w:t>şi</w:t>
      </w:r>
      <w:proofErr w:type="spellEnd"/>
      <w:r w:rsidR="00386DAB" w:rsidRPr="00386DAB">
        <w:rPr>
          <w:rFonts w:ascii="Arial" w:hAnsi="Arial" w:cs="Arial"/>
          <w:sz w:val="24"/>
          <w:szCs w:val="24"/>
        </w:rPr>
        <w:t xml:space="preserve"> completările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D017D0" w:rsidRPr="00964BA2" w:rsidRDefault="00A54899" w:rsidP="00964BA2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="00964BA2">
        <w:rPr>
          <w:rFonts w:ascii="Arial" w:eastAsia="Calibri" w:hAnsi="Arial" w:cs="Arial"/>
          <w:sz w:val="24"/>
          <w:szCs w:val="24"/>
        </w:rPr>
        <w:t>i rezultatelor acestora.</w:t>
      </w:r>
    </w:p>
    <w:p w:rsidR="00D017D0" w:rsidRPr="00A54899" w:rsidRDefault="00D017D0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lastRenderedPageBreak/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 xml:space="preserve">Rezultatul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C27940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867EF3">
        <w:rPr>
          <w:rFonts w:ascii="Arial" w:eastAsia="Calibri" w:hAnsi="Arial" w:cs="Arial"/>
          <w:sz w:val="24"/>
          <w:szCs w:val="24"/>
        </w:rPr>
        <w:t xml:space="preserve"> lucră</w:t>
      </w:r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</w:t>
      </w:r>
      <w:r w:rsidR="00C27940">
        <w:rPr>
          <w:rFonts w:ascii="Arial" w:eastAsia="Calibri" w:hAnsi="Arial" w:cs="Arial"/>
          <w:sz w:val="24"/>
          <w:szCs w:val="24"/>
        </w:rPr>
        <w:t xml:space="preserve"> de </w:t>
      </w:r>
      <w:r w:rsidR="00F81DD3">
        <w:rPr>
          <w:rFonts w:ascii="Arial" w:eastAsia="Calibri" w:hAnsi="Arial" w:cs="Arial"/>
          <w:sz w:val="24"/>
          <w:szCs w:val="24"/>
        </w:rPr>
        <w:t xml:space="preserve">grad specialist biolog specialitatea biochimie, </w:t>
      </w:r>
      <w:r w:rsidR="00C27940">
        <w:rPr>
          <w:rFonts w:ascii="Arial" w:eastAsia="Calibri" w:hAnsi="Arial" w:cs="Arial"/>
          <w:sz w:val="24"/>
          <w:szCs w:val="24"/>
        </w:rPr>
        <w:t xml:space="preserve">publicate </w:t>
      </w:r>
      <w:r w:rsidRPr="00A54899">
        <w:rPr>
          <w:rFonts w:ascii="Arial" w:eastAsia="Calibri" w:hAnsi="Arial" w:cs="Arial"/>
          <w:sz w:val="24"/>
          <w:szCs w:val="24"/>
        </w:rPr>
        <w:t>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F81DD3">
        <w:rPr>
          <w:rFonts w:ascii="Arial" w:eastAsia="Calibri" w:hAnsi="Arial" w:cs="Arial"/>
          <w:sz w:val="24"/>
          <w:szCs w:val="24"/>
        </w:rPr>
        <w:t>–</w:t>
      </w:r>
      <w:r w:rsidR="00E87C07">
        <w:rPr>
          <w:rFonts w:ascii="Arial" w:eastAsia="Calibri" w:hAnsi="Arial" w:cs="Arial"/>
          <w:sz w:val="24"/>
          <w:szCs w:val="24"/>
        </w:rPr>
        <w:t xml:space="preserve"> </w:t>
      </w:r>
      <w:r w:rsidR="00F81DD3">
        <w:rPr>
          <w:rFonts w:ascii="Arial" w:eastAsia="Calibri" w:hAnsi="Arial" w:cs="Arial"/>
          <w:sz w:val="24"/>
          <w:szCs w:val="24"/>
        </w:rPr>
        <w:t>secțiunea Carieră/Specialiști/Concursuri/Examene și Concursuri Naționale/</w:t>
      </w:r>
      <w:r w:rsidRPr="00A54899">
        <w:rPr>
          <w:rFonts w:ascii="Arial" w:eastAsia="Calibri" w:hAnsi="Arial" w:cs="Arial"/>
          <w:sz w:val="24"/>
          <w:szCs w:val="24"/>
        </w:rPr>
        <w:t xml:space="preserve">Tematica examenului de </w:t>
      </w:r>
      <w:r w:rsidR="00C62BC3">
        <w:rPr>
          <w:rFonts w:ascii="Arial" w:eastAsia="Calibri" w:hAnsi="Arial" w:cs="Arial"/>
          <w:sz w:val="24"/>
          <w:szCs w:val="24"/>
        </w:rPr>
        <w:t>grad specialist biolog specialitatea biochimie,</w:t>
      </w:r>
      <w:r w:rsidR="00625BC4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C62BC3" w:rsidRDefault="00C62BC3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C62BC3" w:rsidRPr="00A54899" w:rsidRDefault="00C62BC3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D949B1">
      <w:pPr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Inspector principal de poliție penitenciară  Laurențiu-Mihai SĂBĂREANU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044FAB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A65C4B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sectPr w:rsidR="00562D0A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D575C7">
          <w:rPr>
            <w:rFonts w:ascii="Arial" w:hAnsi="Arial" w:cs="Arial"/>
            <w:noProof/>
            <w:sz w:val="16"/>
            <w:szCs w:val="16"/>
          </w:rPr>
          <w:t>2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A7B09D48"/>
    <w:lvl w:ilvl="0" w:tplc="718C9942">
      <w:start w:val="1"/>
      <w:numFmt w:val="lowerLetter"/>
      <w:lvlText w:val="%1)"/>
      <w:lvlJc w:val="left"/>
      <w:pPr>
        <w:ind w:left="85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012A2"/>
    <w:rsid w:val="00017505"/>
    <w:rsid w:val="0002638F"/>
    <w:rsid w:val="00044FAB"/>
    <w:rsid w:val="000C33F2"/>
    <w:rsid w:val="000F1173"/>
    <w:rsid w:val="0018018E"/>
    <w:rsid w:val="001D0981"/>
    <w:rsid w:val="002545BE"/>
    <w:rsid w:val="002547FB"/>
    <w:rsid w:val="002B64AB"/>
    <w:rsid w:val="00330808"/>
    <w:rsid w:val="00361E9A"/>
    <w:rsid w:val="00386DAB"/>
    <w:rsid w:val="003B27F4"/>
    <w:rsid w:val="003F21E8"/>
    <w:rsid w:val="00404F89"/>
    <w:rsid w:val="0041095C"/>
    <w:rsid w:val="00411AC2"/>
    <w:rsid w:val="004A75B2"/>
    <w:rsid w:val="004D54B0"/>
    <w:rsid w:val="005140AC"/>
    <w:rsid w:val="00515CEC"/>
    <w:rsid w:val="00562D0A"/>
    <w:rsid w:val="005F281E"/>
    <w:rsid w:val="00625BC4"/>
    <w:rsid w:val="00690842"/>
    <w:rsid w:val="006B0ABD"/>
    <w:rsid w:val="0070170A"/>
    <w:rsid w:val="007129D7"/>
    <w:rsid w:val="007319FB"/>
    <w:rsid w:val="007629C9"/>
    <w:rsid w:val="00797731"/>
    <w:rsid w:val="007B1DA3"/>
    <w:rsid w:val="00805659"/>
    <w:rsid w:val="008346D0"/>
    <w:rsid w:val="00867EF3"/>
    <w:rsid w:val="008C3237"/>
    <w:rsid w:val="00912582"/>
    <w:rsid w:val="00930B46"/>
    <w:rsid w:val="00955554"/>
    <w:rsid w:val="00964BA2"/>
    <w:rsid w:val="009F5604"/>
    <w:rsid w:val="00A1298E"/>
    <w:rsid w:val="00A54899"/>
    <w:rsid w:val="00A603C2"/>
    <w:rsid w:val="00A65C4B"/>
    <w:rsid w:val="00B51D35"/>
    <w:rsid w:val="00B62819"/>
    <w:rsid w:val="00B7498B"/>
    <w:rsid w:val="00BA304C"/>
    <w:rsid w:val="00BE4AD2"/>
    <w:rsid w:val="00C27940"/>
    <w:rsid w:val="00C52736"/>
    <w:rsid w:val="00C62BC3"/>
    <w:rsid w:val="00D00900"/>
    <w:rsid w:val="00D017D0"/>
    <w:rsid w:val="00D13F5E"/>
    <w:rsid w:val="00D575C7"/>
    <w:rsid w:val="00D70804"/>
    <w:rsid w:val="00D949B1"/>
    <w:rsid w:val="00E87C07"/>
    <w:rsid w:val="00EF25D9"/>
    <w:rsid w:val="00F20A30"/>
    <w:rsid w:val="00F47326"/>
    <w:rsid w:val="00F63B03"/>
    <w:rsid w:val="00F81DD3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C43A2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customStyle="1" w:styleId="Default">
    <w:name w:val="Default"/>
    <w:rsid w:val="00867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9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Bedreag Anda Claudia</cp:lastModifiedBy>
  <cp:revision>27</cp:revision>
  <cp:lastPrinted>2023-09-07T07:11:00Z</cp:lastPrinted>
  <dcterms:created xsi:type="dcterms:W3CDTF">2023-04-06T12:12:00Z</dcterms:created>
  <dcterms:modified xsi:type="dcterms:W3CDTF">2024-07-19T10:55:00Z</dcterms:modified>
</cp:coreProperties>
</file>