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C70F" w14:textId="77777777" w:rsidR="006145F1" w:rsidRPr="006145F1" w:rsidRDefault="006145F1" w:rsidP="006145F1">
      <w:pPr>
        <w:pStyle w:val="NoSpacing"/>
        <w:rPr>
          <w:rFonts w:ascii="Calibri" w:hAnsi="Calibri" w:cs="Calibri"/>
          <w:sz w:val="24"/>
          <w:szCs w:val="24"/>
          <w:lang w:val="hu-HU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Serviciul</w:t>
      </w:r>
      <w:proofErr w:type="spellEnd"/>
      <w:r w:rsidRPr="006145F1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6145F1">
        <w:rPr>
          <w:rFonts w:ascii="Calibri" w:hAnsi="Calibri" w:cs="Calibri"/>
          <w:sz w:val="24"/>
          <w:szCs w:val="24"/>
        </w:rPr>
        <w:t>RUNOS</w:t>
      </w:r>
      <w:r w:rsidRPr="006145F1">
        <w:rPr>
          <w:rFonts w:ascii="Calibri" w:hAnsi="Calibri" w:cs="Calibri"/>
          <w:sz w:val="24"/>
          <w:szCs w:val="24"/>
          <w:lang w:val="en-GB"/>
        </w:rPr>
        <w:t xml:space="preserve">,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Formare</w:t>
      </w:r>
      <w:proofErr w:type="spellEnd"/>
      <w:r w:rsidRPr="006145F1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Profesională</w:t>
      </w:r>
      <w:proofErr w:type="spellEnd"/>
      <w:r w:rsidRPr="006145F1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și</w:t>
      </w:r>
      <w:proofErr w:type="spellEnd"/>
      <w:r w:rsidRPr="006145F1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Comunicare</w:t>
      </w:r>
      <w:proofErr w:type="spellEnd"/>
      <w:r w:rsidRPr="006145F1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6145F1">
        <w:rPr>
          <w:rFonts w:ascii="Calibri" w:hAnsi="Calibri" w:cs="Calibri"/>
          <w:sz w:val="24"/>
          <w:szCs w:val="24"/>
          <w:lang w:val="en-GB"/>
        </w:rPr>
        <w:t>Internă</w:t>
      </w:r>
      <w:proofErr w:type="spellEnd"/>
    </w:p>
    <w:p w14:paraId="1FD5493E" w14:textId="77777777" w:rsidR="006145F1" w:rsidRPr="006145F1" w:rsidRDefault="006145F1" w:rsidP="006145F1">
      <w:pPr>
        <w:pStyle w:val="NoSpacing"/>
        <w:rPr>
          <w:rFonts w:ascii="Calibri" w:hAnsi="Calibri" w:cs="Calibri"/>
          <w:sz w:val="24"/>
          <w:szCs w:val="24"/>
          <w:lang w:val="en-GB"/>
        </w:rPr>
      </w:pPr>
      <w:r w:rsidRPr="006145F1">
        <w:rPr>
          <w:rFonts w:ascii="Calibri" w:hAnsi="Calibri" w:cs="Calibri"/>
          <w:sz w:val="24"/>
          <w:szCs w:val="24"/>
          <w:lang w:val="en-GB"/>
        </w:rPr>
        <w:t xml:space="preserve">    Nr: 17.668</w:t>
      </w:r>
    </w:p>
    <w:p w14:paraId="54678B3E" w14:textId="77777777" w:rsidR="006145F1" w:rsidRPr="006145F1" w:rsidRDefault="006145F1" w:rsidP="006145F1">
      <w:pPr>
        <w:pStyle w:val="NoSpacing"/>
        <w:rPr>
          <w:rFonts w:ascii="Calibri" w:hAnsi="Calibri" w:cs="Calibri"/>
          <w:sz w:val="24"/>
          <w:szCs w:val="24"/>
          <w:lang w:val="ro-RO"/>
        </w:rPr>
      </w:pPr>
      <w:r w:rsidRPr="006145F1">
        <w:rPr>
          <w:rFonts w:ascii="Calibri" w:hAnsi="Calibri" w:cs="Calibri"/>
          <w:sz w:val="24"/>
          <w:szCs w:val="24"/>
          <w:lang w:val="en-GB"/>
        </w:rPr>
        <w:t xml:space="preserve">    Data: 29.08.2024 </w:t>
      </w:r>
    </w:p>
    <w:p w14:paraId="23559A73" w14:textId="77777777" w:rsidR="006145F1" w:rsidRDefault="006145F1" w:rsidP="006145F1">
      <w:pPr>
        <w:rPr>
          <w:rFonts w:eastAsia="Times New Roman" w:cs="Calibri"/>
          <w:b/>
          <w:sz w:val="24"/>
          <w:szCs w:val="24"/>
        </w:rPr>
      </w:pPr>
    </w:p>
    <w:p w14:paraId="3F0994BD" w14:textId="77777777" w:rsidR="006145F1" w:rsidRDefault="006145F1" w:rsidP="00482D0F">
      <w:pPr>
        <w:ind w:left="1080" w:hanging="720"/>
      </w:pPr>
    </w:p>
    <w:p w14:paraId="701DF62B" w14:textId="77777777" w:rsidR="006145F1" w:rsidRPr="00D209C4" w:rsidRDefault="006145F1" w:rsidP="00D209C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D209C4">
        <w:rPr>
          <w:rFonts w:ascii="Calibri" w:hAnsi="Calibri" w:cs="Calibri"/>
          <w:b/>
          <w:bCs/>
          <w:sz w:val="24"/>
          <w:szCs w:val="24"/>
        </w:rPr>
        <w:t>TEMATICA CONCURSULUI PENTRU OCUPAREA POSTULUI DE FARMACIST,</w:t>
      </w:r>
    </w:p>
    <w:p w14:paraId="030CF014" w14:textId="54672D97" w:rsidR="006145F1" w:rsidRPr="00D209C4" w:rsidRDefault="006145F1" w:rsidP="00D209C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D209C4">
        <w:rPr>
          <w:rFonts w:ascii="Calibri" w:hAnsi="Calibri" w:cs="Calibri"/>
          <w:b/>
          <w:bCs/>
          <w:sz w:val="24"/>
          <w:szCs w:val="24"/>
        </w:rPr>
        <w:t>CONFIRMAT ÎN SPECIALITATEA LABORATOR FARMACEUTIC LA</w:t>
      </w:r>
    </w:p>
    <w:p w14:paraId="02AFAAE1" w14:textId="4879C87B" w:rsidR="006145F1" w:rsidRDefault="006145F1" w:rsidP="00D209C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D209C4">
        <w:rPr>
          <w:rFonts w:ascii="Calibri" w:hAnsi="Calibri" w:cs="Calibri"/>
          <w:b/>
          <w:bCs/>
          <w:sz w:val="24"/>
          <w:szCs w:val="24"/>
        </w:rPr>
        <w:t>SERVICIUL DE MEDICINĂ TRANSLAȚIONALĂ ȘI STUDII CLINICE</w:t>
      </w:r>
    </w:p>
    <w:p w14:paraId="058EDE75" w14:textId="77777777" w:rsidR="00D209C4" w:rsidRPr="00D209C4" w:rsidRDefault="00D209C4" w:rsidP="00D209C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BF6DCE" w14:textId="1FA85D4B" w:rsidR="006145F1" w:rsidRPr="00A61601" w:rsidRDefault="006145F1" w:rsidP="006145F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D81F555" w14:textId="154CE395" w:rsidR="006145F1" w:rsidRPr="00D209C4" w:rsidRDefault="006145F1" w:rsidP="00D209C4">
      <w:pPr>
        <w:rPr>
          <w:rFonts w:ascii="Calibri" w:eastAsia="Times New Roman" w:hAnsi="Calibri" w:cs="Calibri"/>
          <w:b/>
          <w:sz w:val="24"/>
          <w:szCs w:val="24"/>
        </w:rPr>
      </w:pPr>
      <w:r w:rsidRPr="006145F1">
        <w:rPr>
          <w:rFonts w:ascii="Calibri" w:eastAsia="Times New Roman" w:hAnsi="Calibri" w:cs="Calibri"/>
          <w:b/>
          <w:sz w:val="24"/>
          <w:szCs w:val="24"/>
        </w:rPr>
        <w:t>TEMATICA</w:t>
      </w:r>
    </w:p>
    <w:p w14:paraId="5A7B08E3" w14:textId="7D750E18" w:rsidR="00482D0F" w:rsidRPr="006145F1" w:rsidRDefault="00482D0F" w:rsidP="006145F1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6145F1">
        <w:rPr>
          <w:b/>
          <w:bCs/>
          <w:lang w:val="hu-HU"/>
        </w:rPr>
        <w:t>Proba scris</w:t>
      </w:r>
      <w:r w:rsidRPr="006145F1">
        <w:rPr>
          <w:b/>
          <w:bCs/>
          <w:lang w:val="ro-RO"/>
        </w:rPr>
        <w:t>ă</w:t>
      </w:r>
    </w:p>
    <w:p w14:paraId="0FDA751F" w14:textId="16D08EBF" w:rsidR="00E24B84" w:rsidRPr="00E24B84" w:rsidRDefault="00E24B84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>Organizarea şi funcţionarea laboratorului de analize medicale</w:t>
      </w:r>
    </w:p>
    <w:p w14:paraId="6DC8EC28" w14:textId="2C325553" w:rsidR="00482D0F" w:rsidRPr="00482D0F" w:rsidRDefault="00482D0F" w:rsidP="00482D0F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Clasificarea probelor biologice </w:t>
      </w:r>
    </w:p>
    <w:p w14:paraId="002AC517" w14:textId="77777777" w:rsidR="00482D0F" w:rsidRDefault="00482D0F" w:rsidP="00482D0F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Prelevarea și prelucrarea probelor biologice într-un laborator de analiză</w:t>
      </w:r>
    </w:p>
    <w:p w14:paraId="076DE575" w14:textId="7DDA687B" w:rsidR="00482D0F" w:rsidRDefault="00E24B84" w:rsidP="00482D0F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S</w:t>
      </w:r>
      <w:r w:rsidR="00482D0F">
        <w:rPr>
          <w:lang w:val="ro-RO"/>
        </w:rPr>
        <w:t>pectrofoto</w:t>
      </w:r>
      <w:r>
        <w:rPr>
          <w:lang w:val="ro-RO"/>
        </w:rPr>
        <w:t>metrie</w:t>
      </w:r>
      <w:r w:rsidR="00482D0F">
        <w:rPr>
          <w:lang w:val="ro-RO"/>
        </w:rPr>
        <w:t xml:space="preserve"> UV-VIS </w:t>
      </w:r>
      <w:r>
        <w:rPr>
          <w:lang w:val="ro-RO"/>
        </w:rPr>
        <w:t xml:space="preserve">în analiza probelor biologice </w:t>
      </w:r>
      <w:r w:rsidR="00482D0F">
        <w:rPr>
          <w:lang w:val="ro-RO"/>
        </w:rPr>
        <w:t>(principii și</w:t>
      </w:r>
      <w:r>
        <w:rPr>
          <w:lang w:val="ro-RO"/>
        </w:rPr>
        <w:t xml:space="preserve"> aplicații)</w:t>
      </w:r>
    </w:p>
    <w:p w14:paraId="31350922" w14:textId="77777777" w:rsidR="00E24B84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482D0F">
        <w:rPr>
          <w:lang w:val="ro-RO"/>
        </w:rPr>
        <w:t xml:space="preserve">Cromatografie </w:t>
      </w:r>
      <w:r w:rsidR="00E24B84">
        <w:rPr>
          <w:lang w:val="ro-RO"/>
        </w:rPr>
        <w:t xml:space="preserve">de </w:t>
      </w:r>
      <w:r w:rsidRPr="00482D0F">
        <w:rPr>
          <w:lang w:val="ro-RO"/>
        </w:rPr>
        <w:t>lichidă de înaltă performanță</w:t>
      </w:r>
      <w:r w:rsidR="00E24B84">
        <w:rPr>
          <w:lang w:val="ro-RO"/>
        </w:rPr>
        <w:t xml:space="preserve"> </w:t>
      </w:r>
      <w:r w:rsidRPr="00482D0F">
        <w:rPr>
          <w:lang w:val="ro-RO"/>
        </w:rPr>
        <w:t xml:space="preserve"> </w:t>
      </w:r>
      <w:r w:rsidR="00E24B84">
        <w:rPr>
          <w:lang w:val="ro-RO"/>
        </w:rPr>
        <w:t xml:space="preserve">în analiza probelor biologice </w:t>
      </w:r>
      <w:r w:rsidRPr="00482D0F">
        <w:rPr>
          <w:lang w:val="ro-RO"/>
        </w:rPr>
        <w:t>(principii și aplicații)</w:t>
      </w:r>
    </w:p>
    <w:p w14:paraId="0FA18231" w14:textId="77777777" w:rsidR="00E24B84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>Gazcromatografie</w:t>
      </w:r>
      <w:r w:rsidR="00E24B84" w:rsidRPr="00E24B84">
        <w:rPr>
          <w:lang w:val="ro-RO"/>
        </w:rPr>
        <w:t xml:space="preserve"> în analiza probelor biologice</w:t>
      </w:r>
      <w:r w:rsidRPr="00E24B84">
        <w:rPr>
          <w:lang w:val="ro-RO"/>
        </w:rPr>
        <w:t xml:space="preserve"> (principii și aplicații</w:t>
      </w:r>
      <w:r w:rsidR="00E24B84">
        <w:rPr>
          <w:lang w:val="ro-RO"/>
        </w:rPr>
        <w:t>)</w:t>
      </w:r>
    </w:p>
    <w:p w14:paraId="1F7EE3F1" w14:textId="77777777" w:rsidR="00E24B84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>Spectrometrie de masă (principii și aplicați)</w:t>
      </w:r>
    </w:p>
    <w:p w14:paraId="76C490B9" w14:textId="77777777" w:rsidR="00E24B84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>Analiză calitat</w:t>
      </w:r>
      <w:r>
        <w:t>iv</w:t>
      </w:r>
      <w:r w:rsidRPr="00E24B84">
        <w:rPr>
          <w:lang w:val="ro-RO"/>
        </w:rPr>
        <w:t>ă cu ajutorul spectrometriei de masă în cazul probelor biologice</w:t>
      </w:r>
    </w:p>
    <w:p w14:paraId="415BECC4" w14:textId="77777777" w:rsidR="00E24B84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>Analiză cantitativă cu ajutorul spectrometriei de masă în cazul probelor biologice</w:t>
      </w:r>
    </w:p>
    <w:p w14:paraId="766A02AB" w14:textId="4BCDEE03" w:rsidR="00482D0F" w:rsidRDefault="00482D0F" w:rsidP="00E24B84">
      <w:pPr>
        <w:pStyle w:val="ListParagraph"/>
        <w:numPr>
          <w:ilvl w:val="0"/>
          <w:numId w:val="2"/>
        </w:numPr>
        <w:rPr>
          <w:lang w:val="ro-RO"/>
        </w:rPr>
      </w:pPr>
      <w:r w:rsidRPr="00E24B84">
        <w:rPr>
          <w:lang w:val="ro-RO"/>
        </w:rPr>
        <w:t xml:space="preserve">Dezvoltarea metodelor </w:t>
      </w:r>
      <w:r w:rsidR="005805B0">
        <w:rPr>
          <w:lang w:val="ro-RO"/>
        </w:rPr>
        <w:t>instrumentale de analiză</w:t>
      </w:r>
    </w:p>
    <w:p w14:paraId="02967DE7" w14:textId="3BE72B36" w:rsidR="00E24B84" w:rsidRDefault="00E24B84" w:rsidP="00E24B84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Validarea metodelor instrumentale de analiză</w:t>
      </w:r>
    </w:p>
    <w:p w14:paraId="53D4204A" w14:textId="77777777" w:rsidR="00E24B84" w:rsidRDefault="00E24B84" w:rsidP="00E24B84">
      <w:pPr>
        <w:rPr>
          <w:lang w:val="ro-RO"/>
        </w:rPr>
      </w:pPr>
    </w:p>
    <w:p w14:paraId="2B045564" w14:textId="2F819126" w:rsidR="00E24B84" w:rsidRPr="00EA719D" w:rsidRDefault="005805B0" w:rsidP="00C44EEF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EA719D">
        <w:rPr>
          <w:b/>
          <w:bCs/>
          <w:lang w:val="ro-RO"/>
        </w:rPr>
        <w:t>Probă practică:</w:t>
      </w:r>
    </w:p>
    <w:p w14:paraId="7BEFD229" w14:textId="483C5972" w:rsidR="00EA719D" w:rsidRPr="00EA719D" w:rsidRDefault="00EA719D" w:rsidP="00EA719D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Principii de bază în prelucrarea probelor biologice.</w:t>
      </w:r>
    </w:p>
    <w:p w14:paraId="509921DA" w14:textId="7C34C478" w:rsidR="00F112E6" w:rsidRDefault="00C44EEF" w:rsidP="00F112E6">
      <w:pPr>
        <w:pStyle w:val="ListParagraph"/>
        <w:numPr>
          <w:ilvl w:val="0"/>
          <w:numId w:val="4"/>
        </w:numPr>
        <w:rPr>
          <w:lang w:val="ro-RO"/>
        </w:rPr>
      </w:pPr>
      <w:r w:rsidRPr="00EA719D">
        <w:rPr>
          <w:lang w:val="ro-RO"/>
        </w:rPr>
        <w:t>Extracția din materialul biologic în vederea determinării medicamentelor</w:t>
      </w:r>
      <w:r w:rsidR="00EA719D">
        <w:rPr>
          <w:lang w:val="ro-RO"/>
        </w:rPr>
        <w:t>.</w:t>
      </w:r>
    </w:p>
    <w:p w14:paraId="44D30FF0" w14:textId="7DC2634A" w:rsidR="004A563E" w:rsidRDefault="004A563E" w:rsidP="00F112E6">
      <w:pPr>
        <w:pStyle w:val="ListParagraph"/>
        <w:numPr>
          <w:ilvl w:val="0"/>
          <w:numId w:val="4"/>
        </w:numPr>
        <w:rPr>
          <w:lang w:val="ro-RO"/>
        </w:rPr>
      </w:pPr>
      <w:r w:rsidRPr="00BA1234">
        <w:rPr>
          <w:lang w:val="ro-RO"/>
        </w:rPr>
        <w:t>Determinarea alcoolemiei prin metoda gazcromatografică.</w:t>
      </w:r>
    </w:p>
    <w:p w14:paraId="1248BD47" w14:textId="700C866D" w:rsidR="008C4D00" w:rsidRPr="00BA1234" w:rsidRDefault="008C4D00" w:rsidP="00F112E6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Determinarea etilen glicolului prin metoda gazcromatografică.</w:t>
      </w:r>
    </w:p>
    <w:p w14:paraId="6EB09B7F" w14:textId="69673DA2" w:rsidR="004A563E" w:rsidRDefault="004A563E" w:rsidP="00F112E6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Determinarea carboxihemoglobinei prin metoda spectrofotometrică.</w:t>
      </w:r>
    </w:p>
    <w:p w14:paraId="5ABC6D91" w14:textId="6D103162" w:rsidR="00E70EA5" w:rsidRDefault="00E70EA5" w:rsidP="00F112E6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Determinarea substanțelor din probe biologice prin analizor imunologic cu detectare de chemiluminescență</w:t>
      </w:r>
    </w:p>
    <w:p w14:paraId="3C2E6248" w14:textId="77777777" w:rsidR="006145F1" w:rsidRPr="006145F1" w:rsidRDefault="003F4992" w:rsidP="00E24B84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Cromatografie de lichide</w:t>
      </w:r>
      <w:r w:rsidR="00E70EA5">
        <w:rPr>
          <w:lang w:val="ro-RO"/>
        </w:rPr>
        <w:t xml:space="preserve"> cuplată cu spectrometrie de masă pentru analiza</w:t>
      </w:r>
      <w:r>
        <w:rPr>
          <w:lang w:val="ro-RO"/>
        </w:rPr>
        <w:t xml:space="preserve"> </w:t>
      </w:r>
      <w:r w:rsidR="00E70EA5">
        <w:rPr>
          <w:lang w:val="ro-RO"/>
        </w:rPr>
        <w:t>probe</w:t>
      </w:r>
      <w:r>
        <w:rPr>
          <w:lang w:val="ro-RO"/>
        </w:rPr>
        <w:t>lor</w:t>
      </w:r>
      <w:r w:rsidR="00E70EA5">
        <w:rPr>
          <w:lang w:val="ro-RO"/>
        </w:rPr>
        <w:t xml:space="preserve"> biologice </w:t>
      </w:r>
    </w:p>
    <w:p w14:paraId="10D75BCA" w14:textId="77777777" w:rsidR="006145F1" w:rsidRPr="006145F1" w:rsidRDefault="006145F1" w:rsidP="006145F1">
      <w:pPr>
        <w:pStyle w:val="ListParagraph"/>
        <w:rPr>
          <w:lang w:val="ro-RO"/>
        </w:rPr>
      </w:pPr>
    </w:p>
    <w:p w14:paraId="49DA576F" w14:textId="5A7D37ED" w:rsidR="00E24B84" w:rsidRPr="006145F1" w:rsidRDefault="00E24B84" w:rsidP="006145F1">
      <w:pPr>
        <w:pStyle w:val="ListParagraph"/>
        <w:rPr>
          <w:lang w:val="ro-RO"/>
        </w:rPr>
      </w:pPr>
      <w:r w:rsidRPr="006145F1">
        <w:rPr>
          <w:b/>
          <w:bCs/>
          <w:lang w:val="ro-RO"/>
        </w:rPr>
        <w:t>Bibliografie:</w:t>
      </w:r>
    </w:p>
    <w:p w14:paraId="35E361F4" w14:textId="2689BB27" w:rsidR="00E24B84" w:rsidRDefault="00451091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451091">
        <w:rPr>
          <w:lang w:val="ro-RO"/>
        </w:rPr>
        <w:t>Organizarea şi funcţionarea laboratorului de analize medicale</w:t>
      </w:r>
      <w:r>
        <w:rPr>
          <w:lang w:val="ro-RO"/>
        </w:rPr>
        <w:t xml:space="preserve">, </w:t>
      </w:r>
      <w:r w:rsidRPr="00451091">
        <w:rPr>
          <w:lang w:val="ro-RO"/>
        </w:rPr>
        <w:t>Parte integrantă din Ordin 1301/2007</w:t>
      </w:r>
    </w:p>
    <w:p w14:paraId="498C9FCE" w14:textId="0AE3EFA5" w:rsidR="00EA719D" w:rsidRDefault="00EA719D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Liviu Roman, Marius Bojiță, Robert Săndulescu, Daniela Lucia Muntean – Validarea metodelor analitice , Editura Medicala, București, 2007</w:t>
      </w:r>
    </w:p>
    <w:p w14:paraId="2ABA8124" w14:textId="53598507" w:rsidR="00EA719D" w:rsidRDefault="00EA719D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lastRenderedPageBreak/>
        <w:t>Horea Iustin Nașcu, Lorentz Jantschi – Chimie Analitică și Instrumentală</w:t>
      </w:r>
      <w:r w:rsidR="00B867B2">
        <w:rPr>
          <w:lang w:val="ro-RO"/>
        </w:rPr>
        <w:t>, Academic Press &amp; Academic Direct, 2009</w:t>
      </w:r>
    </w:p>
    <w:p w14:paraId="6820273F" w14:textId="7C41FE77" w:rsidR="005805B0" w:rsidRPr="00F112E6" w:rsidRDefault="00F112E6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F112E6">
        <w:rPr>
          <w:lang w:val="ro-RO"/>
        </w:rPr>
        <w:t>David G. Watson - Pharmaceutical Analysis A Textbook for Pharmacy Students And Pharmaceutical Chemists</w:t>
      </w:r>
    </w:p>
    <w:p w14:paraId="09A15FE4" w14:textId="229AC48B" w:rsidR="005805B0" w:rsidRPr="00451091" w:rsidRDefault="005805B0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ICH guideline Q14 Analytical procedure development</w:t>
      </w:r>
      <w:r w:rsidR="00E70EA5">
        <w:rPr>
          <w:lang w:val="ro-RO"/>
        </w:rPr>
        <w:t xml:space="preserve"> </w:t>
      </w:r>
      <w:r w:rsidR="00E70EA5">
        <w:rPr>
          <w:noProof/>
        </w:rPr>
        <w:t>– disponibil online</w:t>
      </w:r>
    </w:p>
    <w:p w14:paraId="4A04870D" w14:textId="1E67E5AE" w:rsidR="00451091" w:rsidRDefault="00451091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451091">
        <w:rPr>
          <w:lang w:val="ro-RO"/>
        </w:rPr>
        <w:t xml:space="preserve">ICH </w:t>
      </w:r>
      <w:r>
        <w:rPr>
          <w:lang w:val="ro-RO"/>
        </w:rPr>
        <w:t xml:space="preserve">guideline </w:t>
      </w:r>
      <w:r w:rsidRPr="00451091">
        <w:rPr>
          <w:lang w:val="ro-RO"/>
        </w:rPr>
        <w:t xml:space="preserve">M10 on bioanalytical method validation </w:t>
      </w:r>
      <w:r>
        <w:rPr>
          <w:lang w:val="ro-RO"/>
        </w:rPr>
        <w:t>and study sample analysis</w:t>
      </w:r>
      <w:r w:rsidR="00E70EA5">
        <w:rPr>
          <w:lang w:val="ro-RO"/>
        </w:rPr>
        <w:t xml:space="preserve"> </w:t>
      </w:r>
      <w:r w:rsidR="00E70EA5">
        <w:rPr>
          <w:noProof/>
        </w:rPr>
        <w:t>– disponibil online</w:t>
      </w:r>
    </w:p>
    <w:p w14:paraId="04D3F354" w14:textId="27A9B398" w:rsidR="00451091" w:rsidRDefault="00451091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ICH guideline Q2(R2)</w:t>
      </w:r>
      <w:r w:rsidR="005805B0">
        <w:rPr>
          <w:lang w:val="ro-RO"/>
        </w:rPr>
        <w:t xml:space="preserve"> Validation of analytical procedures</w:t>
      </w:r>
      <w:r w:rsidR="00E70EA5">
        <w:rPr>
          <w:lang w:val="ro-RO"/>
        </w:rPr>
        <w:t xml:space="preserve"> </w:t>
      </w:r>
      <w:r w:rsidR="00E70EA5">
        <w:rPr>
          <w:noProof/>
        </w:rPr>
        <w:t>– disponibil online</w:t>
      </w:r>
    </w:p>
    <w:p w14:paraId="5B9FCBB4" w14:textId="3A14A717" w:rsidR="005805B0" w:rsidRDefault="005805B0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Bioanalytical Method Validation Guidance for Industry (FDA guidance)</w:t>
      </w:r>
      <w:r w:rsidR="00E70EA5">
        <w:rPr>
          <w:lang w:val="ro-RO"/>
        </w:rPr>
        <w:t xml:space="preserve"> </w:t>
      </w:r>
      <w:r w:rsidR="00E70EA5">
        <w:rPr>
          <w:noProof/>
        </w:rPr>
        <w:t>– disponibil online</w:t>
      </w:r>
    </w:p>
    <w:p w14:paraId="182802A3" w14:textId="068A37E4" w:rsidR="00C44EEF" w:rsidRDefault="00C44EEF" w:rsidP="003F4992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The complete guide for solid phase extraction (SPE) A method development and application guide (Phenomenex) – disponibil online</w:t>
      </w:r>
    </w:p>
    <w:p w14:paraId="33F07E72" w14:textId="48B2B416" w:rsidR="00BA1234" w:rsidRPr="00BA1234" w:rsidRDefault="00BA1234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Analysis of Ethanol in Blood with the Agilent 7820A GC and 7697A Headspace Sampler </w:t>
      </w:r>
      <w:r w:rsidR="00E70EA5">
        <w:rPr>
          <w:noProof/>
        </w:rPr>
        <w:t>– Application Note</w:t>
      </w:r>
      <w:r>
        <w:rPr>
          <w:noProof/>
        </w:rPr>
        <w:t>, Agilent Technologies</w:t>
      </w:r>
      <w:r w:rsidR="00E70EA5">
        <w:rPr>
          <w:noProof/>
        </w:rPr>
        <w:t xml:space="preserve"> – disponibil online</w:t>
      </w:r>
    </w:p>
    <w:p w14:paraId="55FECFE2" w14:textId="32147DEB" w:rsidR="00BA1234" w:rsidRDefault="00BA1234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 w:rsidRPr="00BA1234">
        <w:rPr>
          <w:noProof/>
        </w:rPr>
        <w:t>Forensic Analysis of Blood Alcohol Concentration</w:t>
      </w:r>
      <w:r>
        <w:rPr>
          <w:noProof/>
        </w:rPr>
        <w:t xml:space="preserve"> - Application Note, Agilent Technologies – disponibil online</w:t>
      </w:r>
    </w:p>
    <w:p w14:paraId="3C63FE42" w14:textId="0C884516" w:rsidR="008C4D00" w:rsidRDefault="008C4D00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Drugs and Poisons in Humans A Handbook of Practical Analysis – Chapter II.5.8 Ethylen Glycol</w:t>
      </w:r>
    </w:p>
    <w:p w14:paraId="3D898AD2" w14:textId="29909DC5" w:rsidR="008C4D00" w:rsidRDefault="002A404A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Denis J Orton et al - </w:t>
      </w:r>
      <w:r w:rsidR="008C4D00">
        <w:rPr>
          <w:noProof/>
        </w:rPr>
        <w:t>One-step extraction and quantification of toxic alcohols and ethylen glyxol in plasma by capillary gas chromatography (GC) with fame  ionization detection (FID), Clinical Biochemsitry, 2016, 49:132-138</w:t>
      </w:r>
    </w:p>
    <w:p w14:paraId="3E6AFAC4" w14:textId="0830A78D" w:rsidR="002A404A" w:rsidRDefault="002A404A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Vassiliki A Boumba et al - Evaluation of the Methods Used for Carboxyhemoglobin Analysis in Postmortem Blood, </w:t>
      </w:r>
      <w:r w:rsidRPr="002A404A">
        <w:rPr>
          <w:noProof/>
        </w:rPr>
        <w:t>International Journal of Toxicology, 24:275–281, 2005</w:t>
      </w:r>
    </w:p>
    <w:p w14:paraId="6F537D18" w14:textId="5C5FEE6B" w:rsidR="002A404A" w:rsidRDefault="002A404A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Paulo Luchini et al - Validation of a Spectrophotometric Method for Quantification of Carboxyhemoglobin -Technical Note, </w:t>
      </w:r>
      <w:r w:rsidRPr="002A404A">
        <w:rPr>
          <w:noProof/>
        </w:rPr>
        <w:t>Journal of Analytical Toxicology, Vol. 33, October 2009</w:t>
      </w:r>
    </w:p>
    <w:p w14:paraId="33A71ED1" w14:textId="14D70FD1" w:rsidR="001D2B27" w:rsidRDefault="001D2B27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Randox Evidence MultiStat Fully Automated Drug testing – Overview Brochure</w:t>
      </w:r>
      <w:r w:rsidR="003F4992">
        <w:rPr>
          <w:noProof/>
        </w:rPr>
        <w:t xml:space="preserve"> – disponibil online</w:t>
      </w:r>
    </w:p>
    <w:p w14:paraId="6C5DF4C6" w14:textId="20A697A6" w:rsidR="001D2B27" w:rsidRDefault="001D2B27" w:rsidP="003F4992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Uttam Garg – Clinical Applications of Mass Spectrometry in Biomolecular analysis – Methods and Protocols, Springer Protocols, Human Press</w:t>
      </w:r>
      <w:r w:rsidR="003F4992">
        <w:rPr>
          <w:noProof/>
        </w:rPr>
        <w:t>, ediția II, 2022</w:t>
      </w:r>
    </w:p>
    <w:p w14:paraId="5DE9F647" w14:textId="77777777" w:rsidR="00D209C4" w:rsidRDefault="00D209C4" w:rsidP="00D209C4">
      <w:pPr>
        <w:jc w:val="both"/>
        <w:rPr>
          <w:noProof/>
        </w:rPr>
      </w:pPr>
    </w:p>
    <w:p w14:paraId="430694C3" w14:textId="77777777" w:rsidR="00D209C4" w:rsidRPr="00D209C4" w:rsidRDefault="00D209C4" w:rsidP="00D209C4">
      <w:pPr>
        <w:pStyle w:val="WW-Default"/>
        <w:jc w:val="center"/>
        <w:rPr>
          <w:rFonts w:ascii="Calibri" w:hAnsi="Calibri" w:cs="Calibri"/>
          <w:lang w:val="ro-RO"/>
        </w:rPr>
      </w:pPr>
      <w:r w:rsidRPr="00D209C4">
        <w:rPr>
          <w:rFonts w:ascii="Calibri" w:hAnsi="Calibri" w:cs="Calibri"/>
          <w:lang w:val="ro-RO"/>
        </w:rPr>
        <w:t>Manager,</w:t>
      </w:r>
    </w:p>
    <w:p w14:paraId="6E85C272" w14:textId="706B58D0" w:rsidR="00D209C4" w:rsidRPr="00D209C4" w:rsidRDefault="00D209C4" w:rsidP="00D209C4">
      <w:pPr>
        <w:pStyle w:val="WW-Default"/>
        <w:jc w:val="center"/>
        <w:rPr>
          <w:rFonts w:ascii="Calibri" w:hAnsi="Calibri" w:cs="Calibri"/>
          <w:lang w:val="ro-RO"/>
        </w:rPr>
      </w:pPr>
      <w:r w:rsidRPr="00D209C4">
        <w:rPr>
          <w:rFonts w:ascii="Calibri" w:hAnsi="Calibri" w:cs="Calibri"/>
          <w:lang w:val="ro-RO"/>
        </w:rPr>
        <w:t>Dr. Konrád Judith</w:t>
      </w:r>
    </w:p>
    <w:p w14:paraId="3449AE7E" w14:textId="77777777" w:rsidR="001D2B27" w:rsidRPr="00D209C4" w:rsidRDefault="001D2B27" w:rsidP="00D209C4">
      <w:pPr>
        <w:pStyle w:val="ListParagraph"/>
        <w:jc w:val="center"/>
        <w:rPr>
          <w:noProof/>
        </w:rPr>
      </w:pPr>
    </w:p>
    <w:sectPr w:rsidR="001D2B27" w:rsidRPr="00D209C4" w:rsidSect="006145F1">
      <w:headerReference w:type="default" r:id="rId7"/>
      <w:footerReference w:type="default" r:id="rId8"/>
      <w:pgSz w:w="12240" w:h="15840"/>
      <w:pgMar w:top="135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3F71" w14:textId="77777777" w:rsidR="0041732B" w:rsidRDefault="0041732B" w:rsidP="001E1DBC">
      <w:pPr>
        <w:spacing w:after="0" w:line="240" w:lineRule="auto"/>
      </w:pPr>
      <w:r>
        <w:separator/>
      </w:r>
    </w:p>
  </w:endnote>
  <w:endnote w:type="continuationSeparator" w:id="0">
    <w:p w14:paraId="2C8BFA65" w14:textId="77777777" w:rsidR="0041732B" w:rsidRDefault="0041732B" w:rsidP="001E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B686" w14:textId="7A49A102" w:rsidR="006145F1" w:rsidRDefault="00000000">
    <w:pPr>
      <w:pStyle w:val="Footer"/>
    </w:pPr>
    <w:r>
      <w:rPr>
        <w:noProof/>
      </w:rPr>
      <w:object w:dxaOrig="1440" w:dyaOrig="1440" w14:anchorId="55EC7A64">
        <v:rect id="_x0000_s1025" style="position:absolute;margin-left:-35.35pt;margin-top:-54.25pt;width:524.8pt;height:76.55pt;z-index:-251658240" o:preferrelative="t" filled="f" stroked="f" insetpen="t" o:cliptowrap="t">
          <v:imagedata r:id="rId1" o:title=""/>
          <v:path o:extrusionok="f"/>
          <o:lock v:ext="edit" aspectratio="t"/>
        </v:rect>
        <o:OLEObject Type="Embed" ProgID="CorelDraw.Graphic.23" ShapeID="_x0000_s1025" DrawAspect="Content" ObjectID="_178677831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8DCD" w14:textId="77777777" w:rsidR="0041732B" w:rsidRDefault="0041732B" w:rsidP="001E1DBC">
      <w:pPr>
        <w:spacing w:after="0" w:line="240" w:lineRule="auto"/>
      </w:pPr>
      <w:r>
        <w:separator/>
      </w:r>
    </w:p>
  </w:footnote>
  <w:footnote w:type="continuationSeparator" w:id="0">
    <w:p w14:paraId="066A2F5D" w14:textId="77777777" w:rsidR="0041732B" w:rsidRDefault="0041732B" w:rsidP="001E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4DCF" w14:textId="30CE298E" w:rsidR="001E1DBC" w:rsidRDefault="001E1DB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01CFB7C" wp14:editId="2BCDF5B1">
          <wp:simplePos x="0" y="0"/>
          <wp:positionH relativeFrom="page">
            <wp:posOffset>400050</wp:posOffset>
          </wp:positionH>
          <wp:positionV relativeFrom="page">
            <wp:posOffset>-47625</wp:posOffset>
          </wp:positionV>
          <wp:extent cx="6803136" cy="877824"/>
          <wp:effectExtent l="0" t="0" r="0" b="0"/>
          <wp:wrapNone/>
          <wp:docPr id="2028837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41762" name="Picture 248141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36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142"/>
    <w:multiLevelType w:val="hybridMultilevel"/>
    <w:tmpl w:val="A4A62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D2F"/>
    <w:multiLevelType w:val="hybridMultilevel"/>
    <w:tmpl w:val="8A7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156E"/>
    <w:multiLevelType w:val="hybridMultilevel"/>
    <w:tmpl w:val="0632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2BB8"/>
    <w:multiLevelType w:val="hybridMultilevel"/>
    <w:tmpl w:val="67640240"/>
    <w:lvl w:ilvl="0" w:tplc="2310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05661">
    <w:abstractNumId w:val="3"/>
  </w:num>
  <w:num w:numId="2" w16cid:durableId="280304853">
    <w:abstractNumId w:val="0"/>
  </w:num>
  <w:num w:numId="3" w16cid:durableId="557860813">
    <w:abstractNumId w:val="2"/>
  </w:num>
  <w:num w:numId="4" w16cid:durableId="87977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F"/>
    <w:rsid w:val="00013153"/>
    <w:rsid w:val="000323D2"/>
    <w:rsid w:val="001D2B27"/>
    <w:rsid w:val="001E1DBC"/>
    <w:rsid w:val="00204A33"/>
    <w:rsid w:val="002A404A"/>
    <w:rsid w:val="003902AC"/>
    <w:rsid w:val="003C5AE0"/>
    <w:rsid w:val="003F4992"/>
    <w:rsid w:val="0041732B"/>
    <w:rsid w:val="00451091"/>
    <w:rsid w:val="00482D0F"/>
    <w:rsid w:val="004A563E"/>
    <w:rsid w:val="005805B0"/>
    <w:rsid w:val="006145F1"/>
    <w:rsid w:val="008C4D00"/>
    <w:rsid w:val="008E39C4"/>
    <w:rsid w:val="00AB2E0B"/>
    <w:rsid w:val="00B867B2"/>
    <w:rsid w:val="00BA1234"/>
    <w:rsid w:val="00C05701"/>
    <w:rsid w:val="00C44EEF"/>
    <w:rsid w:val="00D209C4"/>
    <w:rsid w:val="00D947D5"/>
    <w:rsid w:val="00E24B84"/>
    <w:rsid w:val="00E26AD6"/>
    <w:rsid w:val="00E70EA5"/>
    <w:rsid w:val="00EA719D"/>
    <w:rsid w:val="00F112E6"/>
    <w:rsid w:val="00F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D9E5"/>
  <w15:chartTrackingRefBased/>
  <w15:docId w15:val="{07DF09BE-0538-48B7-8AC8-FE308D6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BC"/>
  </w:style>
  <w:style w:type="paragraph" w:styleId="Footer">
    <w:name w:val="footer"/>
    <w:basedOn w:val="Normal"/>
    <w:link w:val="FooterChar"/>
    <w:uiPriority w:val="99"/>
    <w:unhideWhenUsed/>
    <w:rsid w:val="001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BC"/>
  </w:style>
  <w:style w:type="paragraph" w:styleId="NoSpacing">
    <w:name w:val="No Spacing"/>
    <w:uiPriority w:val="1"/>
    <w:qFormat/>
    <w:rsid w:val="006145F1"/>
    <w:pPr>
      <w:spacing w:after="0" w:line="240" w:lineRule="auto"/>
    </w:pPr>
  </w:style>
  <w:style w:type="paragraph" w:customStyle="1" w:styleId="WW-Default">
    <w:name w:val="WW-Default"/>
    <w:rsid w:val="00D209C4"/>
    <w:pPr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Elek</dc:creator>
  <cp:keywords/>
  <dc:description/>
  <cp:lastModifiedBy>cadre</cp:lastModifiedBy>
  <cp:revision>2</cp:revision>
  <cp:lastPrinted>2024-09-02T07:21:00Z</cp:lastPrinted>
  <dcterms:created xsi:type="dcterms:W3CDTF">2024-09-02T07:32:00Z</dcterms:created>
  <dcterms:modified xsi:type="dcterms:W3CDTF">2024-09-02T07:32:00Z</dcterms:modified>
</cp:coreProperties>
</file>