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32DC5" w14:textId="77777777" w:rsidR="00117B10" w:rsidRPr="0012739F" w:rsidRDefault="00117B10" w:rsidP="00BF425A">
      <w:pPr>
        <w:pStyle w:val="NoSpacing"/>
        <w:jc w:val="center"/>
        <w:outlineLvl w:val="0"/>
        <w:rPr>
          <w:b/>
          <w:sz w:val="24"/>
          <w:szCs w:val="24"/>
          <w:lang w:val="ro-RO"/>
        </w:rPr>
      </w:pPr>
    </w:p>
    <w:p w14:paraId="6B0FA78B" w14:textId="77777777" w:rsidR="00117B10" w:rsidRPr="0012739F" w:rsidRDefault="00117B10" w:rsidP="00BF425A">
      <w:pPr>
        <w:pStyle w:val="NoSpacing"/>
        <w:jc w:val="center"/>
        <w:outlineLvl w:val="0"/>
        <w:rPr>
          <w:b/>
          <w:sz w:val="24"/>
          <w:szCs w:val="24"/>
          <w:lang w:val="ro-RO"/>
        </w:rPr>
      </w:pPr>
      <w:r w:rsidRPr="0012739F">
        <w:rPr>
          <w:b/>
          <w:sz w:val="24"/>
          <w:szCs w:val="24"/>
          <w:lang w:val="ro-RO"/>
        </w:rPr>
        <w:t>NOTĂ  DE  FUNDAMENTARE</w:t>
      </w:r>
    </w:p>
    <w:p w14:paraId="529B7C8D" w14:textId="77777777" w:rsidR="00D47666" w:rsidRPr="0012739F" w:rsidRDefault="00D47666" w:rsidP="00BF425A">
      <w:pPr>
        <w:pStyle w:val="NoSpacing"/>
        <w:jc w:val="center"/>
        <w:outlineLvl w:val="0"/>
        <w:rPr>
          <w:b/>
          <w:sz w:val="24"/>
          <w:szCs w:val="24"/>
          <w:lang w:val="ro-RO"/>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990"/>
        <w:gridCol w:w="552"/>
        <w:gridCol w:w="1276"/>
        <w:gridCol w:w="1276"/>
        <w:gridCol w:w="938"/>
        <w:gridCol w:w="1276"/>
      </w:tblGrid>
      <w:tr w:rsidR="0012739F" w:rsidRPr="0055528B" w14:paraId="28A91968" w14:textId="77777777" w:rsidTr="008C00DA">
        <w:tc>
          <w:tcPr>
            <w:tcW w:w="10916" w:type="dxa"/>
            <w:gridSpan w:val="7"/>
          </w:tcPr>
          <w:p w14:paraId="32060D35" w14:textId="77777777" w:rsidR="00117B10" w:rsidRPr="0012739F" w:rsidRDefault="00117B10" w:rsidP="00BF425A">
            <w:pPr>
              <w:pStyle w:val="NoSpacing"/>
              <w:jc w:val="center"/>
              <w:rPr>
                <w:b/>
                <w:sz w:val="24"/>
                <w:szCs w:val="24"/>
                <w:lang w:val="ro-RO"/>
              </w:rPr>
            </w:pPr>
            <w:r w:rsidRPr="0012739F">
              <w:rPr>
                <w:b/>
                <w:sz w:val="24"/>
                <w:szCs w:val="24"/>
                <w:lang w:val="ro-RO"/>
              </w:rPr>
              <w:t xml:space="preserve">Secţiunea 1 </w:t>
            </w:r>
          </w:p>
          <w:p w14:paraId="2D3577E2" w14:textId="77777777" w:rsidR="00117B10" w:rsidRPr="0012739F" w:rsidRDefault="00117B10" w:rsidP="00BF425A">
            <w:pPr>
              <w:pStyle w:val="NoSpacing"/>
              <w:jc w:val="center"/>
              <w:rPr>
                <w:b/>
                <w:sz w:val="24"/>
                <w:szCs w:val="24"/>
                <w:lang w:val="ro-RO"/>
              </w:rPr>
            </w:pPr>
            <w:r w:rsidRPr="0012739F">
              <w:rPr>
                <w:b/>
                <w:sz w:val="24"/>
                <w:szCs w:val="24"/>
                <w:lang w:val="ro-RO"/>
              </w:rPr>
              <w:t>Titlul proiectului de act normativ</w:t>
            </w:r>
          </w:p>
          <w:p w14:paraId="7744D378" w14:textId="77777777" w:rsidR="00D47666" w:rsidRPr="0012739F" w:rsidRDefault="00D47666" w:rsidP="00BF425A">
            <w:pPr>
              <w:pStyle w:val="NoSpacing"/>
              <w:jc w:val="center"/>
              <w:rPr>
                <w:b/>
                <w:sz w:val="24"/>
                <w:szCs w:val="24"/>
                <w:lang w:val="ro-RO"/>
              </w:rPr>
            </w:pPr>
          </w:p>
          <w:p w14:paraId="26718F8B" w14:textId="77777777" w:rsidR="00F7653D" w:rsidRPr="0012739F" w:rsidRDefault="00F7653D" w:rsidP="00BF425A">
            <w:pPr>
              <w:autoSpaceDE w:val="0"/>
              <w:autoSpaceDN w:val="0"/>
              <w:adjustRightInd w:val="0"/>
              <w:jc w:val="center"/>
              <w:rPr>
                <w:b/>
                <w:lang w:val="ro-RO"/>
              </w:rPr>
            </w:pPr>
            <w:r w:rsidRPr="0012739F">
              <w:rPr>
                <w:b/>
                <w:lang w:val="ro-RO"/>
              </w:rPr>
              <w:t>HOTĂRÂRE</w:t>
            </w:r>
          </w:p>
          <w:p w14:paraId="150C4151" w14:textId="77777777" w:rsidR="002D0865" w:rsidRPr="0012739F" w:rsidRDefault="00F7653D" w:rsidP="002D0865">
            <w:pPr>
              <w:autoSpaceDE w:val="0"/>
              <w:autoSpaceDN w:val="0"/>
              <w:adjustRightInd w:val="0"/>
              <w:jc w:val="center"/>
              <w:rPr>
                <w:b/>
                <w:lang w:val="ro-RO"/>
              </w:rPr>
            </w:pPr>
            <w:r w:rsidRPr="0012739F">
              <w:rPr>
                <w:b/>
                <w:lang w:val="ro-RO"/>
              </w:rPr>
              <w:t xml:space="preserve"> </w:t>
            </w:r>
            <w:r w:rsidR="002D0865" w:rsidRPr="0012739F">
              <w:rPr>
                <w:b/>
                <w:lang w:val="ro-RO"/>
              </w:rPr>
              <w:t>pentru aprobarea Normelor de supraveghere, monitorizare şi inspecţie sanitară a calităţii apei potabile şi a Procedurii de autorizare sanitară a producţiei şi distribuţiei apei potabile</w:t>
            </w:r>
          </w:p>
          <w:p w14:paraId="12328D9B" w14:textId="77777777" w:rsidR="002D0865" w:rsidRPr="0012739F" w:rsidRDefault="002D0865" w:rsidP="002D0865">
            <w:pPr>
              <w:autoSpaceDE w:val="0"/>
              <w:autoSpaceDN w:val="0"/>
              <w:adjustRightInd w:val="0"/>
              <w:jc w:val="center"/>
              <w:rPr>
                <w:b/>
                <w:lang w:val="ro-RO"/>
              </w:rPr>
            </w:pPr>
          </w:p>
          <w:p w14:paraId="27C76CE3" w14:textId="0027E1C0" w:rsidR="00C47443" w:rsidRPr="0012739F" w:rsidRDefault="00C47443" w:rsidP="00C47443">
            <w:pPr>
              <w:autoSpaceDE w:val="0"/>
              <w:autoSpaceDN w:val="0"/>
              <w:adjustRightInd w:val="0"/>
              <w:jc w:val="center"/>
              <w:rPr>
                <w:b/>
                <w:lang w:val="ro-RO"/>
              </w:rPr>
            </w:pPr>
          </w:p>
        </w:tc>
      </w:tr>
      <w:tr w:rsidR="0012739F" w:rsidRPr="0055528B" w14:paraId="4D30F1D2" w14:textId="77777777" w:rsidTr="008C00DA">
        <w:tc>
          <w:tcPr>
            <w:tcW w:w="10916" w:type="dxa"/>
            <w:gridSpan w:val="7"/>
          </w:tcPr>
          <w:p w14:paraId="7A40758E" w14:textId="77777777" w:rsidR="00117B10" w:rsidRPr="0012739F" w:rsidRDefault="00117B10" w:rsidP="00BF425A">
            <w:pPr>
              <w:pStyle w:val="NoSpacing"/>
              <w:jc w:val="center"/>
              <w:rPr>
                <w:b/>
                <w:sz w:val="24"/>
                <w:szCs w:val="24"/>
                <w:lang w:val="ro-RO"/>
              </w:rPr>
            </w:pPr>
            <w:r w:rsidRPr="0012739F">
              <w:rPr>
                <w:b/>
                <w:sz w:val="24"/>
                <w:szCs w:val="24"/>
                <w:lang w:val="ro-RO"/>
              </w:rPr>
              <w:t>Secţiunea a 2-a</w:t>
            </w:r>
          </w:p>
          <w:p w14:paraId="15EAD36E" w14:textId="77777777" w:rsidR="00117B10" w:rsidRPr="0012739F" w:rsidRDefault="00117B10" w:rsidP="00BF425A">
            <w:pPr>
              <w:pStyle w:val="NoSpacing"/>
              <w:jc w:val="center"/>
              <w:rPr>
                <w:b/>
                <w:sz w:val="24"/>
                <w:szCs w:val="24"/>
                <w:lang w:val="ro-RO"/>
              </w:rPr>
            </w:pPr>
            <w:r w:rsidRPr="0012739F">
              <w:rPr>
                <w:b/>
                <w:sz w:val="24"/>
                <w:szCs w:val="24"/>
                <w:lang w:val="ro-RO"/>
              </w:rPr>
              <w:t>Motivul emiterii actului normativ</w:t>
            </w:r>
          </w:p>
          <w:p w14:paraId="6CBDECC3" w14:textId="77777777" w:rsidR="00BE7642" w:rsidRPr="0012739F" w:rsidRDefault="00BE7642" w:rsidP="00BF425A">
            <w:pPr>
              <w:pStyle w:val="NoSpacing"/>
              <w:jc w:val="center"/>
              <w:rPr>
                <w:b/>
                <w:sz w:val="24"/>
                <w:szCs w:val="24"/>
                <w:lang w:val="ro-RO"/>
              </w:rPr>
            </w:pPr>
          </w:p>
        </w:tc>
      </w:tr>
      <w:tr w:rsidR="0012739F" w:rsidRPr="0055528B" w14:paraId="26365978" w14:textId="77777777" w:rsidTr="008C00DA">
        <w:trPr>
          <w:trHeight w:val="558"/>
        </w:trPr>
        <w:tc>
          <w:tcPr>
            <w:tcW w:w="10916" w:type="dxa"/>
            <w:gridSpan w:val="7"/>
          </w:tcPr>
          <w:p w14:paraId="69B9DE3A" w14:textId="77777777" w:rsidR="00117B10" w:rsidRPr="0012739F" w:rsidRDefault="00117B10" w:rsidP="00BF425A">
            <w:pPr>
              <w:pStyle w:val="NoSpacing"/>
              <w:numPr>
                <w:ilvl w:val="0"/>
                <w:numId w:val="5"/>
              </w:numPr>
              <w:spacing w:after="120"/>
              <w:ind w:left="714" w:hanging="357"/>
              <w:jc w:val="both"/>
              <w:rPr>
                <w:b/>
                <w:sz w:val="24"/>
                <w:szCs w:val="24"/>
                <w:lang w:val="ro-RO"/>
              </w:rPr>
            </w:pPr>
            <w:r w:rsidRPr="0012739F">
              <w:rPr>
                <w:b/>
                <w:sz w:val="24"/>
                <w:szCs w:val="24"/>
                <w:lang w:val="ro-RO"/>
              </w:rPr>
              <w:t>Descrierea situaţiei actuale</w:t>
            </w:r>
          </w:p>
          <w:p w14:paraId="1A8F4837" w14:textId="77777777" w:rsidR="00441795" w:rsidRPr="0012739F" w:rsidRDefault="00441795" w:rsidP="00FA50ED">
            <w:pPr>
              <w:pStyle w:val="ListParagraph"/>
              <w:autoSpaceDE w:val="0"/>
              <w:autoSpaceDN w:val="0"/>
              <w:adjustRightInd w:val="0"/>
              <w:ind w:hanging="360"/>
              <w:jc w:val="both"/>
              <w:rPr>
                <w:lang w:val="ro-RO"/>
              </w:rPr>
            </w:pPr>
            <w:r w:rsidRPr="0012739F">
              <w:rPr>
                <w:lang w:val="ro-RO"/>
              </w:rPr>
              <w:t xml:space="preserve">Proiectul de Hotărâre a fost elaborat în temeiul dispozițiilor art. 23 alin. (1) al Ordonanței Guvernului nr. </w:t>
            </w:r>
          </w:p>
          <w:p w14:paraId="05D2241A" w14:textId="77777777" w:rsidR="00C47443" w:rsidRPr="0012739F" w:rsidRDefault="00441795" w:rsidP="00441795">
            <w:pPr>
              <w:autoSpaceDE w:val="0"/>
              <w:autoSpaceDN w:val="0"/>
              <w:adjustRightInd w:val="0"/>
              <w:jc w:val="both"/>
              <w:rPr>
                <w:lang w:val="ro-RO"/>
              </w:rPr>
            </w:pPr>
            <w:r w:rsidRPr="0012739F">
              <w:rPr>
                <w:lang w:val="ro-RO"/>
              </w:rPr>
              <w:t xml:space="preserve">7/2023 privind calitatea apei destinată consumului uman: </w:t>
            </w:r>
          </w:p>
          <w:p w14:paraId="69BF9CCF" w14:textId="20514DA7" w:rsidR="00117B10" w:rsidRPr="0012739F" w:rsidRDefault="00FA50ED" w:rsidP="00441795">
            <w:pPr>
              <w:autoSpaceDE w:val="0"/>
              <w:autoSpaceDN w:val="0"/>
              <w:adjustRightInd w:val="0"/>
              <w:jc w:val="both"/>
              <w:rPr>
                <w:lang w:val="ro-RO"/>
              </w:rPr>
            </w:pPr>
            <w:r w:rsidRPr="0012739F">
              <w:rPr>
                <w:lang w:val="ro-RO"/>
              </w:rPr>
              <w:t xml:space="preserve">       </w:t>
            </w:r>
            <w:r w:rsidR="00441795" w:rsidRPr="0012739F">
              <w:rPr>
                <w:lang w:val="ro-RO"/>
              </w:rPr>
              <w:t>„</w:t>
            </w:r>
            <w:r w:rsidR="00265FF6" w:rsidRPr="0012739F">
              <w:rPr>
                <w:lang w:val="ro-RO"/>
              </w:rPr>
              <w:t xml:space="preserve">art.23 </w:t>
            </w:r>
            <w:r w:rsidR="00441795" w:rsidRPr="0012739F">
              <w:rPr>
                <w:lang w:val="ro-RO"/>
              </w:rPr>
              <w:t>(1) În termen de 120 de zile de la data intrării în vigoare a prezentei ordonanţe vor fi aprobate, prin hotărâre a Guvernului, norme de supraveghere, monitorizare şi inspecţie sanitară a calităţii apei potabile şi procedura de autorizare sanitară a producţiei şi distribuţiei apei potabile.”</w:t>
            </w:r>
          </w:p>
          <w:p w14:paraId="62EE9FAD" w14:textId="77777777" w:rsidR="00441795" w:rsidRPr="0012739F" w:rsidRDefault="00FA50ED" w:rsidP="00F305C5">
            <w:pPr>
              <w:autoSpaceDE w:val="0"/>
              <w:autoSpaceDN w:val="0"/>
              <w:adjustRightInd w:val="0"/>
              <w:jc w:val="both"/>
              <w:rPr>
                <w:lang w:val="ro-RO"/>
              </w:rPr>
            </w:pPr>
            <w:r w:rsidRPr="0012739F">
              <w:rPr>
                <w:lang w:val="ro-RO"/>
              </w:rPr>
              <w:t xml:space="preserve">       </w:t>
            </w:r>
            <w:r w:rsidR="00441795" w:rsidRPr="0012739F">
              <w:rPr>
                <w:lang w:val="ro-RO"/>
              </w:rPr>
              <w:t>Ordonanța Guvernului nr. 7/2023 privind calitatea apei destinată consumului uman a transpus Directiva Parlamentului UE și a Consiliului 2020/2184 privind calitatea apei destinată consumului uman, o reformare a vechii directive a apei potabile (Directiva 98/83/CE)</w:t>
            </w:r>
            <w:r w:rsidR="00C47443" w:rsidRPr="0012739F">
              <w:rPr>
                <w:lang w:val="ro-RO"/>
              </w:rPr>
              <w:t xml:space="preserve">. De asemenea, </w:t>
            </w:r>
            <w:r w:rsidR="00EA09B0" w:rsidRPr="0012739F">
              <w:rPr>
                <w:lang w:val="ro-RO"/>
              </w:rPr>
              <w:t>Ordonanța Guvernului</w:t>
            </w:r>
            <w:r w:rsidR="00C47443" w:rsidRPr="0012739F">
              <w:rPr>
                <w:lang w:val="ro-RO"/>
              </w:rPr>
              <w:t xml:space="preserve"> nr.7/2023</w:t>
            </w:r>
            <w:r w:rsidR="00441795" w:rsidRPr="0012739F">
              <w:rPr>
                <w:lang w:val="ro-RO"/>
              </w:rPr>
              <w:t xml:space="preserve"> abrogat, începând cu 25 ianuarie 2023, Legea nr. 458/2002 privind calitatea apei potabile republicată, cu modificările și completările ulterioare,</w:t>
            </w:r>
            <w:r w:rsidR="00C47443" w:rsidRPr="0012739F">
              <w:rPr>
                <w:lang w:val="ro-RO"/>
              </w:rPr>
              <w:t xml:space="preserve"> care </w:t>
            </w:r>
            <w:r w:rsidR="00441795" w:rsidRPr="0012739F">
              <w:rPr>
                <w:lang w:val="ro-RO"/>
              </w:rPr>
              <w:t>transpune</w:t>
            </w:r>
            <w:r w:rsidR="00C47443" w:rsidRPr="0012739F">
              <w:rPr>
                <w:lang w:val="ro-RO"/>
              </w:rPr>
              <w:t>a</w:t>
            </w:r>
            <w:r w:rsidR="00441795" w:rsidRPr="0012739F">
              <w:rPr>
                <w:lang w:val="ro-RO"/>
              </w:rPr>
              <w:t xml:space="preserve"> vech</w:t>
            </w:r>
            <w:r w:rsidR="00C47443" w:rsidRPr="0012739F">
              <w:rPr>
                <w:lang w:val="ro-RO"/>
              </w:rPr>
              <w:t>ea</w:t>
            </w:r>
            <w:r w:rsidR="00441795" w:rsidRPr="0012739F">
              <w:rPr>
                <w:lang w:val="ro-RO"/>
              </w:rPr>
              <w:t xml:space="preserve"> directiv</w:t>
            </w:r>
            <w:r w:rsidR="00C47443" w:rsidRPr="0012739F">
              <w:rPr>
                <w:lang w:val="ro-RO"/>
              </w:rPr>
              <w:t>ă</w:t>
            </w:r>
            <w:r w:rsidR="00441795" w:rsidRPr="0012739F">
              <w:rPr>
                <w:lang w:val="ro-RO"/>
              </w:rPr>
              <w:t xml:space="preserve">. </w:t>
            </w:r>
          </w:p>
          <w:p w14:paraId="7770A0C3" w14:textId="6E4A337C" w:rsidR="00441795" w:rsidRPr="0012739F" w:rsidRDefault="00FA50ED" w:rsidP="00FA50ED">
            <w:pPr>
              <w:autoSpaceDE w:val="0"/>
              <w:autoSpaceDN w:val="0"/>
              <w:adjustRightInd w:val="0"/>
              <w:jc w:val="both"/>
              <w:rPr>
                <w:lang w:val="ro-RO"/>
              </w:rPr>
            </w:pPr>
            <w:r w:rsidRPr="0012739F">
              <w:rPr>
                <w:lang w:val="ro-RO"/>
              </w:rPr>
              <w:t xml:space="preserve">       </w:t>
            </w:r>
            <w:r w:rsidR="00441795" w:rsidRPr="0012739F">
              <w:rPr>
                <w:lang w:val="ro-RO"/>
              </w:rPr>
              <w:t>La rândul său, Legea nr. 45</w:t>
            </w:r>
            <w:r w:rsidR="00265FF6" w:rsidRPr="0012739F">
              <w:rPr>
                <w:lang w:val="ro-RO"/>
              </w:rPr>
              <w:t>8/2002 a avut norme de aplicare</w:t>
            </w:r>
            <w:r w:rsidR="00441795" w:rsidRPr="0012739F">
              <w:rPr>
                <w:lang w:val="ro-RO"/>
              </w:rPr>
              <w:t xml:space="preserve"> aprobate prin Hotărârea Guvernului nr. 974/2004 pentru aprobarea Normelor de supraveghere, inspecţie sanitară şi monitorizare a calităţii apei potabile şi a Procedurii de autorizare sanitară a producţiei şi distribuţiei apei potabile. In timp ce Legea nr. 458/2002 a suferit numeroase modificări, cea mai importantă  rezultând din transpunerea Directivei 2015/1797/CE de modificare a Anexelor II și III a Directivei 98/83 în cursul anului 2015, normele de aplicare nu au mai fost modific</w:t>
            </w:r>
            <w:r w:rsidR="00363D99" w:rsidRPr="0012739F">
              <w:rPr>
                <w:lang w:val="ro-RO"/>
              </w:rPr>
              <w:t>ate din anul 2013, astfel încât</w:t>
            </w:r>
            <w:r w:rsidR="00441795" w:rsidRPr="0012739F">
              <w:rPr>
                <w:lang w:val="ro-RO"/>
              </w:rPr>
              <w:t xml:space="preserve"> unele dispoziții nu au mai fost în concordanță cu prevederile din actul legislativ primar. </w:t>
            </w:r>
          </w:p>
          <w:p w14:paraId="36D44EC7" w14:textId="1A1BA8F9" w:rsidR="00441795" w:rsidRPr="0012739F" w:rsidRDefault="00FA50ED" w:rsidP="00FA50ED">
            <w:pPr>
              <w:autoSpaceDE w:val="0"/>
              <w:autoSpaceDN w:val="0"/>
              <w:adjustRightInd w:val="0"/>
              <w:jc w:val="both"/>
              <w:rPr>
                <w:lang w:val="ro-RO"/>
              </w:rPr>
            </w:pPr>
            <w:r w:rsidRPr="0012739F">
              <w:rPr>
                <w:lang w:val="ro-RO"/>
              </w:rPr>
              <w:t xml:space="preserve">       </w:t>
            </w:r>
            <w:r w:rsidR="00363D99" w:rsidRPr="0012739F">
              <w:rPr>
                <w:lang w:val="ro-RO"/>
              </w:rPr>
              <w:t>Prin urmare</w:t>
            </w:r>
            <w:r w:rsidR="00441795" w:rsidRPr="0012739F">
              <w:rPr>
                <w:lang w:val="ro-RO"/>
              </w:rPr>
              <w:t>, programul de monitorizare a calităț</w:t>
            </w:r>
            <w:r w:rsidR="00EA09B0" w:rsidRPr="0012739F">
              <w:rPr>
                <w:lang w:val="ro-RO"/>
              </w:rPr>
              <w:t>ii apei potabile, stabilit în Ordonanța Guvernului</w:t>
            </w:r>
            <w:r w:rsidR="00441795" w:rsidRPr="0012739F">
              <w:rPr>
                <w:lang w:val="ro-RO"/>
              </w:rPr>
              <w:t xml:space="preserve"> nr. 7/2023 nu mai corespunde cu programul de monitorizare cuprins în H</w:t>
            </w:r>
            <w:r w:rsidR="00265FF6" w:rsidRPr="0012739F">
              <w:rPr>
                <w:lang w:val="ro-RO"/>
              </w:rPr>
              <w:t xml:space="preserve">otărârea </w:t>
            </w:r>
            <w:r w:rsidR="00441795" w:rsidRPr="0012739F">
              <w:rPr>
                <w:lang w:val="ro-RO"/>
              </w:rPr>
              <w:t>G</w:t>
            </w:r>
            <w:r w:rsidR="00265FF6" w:rsidRPr="0012739F">
              <w:rPr>
                <w:lang w:val="ro-RO"/>
              </w:rPr>
              <w:t>uvernului</w:t>
            </w:r>
            <w:r w:rsidR="00441795" w:rsidRPr="0012739F">
              <w:rPr>
                <w:lang w:val="ro-RO"/>
              </w:rPr>
              <w:t xml:space="preserve"> nr. 974/2004 cu modificările și completările ulterioare.  </w:t>
            </w:r>
          </w:p>
          <w:p w14:paraId="09DEFE8A" w14:textId="322E2137" w:rsidR="00441795" w:rsidRPr="0012739F" w:rsidRDefault="00265FF6" w:rsidP="00441795">
            <w:pPr>
              <w:autoSpaceDE w:val="0"/>
              <w:autoSpaceDN w:val="0"/>
              <w:adjustRightInd w:val="0"/>
              <w:jc w:val="both"/>
              <w:rPr>
                <w:lang w:val="ro-RO"/>
              </w:rPr>
            </w:pPr>
            <w:r w:rsidRPr="0012739F">
              <w:rPr>
                <w:lang w:val="ro-RO"/>
              </w:rPr>
              <w:t xml:space="preserve">       </w:t>
            </w:r>
            <w:r w:rsidR="005A6493" w:rsidRPr="0012739F">
              <w:rPr>
                <w:lang w:val="ro-RO"/>
              </w:rPr>
              <w:t>Ordonanța Guvernului</w:t>
            </w:r>
            <w:r w:rsidR="00441795" w:rsidRPr="0012739F">
              <w:rPr>
                <w:lang w:val="ro-RO"/>
              </w:rPr>
              <w:t xml:space="preserve"> nr. 7/2023 face trimiteri la Normele de supraveghere, monitorizare şi inspecție sanitară a calităţii apei destinată consumului uman şi a Procedurii de autorizare sanitară a producţiei şi distribuţiei apei potabile, norme noi, care vor fi aprobate</w:t>
            </w:r>
            <w:r w:rsidR="00176888" w:rsidRPr="0012739F">
              <w:rPr>
                <w:lang w:val="ro-RO"/>
              </w:rPr>
              <w:t xml:space="preserve">, conform dispozițiilor art. 23 alin. (1), </w:t>
            </w:r>
            <w:r w:rsidR="00441795" w:rsidRPr="0012739F">
              <w:rPr>
                <w:lang w:val="ro-RO"/>
              </w:rPr>
              <w:t>prin Hotărâre a Guvernului în termen de 120 de zile de la intrarea în vigoare a Ordonanței Guvernului nr. 7/2023</w:t>
            </w:r>
            <w:r w:rsidR="00176888" w:rsidRPr="0012739F">
              <w:rPr>
                <w:lang w:val="ro-RO"/>
              </w:rPr>
              <w:t>.</w:t>
            </w:r>
            <w:r w:rsidR="00441795" w:rsidRPr="0012739F">
              <w:rPr>
                <w:lang w:val="ro-RO"/>
              </w:rPr>
              <w:t xml:space="preserve"> </w:t>
            </w:r>
          </w:p>
          <w:p w14:paraId="4EAA78D1" w14:textId="77777777" w:rsidR="00441795" w:rsidRPr="0012739F" w:rsidRDefault="00F83D5F" w:rsidP="00F305C5">
            <w:pPr>
              <w:autoSpaceDE w:val="0"/>
              <w:autoSpaceDN w:val="0"/>
              <w:adjustRightInd w:val="0"/>
              <w:jc w:val="both"/>
              <w:rPr>
                <w:lang w:val="ro-RO"/>
              </w:rPr>
            </w:pPr>
            <w:r w:rsidRPr="0012739F">
              <w:rPr>
                <w:lang w:val="ro-RO"/>
              </w:rPr>
              <w:t xml:space="preserve">       </w:t>
            </w:r>
            <w:r w:rsidR="00441795" w:rsidRPr="0012739F">
              <w:rPr>
                <w:lang w:val="ro-RO"/>
              </w:rPr>
              <w:t>In ceea ce privește derogările care pot fi acordate pentru parametrii chimici ai apei potabile, procedura de implementare se regăsește în Ordinul ministrului sănătății nr. 299/2010 privind aprobarea Metodologiei de acordare a derogărilor pentru parametrii chimici, în conformitate cu prevederile art. 9 din Legea nr. 458/2002 privind calitatea apei potabile, cuprinzând inclusiv tarifele privind reglementarea derogărilor. La nivel european</w:t>
            </w:r>
            <w:r w:rsidR="0051138E" w:rsidRPr="0012739F">
              <w:rPr>
                <w:lang w:val="ro-RO"/>
              </w:rPr>
              <w:t>,</w:t>
            </w:r>
            <w:r w:rsidR="00441795" w:rsidRPr="0012739F">
              <w:rPr>
                <w:lang w:val="ro-RO"/>
              </w:rPr>
              <w:t xml:space="preserve"> s-a considerat că statele membre au epuizat acest mecanism de acordare a derogărilor în primii 9 ani de implementare a legislației naționale de transpunere a vechii directive, astfel încât în directiva reformată au fost prevăzute doar câteva condiții în care mai pot fi acordate derogări, iar numărul maxim al acestora a fost redus de la trei </w:t>
            </w:r>
            <w:r w:rsidR="008A03D6" w:rsidRPr="0012739F">
              <w:rPr>
                <w:lang w:val="ro-RO"/>
              </w:rPr>
              <w:t xml:space="preserve">- </w:t>
            </w:r>
            <w:r w:rsidR="00441795" w:rsidRPr="0012739F">
              <w:rPr>
                <w:lang w:val="ro-RO"/>
              </w:rPr>
              <w:t>la două</w:t>
            </w:r>
            <w:r w:rsidR="008A03D6" w:rsidRPr="0012739F">
              <w:rPr>
                <w:lang w:val="ro-RO"/>
              </w:rPr>
              <w:t xml:space="preserve"> derogări</w:t>
            </w:r>
            <w:r w:rsidR="00441795" w:rsidRPr="0012739F">
              <w:rPr>
                <w:lang w:val="ro-RO"/>
              </w:rPr>
              <w:t xml:space="preserve">. In aceste condiții, </w:t>
            </w:r>
            <w:r w:rsidR="00B104C7" w:rsidRPr="0012739F">
              <w:rPr>
                <w:lang w:val="ro-RO"/>
              </w:rPr>
              <w:t>Ordonanța Guvernului</w:t>
            </w:r>
            <w:r w:rsidR="00441795" w:rsidRPr="0012739F">
              <w:rPr>
                <w:lang w:val="ro-RO"/>
              </w:rPr>
              <w:t xml:space="preserve"> nr. 7/2023 prevede ca metodologia de acordare a derogărilor să fie inclusă în Normele de supraveghere, monitorizare și inspecție a calității apei potabile. </w:t>
            </w:r>
          </w:p>
          <w:p w14:paraId="6C1DEB9F" w14:textId="29D8BA3F" w:rsidR="005E028C" w:rsidRPr="0012739F" w:rsidRDefault="005E028C" w:rsidP="00F305C5">
            <w:pPr>
              <w:autoSpaceDE w:val="0"/>
              <w:autoSpaceDN w:val="0"/>
              <w:adjustRightInd w:val="0"/>
              <w:jc w:val="both"/>
              <w:rPr>
                <w:lang w:val="ro-RO"/>
              </w:rPr>
            </w:pPr>
            <w:r w:rsidRPr="0012739F">
              <w:rPr>
                <w:lang w:val="ro-RO"/>
              </w:rPr>
              <w:t xml:space="preserve">      </w:t>
            </w:r>
            <w:r w:rsidR="00176888" w:rsidRPr="0012739F">
              <w:rPr>
                <w:lang w:val="ro-RO"/>
              </w:rPr>
              <w:t xml:space="preserve">Ordonanța Guvernului nr.7/2023, în concordanță cu Directiva (UE) 2020/2184 pe care o transpune, aduce o abordare nouă, integratoare de asigurare a calității apei potabile de la sursă până la robinet, printr-un instrument deja folosit </w:t>
            </w:r>
            <w:r w:rsidR="00B1265B" w:rsidRPr="0012739F">
              <w:rPr>
                <w:lang w:val="ro-RO"/>
              </w:rPr>
              <w:t>î</w:t>
            </w:r>
            <w:r w:rsidR="00176888" w:rsidRPr="0012739F">
              <w:rPr>
                <w:lang w:val="ro-RO"/>
              </w:rPr>
              <w:t xml:space="preserve">n alte domenii, acela al evaluării </w:t>
            </w:r>
            <w:r w:rsidRPr="0012739F">
              <w:rPr>
                <w:lang w:val="ro-RO"/>
              </w:rPr>
              <w:t>ș</w:t>
            </w:r>
            <w:r w:rsidR="00176888" w:rsidRPr="0012739F">
              <w:rPr>
                <w:lang w:val="ro-RO"/>
              </w:rPr>
              <w:t>i gestionării riscurilor din</w:t>
            </w:r>
            <w:r w:rsidR="00B1265B" w:rsidRPr="0012739F">
              <w:rPr>
                <w:lang w:val="ro-RO"/>
              </w:rPr>
              <w:t xml:space="preserve"> fiecare etapă a extracției</w:t>
            </w:r>
            <w:r w:rsidRPr="0012739F">
              <w:rPr>
                <w:lang w:val="ro-RO"/>
              </w:rPr>
              <w:t>, producerii</w:t>
            </w:r>
            <w:r w:rsidR="00B1265B" w:rsidRPr="0012739F">
              <w:rPr>
                <w:lang w:val="ro-RO"/>
              </w:rPr>
              <w:t xml:space="preserve"> </w:t>
            </w:r>
            <w:r w:rsidRPr="0012739F">
              <w:rPr>
                <w:lang w:val="ro-RO"/>
              </w:rPr>
              <w:t>ș</w:t>
            </w:r>
            <w:r w:rsidR="00B1265B" w:rsidRPr="0012739F">
              <w:rPr>
                <w:lang w:val="ro-RO"/>
              </w:rPr>
              <w:t xml:space="preserve">i distribuției apei destinată consumului uman. Totuși, prin actele de reglementare menționate, </w:t>
            </w:r>
            <w:r w:rsidRPr="0012739F">
              <w:rPr>
                <w:lang w:val="ro-RO"/>
              </w:rPr>
              <w:t xml:space="preserve">se acordă </w:t>
            </w:r>
            <w:r w:rsidR="00B1265B" w:rsidRPr="0012739F">
              <w:rPr>
                <w:lang w:val="ro-RO"/>
              </w:rPr>
              <w:t>o perioad</w:t>
            </w:r>
            <w:r w:rsidRPr="0012739F">
              <w:rPr>
                <w:lang w:val="ro-RO"/>
              </w:rPr>
              <w:t>ă</w:t>
            </w:r>
            <w:r w:rsidR="00B1265B" w:rsidRPr="0012739F">
              <w:rPr>
                <w:lang w:val="ro-RO"/>
              </w:rPr>
              <w:t xml:space="preserve"> de timp pentru realizarea evaluărilor de risc: până la 1 iulie 2027 pentru evaluarea și gestionarea riscurilor din </w:t>
            </w:r>
            <w:r w:rsidR="00B1265B" w:rsidRPr="0012739F">
              <w:rPr>
                <w:lang w:val="ro-RO"/>
              </w:rPr>
              <w:lastRenderedPageBreak/>
              <w:t>bazinele hidrografice aferente punctelor de captare a apei în vederea potabilizării</w:t>
            </w:r>
            <w:r w:rsidRPr="0012739F">
              <w:rPr>
                <w:lang w:val="ro-RO"/>
              </w:rPr>
              <w:t>,</w:t>
            </w:r>
            <w:r w:rsidR="00B1265B" w:rsidRPr="0012739F">
              <w:rPr>
                <w:lang w:val="ro-RO"/>
              </w:rPr>
              <w:t xml:space="preserve"> </w:t>
            </w:r>
            <w:r w:rsidRPr="0012739F">
              <w:rPr>
                <w:lang w:val="ro-RO"/>
              </w:rPr>
              <w:t>pe baza căreia se realizează evaluarea și gestionarea riscurilor care vizează sistemul de aprovizionare cu apă potabilă</w:t>
            </w:r>
            <w:r w:rsidR="00B1265B" w:rsidRPr="0012739F">
              <w:rPr>
                <w:lang w:val="ro-RO"/>
              </w:rPr>
              <w:t xml:space="preserve">. </w:t>
            </w:r>
          </w:p>
          <w:p w14:paraId="64856AEC" w14:textId="76FBCF3A" w:rsidR="00176888" w:rsidRPr="0012739F" w:rsidRDefault="005E028C" w:rsidP="00F83D5F">
            <w:pPr>
              <w:autoSpaceDE w:val="0"/>
              <w:autoSpaceDN w:val="0"/>
              <w:adjustRightInd w:val="0"/>
              <w:jc w:val="both"/>
              <w:rPr>
                <w:lang w:val="ro-RO"/>
              </w:rPr>
            </w:pPr>
            <w:r w:rsidRPr="0012739F">
              <w:rPr>
                <w:lang w:val="ro-RO"/>
              </w:rPr>
              <w:t xml:space="preserve">     In prezent, monitorizarea calității apelor de suprafață în secțiunea de captare a apei în vederea potabilizării se realizează prin aplicarea prevederilor Hotărârii Guvernului nr. 100/2002 pentru aprobarea Normelor de calitate pe care trebuie să le îndeplinească apele de suprafață utilizate pentru potabilizare și a Normativului privind metodele de măsurare și frecvența de prelevare și analiză a probelor din apele de suprafață destinate producerii de apă potabilă, cu modificările și completările ulterioare.  </w:t>
            </w:r>
            <w:r w:rsidR="00B1265B" w:rsidRPr="0012739F">
              <w:rPr>
                <w:lang w:val="ro-RO"/>
              </w:rPr>
              <w:t xml:space="preserve"> </w:t>
            </w:r>
          </w:p>
          <w:p w14:paraId="7CE9CC87" w14:textId="51593006" w:rsidR="00441795" w:rsidRPr="0012739F" w:rsidRDefault="00441795" w:rsidP="00F305C5">
            <w:pPr>
              <w:autoSpaceDE w:val="0"/>
              <w:autoSpaceDN w:val="0"/>
              <w:adjustRightInd w:val="0"/>
              <w:jc w:val="both"/>
              <w:rPr>
                <w:lang w:val="ro-RO"/>
              </w:rPr>
            </w:pPr>
            <w:r w:rsidRPr="0012739F">
              <w:rPr>
                <w:lang w:val="ro-RO"/>
              </w:rPr>
              <w:t xml:space="preserve">       Apa potabilă îmbuteliată, cu excepția apei minerale și a apei de izvor, care beneficiază de reglementări specifice, trebuie să îndeplinească aceleași condiții de calitate ca și apa distribuită prin sisteme de aprovizionare, până la punctul de îmbuteliere, după care este considerată aliment și trebuie să se supună condițiilor și normelor prevăzute în legislația din domeniul alimentului. Prin Ordinul ministrului sănătății nr. 341/2007 pentru aprobarea Normelor de igienă și a Procedurii de notificare a apelor potabile îmbuteliate, altele decât apele minerale naturale sau decât apele de izvor, comercializate sub denumirea de apă de masă, au fost stabilite norme de igienă și o procedură de notificare pentru apa potabilă îmbuteliată. La evaluarea legislației subsecvente H</w:t>
            </w:r>
            <w:r w:rsidR="00265FF6" w:rsidRPr="0012739F">
              <w:rPr>
                <w:lang w:val="ro-RO"/>
              </w:rPr>
              <w:t xml:space="preserve">otărârea </w:t>
            </w:r>
            <w:r w:rsidRPr="0012739F">
              <w:rPr>
                <w:lang w:val="ro-RO"/>
              </w:rPr>
              <w:t>G</w:t>
            </w:r>
            <w:r w:rsidR="00265FF6" w:rsidRPr="0012739F">
              <w:rPr>
                <w:lang w:val="ro-RO"/>
              </w:rPr>
              <w:t>uvernului</w:t>
            </w:r>
            <w:r w:rsidRPr="0012739F">
              <w:rPr>
                <w:lang w:val="ro-RO"/>
              </w:rPr>
              <w:t xml:space="preserve"> nr. 974/2004 s-a decis simplificarea procedurii de notificare a apelor de masă și includerea acestei proceduri în noile norme. </w:t>
            </w:r>
          </w:p>
          <w:p w14:paraId="305858BF" w14:textId="6482B019" w:rsidR="00441795" w:rsidRPr="0012739F" w:rsidRDefault="00265FF6" w:rsidP="00441795">
            <w:pPr>
              <w:autoSpaceDE w:val="0"/>
              <w:autoSpaceDN w:val="0"/>
              <w:adjustRightInd w:val="0"/>
              <w:jc w:val="both"/>
              <w:rPr>
                <w:lang w:val="ro-RO"/>
              </w:rPr>
            </w:pPr>
            <w:r w:rsidRPr="0012739F">
              <w:rPr>
                <w:lang w:val="ro-RO"/>
              </w:rPr>
              <w:t xml:space="preserve">        </w:t>
            </w:r>
            <w:r w:rsidR="00441795" w:rsidRPr="0012739F">
              <w:rPr>
                <w:lang w:val="ro-RO"/>
              </w:rPr>
              <w:t xml:space="preserve">Legea nr. 458/2002 privind calitatea apei potabile cuprindea dispoziții privind cerințele de calitate a apei potabile referitoare la parametrii de radioactivitate. O directivă specifică a fost adoptată la nivelul UE (Directiva 2013/51/Euratom), </w:t>
            </w:r>
            <w:r w:rsidR="00E16A2B" w:rsidRPr="0012739F">
              <w:rPr>
                <w:lang w:val="ro-RO"/>
              </w:rPr>
              <w:t xml:space="preserve">care a fost </w:t>
            </w:r>
            <w:r w:rsidR="00441795" w:rsidRPr="0012739F">
              <w:rPr>
                <w:lang w:val="ro-RO"/>
              </w:rPr>
              <w:t xml:space="preserve">transpusă în legislația națională prin Legea nr. 301/2015 privind stabilirea cerinţelor de protecţie a sănătăţii populaţiei în ceea ce priveşte substanţele radioactive din apa potabilă. Legea nr. 301/2015 a abrogat dispozițiile corespondente din Legea nr. 458/2002, însă cerințele privind parametrii de radioactivitate din HG nr. 974/2004 au rămas în vigoare, considerându-se dispoziții utile pentru în implementarea Legii nr. 301/2015. </w:t>
            </w:r>
          </w:p>
          <w:p w14:paraId="48515B0C" w14:textId="1B6DB553" w:rsidR="00441795" w:rsidRPr="0012739F" w:rsidRDefault="00F83D5F" w:rsidP="00F83D5F">
            <w:pPr>
              <w:autoSpaceDE w:val="0"/>
              <w:autoSpaceDN w:val="0"/>
              <w:adjustRightInd w:val="0"/>
              <w:jc w:val="both"/>
              <w:rPr>
                <w:lang w:val="ro-RO"/>
              </w:rPr>
            </w:pPr>
            <w:r w:rsidRPr="0012739F">
              <w:rPr>
                <w:lang w:val="ro-RO"/>
              </w:rPr>
              <w:t xml:space="preserve">        </w:t>
            </w:r>
            <w:r w:rsidR="00441795" w:rsidRPr="0012739F">
              <w:rPr>
                <w:lang w:val="ro-RO"/>
              </w:rPr>
              <w:t xml:space="preserve">Directiva </w:t>
            </w:r>
            <w:r w:rsidR="0087779A" w:rsidRPr="0012739F">
              <w:rPr>
                <w:lang w:val="ro-RO"/>
              </w:rPr>
              <w:t xml:space="preserve">(UE) </w:t>
            </w:r>
            <w:r w:rsidR="00441795" w:rsidRPr="0012739F">
              <w:rPr>
                <w:lang w:val="ro-RO"/>
              </w:rPr>
              <w:t>2020/2184 impune</w:t>
            </w:r>
            <w:r w:rsidR="00E16A2B" w:rsidRPr="0012739F">
              <w:rPr>
                <w:lang w:val="ro-RO"/>
              </w:rPr>
              <w:t xml:space="preserve"> </w:t>
            </w:r>
            <w:r w:rsidR="00441795" w:rsidRPr="0012739F">
              <w:rPr>
                <w:lang w:val="ro-RO"/>
              </w:rPr>
              <w:t>statelor membre</w:t>
            </w:r>
            <w:r w:rsidR="0087779A" w:rsidRPr="0012739F">
              <w:rPr>
                <w:lang w:val="ro-RO"/>
              </w:rPr>
              <w:t>,</w:t>
            </w:r>
            <w:r w:rsidR="00441795" w:rsidRPr="0012739F">
              <w:rPr>
                <w:lang w:val="ro-RO"/>
              </w:rPr>
              <w:t xml:space="preserve"> </w:t>
            </w:r>
            <w:r w:rsidR="00E16A2B" w:rsidRPr="0012739F">
              <w:rPr>
                <w:lang w:val="ro-RO"/>
              </w:rPr>
              <w:t xml:space="preserve">la art. 23, </w:t>
            </w:r>
            <w:r w:rsidR="00441795" w:rsidRPr="0012739F">
              <w:rPr>
                <w:lang w:val="ro-RO"/>
              </w:rPr>
              <w:t xml:space="preserve">să adopte sancțiuni efective, proporționale și cu efect de descurajare pentru nerespectarea dispozițiilor naționale adoptate în temeiul directivei, sancțiuni ce trebuie notificate Comisiei, inclusiv orice modificare ulterioară. </w:t>
            </w:r>
          </w:p>
          <w:p w14:paraId="741EB605" w14:textId="0D28261D" w:rsidR="00441795" w:rsidRPr="0012739F" w:rsidRDefault="00F83D5F" w:rsidP="00F83D5F">
            <w:pPr>
              <w:autoSpaceDE w:val="0"/>
              <w:autoSpaceDN w:val="0"/>
              <w:adjustRightInd w:val="0"/>
              <w:jc w:val="both"/>
              <w:rPr>
                <w:lang w:val="ro-RO"/>
              </w:rPr>
            </w:pPr>
            <w:r w:rsidRPr="0012739F">
              <w:rPr>
                <w:lang w:val="ro-RO"/>
              </w:rPr>
              <w:t xml:space="preserve">        </w:t>
            </w:r>
            <w:r w:rsidR="00441795" w:rsidRPr="0012739F">
              <w:rPr>
                <w:lang w:val="ro-RO"/>
              </w:rPr>
              <w:t>Intrucât Directiva 2184/2020 este o reformare a vechii directive, incluzând în mare parte dispozițiile anterioare, legislația națională cuprinde sancțiuni la normele de igienă referitoare la aprovizionarea cu apă a pop</w:t>
            </w:r>
            <w:r w:rsidR="00770CCF" w:rsidRPr="0012739F">
              <w:rPr>
                <w:lang w:val="ro-RO"/>
              </w:rPr>
              <w:t xml:space="preserve">ulației, respectiv Capitolul IV </w:t>
            </w:r>
            <w:r w:rsidR="00441795" w:rsidRPr="0012739F">
              <w:rPr>
                <w:lang w:val="ro-RO"/>
              </w:rPr>
              <w:t xml:space="preserve">al Hotărârii Guvernului nr. 857/2011 privind stabilirea și sancționarea contravențiilor la normele din domeniul sănătății publice, cu modificările și completările ulterioare. Aceste sancțiuni au fost deja comunicate Comisiei, ca parte a obligațiilor de transpunere. </w:t>
            </w:r>
          </w:p>
          <w:p w14:paraId="5939D5C7" w14:textId="4C5AE296" w:rsidR="00441795" w:rsidRPr="0012739F" w:rsidRDefault="00A03143" w:rsidP="00A03143">
            <w:pPr>
              <w:autoSpaceDE w:val="0"/>
              <w:autoSpaceDN w:val="0"/>
              <w:adjustRightInd w:val="0"/>
              <w:jc w:val="both"/>
              <w:rPr>
                <w:lang w:val="ro-RO"/>
              </w:rPr>
            </w:pPr>
            <w:r w:rsidRPr="0012739F">
              <w:rPr>
                <w:lang w:val="ro-RO"/>
              </w:rPr>
              <w:t xml:space="preserve">        </w:t>
            </w:r>
            <w:r w:rsidR="00441795" w:rsidRPr="0012739F">
              <w:rPr>
                <w:lang w:val="ro-RO"/>
              </w:rPr>
              <w:t>Totuși, noile dispoziții ale Ordonanței Guvernului nr. 7/2023 nu au măsuri sancționatorii. Astfel, s-a decis, ca odată cu elaborarea normelor de aplicare ale O</w:t>
            </w:r>
            <w:r w:rsidR="00770CCF" w:rsidRPr="0012739F">
              <w:rPr>
                <w:lang w:val="ro-RO"/>
              </w:rPr>
              <w:t xml:space="preserve">rdonaței </w:t>
            </w:r>
            <w:r w:rsidR="00441795" w:rsidRPr="0012739F">
              <w:rPr>
                <w:lang w:val="ro-RO"/>
              </w:rPr>
              <w:t>G</w:t>
            </w:r>
            <w:r w:rsidR="00770CCF" w:rsidRPr="0012739F">
              <w:rPr>
                <w:lang w:val="ro-RO"/>
              </w:rPr>
              <w:t>uvernului</w:t>
            </w:r>
            <w:r w:rsidR="00441795" w:rsidRPr="0012739F">
              <w:rPr>
                <w:lang w:val="ro-RO"/>
              </w:rPr>
              <w:t xml:space="preserve"> nr. 7/2023 să fie introdus și un capitol de sancțiuni care să vizeze atât nerespectarea dispozițiilor Ordonanței, cât și pe cele ale normelor de aplicare. </w:t>
            </w:r>
          </w:p>
          <w:p w14:paraId="79A9EFB2" w14:textId="77777777" w:rsidR="00441795" w:rsidRPr="0012739F" w:rsidRDefault="00A03143" w:rsidP="00F305C5">
            <w:pPr>
              <w:autoSpaceDE w:val="0"/>
              <w:autoSpaceDN w:val="0"/>
              <w:adjustRightInd w:val="0"/>
              <w:spacing w:before="120"/>
              <w:jc w:val="both"/>
              <w:rPr>
                <w:lang w:val="ro-RO"/>
              </w:rPr>
            </w:pPr>
            <w:r w:rsidRPr="0012739F">
              <w:rPr>
                <w:lang w:val="ro-RO"/>
              </w:rPr>
              <w:t xml:space="preserve">        </w:t>
            </w:r>
            <w:r w:rsidR="00441795" w:rsidRPr="0012739F">
              <w:rPr>
                <w:lang w:val="ro-RO"/>
              </w:rPr>
              <w:t xml:space="preserve">Având în vedere faptul că </w:t>
            </w:r>
            <w:r w:rsidR="0007604F" w:rsidRPr="0012739F">
              <w:rPr>
                <w:lang w:val="ro-RO"/>
              </w:rPr>
              <w:t>Ordonanța Guvernului</w:t>
            </w:r>
            <w:r w:rsidR="00441795" w:rsidRPr="0012739F">
              <w:rPr>
                <w:lang w:val="ro-RO"/>
              </w:rPr>
              <w:t xml:space="preserve"> nr. 7/2023 cuprinde și dispoziții care vizează alte autorități și instituții publice precum Ministerul Mediului Apelor și Pădurilor, Ministerul Dezvoltării, Lucrărilor Publice și Administrației, Autoritatea Națională de Reglementare a Serviciilor Comunitare de Utilitate Publică, Ministerul Muncii și Solidarității Sociale, aceste autorități publice au fost invitate să evalueze necesitatea introducerii de sancțiuni pentru nerespectarea dispozițiilor din domeniile lor de competență și să transmită propuneri.</w:t>
            </w:r>
          </w:p>
          <w:p w14:paraId="075D6D4A" w14:textId="77777777" w:rsidR="00A03143" w:rsidRPr="0012739F" w:rsidRDefault="00A03143" w:rsidP="00441795">
            <w:pPr>
              <w:autoSpaceDE w:val="0"/>
              <w:autoSpaceDN w:val="0"/>
              <w:adjustRightInd w:val="0"/>
              <w:jc w:val="both"/>
              <w:rPr>
                <w:lang w:val="ro-RO"/>
              </w:rPr>
            </w:pPr>
          </w:p>
        </w:tc>
      </w:tr>
      <w:tr w:rsidR="0012739F" w:rsidRPr="0055528B" w14:paraId="147A7932" w14:textId="77777777" w:rsidTr="008C00DA">
        <w:tc>
          <w:tcPr>
            <w:tcW w:w="10916" w:type="dxa"/>
            <w:gridSpan w:val="7"/>
          </w:tcPr>
          <w:p w14:paraId="0E13232B" w14:textId="77777777" w:rsidR="00D47666" w:rsidRPr="0012739F" w:rsidRDefault="00117B10" w:rsidP="00441795">
            <w:pPr>
              <w:numPr>
                <w:ilvl w:val="0"/>
                <w:numId w:val="5"/>
              </w:numPr>
              <w:autoSpaceDE w:val="0"/>
              <w:autoSpaceDN w:val="0"/>
              <w:adjustRightInd w:val="0"/>
              <w:spacing w:before="120"/>
              <w:jc w:val="both"/>
              <w:rPr>
                <w:b/>
                <w:lang w:val="ro-RO"/>
              </w:rPr>
            </w:pPr>
            <w:r w:rsidRPr="0012739F">
              <w:rPr>
                <w:b/>
                <w:lang w:val="ro-RO"/>
              </w:rPr>
              <w:lastRenderedPageBreak/>
              <w:t>Schimbări preconizate</w:t>
            </w:r>
          </w:p>
          <w:p w14:paraId="1457B1A3" w14:textId="63DE33BC" w:rsidR="00441795" w:rsidRPr="0012739F" w:rsidRDefault="00E56390" w:rsidP="00E56390">
            <w:pPr>
              <w:ind w:left="360"/>
              <w:jc w:val="both"/>
              <w:rPr>
                <w:lang w:val="ro-RO"/>
              </w:rPr>
            </w:pPr>
            <w:r w:rsidRPr="0012739F">
              <w:rPr>
                <w:lang w:val="ro-RO"/>
              </w:rPr>
              <w:t xml:space="preserve">     În p</w:t>
            </w:r>
            <w:r w:rsidR="00441795" w:rsidRPr="0012739F">
              <w:rPr>
                <w:lang w:val="ro-RO"/>
              </w:rPr>
              <w:t xml:space="preserve">rezentul act normativ sunt incluse dispoziții detaliate cu privire la monitorizarea calității apei potabile, sunt stabilite frecvențele de monitorizare în cadrul celor două tipuri de monitorizare: cea operațională și cea de audit, sunt incluse dispoziții cu privire la prelevarea și analiza probelor de apă, condiții particulare pentru evaluarea și gestionarea riscurilor, dispoziții privind implementarea măsurilor de remediere, procedura de acordare a derogărilor, condiții privind rețeaua de distribuție, dispoziții privind sistemele de aprovizionare care sunt exceptate de la prevederile </w:t>
            </w:r>
            <w:r w:rsidR="00CD464B" w:rsidRPr="0012739F">
              <w:rPr>
                <w:lang w:val="ro-RO"/>
              </w:rPr>
              <w:t>Ordonanței Guvernului</w:t>
            </w:r>
            <w:r w:rsidR="00441795" w:rsidRPr="0012739F">
              <w:rPr>
                <w:lang w:val="ro-RO"/>
              </w:rPr>
              <w:t xml:space="preserve"> nr. 7/2023, dispoziții privind informarea și raportarea. In proiectul de norme s-a urmărit și corelarea dispozițiilor cu cerințele de raportare la Comisia Europeană și cu ghidul de raportare întocmit de Comisie în acest sens. </w:t>
            </w:r>
          </w:p>
          <w:p w14:paraId="5860B8E1" w14:textId="77777777" w:rsidR="00137ECF" w:rsidRPr="0012739F" w:rsidRDefault="00137ECF" w:rsidP="00E56390">
            <w:pPr>
              <w:ind w:left="360"/>
              <w:jc w:val="both"/>
              <w:rPr>
                <w:lang w:val="ro-RO"/>
              </w:rPr>
            </w:pPr>
          </w:p>
          <w:p w14:paraId="11A16CE1" w14:textId="77777777" w:rsidR="00137ECF" w:rsidRPr="0012739F" w:rsidRDefault="00137ECF" w:rsidP="00E56390">
            <w:pPr>
              <w:ind w:left="360"/>
              <w:jc w:val="both"/>
              <w:rPr>
                <w:lang w:val="ro-RO"/>
              </w:rPr>
            </w:pPr>
          </w:p>
          <w:p w14:paraId="0346641B" w14:textId="5E73AB68" w:rsidR="00441795" w:rsidRPr="0012739F" w:rsidRDefault="00E56390" w:rsidP="00E56390">
            <w:pPr>
              <w:jc w:val="both"/>
              <w:rPr>
                <w:lang w:val="ro-RO"/>
              </w:rPr>
            </w:pPr>
            <w:r w:rsidRPr="0012739F">
              <w:rPr>
                <w:lang w:val="ro-RO"/>
              </w:rPr>
              <w:lastRenderedPageBreak/>
              <w:t xml:space="preserve">          Î</w:t>
            </w:r>
            <w:r w:rsidR="00441795" w:rsidRPr="0012739F">
              <w:rPr>
                <w:lang w:val="ro-RO"/>
              </w:rPr>
              <w:t xml:space="preserve">n ceea ce privește programele de monitorizare, ca urmare a implementării abordării bazate pe riscuri </w:t>
            </w:r>
          </w:p>
          <w:p w14:paraId="3E7B0187" w14:textId="77777777" w:rsidR="00441795" w:rsidRPr="0012739F" w:rsidRDefault="00441795" w:rsidP="00441795">
            <w:pPr>
              <w:jc w:val="both"/>
              <w:rPr>
                <w:lang w:val="ro-RO"/>
              </w:rPr>
            </w:pPr>
            <w:r w:rsidRPr="0012739F">
              <w:rPr>
                <w:lang w:val="ro-RO"/>
              </w:rPr>
              <w:t>prin planurile de siguranță ale apei, s-a avut în vedere ca frecvența de monitorizare impusă să nu pună o presiune asupra furnizorilor de apă în ceea ce privește costurile, dar să ofere totodată o imagine corectă asupra calității apei potabile în relație cu populația aprovizionată.</w:t>
            </w:r>
          </w:p>
          <w:p w14:paraId="0FF667D9" w14:textId="77777777" w:rsidR="00441795" w:rsidRPr="0012739F" w:rsidRDefault="00441795" w:rsidP="00441795">
            <w:pPr>
              <w:ind w:left="720"/>
              <w:jc w:val="both"/>
              <w:rPr>
                <w:lang w:val="ro-RO"/>
              </w:rPr>
            </w:pPr>
            <w:r w:rsidRPr="0012739F">
              <w:rPr>
                <w:lang w:val="ro-RO"/>
              </w:rPr>
              <w:t xml:space="preserve">Referitor la derogări, reglementarea lor într-un capitol în actualele Norme s-a considerat o măsură </w:t>
            </w:r>
          </w:p>
          <w:p w14:paraId="7AFAA51A" w14:textId="295F5E93" w:rsidR="00441795" w:rsidRPr="0012739F" w:rsidRDefault="00441795" w:rsidP="00441795">
            <w:pPr>
              <w:jc w:val="both"/>
              <w:rPr>
                <w:lang w:val="ro-RO"/>
              </w:rPr>
            </w:pPr>
            <w:r w:rsidRPr="0012739F">
              <w:rPr>
                <w:lang w:val="ro-RO"/>
              </w:rPr>
              <w:t xml:space="preserve">suficientă, având în vedere condițiile mult mai restrictive pentru acordarea derogărilor, prevăzute de Directiva 2020/2184 și implicit de </w:t>
            </w:r>
            <w:r w:rsidR="007B3600" w:rsidRPr="0012739F">
              <w:rPr>
                <w:lang w:val="ro-RO"/>
              </w:rPr>
              <w:t>Ordonanța Guvernului</w:t>
            </w:r>
            <w:r w:rsidRPr="0012739F">
              <w:rPr>
                <w:lang w:val="ro-RO"/>
              </w:rPr>
              <w:t xml:space="preserve"> nr. 7/2023. Astfel, acordarea a maxim 2 derogări pentru parametrii chimici ai apei potabile care îndeplinesc condițiile prevăzute în Ordonanța Guvernului nr. 7/2023 va fi realizată de direcțiile de sănătate publică județene și a municipiului București, cu suportul Institutului Național de Sănătate Publică. Totodată</w:t>
            </w:r>
            <w:r w:rsidR="000D2690" w:rsidRPr="0012739F">
              <w:rPr>
                <w:lang w:val="ro-RO"/>
              </w:rPr>
              <w:t>,</w:t>
            </w:r>
            <w:r w:rsidRPr="0012739F">
              <w:rPr>
                <w:lang w:val="ro-RO"/>
              </w:rPr>
              <w:t xml:space="preserve"> se abrogă </w:t>
            </w:r>
            <w:r w:rsidR="008718EC" w:rsidRPr="0012739F">
              <w:rPr>
                <w:lang w:val="ro-RO"/>
              </w:rPr>
              <w:t>O</w:t>
            </w:r>
            <w:r w:rsidRPr="0012739F">
              <w:rPr>
                <w:lang w:val="ro-RO"/>
              </w:rPr>
              <w:t xml:space="preserve">rdinul ministrului sănătății nr. 299/2010 privind aprobarea Metodologiei de acordare a derogărilor pentru parametrii chimici, în conformitate cu prevederile art. 9 din Legea nr. 458/2002 privind calitatea apei potabile, ordin din care au fost preluate anexele, respectiv modelul de cerere pentru acordarea derogării și lista tarifelor pentru procedura de derogare. </w:t>
            </w:r>
          </w:p>
          <w:p w14:paraId="7D4EA139" w14:textId="117BCECA" w:rsidR="00F305C5" w:rsidRPr="0012739F" w:rsidRDefault="00F305C5" w:rsidP="00441795">
            <w:pPr>
              <w:jc w:val="both"/>
              <w:rPr>
                <w:lang w:val="ro-RO"/>
              </w:rPr>
            </w:pPr>
            <w:r w:rsidRPr="0012739F">
              <w:rPr>
                <w:lang w:val="ro-RO"/>
              </w:rPr>
              <w:t xml:space="preserve">        Odată cu realizarea evaluării și gestionării riscurilor în bazinele hidrografice aferente punctelor de captare a apei destinată consumului uman, dispozițiile Hotărârii Guvern</w:t>
            </w:r>
            <w:r w:rsidR="005452FD" w:rsidRPr="0012739F">
              <w:rPr>
                <w:lang w:val="ro-RO"/>
              </w:rPr>
              <w:t>ului</w:t>
            </w:r>
            <w:r w:rsidRPr="0012739F">
              <w:rPr>
                <w:lang w:val="ro-RO"/>
              </w:rPr>
              <w:t xml:space="preserve"> nr. 100/2002 cu modificările și completările ulterioare nu vor mai fi de actualitate, astfel încât, acest act normativ poate fi abrogat, însă nu mai devreme de 1 iulie 2027, termenul impus prin Directiva (UE) 2020/2184 și Ordonanța Guvernului nr. 7/2023 </w:t>
            </w:r>
            <w:r w:rsidR="005452FD" w:rsidRPr="0012739F">
              <w:rPr>
                <w:lang w:val="ro-RO"/>
              </w:rPr>
              <w:t>pentru realizarea evaluării și gestionării riscurilor privind bazinele hidrografice. In acest mod, va exista o continuitate în reglementarea și evaluarea calității apei la sursă, necesară atât în stabilirea și adaptarea procedeelor de tratare a apei brute de către furnizori, cât și autorităților de gospodărire a apelor și direcțiilor de sănătate publică județene și a municipiului București</w:t>
            </w:r>
            <w:r w:rsidR="00AD7DA4" w:rsidRPr="0012739F">
              <w:rPr>
                <w:lang w:val="ro-RO"/>
              </w:rPr>
              <w:t xml:space="preserve"> în procesul de autorizare a producției și distribuției apei potabile. </w:t>
            </w:r>
            <w:r w:rsidR="005452FD" w:rsidRPr="0012739F">
              <w:rPr>
                <w:lang w:val="ro-RO"/>
              </w:rPr>
              <w:t xml:space="preserve"> </w:t>
            </w:r>
          </w:p>
          <w:p w14:paraId="7C9CDC44" w14:textId="77777777" w:rsidR="00441795" w:rsidRPr="0012739F" w:rsidRDefault="00441795" w:rsidP="005F7EDD">
            <w:pPr>
              <w:ind w:left="720" w:hanging="270"/>
              <w:jc w:val="both"/>
              <w:rPr>
                <w:lang w:val="ro-RO"/>
              </w:rPr>
            </w:pPr>
            <w:r w:rsidRPr="0012739F">
              <w:rPr>
                <w:lang w:val="ro-RO"/>
              </w:rPr>
              <w:t xml:space="preserve">In mod similar, s-a considerat că procedura de notificare a apei potabile îmbuteliate, alta decât apa </w:t>
            </w:r>
          </w:p>
          <w:p w14:paraId="28BB066E" w14:textId="77777777" w:rsidR="00441795" w:rsidRPr="0012739F" w:rsidRDefault="00441795" w:rsidP="00441795">
            <w:pPr>
              <w:jc w:val="both"/>
              <w:rPr>
                <w:lang w:val="ro-RO"/>
              </w:rPr>
            </w:pPr>
            <w:r w:rsidRPr="0012739F">
              <w:rPr>
                <w:lang w:val="ro-RO"/>
              </w:rPr>
              <w:t>minerală și apa de izvor, comercializată ca apă de masă, poate fi simplificată și inclusă în prezenta Hotărâre, alături de procedura de autorizare sanitară a producției și distribuției apei potabile. Astfel, Ordinul ministrului sănătății nr. 341/2007 pentru aprobarea Normelor de igienă și a Procedurii de notificare a apelor potabile îmbuteliate, altele decât apele minerale naturale sau decât apele de izvor, comercializate sub denumirea de apă de masă se abrogă.</w:t>
            </w:r>
          </w:p>
          <w:p w14:paraId="53AC4FB3" w14:textId="5E9E21EA" w:rsidR="00BE7642" w:rsidRPr="0012739F" w:rsidRDefault="00441795" w:rsidP="0087779A">
            <w:pPr>
              <w:ind w:left="-79" w:firstLine="567"/>
              <w:jc w:val="both"/>
              <w:rPr>
                <w:lang w:val="ro-RO"/>
              </w:rPr>
            </w:pPr>
            <w:r w:rsidRPr="0012739F">
              <w:rPr>
                <w:lang w:val="ro-RO"/>
              </w:rPr>
              <w:t xml:space="preserve">In plus, </w:t>
            </w:r>
            <w:r w:rsidR="00E16A2B" w:rsidRPr="0012739F">
              <w:rPr>
                <w:lang w:val="ro-RO"/>
              </w:rPr>
              <w:t xml:space="preserve">în </w:t>
            </w:r>
            <w:r w:rsidR="0087779A" w:rsidRPr="0012739F">
              <w:rPr>
                <w:lang w:val="ro-RO"/>
              </w:rPr>
              <w:t>aplicarea</w:t>
            </w:r>
            <w:r w:rsidR="00E16A2B" w:rsidRPr="0012739F">
              <w:rPr>
                <w:lang w:val="ro-RO"/>
              </w:rPr>
              <w:t xml:space="preserve"> Art. 23</w:t>
            </w:r>
            <w:r w:rsidR="0087779A" w:rsidRPr="0012739F">
              <w:rPr>
                <w:lang w:val="ro-RO"/>
              </w:rPr>
              <w:t xml:space="preserve"> – Sancțiuni al Directivei (UE) 2020/2184, </w:t>
            </w:r>
            <w:r w:rsidRPr="0012739F">
              <w:rPr>
                <w:lang w:val="ro-RO"/>
              </w:rPr>
              <w:t>proiectul cuprinde un</w:t>
            </w:r>
            <w:r w:rsidR="0087779A" w:rsidRPr="0012739F">
              <w:rPr>
                <w:lang w:val="ro-RO"/>
              </w:rPr>
              <w:t xml:space="preserve"> </w:t>
            </w:r>
            <w:r w:rsidRPr="0012739F">
              <w:rPr>
                <w:lang w:val="ro-RO"/>
              </w:rPr>
              <w:t xml:space="preserve">capitol de sancțiuni în cuantumuri diferite, în funcție de impactul și </w:t>
            </w:r>
            <w:r w:rsidR="000D2690" w:rsidRPr="0012739F">
              <w:rPr>
                <w:lang w:val="ro-RO"/>
              </w:rPr>
              <w:t xml:space="preserve">gravitatea contravențiilor. </w:t>
            </w:r>
            <w:r w:rsidRPr="0012739F">
              <w:rPr>
                <w:lang w:val="ro-RO"/>
              </w:rPr>
              <w:t xml:space="preserve">Sancțiunile vizează atât nerespectarea dispozițiilor relevante ale </w:t>
            </w:r>
            <w:r w:rsidR="00EA2854" w:rsidRPr="0012739F">
              <w:rPr>
                <w:lang w:val="ro-RO"/>
              </w:rPr>
              <w:t>Ordonanța Guvernului</w:t>
            </w:r>
            <w:r w:rsidRPr="0012739F">
              <w:rPr>
                <w:lang w:val="ro-RO"/>
              </w:rPr>
              <w:t xml:space="preserve"> nr. 7/2023 cât și ale prezentelor norme. Totodată sunt abrogate unele sancțiuni din H</w:t>
            </w:r>
            <w:r w:rsidR="000D2690" w:rsidRPr="0012739F">
              <w:rPr>
                <w:lang w:val="ro-RO"/>
              </w:rPr>
              <w:t xml:space="preserve">otărârea </w:t>
            </w:r>
            <w:r w:rsidRPr="0012739F">
              <w:rPr>
                <w:lang w:val="ro-RO"/>
              </w:rPr>
              <w:t>G</w:t>
            </w:r>
            <w:r w:rsidR="000D2690" w:rsidRPr="0012739F">
              <w:rPr>
                <w:lang w:val="ro-RO"/>
              </w:rPr>
              <w:t>uvernului</w:t>
            </w:r>
            <w:r w:rsidRPr="0012739F">
              <w:rPr>
                <w:lang w:val="ro-RO"/>
              </w:rPr>
              <w:t xml:space="preserve"> nr. 857/2011 privind stabilirea şi sancţionarea contravenţiilor la normele din domeniul sănătăţii publice, cu modificările și completările ulterioare deoarece, în prezentul act normativ, fie nu mai există faptele care constituie contravenție, fie au fost modificate condițiile prin Ordonanța </w:t>
            </w:r>
            <w:r w:rsidR="00D553A5" w:rsidRPr="0012739F">
              <w:rPr>
                <w:lang w:val="ro-RO"/>
              </w:rPr>
              <w:t xml:space="preserve">Guvernului </w:t>
            </w:r>
            <w:r w:rsidRPr="0012739F">
              <w:rPr>
                <w:lang w:val="ro-RO"/>
              </w:rPr>
              <w:t>nr. 7/2023</w:t>
            </w:r>
            <w:r w:rsidR="00E16A2B" w:rsidRPr="0012739F">
              <w:rPr>
                <w:lang w:val="ro-RO"/>
              </w:rPr>
              <w:t xml:space="preserve">, fie a fost modificat cuantumul acestora întrucât suma prevăzută la nivelul anului 2011 nu mai avea efect de descurajare, așa cum </w:t>
            </w:r>
            <w:r w:rsidR="0087779A" w:rsidRPr="0012739F">
              <w:rPr>
                <w:lang w:val="ro-RO"/>
              </w:rPr>
              <w:t>solicită</w:t>
            </w:r>
            <w:r w:rsidR="00E16A2B" w:rsidRPr="0012739F">
              <w:rPr>
                <w:lang w:val="ro-RO"/>
              </w:rPr>
              <w:t xml:space="preserve"> Directiva (UE) 2020/2184</w:t>
            </w:r>
            <w:r w:rsidRPr="0012739F">
              <w:rPr>
                <w:lang w:val="ro-RO"/>
              </w:rPr>
              <w:t>.</w:t>
            </w:r>
          </w:p>
        </w:tc>
      </w:tr>
      <w:tr w:rsidR="0012739F" w:rsidRPr="0012739F" w14:paraId="384A8739" w14:textId="77777777" w:rsidTr="008C00DA">
        <w:trPr>
          <w:trHeight w:val="96"/>
        </w:trPr>
        <w:tc>
          <w:tcPr>
            <w:tcW w:w="10916" w:type="dxa"/>
            <w:gridSpan w:val="7"/>
          </w:tcPr>
          <w:p w14:paraId="39882D9C" w14:textId="77777777" w:rsidR="00117B10" w:rsidRPr="0012739F" w:rsidRDefault="00117B10" w:rsidP="00441795">
            <w:pPr>
              <w:widowControl w:val="0"/>
              <w:autoSpaceDE w:val="0"/>
              <w:autoSpaceDN w:val="0"/>
              <w:adjustRightInd w:val="0"/>
              <w:ind w:right="68"/>
              <w:jc w:val="both"/>
              <w:rPr>
                <w:b/>
                <w:lang w:val="ro-RO"/>
              </w:rPr>
            </w:pPr>
            <w:r w:rsidRPr="0012739F">
              <w:rPr>
                <w:b/>
                <w:lang w:val="ro-RO"/>
              </w:rPr>
              <w:lastRenderedPageBreak/>
              <w:t>3.Alte informaţii</w:t>
            </w:r>
          </w:p>
        </w:tc>
      </w:tr>
      <w:tr w:rsidR="0012739F" w:rsidRPr="0055528B" w14:paraId="51667922" w14:textId="77777777" w:rsidTr="008C00DA">
        <w:trPr>
          <w:trHeight w:val="546"/>
        </w:trPr>
        <w:tc>
          <w:tcPr>
            <w:tcW w:w="10916" w:type="dxa"/>
            <w:gridSpan w:val="7"/>
          </w:tcPr>
          <w:p w14:paraId="1E326F79" w14:textId="77777777" w:rsidR="00117B10" w:rsidRPr="0012739F" w:rsidRDefault="00117B10" w:rsidP="00D553A5">
            <w:pPr>
              <w:pStyle w:val="NoSpacing"/>
              <w:jc w:val="center"/>
              <w:rPr>
                <w:b/>
                <w:sz w:val="24"/>
                <w:szCs w:val="24"/>
                <w:lang w:val="ro-RO"/>
              </w:rPr>
            </w:pPr>
            <w:r w:rsidRPr="0012739F">
              <w:rPr>
                <w:b/>
                <w:sz w:val="24"/>
                <w:szCs w:val="24"/>
                <w:lang w:val="ro-RO"/>
              </w:rPr>
              <w:t>Secţiunea a 3-a</w:t>
            </w:r>
          </w:p>
          <w:p w14:paraId="0FEB3FAA" w14:textId="77777777" w:rsidR="00D47666" w:rsidRPr="0012739F" w:rsidRDefault="00117B10" w:rsidP="00D553A5">
            <w:pPr>
              <w:pStyle w:val="NoSpacing"/>
              <w:jc w:val="center"/>
              <w:rPr>
                <w:b/>
                <w:sz w:val="24"/>
                <w:szCs w:val="24"/>
                <w:lang w:val="ro-RO"/>
              </w:rPr>
            </w:pPr>
            <w:r w:rsidRPr="0012739F">
              <w:rPr>
                <w:b/>
                <w:sz w:val="24"/>
                <w:szCs w:val="24"/>
                <w:lang w:val="ro-RO"/>
              </w:rPr>
              <w:t>Impactul socio-economic al proiectului de act normativ</w:t>
            </w:r>
          </w:p>
          <w:p w14:paraId="4EF613E8" w14:textId="77777777" w:rsidR="00B75A2E" w:rsidRPr="0012739F" w:rsidRDefault="00B75A2E" w:rsidP="00441795">
            <w:pPr>
              <w:pStyle w:val="NoSpacing"/>
              <w:jc w:val="both"/>
              <w:rPr>
                <w:b/>
                <w:sz w:val="24"/>
                <w:szCs w:val="24"/>
                <w:lang w:val="ro-RO"/>
              </w:rPr>
            </w:pPr>
          </w:p>
        </w:tc>
      </w:tr>
      <w:tr w:rsidR="0012739F" w:rsidRPr="0055528B" w14:paraId="1D3025AD" w14:textId="77777777" w:rsidTr="008C00DA">
        <w:tc>
          <w:tcPr>
            <w:tcW w:w="10916" w:type="dxa"/>
            <w:gridSpan w:val="7"/>
          </w:tcPr>
          <w:p w14:paraId="6341DCA0" w14:textId="77777777" w:rsidR="00117B10" w:rsidRPr="0012739F" w:rsidRDefault="00D553A5" w:rsidP="00D553A5">
            <w:pPr>
              <w:autoSpaceDE w:val="0"/>
              <w:autoSpaceDN w:val="0"/>
              <w:adjustRightInd w:val="0"/>
              <w:ind w:left="360" w:hanging="360"/>
              <w:jc w:val="both"/>
              <w:rPr>
                <w:b/>
                <w:lang w:val="ro-RO"/>
              </w:rPr>
            </w:pPr>
            <w:r w:rsidRPr="0012739F">
              <w:rPr>
                <w:b/>
                <w:lang w:val="ro-RO"/>
              </w:rPr>
              <w:t>1</w:t>
            </w:r>
            <w:r w:rsidR="00A558E3" w:rsidRPr="0012739F">
              <w:rPr>
                <w:b/>
                <w:lang w:val="ro-RO"/>
              </w:rPr>
              <w:t>.</w:t>
            </w:r>
            <w:r w:rsidRPr="0012739F">
              <w:rPr>
                <w:b/>
                <w:lang w:val="ro-RO"/>
              </w:rPr>
              <w:t xml:space="preserve"> Descrierea generală a benficiilor și costurilor estimate ca urmare a intrării în vigoare a actului normativ</w:t>
            </w:r>
          </w:p>
          <w:p w14:paraId="70B9C6B4" w14:textId="77777777" w:rsidR="00D553A5" w:rsidRPr="0012739F" w:rsidRDefault="005F7EDD" w:rsidP="00D553A5">
            <w:pPr>
              <w:spacing w:before="120"/>
              <w:jc w:val="both"/>
              <w:rPr>
                <w:lang w:val="it-IT"/>
              </w:rPr>
            </w:pPr>
            <w:r w:rsidRPr="0012739F">
              <w:rPr>
                <w:lang w:val="it-IT"/>
              </w:rPr>
              <w:t xml:space="preserve">          </w:t>
            </w:r>
            <w:r w:rsidR="00D553A5" w:rsidRPr="0012739F">
              <w:rPr>
                <w:lang w:val="it-IT"/>
              </w:rPr>
              <w:t xml:space="preserve">Beneficiul principal al intrării în vigoare a prezentei Hotărâri este reprezentat de punerea în aplicare a unei părți importante din dispozițiile Ordonanței Guvernului nr. 7/2023. Cu toate că </w:t>
            </w:r>
            <w:r w:rsidR="00F84BAD" w:rsidRPr="0012739F">
              <w:rPr>
                <w:lang w:val="it-IT"/>
              </w:rPr>
              <w:t>Ordonanța Guvernului</w:t>
            </w:r>
            <w:r w:rsidR="00D553A5" w:rsidRPr="0012739F">
              <w:rPr>
                <w:lang w:val="it-IT"/>
              </w:rPr>
              <w:t xml:space="preserve"> nr. 7/2023 nu a abrogat normele de aplicare ale vechii legi a apei potabile (Legea nr. 458/2002), respectiv Hotărârea Guvernului nr. 974/2004, aceasta nu mai putea fi aplicată în întocmirea programelor de monitorizare a calității apei potabile, astfel încât, atât furnizorii de apă potabilă, cât și direcțiile de sănătate publică nu mai puteau realiza o corelație între frecvențele de prelevare prevăzute în </w:t>
            </w:r>
            <w:r w:rsidR="003803EA" w:rsidRPr="0012739F">
              <w:rPr>
                <w:lang w:val="it-IT"/>
              </w:rPr>
              <w:t>Ordonanța Guvernului</w:t>
            </w:r>
            <w:r w:rsidR="00D553A5" w:rsidRPr="0012739F">
              <w:rPr>
                <w:lang w:val="it-IT"/>
              </w:rPr>
              <w:t xml:space="preserve"> nr. 7/2023 și cele din </w:t>
            </w:r>
            <w:r w:rsidR="003954E1" w:rsidRPr="0012739F">
              <w:rPr>
                <w:lang w:val="it-IT"/>
              </w:rPr>
              <w:t>Hotărârea Guvernului</w:t>
            </w:r>
            <w:r w:rsidR="00D553A5" w:rsidRPr="0012739F">
              <w:rPr>
                <w:lang w:val="it-IT"/>
              </w:rPr>
              <w:t xml:space="preserve"> nr. 974/2004. </w:t>
            </w:r>
            <w:r w:rsidR="000A790D" w:rsidRPr="0012739F">
              <w:rPr>
                <w:lang w:val="it-IT"/>
              </w:rPr>
              <w:t xml:space="preserve"> </w:t>
            </w:r>
          </w:p>
          <w:p w14:paraId="2208ECC4" w14:textId="77777777" w:rsidR="00D553A5" w:rsidRPr="0012739F" w:rsidRDefault="00375DBE" w:rsidP="00D553A5">
            <w:pPr>
              <w:jc w:val="both"/>
              <w:rPr>
                <w:lang w:val="it-IT"/>
              </w:rPr>
            </w:pPr>
            <w:r w:rsidRPr="0012739F">
              <w:rPr>
                <w:lang w:val="it-IT"/>
              </w:rPr>
              <w:t xml:space="preserve">          </w:t>
            </w:r>
            <w:r w:rsidR="00D553A5" w:rsidRPr="0012739F">
              <w:rPr>
                <w:lang w:val="it-IT"/>
              </w:rPr>
              <w:t xml:space="preserve">Pe de altă parte, prezenta Hotărâre dezvoltă, clarifică și reglementează mai specific atribuțiile ce revin furnizorilor de apă și autorității publice de sănătate, precum și autorităților publice locale în ceea ce privește asigurarea calității apei potabile.  </w:t>
            </w:r>
          </w:p>
          <w:p w14:paraId="0DFA3210" w14:textId="77777777" w:rsidR="00EA1803" w:rsidRPr="0012739F" w:rsidRDefault="00375DBE" w:rsidP="00375DBE">
            <w:pPr>
              <w:autoSpaceDE w:val="0"/>
              <w:autoSpaceDN w:val="0"/>
              <w:adjustRightInd w:val="0"/>
              <w:jc w:val="both"/>
              <w:rPr>
                <w:lang w:val="it-IT"/>
              </w:rPr>
            </w:pPr>
            <w:r w:rsidRPr="0012739F">
              <w:rPr>
                <w:lang w:val="it-IT"/>
              </w:rPr>
              <w:t xml:space="preserve">          </w:t>
            </w:r>
            <w:r w:rsidR="00D553A5" w:rsidRPr="0012739F">
              <w:rPr>
                <w:lang w:val="it-IT"/>
              </w:rPr>
              <w:t>Costurile intrării în vigoare a Hotărârii Guvernului se suprapun</w:t>
            </w:r>
            <w:r w:rsidR="000A790D" w:rsidRPr="0012739F">
              <w:rPr>
                <w:lang w:val="it-IT"/>
              </w:rPr>
              <w:t>,</w:t>
            </w:r>
            <w:r w:rsidR="00D553A5" w:rsidRPr="0012739F">
              <w:rPr>
                <w:lang w:val="it-IT"/>
              </w:rPr>
              <w:t xml:space="preserve"> într-o măsură limitată</w:t>
            </w:r>
            <w:r w:rsidR="000A790D" w:rsidRPr="0012739F">
              <w:rPr>
                <w:lang w:val="it-IT"/>
              </w:rPr>
              <w:t>,</w:t>
            </w:r>
            <w:r w:rsidR="00D553A5" w:rsidRPr="0012739F">
              <w:rPr>
                <w:lang w:val="it-IT"/>
              </w:rPr>
              <w:t xml:space="preserve"> cu cele generate de implementarea Ordonanței </w:t>
            </w:r>
            <w:r w:rsidRPr="0012739F">
              <w:rPr>
                <w:lang w:val="it-IT"/>
              </w:rPr>
              <w:t xml:space="preserve">Guvernului </w:t>
            </w:r>
            <w:r w:rsidR="00D553A5" w:rsidRPr="0012739F">
              <w:rPr>
                <w:lang w:val="it-IT"/>
              </w:rPr>
              <w:t>nr. 7/2023, vizând în principal costurile generate de analizele de</w:t>
            </w:r>
          </w:p>
          <w:p w14:paraId="4B6FDAF7" w14:textId="2A6BEDA7" w:rsidR="00117B10" w:rsidRPr="0012739F" w:rsidRDefault="00D553A5" w:rsidP="00375DBE">
            <w:pPr>
              <w:autoSpaceDE w:val="0"/>
              <w:autoSpaceDN w:val="0"/>
              <w:adjustRightInd w:val="0"/>
              <w:jc w:val="both"/>
              <w:rPr>
                <w:lang w:val="it-IT"/>
              </w:rPr>
            </w:pPr>
            <w:r w:rsidRPr="0012739F">
              <w:rPr>
                <w:lang w:val="it-IT"/>
              </w:rPr>
              <w:lastRenderedPageBreak/>
              <w:t xml:space="preserve">laborator ale calității apei potabile. Pe de altă parte, apreciem că frecvența de monitorizare impusă prin prezenta Hotărâre este mai redusă față de cea stabilită prin Hotărârea </w:t>
            </w:r>
            <w:r w:rsidR="003954E1" w:rsidRPr="0012739F">
              <w:rPr>
                <w:lang w:val="it-IT"/>
              </w:rPr>
              <w:t xml:space="preserve">Guvernului </w:t>
            </w:r>
            <w:r w:rsidRPr="0012739F">
              <w:rPr>
                <w:lang w:val="it-IT"/>
              </w:rPr>
              <w:t xml:space="preserve">nr. 974/2004, fiind sensibil egală cu frecvența minimă stabilită în Ordonanța </w:t>
            </w:r>
            <w:r w:rsidR="002C6EE6" w:rsidRPr="0012739F">
              <w:rPr>
                <w:lang w:val="it-IT"/>
              </w:rPr>
              <w:t xml:space="preserve">Guvernului </w:t>
            </w:r>
            <w:r w:rsidRPr="0012739F">
              <w:rPr>
                <w:lang w:val="it-IT"/>
              </w:rPr>
              <w:t xml:space="preserve">nr. 7/2023, respectiv cu frecvența minimă impusă de Directiva europeană.  </w:t>
            </w:r>
            <w:r w:rsidR="004F18F3" w:rsidRPr="0012739F">
              <w:rPr>
                <w:lang w:val="it-IT"/>
              </w:rPr>
              <w:t xml:space="preserve"> </w:t>
            </w:r>
          </w:p>
        </w:tc>
      </w:tr>
      <w:tr w:rsidR="0012739F" w:rsidRPr="0055528B" w14:paraId="6E8E0544" w14:textId="77777777" w:rsidTr="008C00DA">
        <w:trPr>
          <w:trHeight w:val="630"/>
        </w:trPr>
        <w:tc>
          <w:tcPr>
            <w:tcW w:w="10916" w:type="dxa"/>
            <w:gridSpan w:val="7"/>
          </w:tcPr>
          <w:p w14:paraId="5B221F8F" w14:textId="77777777" w:rsidR="00117B10" w:rsidRPr="0012739F" w:rsidRDefault="00D553A5" w:rsidP="00441795">
            <w:pPr>
              <w:autoSpaceDE w:val="0"/>
              <w:autoSpaceDN w:val="0"/>
              <w:adjustRightInd w:val="0"/>
              <w:jc w:val="both"/>
              <w:rPr>
                <w:b/>
                <w:lang w:val="ro-RO"/>
              </w:rPr>
            </w:pPr>
            <w:r w:rsidRPr="0012739F">
              <w:rPr>
                <w:b/>
                <w:lang w:val="ro-RO"/>
              </w:rPr>
              <w:lastRenderedPageBreak/>
              <w:t>2</w:t>
            </w:r>
            <w:r w:rsidR="00117B10" w:rsidRPr="0012739F">
              <w:rPr>
                <w:b/>
                <w:lang w:val="ro-RO"/>
              </w:rPr>
              <w:t xml:space="preserve">. Impactul </w:t>
            </w:r>
            <w:r w:rsidRPr="0012739F">
              <w:rPr>
                <w:b/>
                <w:lang w:val="ro-RO"/>
              </w:rPr>
              <w:t>social</w:t>
            </w:r>
          </w:p>
          <w:p w14:paraId="47219641" w14:textId="77777777" w:rsidR="00117B10" w:rsidRPr="0012739F" w:rsidRDefault="00E45EC3" w:rsidP="00441795">
            <w:pPr>
              <w:autoSpaceDE w:val="0"/>
              <w:autoSpaceDN w:val="0"/>
              <w:adjustRightInd w:val="0"/>
              <w:jc w:val="both"/>
              <w:rPr>
                <w:lang w:val="ro-RO"/>
              </w:rPr>
            </w:pPr>
            <w:r w:rsidRPr="0012739F">
              <w:rPr>
                <w:lang w:val="ro-RO"/>
              </w:rPr>
              <w:t xml:space="preserve">    </w:t>
            </w:r>
            <w:r w:rsidR="00D553A5" w:rsidRPr="0012739F">
              <w:rPr>
                <w:lang w:val="ro-RO"/>
              </w:rPr>
              <w:t>Proiectul de Hotărâre a Guvernului are un impact social pozitiv în măsura în care populația va consuma apă potabilă sigură și de bună calitate.</w:t>
            </w:r>
          </w:p>
        </w:tc>
      </w:tr>
      <w:tr w:rsidR="0012739F" w:rsidRPr="0055528B" w14:paraId="55F45ACF" w14:textId="77777777" w:rsidTr="008C00DA">
        <w:tc>
          <w:tcPr>
            <w:tcW w:w="10916" w:type="dxa"/>
            <w:gridSpan w:val="7"/>
          </w:tcPr>
          <w:p w14:paraId="596CF0BF" w14:textId="77777777" w:rsidR="00117B10" w:rsidRPr="0012739F" w:rsidRDefault="00D553A5" w:rsidP="00D553A5">
            <w:pPr>
              <w:autoSpaceDE w:val="0"/>
              <w:autoSpaceDN w:val="0"/>
              <w:adjustRightInd w:val="0"/>
              <w:ind w:left="360" w:hanging="360"/>
              <w:jc w:val="both"/>
              <w:rPr>
                <w:b/>
                <w:lang w:val="ro-RO"/>
              </w:rPr>
            </w:pPr>
            <w:r w:rsidRPr="0012739F">
              <w:rPr>
                <w:b/>
                <w:lang w:val="ro-RO"/>
              </w:rPr>
              <w:t xml:space="preserve">3 </w:t>
            </w:r>
            <w:r w:rsidR="00117B10" w:rsidRPr="0012739F">
              <w:rPr>
                <w:b/>
                <w:lang w:val="ro-RO"/>
              </w:rPr>
              <w:t xml:space="preserve">Impactul asupra </w:t>
            </w:r>
            <w:r w:rsidRPr="0012739F">
              <w:rPr>
                <w:b/>
                <w:lang w:val="ro-RO"/>
              </w:rPr>
              <w:t>drepturilor și libertăților fundamentale ale omului</w:t>
            </w:r>
          </w:p>
          <w:p w14:paraId="435CB0B8" w14:textId="77777777" w:rsidR="00117B10" w:rsidRPr="0012739F" w:rsidRDefault="00E45EC3" w:rsidP="00441795">
            <w:pPr>
              <w:autoSpaceDE w:val="0"/>
              <w:autoSpaceDN w:val="0"/>
              <w:adjustRightInd w:val="0"/>
              <w:jc w:val="both"/>
              <w:rPr>
                <w:lang w:val="ro-RO"/>
              </w:rPr>
            </w:pPr>
            <w:r w:rsidRPr="0012739F">
              <w:rPr>
                <w:lang w:val="ro-RO"/>
              </w:rPr>
              <w:t xml:space="preserve">   </w:t>
            </w:r>
            <w:r w:rsidR="00D553A5" w:rsidRPr="0012739F">
              <w:rPr>
                <w:lang w:val="ro-RO"/>
              </w:rPr>
              <w:t xml:space="preserve">Proiectul de Hotărâre a Guvernului vizează asigurarea dreptului la apă potabilă de calitate corespunzătoare, în concordanță cu Obiectivul de dezvolare durabilă 6, apă curată și sanitație al Agendei 2030 pentru dezvoltare durabilă.  </w:t>
            </w:r>
          </w:p>
        </w:tc>
      </w:tr>
      <w:tr w:rsidR="0012739F" w:rsidRPr="0055528B" w14:paraId="31E2817A" w14:textId="77777777" w:rsidTr="00C95633">
        <w:trPr>
          <w:trHeight w:val="1390"/>
        </w:trPr>
        <w:tc>
          <w:tcPr>
            <w:tcW w:w="10916" w:type="dxa"/>
            <w:gridSpan w:val="7"/>
          </w:tcPr>
          <w:p w14:paraId="1A4C9A7B" w14:textId="77777777" w:rsidR="004F18F3" w:rsidRPr="0012739F" w:rsidRDefault="004F18F3" w:rsidP="00441795">
            <w:pPr>
              <w:autoSpaceDE w:val="0"/>
              <w:autoSpaceDN w:val="0"/>
              <w:adjustRightInd w:val="0"/>
              <w:jc w:val="both"/>
              <w:rPr>
                <w:b/>
                <w:lang w:val="ro-RO"/>
              </w:rPr>
            </w:pPr>
            <w:r w:rsidRPr="0012739F">
              <w:rPr>
                <w:b/>
                <w:lang w:val="ro-RO"/>
              </w:rPr>
              <w:t>4. Impactul macroeconomic</w:t>
            </w:r>
          </w:p>
          <w:p w14:paraId="07CF2E03" w14:textId="77777777" w:rsidR="004F18F3" w:rsidRPr="0012739F" w:rsidRDefault="004F18F3" w:rsidP="00D553A5">
            <w:pPr>
              <w:autoSpaceDE w:val="0"/>
              <w:autoSpaceDN w:val="0"/>
              <w:adjustRightInd w:val="0"/>
              <w:jc w:val="both"/>
              <w:rPr>
                <w:b/>
                <w:lang w:val="ro-RO"/>
              </w:rPr>
            </w:pPr>
            <w:r w:rsidRPr="0012739F">
              <w:rPr>
                <w:b/>
                <w:lang w:val="ro-RO"/>
              </w:rPr>
              <w:t xml:space="preserve">       3.4.1. Impactul asupra economiei și asupra principalilor indicatori macroeconomici</w:t>
            </w:r>
          </w:p>
          <w:p w14:paraId="3224EDF3" w14:textId="77777777" w:rsidR="004F18F3" w:rsidRPr="0012739F" w:rsidRDefault="002B7865" w:rsidP="00D553A5">
            <w:pPr>
              <w:autoSpaceDE w:val="0"/>
              <w:autoSpaceDN w:val="0"/>
              <w:adjustRightInd w:val="0"/>
              <w:jc w:val="both"/>
              <w:rPr>
                <w:lang w:val="ro-RO"/>
              </w:rPr>
            </w:pPr>
            <w:r w:rsidRPr="0012739F">
              <w:rPr>
                <w:lang w:val="ro-RO"/>
              </w:rPr>
              <w:t xml:space="preserve">    </w:t>
            </w:r>
            <w:r w:rsidR="004F18F3" w:rsidRPr="0012739F">
              <w:rPr>
                <w:lang w:val="ro-RO"/>
              </w:rPr>
              <w:t>Proiectul de act normativ nu se referă la acest subiect.</w:t>
            </w:r>
          </w:p>
          <w:p w14:paraId="4DC95A58" w14:textId="77777777" w:rsidR="004F18F3" w:rsidRPr="0012739F" w:rsidRDefault="004F18F3" w:rsidP="00441795">
            <w:pPr>
              <w:autoSpaceDE w:val="0"/>
              <w:autoSpaceDN w:val="0"/>
              <w:adjustRightInd w:val="0"/>
              <w:jc w:val="both"/>
              <w:rPr>
                <w:b/>
                <w:lang w:val="ro-RO"/>
              </w:rPr>
            </w:pPr>
            <w:r w:rsidRPr="0012739F">
              <w:rPr>
                <w:b/>
                <w:lang w:val="ro-RO"/>
              </w:rPr>
              <w:t xml:space="preserve">      3.4.2 Impactul asupra mediului concurenţial şi domeniului ajutoarelor de stat </w:t>
            </w:r>
          </w:p>
          <w:p w14:paraId="409BBE5B" w14:textId="77777777" w:rsidR="004F18F3" w:rsidRPr="0012739F" w:rsidRDefault="002B7865" w:rsidP="00441795">
            <w:pPr>
              <w:autoSpaceDE w:val="0"/>
              <w:autoSpaceDN w:val="0"/>
              <w:adjustRightInd w:val="0"/>
              <w:jc w:val="both"/>
              <w:rPr>
                <w:lang w:val="ro-RO"/>
              </w:rPr>
            </w:pPr>
            <w:r w:rsidRPr="0012739F">
              <w:rPr>
                <w:lang w:val="ro-RO"/>
              </w:rPr>
              <w:t xml:space="preserve">    </w:t>
            </w:r>
            <w:r w:rsidR="004F18F3" w:rsidRPr="0012739F">
              <w:rPr>
                <w:lang w:val="ro-RO"/>
              </w:rPr>
              <w:t>Proiectul de act normativ nu se referă la acest subiect</w:t>
            </w:r>
          </w:p>
        </w:tc>
      </w:tr>
      <w:tr w:rsidR="0012739F" w:rsidRPr="0055528B" w14:paraId="32C5863E" w14:textId="77777777" w:rsidTr="008C00DA">
        <w:tc>
          <w:tcPr>
            <w:tcW w:w="10916" w:type="dxa"/>
            <w:gridSpan w:val="7"/>
          </w:tcPr>
          <w:p w14:paraId="598DE5AF" w14:textId="77777777" w:rsidR="00984C64" w:rsidRPr="0012739F" w:rsidRDefault="00395061" w:rsidP="00441795">
            <w:pPr>
              <w:autoSpaceDE w:val="0"/>
              <w:autoSpaceDN w:val="0"/>
              <w:adjustRightInd w:val="0"/>
              <w:jc w:val="both"/>
              <w:rPr>
                <w:b/>
                <w:lang w:val="ro-RO"/>
              </w:rPr>
            </w:pPr>
            <w:r w:rsidRPr="0012739F">
              <w:rPr>
                <w:b/>
                <w:lang w:val="ro-RO"/>
              </w:rPr>
              <w:t>5</w:t>
            </w:r>
            <w:r w:rsidR="00117B10" w:rsidRPr="0012739F">
              <w:rPr>
                <w:b/>
                <w:lang w:val="ro-RO"/>
              </w:rPr>
              <w:t>.</w:t>
            </w:r>
            <w:r w:rsidRPr="0012739F">
              <w:rPr>
                <w:b/>
                <w:lang w:val="ro-RO"/>
              </w:rPr>
              <w:t xml:space="preserve"> Impactul asupra mediului de afaceri</w:t>
            </w:r>
          </w:p>
          <w:p w14:paraId="33B1458A" w14:textId="77777777" w:rsidR="00117B10" w:rsidRPr="0012739F" w:rsidRDefault="005A7822" w:rsidP="00441795">
            <w:pPr>
              <w:autoSpaceDE w:val="0"/>
              <w:autoSpaceDN w:val="0"/>
              <w:adjustRightInd w:val="0"/>
              <w:jc w:val="both"/>
              <w:rPr>
                <w:lang w:val="ro-RO"/>
              </w:rPr>
            </w:pPr>
            <w:r w:rsidRPr="0012739F">
              <w:rPr>
                <w:lang w:val="ro-RO"/>
              </w:rPr>
              <w:t xml:space="preserve">    </w:t>
            </w:r>
            <w:r w:rsidR="00395061" w:rsidRPr="0012739F">
              <w:rPr>
                <w:lang w:val="ro-RO"/>
              </w:rPr>
              <w:t>Prezentul proiect de act normativ nu determină un impact negativ asupra mediului de afaceri. Începând cu 2026, furnizorii de apă vor trebui să suporte costuri de monitorizare a calității apei potabile cu aproximativ 25% mai mari, pe seama parametrilor suplimentari introduși de Ordonanța Guvernului nr. 7/2023 și în concordanță cu Directiva 2020/2184. Pe de altă parte, prin elaborarea și implementarea Planurilor de Siguranță ale Apei, se va putea fundamenta reducerea frecvenței de prelevare și analiză a probelor de apă pentru o serie de parametri, sau chiar eliminarea unor parametri din programele de monitorizare.</w:t>
            </w:r>
            <w:r w:rsidR="00254585" w:rsidRPr="0012739F">
              <w:rPr>
                <w:lang w:val="ro-RO"/>
              </w:rPr>
              <w:t xml:space="preserve"> </w:t>
            </w:r>
            <w:r w:rsidR="00117B10" w:rsidRPr="0012739F">
              <w:rPr>
                <w:lang w:val="ro-RO"/>
              </w:rPr>
              <w:t xml:space="preserve"> </w:t>
            </w:r>
          </w:p>
        </w:tc>
      </w:tr>
      <w:tr w:rsidR="0012739F" w:rsidRPr="0055528B" w14:paraId="3C406DC6" w14:textId="77777777" w:rsidTr="008C00DA">
        <w:tc>
          <w:tcPr>
            <w:tcW w:w="10916" w:type="dxa"/>
            <w:gridSpan w:val="7"/>
          </w:tcPr>
          <w:p w14:paraId="5EBBBA75" w14:textId="77777777" w:rsidR="00117B10" w:rsidRPr="0012739F" w:rsidRDefault="00395061" w:rsidP="00441795">
            <w:pPr>
              <w:autoSpaceDE w:val="0"/>
              <w:autoSpaceDN w:val="0"/>
              <w:adjustRightInd w:val="0"/>
              <w:jc w:val="both"/>
              <w:rPr>
                <w:b/>
                <w:lang w:val="ro-RO"/>
              </w:rPr>
            </w:pPr>
            <w:r w:rsidRPr="0012739F">
              <w:rPr>
                <w:b/>
                <w:lang w:val="ro-RO"/>
              </w:rPr>
              <w:t>6</w:t>
            </w:r>
            <w:r w:rsidR="00117B10" w:rsidRPr="0012739F">
              <w:rPr>
                <w:b/>
                <w:lang w:val="ro-RO"/>
              </w:rPr>
              <w:t>.</w:t>
            </w:r>
            <w:r w:rsidRPr="0012739F">
              <w:rPr>
                <w:b/>
                <w:lang w:val="ro-RO"/>
              </w:rPr>
              <w:t xml:space="preserve"> </w:t>
            </w:r>
            <w:r w:rsidR="00117B10" w:rsidRPr="0012739F">
              <w:rPr>
                <w:b/>
                <w:lang w:val="ro-RO"/>
              </w:rPr>
              <w:t>Impactul asupra mediului</w:t>
            </w:r>
            <w:r w:rsidRPr="0012739F">
              <w:rPr>
                <w:b/>
                <w:lang w:val="ro-RO"/>
              </w:rPr>
              <w:t xml:space="preserve"> înconjurător</w:t>
            </w:r>
          </w:p>
          <w:p w14:paraId="62ED14B6" w14:textId="77777777" w:rsidR="00117B10" w:rsidRPr="0012739F" w:rsidRDefault="005A7822" w:rsidP="00441795">
            <w:pPr>
              <w:autoSpaceDE w:val="0"/>
              <w:autoSpaceDN w:val="0"/>
              <w:adjustRightInd w:val="0"/>
              <w:jc w:val="both"/>
              <w:rPr>
                <w:lang w:val="ro-RO"/>
              </w:rPr>
            </w:pPr>
            <w:r w:rsidRPr="0012739F">
              <w:rPr>
                <w:lang w:val="ro-RO"/>
              </w:rPr>
              <w:t xml:space="preserve">    </w:t>
            </w:r>
            <w:r w:rsidR="00395061" w:rsidRPr="0012739F">
              <w:rPr>
                <w:lang w:val="ro-RO"/>
              </w:rPr>
              <w:t>Nu este cazul.</w:t>
            </w:r>
          </w:p>
        </w:tc>
      </w:tr>
      <w:tr w:rsidR="0012739F" w:rsidRPr="0055528B" w14:paraId="6082A1F2" w14:textId="77777777" w:rsidTr="008C00DA">
        <w:tc>
          <w:tcPr>
            <w:tcW w:w="10916" w:type="dxa"/>
            <w:gridSpan w:val="7"/>
          </w:tcPr>
          <w:p w14:paraId="0EC00EBD" w14:textId="77777777" w:rsidR="00395061" w:rsidRPr="0012739F" w:rsidRDefault="00395061" w:rsidP="00395061">
            <w:pPr>
              <w:autoSpaceDE w:val="0"/>
              <w:autoSpaceDN w:val="0"/>
              <w:adjustRightInd w:val="0"/>
              <w:jc w:val="both"/>
              <w:rPr>
                <w:b/>
                <w:lang w:val="ro-RO"/>
              </w:rPr>
            </w:pPr>
            <w:r w:rsidRPr="0012739F">
              <w:rPr>
                <w:b/>
                <w:lang w:val="it-IT"/>
              </w:rPr>
              <w:t>3.7</w:t>
            </w:r>
            <w:r w:rsidRPr="0012739F">
              <w:rPr>
                <w:lang w:val="it-IT"/>
              </w:rPr>
              <w:t xml:space="preserve"> </w:t>
            </w:r>
            <w:r w:rsidRPr="0012739F">
              <w:rPr>
                <w:b/>
                <w:lang w:val="ro-RO"/>
              </w:rPr>
              <w:t xml:space="preserve">Evaluarea costurilor și beneficiilor din perspectiva inovării și digitalizării </w:t>
            </w:r>
          </w:p>
          <w:p w14:paraId="790218E9" w14:textId="77777777" w:rsidR="00117B10" w:rsidRPr="0012739F" w:rsidRDefault="00117B10" w:rsidP="00395061">
            <w:pPr>
              <w:autoSpaceDE w:val="0"/>
              <w:autoSpaceDN w:val="0"/>
              <w:adjustRightInd w:val="0"/>
              <w:jc w:val="both"/>
              <w:rPr>
                <w:lang w:val="ro-RO"/>
              </w:rPr>
            </w:pPr>
            <w:r w:rsidRPr="0012739F">
              <w:rPr>
                <w:lang w:val="ro-RO"/>
              </w:rPr>
              <w:t xml:space="preserve"> </w:t>
            </w:r>
            <w:r w:rsidR="005A7822" w:rsidRPr="0012739F">
              <w:rPr>
                <w:lang w:val="ro-RO"/>
              </w:rPr>
              <w:t xml:space="preserve">   </w:t>
            </w:r>
            <w:r w:rsidR="00395061" w:rsidRPr="0012739F">
              <w:rPr>
                <w:lang w:val="ro-RO"/>
              </w:rPr>
              <w:t>Obligațiile de raportare a datelor generate de implementarea prezentei Hotărâri presupun inclusiv crearea unei baze de date naționale pentru colectarea datelor și informațiilor privind calitatea apei potabile prin utilizarea serviciilor de date spațiale, instrumente care vor presupune costuri.</w:t>
            </w:r>
          </w:p>
        </w:tc>
      </w:tr>
      <w:tr w:rsidR="0012739F" w:rsidRPr="0055528B" w14:paraId="7381994B" w14:textId="77777777" w:rsidTr="008C00DA">
        <w:tc>
          <w:tcPr>
            <w:tcW w:w="10916" w:type="dxa"/>
            <w:gridSpan w:val="7"/>
          </w:tcPr>
          <w:p w14:paraId="0E8BB222" w14:textId="77777777" w:rsidR="00395061" w:rsidRPr="0012739F" w:rsidRDefault="00395061" w:rsidP="00395061">
            <w:pPr>
              <w:autoSpaceDE w:val="0"/>
              <w:autoSpaceDN w:val="0"/>
              <w:adjustRightInd w:val="0"/>
              <w:jc w:val="both"/>
              <w:rPr>
                <w:b/>
                <w:lang w:val="it-IT"/>
              </w:rPr>
            </w:pPr>
            <w:r w:rsidRPr="0012739F">
              <w:rPr>
                <w:b/>
                <w:lang w:val="it-IT"/>
              </w:rPr>
              <w:t>8</w:t>
            </w:r>
            <w:r w:rsidR="00A558E3" w:rsidRPr="0012739F">
              <w:rPr>
                <w:b/>
                <w:lang w:val="it-IT"/>
              </w:rPr>
              <w:t>.</w:t>
            </w:r>
            <w:r w:rsidRPr="0012739F">
              <w:rPr>
                <w:b/>
                <w:lang w:val="it-IT"/>
              </w:rPr>
              <w:t xml:space="preserve"> Evaluarea costurilor și beneficiilor din perspectiva dezvoltării durabile</w:t>
            </w:r>
          </w:p>
          <w:p w14:paraId="203D8770" w14:textId="77777777" w:rsidR="00395061" w:rsidRPr="0012739F" w:rsidRDefault="005A7822" w:rsidP="00395061">
            <w:pPr>
              <w:autoSpaceDE w:val="0"/>
              <w:autoSpaceDN w:val="0"/>
              <w:adjustRightInd w:val="0"/>
              <w:jc w:val="both"/>
              <w:rPr>
                <w:b/>
                <w:lang w:val="it-IT"/>
              </w:rPr>
            </w:pPr>
            <w:r w:rsidRPr="0012739F">
              <w:rPr>
                <w:lang w:val="it-IT"/>
              </w:rPr>
              <w:t xml:space="preserve">    </w:t>
            </w:r>
            <w:r w:rsidR="00395061" w:rsidRPr="0012739F">
              <w:rPr>
                <w:lang w:val="it-IT"/>
              </w:rPr>
              <w:t>Implementarea prezentei Hotărâri a Guvernului contribuie la atingerea țintei 6.1 a obiectivului 6 de dezvoltare durabilă și anume „Până în 2030, realizarea accesului universal și echitabil la apă potabilă sigură și la prețuri accesibile pentru toți”.</w:t>
            </w:r>
          </w:p>
        </w:tc>
      </w:tr>
      <w:tr w:rsidR="0012739F" w:rsidRPr="0055528B" w14:paraId="470F807D" w14:textId="77777777" w:rsidTr="008C00DA">
        <w:tc>
          <w:tcPr>
            <w:tcW w:w="10916" w:type="dxa"/>
            <w:gridSpan w:val="7"/>
          </w:tcPr>
          <w:p w14:paraId="4DE2C8A2" w14:textId="77777777" w:rsidR="00395061" w:rsidRPr="0012739F" w:rsidRDefault="00C62ED8" w:rsidP="00395061">
            <w:pPr>
              <w:autoSpaceDE w:val="0"/>
              <w:autoSpaceDN w:val="0"/>
              <w:adjustRightInd w:val="0"/>
              <w:jc w:val="both"/>
              <w:rPr>
                <w:b/>
                <w:lang w:val="it-IT"/>
              </w:rPr>
            </w:pPr>
            <w:r w:rsidRPr="0012739F">
              <w:rPr>
                <w:b/>
                <w:lang w:val="it-IT"/>
              </w:rPr>
              <w:t>9</w:t>
            </w:r>
            <w:r w:rsidR="00A558E3" w:rsidRPr="0012739F">
              <w:rPr>
                <w:b/>
                <w:lang w:val="it-IT"/>
              </w:rPr>
              <w:t>.</w:t>
            </w:r>
            <w:r w:rsidRPr="0012739F">
              <w:rPr>
                <w:b/>
                <w:lang w:val="it-IT"/>
              </w:rPr>
              <w:t xml:space="preserve"> Alte informaţii                    </w:t>
            </w:r>
          </w:p>
          <w:p w14:paraId="1037C865" w14:textId="77777777" w:rsidR="00C62ED8" w:rsidRPr="0012739F" w:rsidRDefault="0073478E" w:rsidP="00395061">
            <w:pPr>
              <w:autoSpaceDE w:val="0"/>
              <w:autoSpaceDN w:val="0"/>
              <w:adjustRightInd w:val="0"/>
              <w:jc w:val="both"/>
              <w:rPr>
                <w:lang w:val="it-IT"/>
              </w:rPr>
            </w:pPr>
            <w:r w:rsidRPr="0012739F">
              <w:rPr>
                <w:lang w:val="it-IT"/>
              </w:rPr>
              <w:t xml:space="preserve">    </w:t>
            </w:r>
            <w:r w:rsidR="00C62ED8" w:rsidRPr="0012739F">
              <w:rPr>
                <w:lang w:val="it-IT"/>
              </w:rPr>
              <w:t>Proiectul de  Hotărâre a Guvernului are un impact pozitiv asupra sănătăţii populaţiei, urmărind furnizarea unei ape de calitate corespunzătoare, sigură pentru sănătatea consumatorilor.</w:t>
            </w:r>
          </w:p>
        </w:tc>
      </w:tr>
      <w:tr w:rsidR="0012739F" w:rsidRPr="0012739F" w14:paraId="6AB38F3B" w14:textId="77777777" w:rsidTr="008C00DA">
        <w:tc>
          <w:tcPr>
            <w:tcW w:w="10916" w:type="dxa"/>
            <w:gridSpan w:val="7"/>
          </w:tcPr>
          <w:p w14:paraId="38C12549" w14:textId="77777777" w:rsidR="00C62ED8" w:rsidRPr="0012739F" w:rsidRDefault="00C62ED8" w:rsidP="00C62ED8">
            <w:pPr>
              <w:pStyle w:val="NoSpacing"/>
              <w:jc w:val="center"/>
              <w:rPr>
                <w:b/>
                <w:sz w:val="24"/>
                <w:szCs w:val="24"/>
                <w:lang w:val="ro-RO"/>
              </w:rPr>
            </w:pPr>
          </w:p>
          <w:p w14:paraId="64C02E3F" w14:textId="77777777" w:rsidR="00117B10" w:rsidRPr="0012739F" w:rsidRDefault="00117B10" w:rsidP="00C62ED8">
            <w:pPr>
              <w:pStyle w:val="NoSpacing"/>
              <w:jc w:val="center"/>
              <w:rPr>
                <w:b/>
                <w:sz w:val="24"/>
                <w:szCs w:val="24"/>
                <w:lang w:val="ro-RO"/>
              </w:rPr>
            </w:pPr>
            <w:r w:rsidRPr="0012739F">
              <w:rPr>
                <w:b/>
                <w:sz w:val="24"/>
                <w:szCs w:val="24"/>
                <w:lang w:val="ro-RO"/>
              </w:rPr>
              <w:t>Secţiunea a 4 – a</w:t>
            </w:r>
          </w:p>
          <w:p w14:paraId="3BBB00BA" w14:textId="77777777" w:rsidR="00CB4582" w:rsidRPr="0012739F" w:rsidRDefault="00117B10" w:rsidP="00C62ED8">
            <w:pPr>
              <w:pStyle w:val="NoSpacing"/>
              <w:jc w:val="center"/>
              <w:rPr>
                <w:b/>
                <w:sz w:val="24"/>
                <w:szCs w:val="24"/>
                <w:lang w:val="ro-RO"/>
              </w:rPr>
            </w:pPr>
            <w:r w:rsidRPr="0012739F">
              <w:rPr>
                <w:b/>
                <w:sz w:val="24"/>
                <w:szCs w:val="24"/>
                <w:lang w:val="ro-RO"/>
              </w:rPr>
              <w:t xml:space="preserve">Impactul financiar asupra bugetului general consolidat, atât pe termen scurt, pentru anul curent, cât şi pe termen lung </w:t>
            </w:r>
          </w:p>
          <w:p w14:paraId="1017B13F" w14:textId="77777777" w:rsidR="00B75A2E" w:rsidRPr="0012739F" w:rsidRDefault="00117B10" w:rsidP="00C62ED8">
            <w:pPr>
              <w:pStyle w:val="NoSpacing"/>
              <w:jc w:val="center"/>
              <w:rPr>
                <w:b/>
                <w:sz w:val="24"/>
                <w:szCs w:val="24"/>
                <w:lang w:val="ro-RO"/>
              </w:rPr>
            </w:pPr>
            <w:r w:rsidRPr="0012739F">
              <w:rPr>
                <w:b/>
                <w:sz w:val="24"/>
                <w:szCs w:val="24"/>
                <w:lang w:val="ro-RO"/>
              </w:rPr>
              <w:t>(pe 5 ani)</w:t>
            </w:r>
          </w:p>
          <w:p w14:paraId="77F770E9" w14:textId="77777777" w:rsidR="00C62ED8" w:rsidRPr="0012739F" w:rsidRDefault="00C62ED8" w:rsidP="00C62ED8">
            <w:pPr>
              <w:pStyle w:val="NoSpacing"/>
              <w:ind w:left="720"/>
              <w:rPr>
                <w:b/>
                <w:sz w:val="24"/>
                <w:szCs w:val="24"/>
                <w:lang w:val="ro-RO"/>
              </w:rPr>
            </w:pPr>
          </w:p>
        </w:tc>
      </w:tr>
      <w:tr w:rsidR="0012739F" w:rsidRPr="0012739F" w14:paraId="1C80A2AB" w14:textId="77777777" w:rsidTr="00117B10">
        <w:tc>
          <w:tcPr>
            <w:tcW w:w="4608" w:type="dxa"/>
          </w:tcPr>
          <w:p w14:paraId="058ABC8E" w14:textId="77777777" w:rsidR="00117B10" w:rsidRPr="0012739F" w:rsidRDefault="00117B10" w:rsidP="00C62ED8">
            <w:pPr>
              <w:pStyle w:val="NoSpacing"/>
              <w:jc w:val="center"/>
              <w:rPr>
                <w:b/>
                <w:sz w:val="24"/>
                <w:szCs w:val="24"/>
                <w:lang w:val="ro-RO"/>
              </w:rPr>
            </w:pPr>
            <w:r w:rsidRPr="0012739F">
              <w:rPr>
                <w:b/>
                <w:sz w:val="24"/>
                <w:szCs w:val="24"/>
                <w:lang w:val="ro-RO"/>
              </w:rPr>
              <w:t>Indicatori</w:t>
            </w:r>
          </w:p>
        </w:tc>
        <w:tc>
          <w:tcPr>
            <w:tcW w:w="990" w:type="dxa"/>
          </w:tcPr>
          <w:p w14:paraId="36703933" w14:textId="77777777" w:rsidR="00117B10" w:rsidRPr="0012739F" w:rsidRDefault="00117B10" w:rsidP="00441795">
            <w:pPr>
              <w:pStyle w:val="NoSpacing"/>
              <w:jc w:val="both"/>
              <w:rPr>
                <w:b/>
                <w:sz w:val="24"/>
                <w:szCs w:val="24"/>
                <w:lang w:val="ro-RO"/>
              </w:rPr>
            </w:pPr>
            <w:r w:rsidRPr="0012739F">
              <w:rPr>
                <w:b/>
                <w:sz w:val="24"/>
                <w:szCs w:val="24"/>
                <w:lang w:val="ro-RO"/>
              </w:rPr>
              <w:t>Anul curent</w:t>
            </w:r>
          </w:p>
        </w:tc>
        <w:tc>
          <w:tcPr>
            <w:tcW w:w="5318" w:type="dxa"/>
            <w:gridSpan w:val="5"/>
          </w:tcPr>
          <w:p w14:paraId="0A4F3A6A" w14:textId="77777777" w:rsidR="00117B10" w:rsidRPr="0012739F" w:rsidRDefault="00117B10" w:rsidP="00C62ED8">
            <w:pPr>
              <w:pStyle w:val="NoSpacing"/>
              <w:jc w:val="center"/>
              <w:rPr>
                <w:b/>
                <w:sz w:val="24"/>
                <w:szCs w:val="24"/>
                <w:lang w:val="ro-RO"/>
              </w:rPr>
            </w:pPr>
            <w:r w:rsidRPr="0012739F">
              <w:rPr>
                <w:b/>
                <w:sz w:val="24"/>
                <w:szCs w:val="24"/>
                <w:lang w:val="ro-RO"/>
              </w:rPr>
              <w:t>Următorii 4 ani</w:t>
            </w:r>
          </w:p>
        </w:tc>
      </w:tr>
      <w:tr w:rsidR="0012739F" w:rsidRPr="0012739F" w14:paraId="7FCFB84D" w14:textId="77777777" w:rsidTr="00117B10">
        <w:tc>
          <w:tcPr>
            <w:tcW w:w="4608" w:type="dxa"/>
          </w:tcPr>
          <w:p w14:paraId="0DED2967" w14:textId="77777777" w:rsidR="00117B10" w:rsidRPr="0012739F" w:rsidRDefault="00117B10" w:rsidP="00C62ED8">
            <w:pPr>
              <w:pStyle w:val="NoSpacing"/>
              <w:jc w:val="center"/>
              <w:rPr>
                <w:sz w:val="24"/>
                <w:szCs w:val="24"/>
                <w:lang w:val="ro-RO"/>
              </w:rPr>
            </w:pPr>
            <w:r w:rsidRPr="0012739F">
              <w:rPr>
                <w:sz w:val="24"/>
                <w:szCs w:val="24"/>
                <w:lang w:val="ro-RO"/>
              </w:rPr>
              <w:t>1</w:t>
            </w:r>
          </w:p>
        </w:tc>
        <w:tc>
          <w:tcPr>
            <w:tcW w:w="990" w:type="dxa"/>
          </w:tcPr>
          <w:p w14:paraId="5E5A1F7F" w14:textId="77777777" w:rsidR="00117B10" w:rsidRPr="0012739F" w:rsidRDefault="00117B10" w:rsidP="00C62ED8">
            <w:pPr>
              <w:pStyle w:val="NoSpacing"/>
              <w:jc w:val="center"/>
              <w:rPr>
                <w:sz w:val="24"/>
                <w:szCs w:val="24"/>
                <w:lang w:val="ro-RO"/>
              </w:rPr>
            </w:pPr>
            <w:r w:rsidRPr="0012739F">
              <w:rPr>
                <w:sz w:val="24"/>
                <w:szCs w:val="24"/>
                <w:lang w:val="ro-RO"/>
              </w:rPr>
              <w:t>2</w:t>
            </w:r>
          </w:p>
        </w:tc>
        <w:tc>
          <w:tcPr>
            <w:tcW w:w="552" w:type="dxa"/>
          </w:tcPr>
          <w:p w14:paraId="42772520" w14:textId="77777777" w:rsidR="00117B10" w:rsidRPr="0012739F" w:rsidRDefault="00117B10" w:rsidP="00C62ED8">
            <w:pPr>
              <w:pStyle w:val="NoSpacing"/>
              <w:jc w:val="center"/>
              <w:rPr>
                <w:sz w:val="24"/>
                <w:szCs w:val="24"/>
                <w:lang w:val="ro-RO"/>
              </w:rPr>
            </w:pPr>
            <w:r w:rsidRPr="0012739F">
              <w:rPr>
                <w:sz w:val="24"/>
                <w:szCs w:val="24"/>
                <w:lang w:val="ro-RO"/>
              </w:rPr>
              <w:t>3</w:t>
            </w:r>
          </w:p>
        </w:tc>
        <w:tc>
          <w:tcPr>
            <w:tcW w:w="1276" w:type="dxa"/>
          </w:tcPr>
          <w:p w14:paraId="6FD81C3B" w14:textId="77777777" w:rsidR="00117B10" w:rsidRPr="0012739F" w:rsidRDefault="00117B10" w:rsidP="00C62ED8">
            <w:pPr>
              <w:pStyle w:val="NoSpacing"/>
              <w:jc w:val="center"/>
              <w:rPr>
                <w:sz w:val="24"/>
                <w:szCs w:val="24"/>
                <w:lang w:val="ro-RO"/>
              </w:rPr>
            </w:pPr>
            <w:r w:rsidRPr="0012739F">
              <w:rPr>
                <w:sz w:val="24"/>
                <w:szCs w:val="24"/>
                <w:lang w:val="ro-RO"/>
              </w:rPr>
              <w:t>4</w:t>
            </w:r>
          </w:p>
        </w:tc>
        <w:tc>
          <w:tcPr>
            <w:tcW w:w="1276" w:type="dxa"/>
          </w:tcPr>
          <w:p w14:paraId="50BFFAF2" w14:textId="77777777" w:rsidR="00117B10" w:rsidRPr="0012739F" w:rsidRDefault="00117B10" w:rsidP="00C62ED8">
            <w:pPr>
              <w:pStyle w:val="NoSpacing"/>
              <w:jc w:val="center"/>
              <w:rPr>
                <w:sz w:val="24"/>
                <w:szCs w:val="24"/>
                <w:lang w:val="ro-RO"/>
              </w:rPr>
            </w:pPr>
            <w:r w:rsidRPr="0012739F">
              <w:rPr>
                <w:sz w:val="24"/>
                <w:szCs w:val="24"/>
                <w:lang w:val="ro-RO"/>
              </w:rPr>
              <w:t>5</w:t>
            </w:r>
          </w:p>
        </w:tc>
        <w:tc>
          <w:tcPr>
            <w:tcW w:w="938" w:type="dxa"/>
          </w:tcPr>
          <w:p w14:paraId="700AE4F6" w14:textId="77777777" w:rsidR="00117B10" w:rsidRPr="0012739F" w:rsidRDefault="00117B10" w:rsidP="00C62ED8">
            <w:pPr>
              <w:pStyle w:val="NoSpacing"/>
              <w:jc w:val="center"/>
              <w:rPr>
                <w:sz w:val="24"/>
                <w:szCs w:val="24"/>
                <w:lang w:val="ro-RO"/>
              </w:rPr>
            </w:pPr>
            <w:r w:rsidRPr="0012739F">
              <w:rPr>
                <w:sz w:val="24"/>
                <w:szCs w:val="24"/>
                <w:lang w:val="ro-RO"/>
              </w:rPr>
              <w:t>6</w:t>
            </w:r>
          </w:p>
        </w:tc>
        <w:tc>
          <w:tcPr>
            <w:tcW w:w="1276" w:type="dxa"/>
          </w:tcPr>
          <w:p w14:paraId="6CFEA368" w14:textId="77777777" w:rsidR="00117B10" w:rsidRPr="0012739F" w:rsidRDefault="00117B10" w:rsidP="00C62ED8">
            <w:pPr>
              <w:pStyle w:val="NoSpacing"/>
              <w:ind w:right="-250"/>
              <w:jc w:val="center"/>
              <w:rPr>
                <w:sz w:val="24"/>
                <w:szCs w:val="24"/>
                <w:lang w:val="ro-RO"/>
              </w:rPr>
            </w:pPr>
            <w:r w:rsidRPr="0012739F">
              <w:rPr>
                <w:sz w:val="24"/>
                <w:szCs w:val="24"/>
                <w:lang w:val="ro-RO"/>
              </w:rPr>
              <w:t>7</w:t>
            </w:r>
          </w:p>
        </w:tc>
      </w:tr>
      <w:tr w:rsidR="0012739F" w:rsidRPr="0012739F" w14:paraId="4B87783E" w14:textId="77777777" w:rsidTr="00117B10">
        <w:tc>
          <w:tcPr>
            <w:tcW w:w="4608" w:type="dxa"/>
          </w:tcPr>
          <w:p w14:paraId="5EDE54FC" w14:textId="77777777" w:rsidR="00117B10" w:rsidRPr="0012739F" w:rsidRDefault="00117B10" w:rsidP="00441795">
            <w:pPr>
              <w:pStyle w:val="NoSpacing"/>
              <w:jc w:val="both"/>
              <w:rPr>
                <w:b/>
                <w:sz w:val="24"/>
                <w:szCs w:val="24"/>
                <w:lang w:val="ro-RO"/>
              </w:rPr>
            </w:pPr>
            <w:r w:rsidRPr="0012739F">
              <w:rPr>
                <w:b/>
                <w:sz w:val="24"/>
                <w:szCs w:val="24"/>
                <w:lang w:val="ro-RO"/>
              </w:rPr>
              <w:t>1. Modificări ale veniturilor bugetare, plus/minus din care:</w:t>
            </w:r>
          </w:p>
          <w:p w14:paraId="126F40DC" w14:textId="77777777" w:rsidR="00117B10" w:rsidRPr="0012739F" w:rsidRDefault="00117B10" w:rsidP="00441795">
            <w:pPr>
              <w:pStyle w:val="NoSpacing"/>
              <w:jc w:val="both"/>
              <w:rPr>
                <w:i/>
                <w:sz w:val="24"/>
                <w:szCs w:val="24"/>
                <w:lang w:val="ro-RO"/>
              </w:rPr>
            </w:pPr>
            <w:r w:rsidRPr="0012739F">
              <w:rPr>
                <w:sz w:val="24"/>
                <w:szCs w:val="24"/>
                <w:lang w:val="ro-RO"/>
              </w:rPr>
              <w:t xml:space="preserve">a) </w:t>
            </w:r>
            <w:r w:rsidRPr="0012739F">
              <w:rPr>
                <w:i/>
                <w:sz w:val="24"/>
                <w:szCs w:val="24"/>
                <w:lang w:val="ro-RO"/>
              </w:rPr>
              <w:t>buget de stat, din acesta:</w:t>
            </w:r>
          </w:p>
          <w:p w14:paraId="5117EE52" w14:textId="77777777" w:rsidR="00117B10" w:rsidRPr="0012739F" w:rsidRDefault="00117B10" w:rsidP="00441795">
            <w:pPr>
              <w:pStyle w:val="NoSpacing"/>
              <w:jc w:val="both"/>
              <w:rPr>
                <w:sz w:val="24"/>
                <w:szCs w:val="24"/>
                <w:lang w:val="ro-RO"/>
              </w:rPr>
            </w:pPr>
            <w:r w:rsidRPr="0012739F">
              <w:rPr>
                <w:sz w:val="24"/>
                <w:szCs w:val="24"/>
                <w:lang w:val="ro-RO"/>
              </w:rPr>
              <w:t>(i) impozit pe profit</w:t>
            </w:r>
          </w:p>
          <w:p w14:paraId="1E1E94AF" w14:textId="77777777" w:rsidR="00117B10" w:rsidRPr="0012739F" w:rsidRDefault="00117B10" w:rsidP="00441795">
            <w:pPr>
              <w:pStyle w:val="NoSpacing"/>
              <w:jc w:val="both"/>
              <w:rPr>
                <w:sz w:val="24"/>
                <w:szCs w:val="24"/>
                <w:lang w:val="ro-RO"/>
              </w:rPr>
            </w:pPr>
            <w:r w:rsidRPr="0012739F">
              <w:rPr>
                <w:sz w:val="24"/>
                <w:szCs w:val="24"/>
                <w:lang w:val="ro-RO"/>
              </w:rPr>
              <w:t>(ii)impozit pe venit</w:t>
            </w:r>
          </w:p>
          <w:p w14:paraId="163ACFB3" w14:textId="77777777" w:rsidR="00117B10" w:rsidRPr="0012739F" w:rsidRDefault="00117B10" w:rsidP="00441795">
            <w:pPr>
              <w:pStyle w:val="NoSpacing"/>
              <w:jc w:val="both"/>
              <w:rPr>
                <w:sz w:val="24"/>
                <w:szCs w:val="24"/>
                <w:lang w:val="ro-RO"/>
              </w:rPr>
            </w:pPr>
            <w:r w:rsidRPr="0012739F">
              <w:rPr>
                <w:sz w:val="24"/>
                <w:szCs w:val="24"/>
                <w:lang w:val="ro-RO"/>
              </w:rPr>
              <w:t xml:space="preserve">b) </w:t>
            </w:r>
            <w:r w:rsidRPr="0012739F">
              <w:rPr>
                <w:i/>
                <w:sz w:val="24"/>
                <w:szCs w:val="24"/>
                <w:lang w:val="ro-RO"/>
              </w:rPr>
              <w:t>bugete locale</w:t>
            </w:r>
            <w:r w:rsidRPr="0012739F">
              <w:rPr>
                <w:sz w:val="24"/>
                <w:szCs w:val="24"/>
                <w:lang w:val="ro-RO"/>
              </w:rPr>
              <w:t>:</w:t>
            </w:r>
          </w:p>
          <w:p w14:paraId="693EBC7F" w14:textId="77777777" w:rsidR="00117B10" w:rsidRPr="0012739F" w:rsidRDefault="00117B10" w:rsidP="00441795">
            <w:pPr>
              <w:pStyle w:val="NoSpacing"/>
              <w:jc w:val="both"/>
              <w:rPr>
                <w:sz w:val="24"/>
                <w:szCs w:val="24"/>
                <w:lang w:val="ro-RO"/>
              </w:rPr>
            </w:pPr>
            <w:r w:rsidRPr="0012739F">
              <w:rPr>
                <w:sz w:val="24"/>
                <w:szCs w:val="24"/>
                <w:lang w:val="ro-RO"/>
              </w:rPr>
              <w:t>(i) impozit pe profit</w:t>
            </w:r>
          </w:p>
          <w:p w14:paraId="26D2565D" w14:textId="77777777" w:rsidR="00117B10" w:rsidRPr="0012739F" w:rsidRDefault="00117B10" w:rsidP="00441795">
            <w:pPr>
              <w:pStyle w:val="NoSpacing"/>
              <w:jc w:val="both"/>
              <w:rPr>
                <w:i/>
                <w:sz w:val="24"/>
                <w:szCs w:val="24"/>
                <w:lang w:val="ro-RO"/>
              </w:rPr>
            </w:pPr>
            <w:r w:rsidRPr="0012739F">
              <w:rPr>
                <w:sz w:val="24"/>
                <w:szCs w:val="24"/>
                <w:lang w:val="ro-RO"/>
              </w:rPr>
              <w:t xml:space="preserve">c) </w:t>
            </w:r>
            <w:r w:rsidRPr="0012739F">
              <w:rPr>
                <w:i/>
                <w:sz w:val="24"/>
                <w:szCs w:val="24"/>
                <w:lang w:val="ro-RO"/>
              </w:rPr>
              <w:t>bugetul asigurărilor sociale de stat:</w:t>
            </w:r>
          </w:p>
          <w:p w14:paraId="6E47FBC8" w14:textId="77777777" w:rsidR="00117B10" w:rsidRPr="0012739F" w:rsidRDefault="00117B10" w:rsidP="00441795">
            <w:pPr>
              <w:pStyle w:val="NoSpacing"/>
              <w:jc w:val="both"/>
              <w:rPr>
                <w:sz w:val="24"/>
                <w:szCs w:val="24"/>
                <w:lang w:val="ro-RO"/>
              </w:rPr>
            </w:pPr>
            <w:r w:rsidRPr="0012739F">
              <w:rPr>
                <w:sz w:val="24"/>
                <w:szCs w:val="24"/>
                <w:lang w:val="ro-RO"/>
              </w:rPr>
              <w:lastRenderedPageBreak/>
              <w:t xml:space="preserve">(i)contribuţii de asigurări </w:t>
            </w:r>
          </w:p>
          <w:p w14:paraId="5A932B3B" w14:textId="77777777" w:rsidR="00117B10" w:rsidRPr="0012739F" w:rsidRDefault="00117B10" w:rsidP="00441795">
            <w:pPr>
              <w:pStyle w:val="NoSpacing"/>
              <w:jc w:val="both"/>
              <w:rPr>
                <w:sz w:val="24"/>
                <w:szCs w:val="24"/>
                <w:lang w:val="ro-RO"/>
              </w:rPr>
            </w:pPr>
          </w:p>
        </w:tc>
        <w:tc>
          <w:tcPr>
            <w:tcW w:w="990" w:type="dxa"/>
            <w:shd w:val="clear" w:color="auto" w:fill="auto"/>
          </w:tcPr>
          <w:p w14:paraId="5AEE4EC6" w14:textId="77777777" w:rsidR="00117B10" w:rsidRPr="0012739F" w:rsidRDefault="00117B10" w:rsidP="00441795">
            <w:pPr>
              <w:pStyle w:val="NoSpacing"/>
              <w:jc w:val="both"/>
              <w:rPr>
                <w:sz w:val="24"/>
                <w:szCs w:val="24"/>
                <w:lang w:val="ro-RO"/>
              </w:rPr>
            </w:pPr>
          </w:p>
        </w:tc>
        <w:tc>
          <w:tcPr>
            <w:tcW w:w="552" w:type="dxa"/>
            <w:shd w:val="clear" w:color="auto" w:fill="auto"/>
          </w:tcPr>
          <w:p w14:paraId="0350E1B1" w14:textId="77777777" w:rsidR="00117B10" w:rsidRPr="0012739F" w:rsidRDefault="00117B10" w:rsidP="00441795">
            <w:pPr>
              <w:pStyle w:val="NoSpacing"/>
              <w:jc w:val="both"/>
              <w:rPr>
                <w:sz w:val="24"/>
                <w:szCs w:val="24"/>
                <w:lang w:val="ro-RO"/>
              </w:rPr>
            </w:pPr>
          </w:p>
        </w:tc>
        <w:tc>
          <w:tcPr>
            <w:tcW w:w="1276" w:type="dxa"/>
            <w:shd w:val="clear" w:color="auto" w:fill="auto"/>
          </w:tcPr>
          <w:p w14:paraId="50EEFC05" w14:textId="77777777" w:rsidR="00117B10" w:rsidRPr="0012739F" w:rsidRDefault="00117B10" w:rsidP="00441795">
            <w:pPr>
              <w:pStyle w:val="NoSpacing"/>
              <w:jc w:val="both"/>
              <w:rPr>
                <w:sz w:val="24"/>
                <w:szCs w:val="24"/>
                <w:lang w:val="ro-RO"/>
              </w:rPr>
            </w:pPr>
          </w:p>
        </w:tc>
        <w:tc>
          <w:tcPr>
            <w:tcW w:w="1276" w:type="dxa"/>
            <w:shd w:val="clear" w:color="auto" w:fill="auto"/>
          </w:tcPr>
          <w:p w14:paraId="7B4738E9" w14:textId="77777777" w:rsidR="00117B10" w:rsidRPr="0012739F" w:rsidRDefault="00117B10" w:rsidP="00441795">
            <w:pPr>
              <w:pStyle w:val="NoSpacing"/>
              <w:jc w:val="both"/>
              <w:rPr>
                <w:sz w:val="24"/>
                <w:szCs w:val="24"/>
                <w:lang w:val="ro-RO"/>
              </w:rPr>
            </w:pPr>
          </w:p>
        </w:tc>
        <w:tc>
          <w:tcPr>
            <w:tcW w:w="938" w:type="dxa"/>
            <w:shd w:val="clear" w:color="auto" w:fill="auto"/>
          </w:tcPr>
          <w:p w14:paraId="765F4577" w14:textId="77777777" w:rsidR="00117B10" w:rsidRPr="0012739F" w:rsidRDefault="00117B10" w:rsidP="00441795">
            <w:pPr>
              <w:pStyle w:val="NoSpacing"/>
              <w:jc w:val="both"/>
              <w:rPr>
                <w:sz w:val="24"/>
                <w:szCs w:val="24"/>
                <w:lang w:val="ro-RO"/>
              </w:rPr>
            </w:pPr>
          </w:p>
        </w:tc>
        <w:tc>
          <w:tcPr>
            <w:tcW w:w="1276" w:type="dxa"/>
            <w:shd w:val="clear" w:color="auto" w:fill="auto"/>
          </w:tcPr>
          <w:p w14:paraId="3FF8EC21" w14:textId="77777777" w:rsidR="00117B10" w:rsidRPr="0012739F" w:rsidRDefault="00117B10" w:rsidP="00441795">
            <w:pPr>
              <w:pStyle w:val="NoSpacing"/>
              <w:jc w:val="both"/>
              <w:rPr>
                <w:sz w:val="24"/>
                <w:szCs w:val="24"/>
                <w:lang w:val="ro-RO"/>
              </w:rPr>
            </w:pPr>
          </w:p>
        </w:tc>
      </w:tr>
      <w:tr w:rsidR="0012739F" w:rsidRPr="0055528B" w14:paraId="554FEB83" w14:textId="77777777" w:rsidTr="00117B10">
        <w:trPr>
          <w:trHeight w:val="1266"/>
        </w:trPr>
        <w:tc>
          <w:tcPr>
            <w:tcW w:w="4608" w:type="dxa"/>
          </w:tcPr>
          <w:p w14:paraId="271CBC97" w14:textId="77777777" w:rsidR="00117B10" w:rsidRPr="0012739F" w:rsidRDefault="00117B10" w:rsidP="00441795">
            <w:pPr>
              <w:pStyle w:val="NoSpacing"/>
              <w:jc w:val="both"/>
              <w:rPr>
                <w:b/>
                <w:sz w:val="24"/>
                <w:szCs w:val="24"/>
                <w:lang w:val="ro-RO"/>
              </w:rPr>
            </w:pPr>
            <w:r w:rsidRPr="0012739F">
              <w:rPr>
                <w:b/>
                <w:sz w:val="24"/>
                <w:szCs w:val="24"/>
                <w:lang w:val="ro-RO"/>
              </w:rPr>
              <w:t>2. Modificări ale cheltuielilor bugetare, plus/minus, din care:</w:t>
            </w:r>
          </w:p>
          <w:p w14:paraId="147BAD12" w14:textId="77777777" w:rsidR="00117B10" w:rsidRPr="0012739F" w:rsidRDefault="00117B10" w:rsidP="00441795">
            <w:pPr>
              <w:pStyle w:val="NoSpacing"/>
              <w:jc w:val="both"/>
              <w:rPr>
                <w:i/>
                <w:sz w:val="24"/>
                <w:szCs w:val="24"/>
                <w:lang w:val="ro-RO"/>
              </w:rPr>
            </w:pPr>
            <w:r w:rsidRPr="0012739F">
              <w:rPr>
                <w:sz w:val="24"/>
                <w:szCs w:val="24"/>
                <w:lang w:val="ro-RO"/>
              </w:rPr>
              <w:t>a</w:t>
            </w:r>
            <w:r w:rsidRPr="0012739F">
              <w:rPr>
                <w:i/>
                <w:sz w:val="24"/>
                <w:szCs w:val="24"/>
                <w:lang w:val="ro-RO"/>
              </w:rPr>
              <w:t>) buget de stat, din acesta:</w:t>
            </w:r>
          </w:p>
          <w:p w14:paraId="67AB5890" w14:textId="77777777" w:rsidR="00117B10" w:rsidRPr="0012739F" w:rsidRDefault="00117B10" w:rsidP="00441795">
            <w:pPr>
              <w:pStyle w:val="NoSpacing"/>
              <w:jc w:val="both"/>
              <w:rPr>
                <w:sz w:val="24"/>
                <w:szCs w:val="24"/>
                <w:lang w:val="ro-RO"/>
              </w:rPr>
            </w:pPr>
            <w:r w:rsidRPr="0012739F">
              <w:rPr>
                <w:sz w:val="24"/>
                <w:szCs w:val="24"/>
                <w:lang w:val="ro-RO"/>
              </w:rPr>
              <w:t>(i) cheltuieli de personal</w:t>
            </w:r>
          </w:p>
        </w:tc>
        <w:tc>
          <w:tcPr>
            <w:tcW w:w="990" w:type="dxa"/>
            <w:shd w:val="clear" w:color="auto" w:fill="auto"/>
          </w:tcPr>
          <w:p w14:paraId="33718207" w14:textId="77777777" w:rsidR="00117B10" w:rsidRPr="0012739F" w:rsidRDefault="00117B10" w:rsidP="00441795">
            <w:pPr>
              <w:pStyle w:val="NoSpacing"/>
              <w:ind w:right="-250"/>
              <w:jc w:val="both"/>
              <w:rPr>
                <w:b/>
                <w:sz w:val="24"/>
                <w:szCs w:val="24"/>
                <w:lang w:val="ro-RO"/>
              </w:rPr>
            </w:pPr>
          </w:p>
        </w:tc>
        <w:tc>
          <w:tcPr>
            <w:tcW w:w="552" w:type="dxa"/>
            <w:shd w:val="clear" w:color="auto" w:fill="auto"/>
          </w:tcPr>
          <w:p w14:paraId="249607BC" w14:textId="77777777" w:rsidR="00117B10" w:rsidRPr="0012739F" w:rsidRDefault="00117B10" w:rsidP="00441795">
            <w:pPr>
              <w:pStyle w:val="NoSpacing"/>
              <w:ind w:right="-250"/>
              <w:jc w:val="both"/>
              <w:rPr>
                <w:b/>
                <w:sz w:val="24"/>
                <w:szCs w:val="24"/>
                <w:lang w:val="ro-RO"/>
              </w:rPr>
            </w:pPr>
          </w:p>
        </w:tc>
        <w:tc>
          <w:tcPr>
            <w:tcW w:w="1276" w:type="dxa"/>
            <w:shd w:val="clear" w:color="auto" w:fill="auto"/>
          </w:tcPr>
          <w:p w14:paraId="2AB36BD3" w14:textId="77777777" w:rsidR="00117B10" w:rsidRPr="0012739F" w:rsidRDefault="00117B10" w:rsidP="00441795">
            <w:pPr>
              <w:pStyle w:val="NoSpacing"/>
              <w:ind w:right="-250"/>
              <w:jc w:val="both"/>
              <w:rPr>
                <w:b/>
                <w:sz w:val="24"/>
                <w:szCs w:val="24"/>
                <w:lang w:val="ro-RO"/>
              </w:rPr>
            </w:pPr>
          </w:p>
        </w:tc>
        <w:tc>
          <w:tcPr>
            <w:tcW w:w="1276" w:type="dxa"/>
            <w:shd w:val="clear" w:color="auto" w:fill="auto"/>
          </w:tcPr>
          <w:p w14:paraId="403C3DCB" w14:textId="77777777" w:rsidR="00117B10" w:rsidRPr="0012739F" w:rsidRDefault="00117B10" w:rsidP="00441795">
            <w:pPr>
              <w:pStyle w:val="NoSpacing"/>
              <w:ind w:right="-250" w:hanging="108"/>
              <w:jc w:val="both"/>
              <w:rPr>
                <w:b/>
                <w:sz w:val="24"/>
                <w:szCs w:val="24"/>
                <w:lang w:val="ro-RO"/>
              </w:rPr>
            </w:pPr>
          </w:p>
        </w:tc>
        <w:tc>
          <w:tcPr>
            <w:tcW w:w="938" w:type="dxa"/>
            <w:shd w:val="clear" w:color="auto" w:fill="auto"/>
          </w:tcPr>
          <w:p w14:paraId="621B5ACD" w14:textId="77777777" w:rsidR="00117B10" w:rsidRPr="0012739F" w:rsidRDefault="00117B10" w:rsidP="00441795">
            <w:pPr>
              <w:pStyle w:val="NoSpacing"/>
              <w:ind w:right="-250" w:hanging="108"/>
              <w:jc w:val="both"/>
              <w:rPr>
                <w:b/>
                <w:sz w:val="24"/>
                <w:szCs w:val="24"/>
                <w:lang w:val="ro-RO"/>
              </w:rPr>
            </w:pPr>
          </w:p>
        </w:tc>
        <w:tc>
          <w:tcPr>
            <w:tcW w:w="1276" w:type="dxa"/>
            <w:shd w:val="clear" w:color="auto" w:fill="auto"/>
          </w:tcPr>
          <w:p w14:paraId="4E77644E" w14:textId="77777777" w:rsidR="00117B10" w:rsidRPr="0012739F" w:rsidRDefault="00117B10" w:rsidP="00441795">
            <w:pPr>
              <w:pStyle w:val="NoSpacing"/>
              <w:jc w:val="both"/>
              <w:rPr>
                <w:sz w:val="24"/>
                <w:szCs w:val="24"/>
                <w:lang w:val="ro-RO"/>
              </w:rPr>
            </w:pPr>
          </w:p>
        </w:tc>
      </w:tr>
      <w:tr w:rsidR="0012739F" w:rsidRPr="0012739F" w14:paraId="11BBABB8" w14:textId="77777777" w:rsidTr="00117B10">
        <w:trPr>
          <w:trHeight w:val="1968"/>
        </w:trPr>
        <w:tc>
          <w:tcPr>
            <w:tcW w:w="4608" w:type="dxa"/>
          </w:tcPr>
          <w:p w14:paraId="760ADEFF" w14:textId="77777777" w:rsidR="00117B10" w:rsidRPr="0012739F" w:rsidRDefault="00117B10" w:rsidP="00441795">
            <w:pPr>
              <w:pStyle w:val="NoSpacing"/>
              <w:jc w:val="both"/>
              <w:rPr>
                <w:sz w:val="24"/>
                <w:szCs w:val="24"/>
                <w:lang w:val="ro-RO"/>
              </w:rPr>
            </w:pPr>
            <w:r w:rsidRPr="0012739F">
              <w:rPr>
                <w:sz w:val="24"/>
                <w:szCs w:val="24"/>
                <w:lang w:val="ro-RO"/>
              </w:rPr>
              <w:t>(ii) bunuri şi servicii</w:t>
            </w:r>
          </w:p>
          <w:p w14:paraId="1A19D7BF" w14:textId="77777777" w:rsidR="00117B10" w:rsidRPr="0012739F" w:rsidRDefault="00117B10" w:rsidP="00441795">
            <w:pPr>
              <w:pStyle w:val="NoSpacing"/>
              <w:jc w:val="both"/>
              <w:rPr>
                <w:i/>
                <w:sz w:val="24"/>
                <w:szCs w:val="24"/>
                <w:lang w:val="ro-RO"/>
              </w:rPr>
            </w:pPr>
            <w:r w:rsidRPr="0012739F">
              <w:rPr>
                <w:sz w:val="24"/>
                <w:szCs w:val="24"/>
                <w:lang w:val="ro-RO"/>
              </w:rPr>
              <w:t xml:space="preserve">b) </w:t>
            </w:r>
            <w:r w:rsidRPr="0012739F">
              <w:rPr>
                <w:i/>
                <w:sz w:val="24"/>
                <w:szCs w:val="24"/>
                <w:lang w:val="ro-RO"/>
              </w:rPr>
              <w:t>bugete locale:</w:t>
            </w:r>
          </w:p>
          <w:p w14:paraId="6C767EA5" w14:textId="77777777" w:rsidR="00117B10" w:rsidRPr="0012739F" w:rsidRDefault="00117B10" w:rsidP="00441795">
            <w:pPr>
              <w:pStyle w:val="NoSpacing"/>
              <w:jc w:val="both"/>
              <w:rPr>
                <w:sz w:val="24"/>
                <w:szCs w:val="24"/>
                <w:lang w:val="ro-RO"/>
              </w:rPr>
            </w:pPr>
            <w:r w:rsidRPr="0012739F">
              <w:rPr>
                <w:sz w:val="24"/>
                <w:szCs w:val="24"/>
                <w:lang w:val="ro-RO"/>
              </w:rPr>
              <w:t>(i) cheltuieli de personal</w:t>
            </w:r>
          </w:p>
          <w:p w14:paraId="18E56BFE" w14:textId="77777777" w:rsidR="00117B10" w:rsidRPr="0012739F" w:rsidRDefault="00117B10" w:rsidP="00441795">
            <w:pPr>
              <w:pStyle w:val="NoSpacing"/>
              <w:jc w:val="both"/>
              <w:rPr>
                <w:sz w:val="24"/>
                <w:szCs w:val="24"/>
                <w:lang w:val="ro-RO"/>
              </w:rPr>
            </w:pPr>
            <w:r w:rsidRPr="0012739F">
              <w:rPr>
                <w:sz w:val="24"/>
                <w:szCs w:val="24"/>
                <w:lang w:val="ro-RO"/>
              </w:rPr>
              <w:t>(ii) bunuri şi servicii</w:t>
            </w:r>
          </w:p>
          <w:p w14:paraId="346CA00E" w14:textId="77777777" w:rsidR="00117B10" w:rsidRPr="0012739F" w:rsidRDefault="00117B10" w:rsidP="00441795">
            <w:pPr>
              <w:pStyle w:val="NoSpacing"/>
              <w:jc w:val="both"/>
              <w:rPr>
                <w:i/>
                <w:sz w:val="24"/>
                <w:szCs w:val="24"/>
                <w:lang w:val="ro-RO"/>
              </w:rPr>
            </w:pPr>
            <w:r w:rsidRPr="0012739F">
              <w:rPr>
                <w:sz w:val="24"/>
                <w:szCs w:val="24"/>
                <w:lang w:val="ro-RO"/>
              </w:rPr>
              <w:t xml:space="preserve">c) </w:t>
            </w:r>
            <w:r w:rsidRPr="0012739F">
              <w:rPr>
                <w:i/>
                <w:sz w:val="24"/>
                <w:szCs w:val="24"/>
                <w:lang w:val="ro-RO"/>
              </w:rPr>
              <w:t>bugetul asigurărilor sociale de stat:</w:t>
            </w:r>
          </w:p>
          <w:p w14:paraId="4644F614" w14:textId="77777777" w:rsidR="00117B10" w:rsidRPr="0012739F" w:rsidRDefault="00117B10" w:rsidP="00441795">
            <w:pPr>
              <w:pStyle w:val="NoSpacing"/>
              <w:jc w:val="both"/>
              <w:rPr>
                <w:sz w:val="24"/>
                <w:szCs w:val="24"/>
                <w:lang w:val="ro-RO"/>
              </w:rPr>
            </w:pPr>
            <w:r w:rsidRPr="0012739F">
              <w:rPr>
                <w:sz w:val="24"/>
                <w:szCs w:val="24"/>
                <w:lang w:val="ro-RO"/>
              </w:rPr>
              <w:t>(i) cheltuieli de personal</w:t>
            </w:r>
          </w:p>
          <w:p w14:paraId="5EA1318F" w14:textId="77777777" w:rsidR="00117B10" w:rsidRPr="0012739F" w:rsidRDefault="00117B10" w:rsidP="00441795">
            <w:pPr>
              <w:pStyle w:val="NoSpacing"/>
              <w:jc w:val="both"/>
              <w:rPr>
                <w:b/>
                <w:sz w:val="24"/>
                <w:szCs w:val="24"/>
                <w:lang w:val="ro-RO"/>
              </w:rPr>
            </w:pPr>
            <w:r w:rsidRPr="0012739F">
              <w:rPr>
                <w:sz w:val="24"/>
                <w:szCs w:val="24"/>
                <w:lang w:val="ro-RO"/>
              </w:rPr>
              <w:t>(ii) bunuri şi servicii</w:t>
            </w:r>
          </w:p>
        </w:tc>
        <w:tc>
          <w:tcPr>
            <w:tcW w:w="990" w:type="dxa"/>
            <w:shd w:val="clear" w:color="auto" w:fill="auto"/>
          </w:tcPr>
          <w:p w14:paraId="68F7220C" w14:textId="77777777" w:rsidR="00117B10" w:rsidRPr="0012739F" w:rsidRDefault="00117B10" w:rsidP="00441795">
            <w:pPr>
              <w:pStyle w:val="NoSpacing"/>
              <w:ind w:right="-250" w:hanging="108"/>
              <w:jc w:val="both"/>
              <w:rPr>
                <w:b/>
                <w:sz w:val="24"/>
                <w:szCs w:val="24"/>
                <w:lang w:val="ro-RO"/>
              </w:rPr>
            </w:pPr>
          </w:p>
        </w:tc>
        <w:tc>
          <w:tcPr>
            <w:tcW w:w="552" w:type="dxa"/>
            <w:shd w:val="clear" w:color="auto" w:fill="auto"/>
          </w:tcPr>
          <w:p w14:paraId="6BE22429" w14:textId="77777777" w:rsidR="00117B10" w:rsidRPr="0012739F" w:rsidRDefault="00117B10" w:rsidP="00441795">
            <w:pPr>
              <w:pStyle w:val="NoSpacing"/>
              <w:ind w:right="-250" w:hanging="108"/>
              <w:jc w:val="both"/>
              <w:rPr>
                <w:b/>
                <w:sz w:val="24"/>
                <w:szCs w:val="24"/>
                <w:lang w:val="ro-RO"/>
              </w:rPr>
            </w:pPr>
          </w:p>
        </w:tc>
        <w:tc>
          <w:tcPr>
            <w:tcW w:w="1276" w:type="dxa"/>
            <w:shd w:val="clear" w:color="auto" w:fill="auto"/>
          </w:tcPr>
          <w:p w14:paraId="5D92381F" w14:textId="77777777" w:rsidR="00117B10" w:rsidRPr="0012739F" w:rsidRDefault="00117B10" w:rsidP="00441795">
            <w:pPr>
              <w:pStyle w:val="NoSpacing"/>
              <w:ind w:right="-250" w:hanging="108"/>
              <w:jc w:val="both"/>
              <w:rPr>
                <w:b/>
                <w:sz w:val="24"/>
                <w:szCs w:val="24"/>
                <w:lang w:val="ro-RO"/>
              </w:rPr>
            </w:pPr>
          </w:p>
        </w:tc>
        <w:tc>
          <w:tcPr>
            <w:tcW w:w="1276" w:type="dxa"/>
            <w:shd w:val="clear" w:color="auto" w:fill="auto"/>
          </w:tcPr>
          <w:p w14:paraId="4D7FE796" w14:textId="77777777" w:rsidR="00117B10" w:rsidRPr="0012739F" w:rsidRDefault="00117B10" w:rsidP="00441795">
            <w:pPr>
              <w:pStyle w:val="NoSpacing"/>
              <w:ind w:right="-250" w:hanging="108"/>
              <w:jc w:val="both"/>
              <w:rPr>
                <w:b/>
                <w:sz w:val="24"/>
                <w:szCs w:val="24"/>
                <w:lang w:val="ro-RO"/>
              </w:rPr>
            </w:pPr>
          </w:p>
        </w:tc>
        <w:tc>
          <w:tcPr>
            <w:tcW w:w="938" w:type="dxa"/>
            <w:shd w:val="clear" w:color="auto" w:fill="auto"/>
          </w:tcPr>
          <w:p w14:paraId="3EE435AA" w14:textId="77777777" w:rsidR="00117B10" w:rsidRPr="0012739F" w:rsidRDefault="00117B10" w:rsidP="00441795">
            <w:pPr>
              <w:pStyle w:val="NoSpacing"/>
              <w:jc w:val="both"/>
              <w:rPr>
                <w:sz w:val="24"/>
                <w:szCs w:val="24"/>
                <w:lang w:val="ro-RO"/>
              </w:rPr>
            </w:pPr>
          </w:p>
        </w:tc>
        <w:tc>
          <w:tcPr>
            <w:tcW w:w="1276" w:type="dxa"/>
            <w:shd w:val="clear" w:color="auto" w:fill="auto"/>
          </w:tcPr>
          <w:p w14:paraId="53EBA23C" w14:textId="77777777" w:rsidR="00117B10" w:rsidRPr="0012739F" w:rsidRDefault="00117B10" w:rsidP="00441795">
            <w:pPr>
              <w:pStyle w:val="NoSpacing"/>
              <w:jc w:val="both"/>
              <w:rPr>
                <w:sz w:val="24"/>
                <w:szCs w:val="24"/>
                <w:lang w:val="ro-RO"/>
              </w:rPr>
            </w:pPr>
          </w:p>
        </w:tc>
      </w:tr>
      <w:tr w:rsidR="0012739F" w:rsidRPr="0012739F" w14:paraId="66CE774C" w14:textId="77777777" w:rsidTr="00117B10">
        <w:tc>
          <w:tcPr>
            <w:tcW w:w="4608" w:type="dxa"/>
          </w:tcPr>
          <w:p w14:paraId="67B7761A" w14:textId="77777777" w:rsidR="00117B10" w:rsidRPr="0012739F" w:rsidRDefault="00117B10" w:rsidP="00441795">
            <w:pPr>
              <w:pStyle w:val="NoSpacing"/>
              <w:jc w:val="both"/>
              <w:rPr>
                <w:b/>
                <w:sz w:val="24"/>
                <w:szCs w:val="24"/>
                <w:lang w:val="ro-RO"/>
              </w:rPr>
            </w:pPr>
            <w:r w:rsidRPr="0012739F">
              <w:rPr>
                <w:b/>
                <w:sz w:val="24"/>
                <w:szCs w:val="24"/>
                <w:lang w:val="ro-RO"/>
              </w:rPr>
              <w:t>3. Impact financiar, plus/minus, din care:</w:t>
            </w:r>
          </w:p>
          <w:p w14:paraId="043AAF7F" w14:textId="77777777" w:rsidR="00117B10" w:rsidRPr="0012739F" w:rsidRDefault="00117B10" w:rsidP="00441795">
            <w:pPr>
              <w:pStyle w:val="NoSpacing"/>
              <w:jc w:val="both"/>
              <w:rPr>
                <w:i/>
                <w:sz w:val="24"/>
                <w:szCs w:val="24"/>
                <w:lang w:val="ro-RO"/>
              </w:rPr>
            </w:pPr>
            <w:r w:rsidRPr="0012739F">
              <w:rPr>
                <w:sz w:val="24"/>
                <w:szCs w:val="24"/>
                <w:lang w:val="ro-RO"/>
              </w:rPr>
              <w:t xml:space="preserve">a) </w:t>
            </w:r>
            <w:r w:rsidRPr="0012739F">
              <w:rPr>
                <w:i/>
                <w:sz w:val="24"/>
                <w:szCs w:val="24"/>
                <w:lang w:val="ro-RO"/>
              </w:rPr>
              <w:t>buget de stat</w:t>
            </w:r>
          </w:p>
          <w:p w14:paraId="5A6B4BC4" w14:textId="77777777" w:rsidR="00117B10" w:rsidRPr="0012739F" w:rsidRDefault="00117B10" w:rsidP="00441795">
            <w:pPr>
              <w:pStyle w:val="NoSpacing"/>
              <w:jc w:val="both"/>
              <w:rPr>
                <w:sz w:val="24"/>
                <w:szCs w:val="24"/>
                <w:lang w:val="ro-RO"/>
              </w:rPr>
            </w:pPr>
            <w:r w:rsidRPr="0012739F">
              <w:rPr>
                <w:sz w:val="24"/>
                <w:szCs w:val="24"/>
                <w:lang w:val="ro-RO"/>
              </w:rPr>
              <w:t xml:space="preserve">b) </w:t>
            </w:r>
            <w:r w:rsidRPr="0012739F">
              <w:rPr>
                <w:i/>
                <w:sz w:val="24"/>
                <w:szCs w:val="24"/>
                <w:lang w:val="ro-RO"/>
              </w:rPr>
              <w:t>bugete locale</w:t>
            </w:r>
          </w:p>
        </w:tc>
        <w:tc>
          <w:tcPr>
            <w:tcW w:w="6308" w:type="dxa"/>
            <w:gridSpan w:val="6"/>
            <w:shd w:val="clear" w:color="auto" w:fill="auto"/>
          </w:tcPr>
          <w:p w14:paraId="6146739F" w14:textId="77777777" w:rsidR="00117B10" w:rsidRPr="0012739F" w:rsidRDefault="00117B10" w:rsidP="00441795">
            <w:pPr>
              <w:pStyle w:val="NoSpacing"/>
              <w:jc w:val="both"/>
              <w:rPr>
                <w:sz w:val="24"/>
                <w:szCs w:val="24"/>
                <w:lang w:val="ro-RO"/>
              </w:rPr>
            </w:pPr>
          </w:p>
        </w:tc>
      </w:tr>
      <w:tr w:rsidR="0012739F" w:rsidRPr="0055528B" w14:paraId="5EA9BFB5" w14:textId="77777777" w:rsidTr="00117B10">
        <w:tc>
          <w:tcPr>
            <w:tcW w:w="4608" w:type="dxa"/>
          </w:tcPr>
          <w:p w14:paraId="19C384F7" w14:textId="77777777" w:rsidR="00117B10" w:rsidRPr="0012739F" w:rsidRDefault="00117B10" w:rsidP="00441795">
            <w:pPr>
              <w:pStyle w:val="NoSpacing"/>
              <w:jc w:val="both"/>
              <w:rPr>
                <w:b/>
                <w:sz w:val="24"/>
                <w:szCs w:val="24"/>
                <w:lang w:val="ro-RO"/>
              </w:rPr>
            </w:pPr>
            <w:r w:rsidRPr="0012739F">
              <w:rPr>
                <w:b/>
                <w:sz w:val="24"/>
                <w:szCs w:val="24"/>
                <w:lang w:val="ro-RO"/>
              </w:rPr>
              <w:t>4. Propuneri pentru acoperirea creşterii</w:t>
            </w:r>
          </w:p>
          <w:p w14:paraId="7CD0AFD9" w14:textId="77777777" w:rsidR="00117B10" w:rsidRPr="0012739F" w:rsidRDefault="00117B10" w:rsidP="00441795">
            <w:pPr>
              <w:pStyle w:val="NoSpacing"/>
              <w:jc w:val="both"/>
              <w:rPr>
                <w:b/>
                <w:sz w:val="24"/>
                <w:szCs w:val="24"/>
                <w:lang w:val="ro-RO"/>
              </w:rPr>
            </w:pPr>
            <w:r w:rsidRPr="0012739F">
              <w:rPr>
                <w:b/>
                <w:sz w:val="24"/>
                <w:szCs w:val="24"/>
                <w:lang w:val="ro-RO"/>
              </w:rPr>
              <w:t>cheltuielilor bugetare</w:t>
            </w:r>
          </w:p>
        </w:tc>
        <w:tc>
          <w:tcPr>
            <w:tcW w:w="6308" w:type="dxa"/>
            <w:gridSpan w:val="6"/>
            <w:shd w:val="clear" w:color="auto" w:fill="auto"/>
          </w:tcPr>
          <w:p w14:paraId="6CF719E8" w14:textId="77777777" w:rsidR="00117B10" w:rsidRPr="0012739F" w:rsidRDefault="00117B10" w:rsidP="00441795">
            <w:pPr>
              <w:pStyle w:val="NoSpacing"/>
              <w:jc w:val="both"/>
              <w:rPr>
                <w:sz w:val="24"/>
                <w:szCs w:val="24"/>
                <w:lang w:val="ro-RO"/>
              </w:rPr>
            </w:pPr>
          </w:p>
        </w:tc>
      </w:tr>
      <w:tr w:rsidR="0012739F" w:rsidRPr="0055528B" w14:paraId="7255FF29" w14:textId="77777777" w:rsidTr="00117B10">
        <w:tc>
          <w:tcPr>
            <w:tcW w:w="4608" w:type="dxa"/>
          </w:tcPr>
          <w:p w14:paraId="312C6848" w14:textId="77777777" w:rsidR="00117B10" w:rsidRPr="0012739F" w:rsidRDefault="00117B10" w:rsidP="00441795">
            <w:pPr>
              <w:pStyle w:val="NoSpacing"/>
              <w:jc w:val="both"/>
              <w:rPr>
                <w:b/>
                <w:sz w:val="24"/>
                <w:szCs w:val="24"/>
                <w:lang w:val="ro-RO"/>
              </w:rPr>
            </w:pPr>
            <w:r w:rsidRPr="0012739F">
              <w:rPr>
                <w:b/>
                <w:sz w:val="24"/>
                <w:szCs w:val="24"/>
                <w:lang w:val="ro-RO"/>
              </w:rPr>
              <w:t>5. Propuneri pentru a compensa reducerea veniturilor bugetare</w:t>
            </w:r>
          </w:p>
        </w:tc>
        <w:tc>
          <w:tcPr>
            <w:tcW w:w="6308" w:type="dxa"/>
            <w:gridSpan w:val="6"/>
            <w:shd w:val="clear" w:color="auto" w:fill="auto"/>
          </w:tcPr>
          <w:p w14:paraId="0FA970B8" w14:textId="77777777" w:rsidR="00117B10" w:rsidRPr="0012739F" w:rsidRDefault="00117B10" w:rsidP="00441795">
            <w:pPr>
              <w:pStyle w:val="NoSpacing"/>
              <w:jc w:val="both"/>
              <w:rPr>
                <w:sz w:val="24"/>
                <w:szCs w:val="24"/>
                <w:lang w:val="ro-RO"/>
              </w:rPr>
            </w:pPr>
          </w:p>
        </w:tc>
      </w:tr>
      <w:tr w:rsidR="0012739F" w:rsidRPr="0055528B" w14:paraId="1D0E1321" w14:textId="77777777" w:rsidTr="00117B10">
        <w:tc>
          <w:tcPr>
            <w:tcW w:w="4608" w:type="dxa"/>
          </w:tcPr>
          <w:p w14:paraId="682AAA33" w14:textId="77777777" w:rsidR="00117B10" w:rsidRPr="0012739F" w:rsidRDefault="00117B10" w:rsidP="00441795">
            <w:pPr>
              <w:pStyle w:val="NoSpacing"/>
              <w:jc w:val="both"/>
              <w:rPr>
                <w:sz w:val="24"/>
                <w:szCs w:val="24"/>
                <w:lang w:val="ro-RO"/>
              </w:rPr>
            </w:pPr>
            <w:r w:rsidRPr="0012739F">
              <w:rPr>
                <w:b/>
                <w:sz w:val="24"/>
                <w:szCs w:val="24"/>
                <w:lang w:val="ro-RO"/>
              </w:rPr>
              <w:t>6. Calcule detaliate privind fundamentarea modificării veniturilor şi/sau cheltuielilor bugetare</w:t>
            </w:r>
          </w:p>
        </w:tc>
        <w:tc>
          <w:tcPr>
            <w:tcW w:w="6308" w:type="dxa"/>
            <w:gridSpan w:val="6"/>
            <w:shd w:val="clear" w:color="auto" w:fill="auto"/>
          </w:tcPr>
          <w:p w14:paraId="47D04C5B" w14:textId="77777777" w:rsidR="00117B10" w:rsidRPr="0012739F" w:rsidRDefault="00117B10" w:rsidP="00441795">
            <w:pPr>
              <w:pStyle w:val="NoSpacing"/>
              <w:jc w:val="both"/>
              <w:rPr>
                <w:sz w:val="24"/>
                <w:szCs w:val="24"/>
                <w:lang w:val="ro-RO"/>
              </w:rPr>
            </w:pPr>
          </w:p>
        </w:tc>
      </w:tr>
      <w:tr w:rsidR="0012739F" w:rsidRPr="0055528B" w14:paraId="263A6523" w14:textId="77777777" w:rsidTr="00803BD5">
        <w:tc>
          <w:tcPr>
            <w:tcW w:w="10916" w:type="dxa"/>
            <w:gridSpan w:val="7"/>
          </w:tcPr>
          <w:p w14:paraId="4000AB2F" w14:textId="77777777" w:rsidR="00A558E3" w:rsidRPr="0012739F" w:rsidRDefault="00A558E3" w:rsidP="00A558E3">
            <w:pPr>
              <w:pStyle w:val="NoSpacing"/>
              <w:jc w:val="both"/>
              <w:rPr>
                <w:sz w:val="24"/>
                <w:szCs w:val="24"/>
                <w:lang w:val="it-IT"/>
              </w:rPr>
            </w:pPr>
            <w:r w:rsidRPr="0012739F">
              <w:rPr>
                <w:b/>
                <w:sz w:val="24"/>
                <w:szCs w:val="24"/>
                <w:lang w:val="ro-RO"/>
              </w:rPr>
              <w:t xml:space="preserve">7. </w:t>
            </w:r>
            <w:r w:rsidRPr="0012739F">
              <w:rPr>
                <w:sz w:val="24"/>
                <w:szCs w:val="24"/>
                <w:lang w:val="it-IT"/>
              </w:rPr>
              <w:t>Prezentarea, în cazul proiectelor de acte normative a căror adoptare atrage majorarea cheltuielilor bugetare, a următoarelor documente:</w:t>
            </w:r>
          </w:p>
          <w:p w14:paraId="74B40DE0" w14:textId="77777777" w:rsidR="00A558E3" w:rsidRPr="0012739F" w:rsidRDefault="00A558E3" w:rsidP="00A558E3">
            <w:pPr>
              <w:autoSpaceDE w:val="0"/>
              <w:autoSpaceDN w:val="0"/>
              <w:adjustRightInd w:val="0"/>
              <w:jc w:val="both"/>
              <w:rPr>
                <w:lang w:val="it-IT"/>
              </w:rPr>
            </w:pPr>
            <w:r w:rsidRPr="0012739F">
              <w:rPr>
                <w:lang w:val="it-IT"/>
              </w:rPr>
              <w:t xml:space="preserve">      a) fișa financiară prevăzută la art.15 din Legea nr. 500/2002 privind finanțele publice, cu modificările şi completările ulterioare, însoțită de ipotezele și metodologia de calcul utilizată;</w:t>
            </w:r>
          </w:p>
          <w:p w14:paraId="3A85487B" w14:textId="77777777" w:rsidR="00A558E3" w:rsidRPr="0012739F" w:rsidRDefault="00A558E3" w:rsidP="00A558E3">
            <w:pPr>
              <w:pStyle w:val="Subtitle"/>
              <w:ind w:firstLine="360"/>
              <w:jc w:val="both"/>
              <w:rPr>
                <w:b w:val="0"/>
                <w:sz w:val="24"/>
              </w:rPr>
            </w:pPr>
            <w:r w:rsidRPr="0012739F">
              <w:rPr>
                <w:b w:val="0"/>
                <w:sz w:val="24"/>
              </w:rPr>
              <w:t xml:space="preserve">b) declarație conform căreia majorarea de cheltuială respectivă este compatibilă cu obiectivele şi prioritățile    strategice specificate în strategia fiscal-bugetară, cu legea bugetară anuală şi cu plafoanele de cheltuieli prezentate în strategia fiscal-bugetară.  </w:t>
            </w:r>
          </w:p>
        </w:tc>
      </w:tr>
      <w:tr w:rsidR="0012739F" w:rsidRPr="0012739F" w14:paraId="16F4F4B5" w14:textId="77777777" w:rsidTr="00803BD5">
        <w:tc>
          <w:tcPr>
            <w:tcW w:w="10916" w:type="dxa"/>
            <w:gridSpan w:val="7"/>
          </w:tcPr>
          <w:p w14:paraId="2946AA03" w14:textId="77777777" w:rsidR="00A558E3" w:rsidRPr="0012739F" w:rsidRDefault="00A558E3" w:rsidP="00441795">
            <w:pPr>
              <w:pStyle w:val="NoSpacing"/>
              <w:jc w:val="both"/>
              <w:rPr>
                <w:b/>
                <w:sz w:val="24"/>
                <w:szCs w:val="24"/>
                <w:lang w:val="ro-RO"/>
              </w:rPr>
            </w:pPr>
            <w:r w:rsidRPr="0012739F">
              <w:rPr>
                <w:b/>
                <w:sz w:val="24"/>
                <w:szCs w:val="24"/>
                <w:lang w:val="ro-RO"/>
              </w:rPr>
              <w:t>8. Alte informaţii</w:t>
            </w:r>
          </w:p>
        </w:tc>
      </w:tr>
      <w:tr w:rsidR="0012739F" w:rsidRPr="0055528B" w14:paraId="2D261616" w14:textId="77777777" w:rsidTr="008C00DA">
        <w:tc>
          <w:tcPr>
            <w:tcW w:w="10916" w:type="dxa"/>
            <w:gridSpan w:val="7"/>
          </w:tcPr>
          <w:p w14:paraId="4E5C7F65" w14:textId="77777777" w:rsidR="00A558E3" w:rsidRPr="0012739F" w:rsidRDefault="00A558E3" w:rsidP="00A558E3">
            <w:pPr>
              <w:pStyle w:val="NoSpacing"/>
              <w:jc w:val="center"/>
              <w:rPr>
                <w:b/>
                <w:sz w:val="12"/>
                <w:szCs w:val="12"/>
                <w:lang w:val="ro-RO"/>
              </w:rPr>
            </w:pPr>
          </w:p>
          <w:p w14:paraId="4D903602" w14:textId="77777777" w:rsidR="00117B10" w:rsidRPr="0012739F" w:rsidRDefault="00117B10" w:rsidP="00A558E3">
            <w:pPr>
              <w:pStyle w:val="NoSpacing"/>
              <w:jc w:val="center"/>
              <w:rPr>
                <w:b/>
                <w:sz w:val="24"/>
                <w:szCs w:val="24"/>
                <w:lang w:val="ro-RO"/>
              </w:rPr>
            </w:pPr>
            <w:r w:rsidRPr="0012739F">
              <w:rPr>
                <w:b/>
                <w:sz w:val="24"/>
                <w:szCs w:val="24"/>
                <w:lang w:val="ro-RO"/>
              </w:rPr>
              <w:t>Secţiunea a 5 - a</w:t>
            </w:r>
          </w:p>
          <w:p w14:paraId="3074CF48" w14:textId="77777777" w:rsidR="00117B10" w:rsidRPr="0012739F" w:rsidRDefault="00117B10" w:rsidP="00A558E3">
            <w:pPr>
              <w:pStyle w:val="NoSpacing"/>
              <w:jc w:val="center"/>
              <w:rPr>
                <w:b/>
                <w:sz w:val="24"/>
                <w:szCs w:val="24"/>
                <w:lang w:val="ro-RO"/>
              </w:rPr>
            </w:pPr>
            <w:r w:rsidRPr="0012739F">
              <w:rPr>
                <w:b/>
                <w:sz w:val="24"/>
                <w:szCs w:val="24"/>
                <w:lang w:val="ro-RO"/>
              </w:rPr>
              <w:t>Efectele proiectului de act normativ asupra legislației în vigoare</w:t>
            </w:r>
          </w:p>
          <w:p w14:paraId="0C40CDDC" w14:textId="77777777" w:rsidR="00A558E3" w:rsidRPr="0012739F" w:rsidRDefault="00A558E3" w:rsidP="00A558E3">
            <w:pPr>
              <w:pStyle w:val="NoSpacing"/>
              <w:jc w:val="center"/>
              <w:rPr>
                <w:b/>
                <w:sz w:val="12"/>
                <w:szCs w:val="12"/>
                <w:lang w:val="ro-RO"/>
              </w:rPr>
            </w:pPr>
          </w:p>
        </w:tc>
      </w:tr>
      <w:tr w:rsidR="0012739F" w:rsidRPr="0055528B" w14:paraId="25542CB3" w14:textId="77777777" w:rsidTr="008C00DA">
        <w:tc>
          <w:tcPr>
            <w:tcW w:w="10916" w:type="dxa"/>
            <w:gridSpan w:val="7"/>
          </w:tcPr>
          <w:p w14:paraId="292A276E" w14:textId="77777777" w:rsidR="00117B10" w:rsidRPr="0012739F" w:rsidRDefault="00117B10" w:rsidP="00441795">
            <w:pPr>
              <w:pStyle w:val="NoSpacing"/>
              <w:jc w:val="both"/>
              <w:rPr>
                <w:b/>
                <w:sz w:val="24"/>
                <w:szCs w:val="24"/>
                <w:lang w:val="ro-RO"/>
              </w:rPr>
            </w:pPr>
            <w:r w:rsidRPr="0012739F">
              <w:rPr>
                <w:b/>
                <w:sz w:val="24"/>
                <w:szCs w:val="24"/>
                <w:lang w:val="ro-RO"/>
              </w:rPr>
              <w:t>1. Măsuri normative necesare pentru aplicarea prevederilor proiectului de act normativ:</w:t>
            </w:r>
          </w:p>
          <w:p w14:paraId="51376DD8" w14:textId="77777777" w:rsidR="00117B10" w:rsidRPr="0012739F" w:rsidRDefault="007F6D10" w:rsidP="00441795">
            <w:pPr>
              <w:pStyle w:val="NoSpacing"/>
              <w:jc w:val="both"/>
              <w:rPr>
                <w:b/>
                <w:sz w:val="24"/>
                <w:szCs w:val="24"/>
                <w:lang w:val="ro-RO"/>
              </w:rPr>
            </w:pPr>
            <w:r w:rsidRPr="0012739F">
              <w:rPr>
                <w:b/>
                <w:sz w:val="24"/>
                <w:szCs w:val="24"/>
                <w:lang w:val="ro-RO"/>
              </w:rPr>
              <w:t xml:space="preserve">  </w:t>
            </w:r>
            <w:r w:rsidR="00117B10" w:rsidRPr="0012739F">
              <w:rPr>
                <w:b/>
                <w:sz w:val="24"/>
                <w:szCs w:val="24"/>
                <w:lang w:val="ro-RO"/>
              </w:rPr>
              <w:t xml:space="preserve"> a) acte normative în vigoare ce vor fi modificate sau abrogate, ca urmare a intrării în vigoare a proiectului de act normativ</w:t>
            </w:r>
          </w:p>
          <w:p w14:paraId="567DCADD" w14:textId="77777777" w:rsidR="007D2450" w:rsidRPr="0012739F" w:rsidRDefault="007F6D10" w:rsidP="007D2450">
            <w:pPr>
              <w:autoSpaceDE w:val="0"/>
              <w:autoSpaceDN w:val="0"/>
              <w:adjustRightInd w:val="0"/>
              <w:jc w:val="both"/>
              <w:rPr>
                <w:lang w:val="ro-RO"/>
              </w:rPr>
            </w:pPr>
            <w:r w:rsidRPr="0012739F">
              <w:rPr>
                <w:lang w:val="ro-RO"/>
              </w:rPr>
              <w:t xml:space="preserve">   </w:t>
            </w:r>
            <w:r w:rsidR="007D2450" w:rsidRPr="0012739F">
              <w:rPr>
                <w:lang w:val="ro-RO"/>
              </w:rPr>
              <w:t>Acte normative în vigoare ce vor fi modificate sau abrogate, ca urmare a intrării în vigoare a proiectului de act normativ:</w:t>
            </w:r>
          </w:p>
          <w:p w14:paraId="32DC607F" w14:textId="77777777" w:rsidR="007D2450" w:rsidRPr="0012739F" w:rsidRDefault="007D2450" w:rsidP="007D2450">
            <w:pPr>
              <w:autoSpaceDE w:val="0"/>
              <w:autoSpaceDN w:val="0"/>
              <w:adjustRightInd w:val="0"/>
              <w:jc w:val="both"/>
              <w:rPr>
                <w:lang w:val="ro-RO"/>
              </w:rPr>
            </w:pPr>
            <w:r w:rsidRPr="0012739F">
              <w:rPr>
                <w:lang w:val="ro-RO"/>
              </w:rPr>
              <w:t>- abrogarea Hotărârii Guvernului nr. 974/2004 pentru aprobarea Normelor de supraveghere, inspecţie sanitară şi monitorizare a calităţii apei potabile şi a Procedurii de autorizare sanitară a producţiei şi distribuţiei apei potabile;</w:t>
            </w:r>
          </w:p>
          <w:p w14:paraId="2CE01C81" w14:textId="3B5B4673" w:rsidR="00FE3058" w:rsidRPr="0012739F" w:rsidRDefault="00FE3058" w:rsidP="007D2450">
            <w:pPr>
              <w:autoSpaceDE w:val="0"/>
              <w:autoSpaceDN w:val="0"/>
              <w:adjustRightInd w:val="0"/>
              <w:jc w:val="both"/>
              <w:rPr>
                <w:lang w:val="ro-RO"/>
              </w:rPr>
            </w:pPr>
            <w:r w:rsidRPr="0012739F">
              <w:rPr>
                <w:lang w:val="ro-RO"/>
              </w:rPr>
              <w:t>- aborgarea Hotărârii Guvernului nr. 100/2002 pentru aprobarea Normelor de calitate pe care trebuie să le îndeplinească apele de suprafaţă utilizate pentru potabilizare şi a Normativului privind metodele de măsurare şi frecvenţa de prelevare şi analiză a probelor din apele de suprafaţă destinate producerii de apă potabilă;</w:t>
            </w:r>
          </w:p>
          <w:p w14:paraId="4B6EA44E" w14:textId="77777777" w:rsidR="007D2450" w:rsidRPr="0012739F" w:rsidRDefault="007D2450" w:rsidP="007D2450">
            <w:pPr>
              <w:autoSpaceDE w:val="0"/>
              <w:autoSpaceDN w:val="0"/>
              <w:adjustRightInd w:val="0"/>
              <w:jc w:val="both"/>
              <w:rPr>
                <w:lang w:val="ro-RO"/>
              </w:rPr>
            </w:pPr>
            <w:r w:rsidRPr="0012739F">
              <w:rPr>
                <w:lang w:val="ro-RO"/>
              </w:rPr>
              <w:t xml:space="preserve">- abrogarea Ordinului   ministrului sănătății nr. 764 din 15 iulie 2005 pentru aprobarea procedurii de înregistrare la Ministerul Sănătăţii a laboratoarelor care efectuează monitorizarea calităţii apei potabile în cadrul controlului oficial al apei potabile, cu modificările și completările ulterioare; </w:t>
            </w:r>
          </w:p>
          <w:p w14:paraId="5B9A9F75" w14:textId="4F018011" w:rsidR="007D2450" w:rsidRPr="0012739F" w:rsidRDefault="007D2450" w:rsidP="007D2450">
            <w:pPr>
              <w:autoSpaceDE w:val="0"/>
              <w:autoSpaceDN w:val="0"/>
              <w:adjustRightInd w:val="0"/>
              <w:jc w:val="both"/>
              <w:rPr>
                <w:lang w:val="ro-RO"/>
              </w:rPr>
            </w:pPr>
            <w:r w:rsidRPr="0012739F">
              <w:rPr>
                <w:lang w:val="ro-RO"/>
              </w:rPr>
              <w:t xml:space="preserve">- abrogarea Ordinului ministrului sănătății nr. 299/2010 privind aprobarea Metodologiei de acordare a derogărilor pentru parametrii chimici, în conformitate cu prevederile art. 9 din Legea nr. 458/2002 privind calitatea apei potabile; </w:t>
            </w:r>
          </w:p>
          <w:p w14:paraId="55E44543" w14:textId="6F8B2828" w:rsidR="007D2450" w:rsidRPr="0012739F" w:rsidRDefault="007D2450" w:rsidP="007D2450">
            <w:pPr>
              <w:jc w:val="both"/>
              <w:rPr>
                <w:lang w:val="ro-RO"/>
              </w:rPr>
            </w:pPr>
            <w:r w:rsidRPr="0012739F">
              <w:rPr>
                <w:lang w:val="ro-RO"/>
              </w:rPr>
              <w:t xml:space="preserve">- </w:t>
            </w:r>
            <w:r w:rsidR="00991CEE" w:rsidRPr="0012739F">
              <w:rPr>
                <w:lang w:val="ro-RO"/>
              </w:rPr>
              <w:t>a</w:t>
            </w:r>
            <w:r w:rsidRPr="0012739F">
              <w:rPr>
                <w:lang w:val="ro-RO"/>
              </w:rPr>
              <w:t>cte normative ce urmează a fi elaborate în vederea implementării noilor dispoziţii: Ordin al ministrului sănătății pentru aprobarea Ghidului de evaluare și inspecție sanitară a sistemelor de aprovizionare cu apă.</w:t>
            </w:r>
          </w:p>
          <w:p w14:paraId="3141FB8D" w14:textId="77777777" w:rsidR="00117B10" w:rsidRPr="0012739F" w:rsidRDefault="00117B10" w:rsidP="007D2450">
            <w:pPr>
              <w:jc w:val="both"/>
              <w:rPr>
                <w:b/>
                <w:lang w:val="ro-RO"/>
              </w:rPr>
            </w:pPr>
            <w:r w:rsidRPr="0012739F">
              <w:rPr>
                <w:b/>
                <w:lang w:val="ro-RO"/>
              </w:rPr>
              <w:lastRenderedPageBreak/>
              <w:t>b) acte normative ce urmează a fi elaborate în vederea implementării noilor dispoziţii</w:t>
            </w:r>
          </w:p>
          <w:p w14:paraId="079AFDEC" w14:textId="77777777" w:rsidR="00117B10" w:rsidRPr="0012739F" w:rsidRDefault="007F6D10" w:rsidP="00441795">
            <w:pPr>
              <w:pStyle w:val="NoSpacing"/>
              <w:jc w:val="both"/>
              <w:rPr>
                <w:sz w:val="24"/>
                <w:szCs w:val="24"/>
                <w:lang w:val="ro-RO"/>
              </w:rPr>
            </w:pPr>
            <w:r w:rsidRPr="0012739F">
              <w:rPr>
                <w:sz w:val="24"/>
                <w:szCs w:val="24"/>
                <w:lang w:val="ro-RO"/>
              </w:rPr>
              <w:t xml:space="preserve">   </w:t>
            </w:r>
            <w:r w:rsidR="007D2450" w:rsidRPr="0012739F">
              <w:rPr>
                <w:sz w:val="24"/>
                <w:szCs w:val="24"/>
                <w:lang w:val="ro-RO"/>
              </w:rPr>
              <w:t>Ordin al ministrului sănătății pentru aprobarea Ghidului de evaluare și inspecție sanitară a sistemelor de aprovizionare cu apă.</w:t>
            </w:r>
          </w:p>
          <w:p w14:paraId="4B5C0C64" w14:textId="77777777" w:rsidR="00FE26D4" w:rsidRPr="0012739F" w:rsidRDefault="00FE26D4" w:rsidP="00441795">
            <w:pPr>
              <w:pStyle w:val="NoSpacing"/>
              <w:jc w:val="both"/>
              <w:rPr>
                <w:sz w:val="24"/>
                <w:szCs w:val="24"/>
                <w:lang w:val="ro-RO"/>
              </w:rPr>
            </w:pPr>
          </w:p>
        </w:tc>
      </w:tr>
      <w:tr w:rsidR="0012739F" w:rsidRPr="0012739F" w14:paraId="44B1EFA3" w14:textId="77777777" w:rsidTr="008C00DA">
        <w:tc>
          <w:tcPr>
            <w:tcW w:w="10916" w:type="dxa"/>
            <w:gridSpan w:val="7"/>
          </w:tcPr>
          <w:p w14:paraId="294396BC" w14:textId="77777777" w:rsidR="00117B10" w:rsidRPr="0012739F" w:rsidRDefault="00117B10" w:rsidP="000A77B0">
            <w:pPr>
              <w:pStyle w:val="NoSpacing"/>
              <w:jc w:val="both"/>
              <w:rPr>
                <w:b/>
                <w:sz w:val="24"/>
                <w:szCs w:val="24"/>
                <w:lang w:val="ro-RO"/>
              </w:rPr>
            </w:pPr>
            <w:r w:rsidRPr="0012739F">
              <w:rPr>
                <w:b/>
                <w:sz w:val="24"/>
                <w:szCs w:val="24"/>
                <w:lang w:val="ro-RO"/>
              </w:rPr>
              <w:lastRenderedPageBreak/>
              <w:t xml:space="preserve">2. </w:t>
            </w:r>
            <w:r w:rsidR="000A77B0" w:rsidRPr="0012739F">
              <w:rPr>
                <w:b/>
                <w:sz w:val="24"/>
                <w:szCs w:val="24"/>
                <w:lang w:val="ro-RO"/>
              </w:rPr>
              <w:t>Impactul asupra legislației în domeniul achizițiilor publice.</w:t>
            </w:r>
          </w:p>
          <w:p w14:paraId="20FA7D9F" w14:textId="77777777" w:rsidR="000A77B0" w:rsidRPr="0012739F" w:rsidRDefault="000A77B0" w:rsidP="000A77B0">
            <w:pPr>
              <w:pStyle w:val="NoSpacing"/>
              <w:jc w:val="both"/>
              <w:rPr>
                <w:sz w:val="24"/>
                <w:szCs w:val="24"/>
                <w:lang w:val="ro-RO"/>
              </w:rPr>
            </w:pPr>
            <w:r w:rsidRPr="0012739F">
              <w:rPr>
                <w:sz w:val="24"/>
                <w:szCs w:val="24"/>
                <w:lang w:val="ro-RO"/>
              </w:rPr>
              <w:t>Nu este cazul.</w:t>
            </w:r>
          </w:p>
        </w:tc>
      </w:tr>
      <w:tr w:rsidR="0012739F" w:rsidRPr="0012739F" w14:paraId="753B133E" w14:textId="77777777" w:rsidTr="008C00DA">
        <w:tc>
          <w:tcPr>
            <w:tcW w:w="10916" w:type="dxa"/>
            <w:gridSpan w:val="7"/>
          </w:tcPr>
          <w:p w14:paraId="794326DD" w14:textId="77777777" w:rsidR="00117B10" w:rsidRPr="0012739F" w:rsidRDefault="00117B10" w:rsidP="00441795">
            <w:pPr>
              <w:pStyle w:val="NoSpacing"/>
              <w:jc w:val="both"/>
              <w:rPr>
                <w:sz w:val="24"/>
                <w:szCs w:val="24"/>
                <w:lang w:val="ro-RO"/>
              </w:rPr>
            </w:pPr>
            <w:r w:rsidRPr="0012739F">
              <w:rPr>
                <w:b/>
                <w:sz w:val="24"/>
                <w:szCs w:val="24"/>
                <w:lang w:val="ro-RO"/>
              </w:rPr>
              <w:t xml:space="preserve">3. </w:t>
            </w:r>
            <w:r w:rsidR="000A77B0" w:rsidRPr="0012739F">
              <w:rPr>
                <w:b/>
                <w:sz w:val="24"/>
                <w:szCs w:val="24"/>
                <w:lang w:val="ro-RO"/>
              </w:rPr>
              <w:t>Conformitatea proiectului de act normativ cu legislația comunitară (în cazul proiectelor ce transpun sau asigură aplicarea unor prevederi de drept UE)</w:t>
            </w:r>
          </w:p>
          <w:p w14:paraId="2036E6A5" w14:textId="77777777" w:rsidR="00117B10" w:rsidRPr="0012739F" w:rsidRDefault="00117B10" w:rsidP="00441795">
            <w:pPr>
              <w:autoSpaceDE w:val="0"/>
              <w:autoSpaceDN w:val="0"/>
              <w:adjustRightInd w:val="0"/>
              <w:jc w:val="both"/>
              <w:rPr>
                <w:lang w:val="ro-RO"/>
              </w:rPr>
            </w:pPr>
            <w:r w:rsidRPr="0012739F">
              <w:rPr>
                <w:lang w:val="ro-RO"/>
              </w:rPr>
              <w:t>Nu este cazul.</w:t>
            </w:r>
            <w:r w:rsidR="000A77B0" w:rsidRPr="0012739F">
              <w:rPr>
                <w:lang w:val="ro-RO"/>
              </w:rPr>
              <w:t xml:space="preserve"> </w:t>
            </w:r>
          </w:p>
        </w:tc>
      </w:tr>
      <w:tr w:rsidR="0012739F" w:rsidRPr="0012739F" w14:paraId="0ABC5D40" w14:textId="77777777" w:rsidTr="008C00DA">
        <w:tc>
          <w:tcPr>
            <w:tcW w:w="10916" w:type="dxa"/>
            <w:gridSpan w:val="7"/>
          </w:tcPr>
          <w:p w14:paraId="765E206A" w14:textId="77777777" w:rsidR="00117B10" w:rsidRPr="0012739F" w:rsidRDefault="00117B10" w:rsidP="00441795">
            <w:pPr>
              <w:pStyle w:val="NoSpacing"/>
              <w:jc w:val="both"/>
              <w:rPr>
                <w:sz w:val="24"/>
                <w:szCs w:val="24"/>
                <w:lang w:val="ro-RO"/>
              </w:rPr>
            </w:pPr>
            <w:r w:rsidRPr="0012739F">
              <w:rPr>
                <w:b/>
                <w:sz w:val="24"/>
                <w:szCs w:val="24"/>
                <w:lang w:val="ro-RO"/>
              </w:rPr>
              <w:t>4. Decizii ale Curţii Europene de Justiţie şi alte documente</w:t>
            </w:r>
          </w:p>
          <w:p w14:paraId="140E7C1F" w14:textId="77777777" w:rsidR="00117B10" w:rsidRPr="0012739F" w:rsidRDefault="00117B10" w:rsidP="00441795">
            <w:pPr>
              <w:pStyle w:val="NoSpacing"/>
              <w:jc w:val="both"/>
              <w:rPr>
                <w:sz w:val="24"/>
                <w:szCs w:val="24"/>
                <w:lang w:val="ro-RO"/>
              </w:rPr>
            </w:pPr>
            <w:r w:rsidRPr="0012739F">
              <w:rPr>
                <w:sz w:val="24"/>
                <w:szCs w:val="24"/>
                <w:lang w:val="ro-RO"/>
              </w:rPr>
              <w:t>Nu este cazul.</w:t>
            </w:r>
          </w:p>
        </w:tc>
      </w:tr>
      <w:tr w:rsidR="0012739F" w:rsidRPr="0012739F" w14:paraId="54868717" w14:textId="77777777" w:rsidTr="008C00DA">
        <w:tc>
          <w:tcPr>
            <w:tcW w:w="10916" w:type="dxa"/>
            <w:gridSpan w:val="7"/>
          </w:tcPr>
          <w:p w14:paraId="77520543" w14:textId="77777777" w:rsidR="00117B10" w:rsidRPr="0012739F" w:rsidRDefault="00117B10" w:rsidP="00441795">
            <w:pPr>
              <w:pStyle w:val="NoSpacing"/>
              <w:jc w:val="both"/>
              <w:rPr>
                <w:b/>
                <w:sz w:val="24"/>
                <w:szCs w:val="24"/>
                <w:lang w:val="ro-RO"/>
              </w:rPr>
            </w:pPr>
            <w:r w:rsidRPr="0012739F">
              <w:rPr>
                <w:b/>
                <w:sz w:val="24"/>
                <w:szCs w:val="24"/>
                <w:lang w:val="ro-RO"/>
              </w:rPr>
              <w:t>5. Alte acte normative şi/sau documente internaţionale din care decurg angajamente</w:t>
            </w:r>
          </w:p>
          <w:p w14:paraId="20A0D134" w14:textId="77777777" w:rsidR="00117B10" w:rsidRPr="0012739F" w:rsidRDefault="00117B10" w:rsidP="00441795">
            <w:pPr>
              <w:pStyle w:val="NoSpacing"/>
              <w:jc w:val="both"/>
              <w:rPr>
                <w:sz w:val="24"/>
                <w:szCs w:val="24"/>
                <w:lang w:val="ro-RO"/>
              </w:rPr>
            </w:pPr>
            <w:r w:rsidRPr="0012739F">
              <w:rPr>
                <w:sz w:val="24"/>
                <w:szCs w:val="24"/>
                <w:lang w:val="ro-RO"/>
              </w:rPr>
              <w:t>Nu este cazul.</w:t>
            </w:r>
          </w:p>
        </w:tc>
      </w:tr>
      <w:tr w:rsidR="0012739F" w:rsidRPr="0055528B" w14:paraId="2B74AF76" w14:textId="77777777" w:rsidTr="008C00DA">
        <w:tc>
          <w:tcPr>
            <w:tcW w:w="10916" w:type="dxa"/>
            <w:gridSpan w:val="7"/>
          </w:tcPr>
          <w:p w14:paraId="47F956F8" w14:textId="77777777" w:rsidR="00117B10" w:rsidRPr="0012739F" w:rsidRDefault="00117B10" w:rsidP="00441795">
            <w:pPr>
              <w:pStyle w:val="NoSpacing"/>
              <w:jc w:val="both"/>
              <w:rPr>
                <w:sz w:val="24"/>
                <w:szCs w:val="24"/>
                <w:lang w:val="ro-RO"/>
              </w:rPr>
            </w:pPr>
            <w:r w:rsidRPr="0012739F">
              <w:rPr>
                <w:b/>
                <w:sz w:val="24"/>
                <w:szCs w:val="24"/>
                <w:lang w:val="ro-RO"/>
              </w:rPr>
              <w:t>6. Alte informaţii</w:t>
            </w:r>
          </w:p>
          <w:p w14:paraId="438A4B39" w14:textId="77777777" w:rsidR="00117B10" w:rsidRPr="0012739F" w:rsidRDefault="00117B10" w:rsidP="00441795">
            <w:pPr>
              <w:pStyle w:val="NoSpacing"/>
              <w:jc w:val="both"/>
              <w:rPr>
                <w:sz w:val="24"/>
                <w:szCs w:val="24"/>
                <w:lang w:val="ro-RO"/>
              </w:rPr>
            </w:pPr>
            <w:r w:rsidRPr="0012739F">
              <w:rPr>
                <w:sz w:val="24"/>
                <w:szCs w:val="24"/>
                <w:lang w:val="ro-RO"/>
              </w:rPr>
              <w:t>Nu au fost identificate.</w:t>
            </w:r>
          </w:p>
        </w:tc>
      </w:tr>
      <w:tr w:rsidR="0012739F" w:rsidRPr="0055528B" w14:paraId="6D1DBBBC" w14:textId="77777777" w:rsidTr="008C00DA">
        <w:tc>
          <w:tcPr>
            <w:tcW w:w="10916" w:type="dxa"/>
            <w:gridSpan w:val="7"/>
          </w:tcPr>
          <w:p w14:paraId="367C0EF8" w14:textId="77777777" w:rsidR="000A77B0" w:rsidRPr="0012739F" w:rsidRDefault="000A77B0" w:rsidP="000A77B0">
            <w:pPr>
              <w:pStyle w:val="NoSpacing"/>
              <w:jc w:val="center"/>
              <w:rPr>
                <w:b/>
                <w:sz w:val="12"/>
                <w:szCs w:val="12"/>
                <w:lang w:val="ro-RO"/>
              </w:rPr>
            </w:pPr>
          </w:p>
          <w:p w14:paraId="50571669" w14:textId="77777777" w:rsidR="00D47666" w:rsidRPr="0012739F" w:rsidRDefault="00117B10" w:rsidP="000A77B0">
            <w:pPr>
              <w:pStyle w:val="NoSpacing"/>
              <w:jc w:val="center"/>
              <w:rPr>
                <w:b/>
                <w:sz w:val="24"/>
                <w:szCs w:val="24"/>
                <w:lang w:val="ro-RO"/>
              </w:rPr>
            </w:pPr>
            <w:r w:rsidRPr="0012739F">
              <w:rPr>
                <w:b/>
                <w:sz w:val="24"/>
                <w:szCs w:val="24"/>
                <w:lang w:val="ro-RO"/>
              </w:rPr>
              <w:t>Secţiunea a 6-a</w:t>
            </w:r>
          </w:p>
          <w:p w14:paraId="38039D93" w14:textId="77777777" w:rsidR="00D47666" w:rsidRPr="0012739F" w:rsidRDefault="00117B10" w:rsidP="000A77B0">
            <w:pPr>
              <w:pStyle w:val="NoSpacing"/>
              <w:jc w:val="center"/>
              <w:rPr>
                <w:b/>
                <w:sz w:val="24"/>
                <w:szCs w:val="24"/>
                <w:lang w:val="ro-RO"/>
              </w:rPr>
            </w:pPr>
            <w:r w:rsidRPr="0012739F">
              <w:rPr>
                <w:b/>
                <w:sz w:val="24"/>
                <w:szCs w:val="24"/>
                <w:lang w:val="ro-RO"/>
              </w:rPr>
              <w:t>Consultările efectuate în vederea elaborării proiectului de act normativ</w:t>
            </w:r>
          </w:p>
          <w:p w14:paraId="7DC0EBA9" w14:textId="77777777" w:rsidR="000A77B0" w:rsidRPr="0012739F" w:rsidRDefault="000A77B0" w:rsidP="000A77B0">
            <w:pPr>
              <w:pStyle w:val="NoSpacing"/>
              <w:jc w:val="center"/>
              <w:rPr>
                <w:b/>
                <w:sz w:val="12"/>
                <w:szCs w:val="12"/>
                <w:lang w:val="ro-RO"/>
              </w:rPr>
            </w:pPr>
          </w:p>
        </w:tc>
      </w:tr>
      <w:tr w:rsidR="0012739F" w:rsidRPr="0055528B" w14:paraId="0C0BC317" w14:textId="77777777" w:rsidTr="008C00DA">
        <w:tc>
          <w:tcPr>
            <w:tcW w:w="10916" w:type="dxa"/>
            <w:gridSpan w:val="7"/>
          </w:tcPr>
          <w:p w14:paraId="28B8198E" w14:textId="77777777" w:rsidR="00117B10" w:rsidRPr="0012739F" w:rsidRDefault="00117B10" w:rsidP="00441795">
            <w:pPr>
              <w:pStyle w:val="NoSpacing"/>
              <w:jc w:val="both"/>
              <w:rPr>
                <w:sz w:val="24"/>
                <w:szCs w:val="24"/>
                <w:lang w:val="ro-RO"/>
              </w:rPr>
            </w:pPr>
            <w:r w:rsidRPr="0012739F">
              <w:rPr>
                <w:b/>
                <w:sz w:val="24"/>
                <w:szCs w:val="24"/>
                <w:lang w:val="ro-RO"/>
              </w:rPr>
              <w:t xml:space="preserve">1. </w:t>
            </w:r>
            <w:r w:rsidR="00124B9A" w:rsidRPr="0012739F">
              <w:rPr>
                <w:b/>
                <w:sz w:val="24"/>
                <w:szCs w:val="24"/>
                <w:lang w:val="ro-RO"/>
              </w:rPr>
              <w:t>Informații privind neaplicarea procedurii de participare la elaborarea actelor normative</w:t>
            </w:r>
          </w:p>
          <w:p w14:paraId="39B9129C" w14:textId="50891ECA" w:rsidR="00117B10" w:rsidRPr="0012739F" w:rsidRDefault="00EE1FC5" w:rsidP="00991CEE">
            <w:pPr>
              <w:spacing w:before="120"/>
              <w:jc w:val="both"/>
              <w:rPr>
                <w:lang w:val="ro-RO"/>
              </w:rPr>
            </w:pPr>
            <w:r w:rsidRPr="0012739F">
              <w:rPr>
                <w:lang w:val="ro-RO"/>
              </w:rPr>
              <w:t xml:space="preserve">    </w:t>
            </w:r>
            <w:r w:rsidR="00124B9A" w:rsidRPr="0012739F">
              <w:rPr>
                <w:lang w:val="ro-RO"/>
              </w:rPr>
              <w:t>Au fost organizate consultări cu Institutul Naţional de Sănătate Publică, forul metodologic al rețelei de sănătate publică teritorială, direcțiile de sănătate publică județene si a Municipiului București. Au fost transmise adrese către Ministerul Apelor și Pădurilor, Ministerul Dezvoltării Lucrărilor Publice și Administrației, Ministerul Muncii și Solidarității Sociale.</w:t>
            </w:r>
          </w:p>
        </w:tc>
      </w:tr>
      <w:tr w:rsidR="0012739F" w:rsidRPr="0055528B" w14:paraId="213D764F" w14:textId="77777777" w:rsidTr="008C00DA">
        <w:tc>
          <w:tcPr>
            <w:tcW w:w="10916" w:type="dxa"/>
            <w:gridSpan w:val="7"/>
          </w:tcPr>
          <w:p w14:paraId="3A4809B8" w14:textId="77777777" w:rsidR="00117B10" w:rsidRPr="0012739F" w:rsidRDefault="00117B10" w:rsidP="00441795">
            <w:pPr>
              <w:pStyle w:val="NoSpacing"/>
              <w:jc w:val="both"/>
              <w:rPr>
                <w:b/>
                <w:sz w:val="24"/>
                <w:szCs w:val="24"/>
                <w:lang w:val="ro-RO"/>
              </w:rPr>
            </w:pPr>
            <w:r w:rsidRPr="0012739F">
              <w:rPr>
                <w:b/>
                <w:sz w:val="24"/>
                <w:szCs w:val="24"/>
                <w:lang w:val="ro-RO"/>
              </w:rPr>
              <w:t xml:space="preserve">2. </w:t>
            </w:r>
            <w:r w:rsidR="00C1339C" w:rsidRPr="0012739F">
              <w:rPr>
                <w:b/>
                <w:sz w:val="24"/>
                <w:szCs w:val="24"/>
                <w:lang w:val="ro-RO"/>
              </w:rPr>
              <w:t>Informații privind procesul de consultare cu organizatii neguvernamentale, institute de cercetare și alte organisme implicate</w:t>
            </w:r>
          </w:p>
          <w:p w14:paraId="78A9B2CE" w14:textId="56147933" w:rsidR="00984C64" w:rsidRPr="0012739F" w:rsidRDefault="00EE1FC5" w:rsidP="00C1339C">
            <w:pPr>
              <w:jc w:val="both"/>
              <w:rPr>
                <w:lang w:val="ro-RO"/>
              </w:rPr>
            </w:pPr>
            <w:r w:rsidRPr="0012739F">
              <w:rPr>
                <w:lang w:val="ro-RO"/>
              </w:rPr>
              <w:t xml:space="preserve">    </w:t>
            </w:r>
            <w:r w:rsidR="00C1339C" w:rsidRPr="0012739F">
              <w:rPr>
                <w:lang w:val="ro-RO"/>
              </w:rPr>
              <w:t>Proiectul se referă la activităţi din sfera de competență a instituțiilor menționate la pct. 6.1, precum și a furnizorilor de apă, reprezentați prin Asociația Română a Apei.</w:t>
            </w:r>
          </w:p>
        </w:tc>
      </w:tr>
      <w:tr w:rsidR="0012739F" w:rsidRPr="0012739F" w14:paraId="306ECFFF" w14:textId="77777777" w:rsidTr="008C00DA">
        <w:tc>
          <w:tcPr>
            <w:tcW w:w="10916" w:type="dxa"/>
            <w:gridSpan w:val="7"/>
          </w:tcPr>
          <w:p w14:paraId="4DF076B6" w14:textId="77777777" w:rsidR="00117B10" w:rsidRPr="0012739F" w:rsidRDefault="00117B10" w:rsidP="00BF425A">
            <w:pPr>
              <w:pStyle w:val="NoSpacing"/>
              <w:jc w:val="both"/>
              <w:rPr>
                <w:sz w:val="24"/>
                <w:szCs w:val="24"/>
                <w:lang w:val="ro-RO"/>
              </w:rPr>
            </w:pPr>
            <w:r w:rsidRPr="0012739F">
              <w:rPr>
                <w:b/>
                <w:sz w:val="24"/>
                <w:szCs w:val="24"/>
                <w:lang w:val="ro-RO"/>
              </w:rPr>
              <w:t xml:space="preserve"> </w:t>
            </w:r>
            <w:r w:rsidR="00C1339C" w:rsidRPr="0012739F">
              <w:rPr>
                <w:b/>
                <w:sz w:val="24"/>
                <w:szCs w:val="24"/>
                <w:lang w:val="ro-RO"/>
              </w:rPr>
              <w:t xml:space="preserve">3. </w:t>
            </w:r>
            <w:r w:rsidRPr="0012739F">
              <w:rPr>
                <w:b/>
                <w:sz w:val="24"/>
                <w:szCs w:val="24"/>
                <w:lang w:val="ro-RO"/>
              </w:rPr>
              <w:t>Consultările organizate cu autorităţile administraţiei publice locale, în situaţia în care actul normativ are ca obiect activităţi ale acestor autorităţi, în condiţiile Hotărârii Guvernului nr.</w:t>
            </w:r>
            <w:r w:rsidR="00C1339C" w:rsidRPr="0012739F">
              <w:rPr>
                <w:b/>
                <w:sz w:val="24"/>
                <w:szCs w:val="24"/>
                <w:lang w:val="ro-RO"/>
              </w:rPr>
              <w:t>635</w:t>
            </w:r>
            <w:r w:rsidRPr="0012739F">
              <w:rPr>
                <w:b/>
                <w:sz w:val="24"/>
                <w:szCs w:val="24"/>
                <w:lang w:val="ro-RO"/>
              </w:rPr>
              <w:t>/20</w:t>
            </w:r>
            <w:r w:rsidR="00C1339C" w:rsidRPr="0012739F">
              <w:rPr>
                <w:b/>
                <w:sz w:val="24"/>
                <w:szCs w:val="24"/>
                <w:lang w:val="ro-RO"/>
              </w:rPr>
              <w:t>22</w:t>
            </w:r>
            <w:r w:rsidRPr="0012739F">
              <w:rPr>
                <w:b/>
                <w:sz w:val="24"/>
                <w:szCs w:val="24"/>
                <w:lang w:val="ro-RO"/>
              </w:rPr>
              <w:t xml:space="preserve"> privind procedura de consultare a structurilor asociative ale autorităţilor administraţiei publice locale la elaborarea proiectelor de acte normative</w:t>
            </w:r>
          </w:p>
          <w:p w14:paraId="1D06FEEF" w14:textId="77777777" w:rsidR="00117B10" w:rsidRPr="0012739F" w:rsidRDefault="00EE1FC5" w:rsidP="006F2C1A">
            <w:pPr>
              <w:pStyle w:val="NoSpacing"/>
              <w:jc w:val="both"/>
              <w:rPr>
                <w:bCs/>
                <w:sz w:val="24"/>
                <w:szCs w:val="24"/>
                <w:lang w:val="ro-RO"/>
              </w:rPr>
            </w:pPr>
            <w:r w:rsidRPr="0012739F">
              <w:rPr>
                <w:sz w:val="24"/>
                <w:szCs w:val="24"/>
                <w:lang w:val="ro-RO"/>
              </w:rPr>
              <w:t xml:space="preserve">     </w:t>
            </w:r>
            <w:r w:rsidR="006F2C1A" w:rsidRPr="0012739F">
              <w:rPr>
                <w:sz w:val="24"/>
                <w:szCs w:val="24"/>
                <w:lang w:val="ro-RO"/>
              </w:rPr>
              <w:t xml:space="preserve">Se impune consultarea structurilor asociative </w:t>
            </w:r>
            <w:r w:rsidR="00CA134A" w:rsidRPr="0012739F">
              <w:rPr>
                <w:sz w:val="24"/>
                <w:szCs w:val="24"/>
                <w:lang w:val="ro-RO"/>
              </w:rPr>
              <w:t>ale autorităţilor administraţiei publice locale.</w:t>
            </w:r>
          </w:p>
        </w:tc>
      </w:tr>
      <w:tr w:rsidR="0012739F" w:rsidRPr="0012739F" w14:paraId="2A822684" w14:textId="77777777" w:rsidTr="008C00DA">
        <w:tc>
          <w:tcPr>
            <w:tcW w:w="10916" w:type="dxa"/>
            <w:gridSpan w:val="7"/>
          </w:tcPr>
          <w:p w14:paraId="262E33D1" w14:textId="77777777" w:rsidR="00117B10" w:rsidRPr="0012739F" w:rsidRDefault="00117B10" w:rsidP="00BF425A">
            <w:pPr>
              <w:pStyle w:val="NoSpacing"/>
              <w:jc w:val="both"/>
              <w:rPr>
                <w:sz w:val="24"/>
                <w:szCs w:val="24"/>
                <w:lang w:val="ro-RO" w:eastAsia="ro-RO"/>
              </w:rPr>
            </w:pPr>
            <w:r w:rsidRPr="0012739F">
              <w:rPr>
                <w:b/>
                <w:sz w:val="24"/>
                <w:szCs w:val="24"/>
                <w:lang w:val="ro-RO"/>
              </w:rPr>
              <w:t xml:space="preserve">4. </w:t>
            </w:r>
            <w:r w:rsidR="00DD6E96" w:rsidRPr="0012739F">
              <w:rPr>
                <w:b/>
                <w:sz w:val="24"/>
                <w:szCs w:val="24"/>
                <w:lang w:val="ro-RO"/>
              </w:rPr>
              <w:t>Informații privind puncte de vedere/opinii emise de organisme consultative constituite prin acte normative</w:t>
            </w:r>
          </w:p>
          <w:p w14:paraId="5586AC05" w14:textId="77777777" w:rsidR="00117B10" w:rsidRPr="0012739F" w:rsidRDefault="00117B10" w:rsidP="00BF425A">
            <w:pPr>
              <w:pStyle w:val="NoSpacing"/>
              <w:jc w:val="both"/>
              <w:rPr>
                <w:sz w:val="24"/>
                <w:szCs w:val="24"/>
                <w:lang w:val="ro-RO" w:eastAsia="ro-RO"/>
              </w:rPr>
            </w:pPr>
            <w:r w:rsidRPr="0012739F">
              <w:rPr>
                <w:sz w:val="24"/>
                <w:szCs w:val="24"/>
                <w:lang w:val="ro-RO"/>
              </w:rPr>
              <w:t>Nu  este cazul.</w:t>
            </w:r>
          </w:p>
        </w:tc>
      </w:tr>
      <w:tr w:rsidR="0012739F" w:rsidRPr="0055528B" w14:paraId="3011C7E3" w14:textId="77777777" w:rsidTr="008C00DA">
        <w:tc>
          <w:tcPr>
            <w:tcW w:w="10916" w:type="dxa"/>
            <w:gridSpan w:val="7"/>
          </w:tcPr>
          <w:p w14:paraId="5E0C629A" w14:textId="77777777" w:rsidR="00117B10" w:rsidRPr="0012739F" w:rsidRDefault="00117B10" w:rsidP="00BF425A">
            <w:pPr>
              <w:pStyle w:val="NoSpacing"/>
              <w:jc w:val="both"/>
              <w:rPr>
                <w:b/>
                <w:sz w:val="24"/>
                <w:szCs w:val="24"/>
                <w:lang w:val="ro-RO"/>
              </w:rPr>
            </w:pPr>
            <w:r w:rsidRPr="0012739F">
              <w:rPr>
                <w:b/>
                <w:sz w:val="24"/>
                <w:szCs w:val="24"/>
                <w:lang w:val="ro-RO"/>
              </w:rPr>
              <w:t>5. Informaţii privind avizarea de către:</w:t>
            </w:r>
          </w:p>
          <w:p w14:paraId="1C2FA72F" w14:textId="77777777" w:rsidR="00117B10" w:rsidRPr="0012739F" w:rsidRDefault="00117B10" w:rsidP="00BF425A">
            <w:pPr>
              <w:pStyle w:val="NoSpacing"/>
              <w:jc w:val="both"/>
              <w:rPr>
                <w:sz w:val="24"/>
                <w:szCs w:val="24"/>
                <w:lang w:val="ro-RO"/>
              </w:rPr>
            </w:pPr>
            <w:r w:rsidRPr="0012739F">
              <w:rPr>
                <w:sz w:val="24"/>
                <w:szCs w:val="24"/>
                <w:lang w:val="ro-RO"/>
              </w:rPr>
              <w:t>a) Consiliul Legislativ</w:t>
            </w:r>
            <w:r w:rsidR="00DD6E96" w:rsidRPr="0012739F">
              <w:rPr>
                <w:sz w:val="24"/>
                <w:szCs w:val="24"/>
                <w:lang w:val="ro-RO"/>
              </w:rPr>
              <w:t xml:space="preserve">                                        - este necesar avizul Consiliului Legislativ</w:t>
            </w:r>
          </w:p>
          <w:p w14:paraId="6B2D6580" w14:textId="77777777" w:rsidR="00117B10" w:rsidRPr="0012739F" w:rsidRDefault="00117B10" w:rsidP="00BF425A">
            <w:pPr>
              <w:pStyle w:val="NoSpacing"/>
              <w:jc w:val="both"/>
              <w:rPr>
                <w:sz w:val="24"/>
                <w:szCs w:val="24"/>
                <w:lang w:val="ro-RO"/>
              </w:rPr>
            </w:pPr>
            <w:r w:rsidRPr="0012739F">
              <w:rPr>
                <w:sz w:val="24"/>
                <w:szCs w:val="24"/>
                <w:lang w:val="ro-RO"/>
              </w:rPr>
              <w:t>b) Consiliul Suprem de Apărare a Ţării</w:t>
            </w:r>
            <w:r w:rsidR="00DD6E96" w:rsidRPr="0012739F">
              <w:rPr>
                <w:sz w:val="24"/>
                <w:szCs w:val="24"/>
                <w:lang w:val="ro-RO"/>
              </w:rPr>
              <w:t xml:space="preserve">             - Nu  este cazul.</w:t>
            </w:r>
          </w:p>
          <w:p w14:paraId="479BDEE1" w14:textId="77777777" w:rsidR="00117B10" w:rsidRPr="0012739F" w:rsidRDefault="00117B10" w:rsidP="00BF425A">
            <w:pPr>
              <w:pStyle w:val="NoSpacing"/>
              <w:jc w:val="both"/>
              <w:rPr>
                <w:sz w:val="24"/>
                <w:szCs w:val="24"/>
                <w:lang w:val="ro-RO"/>
              </w:rPr>
            </w:pPr>
            <w:r w:rsidRPr="0012739F">
              <w:rPr>
                <w:sz w:val="24"/>
                <w:szCs w:val="24"/>
                <w:lang w:val="ro-RO"/>
              </w:rPr>
              <w:t>c) Consiliul Economic şi Social</w:t>
            </w:r>
            <w:r w:rsidR="00DD6E96" w:rsidRPr="0012739F">
              <w:rPr>
                <w:sz w:val="24"/>
                <w:szCs w:val="24"/>
                <w:lang w:val="ro-RO"/>
              </w:rPr>
              <w:t xml:space="preserve">                         - Nu  este cazul.</w:t>
            </w:r>
          </w:p>
          <w:p w14:paraId="41C22F7C" w14:textId="77777777" w:rsidR="00117B10" w:rsidRPr="0012739F" w:rsidRDefault="00117B10" w:rsidP="00BF425A">
            <w:pPr>
              <w:pStyle w:val="NoSpacing"/>
              <w:jc w:val="both"/>
              <w:rPr>
                <w:sz w:val="24"/>
                <w:szCs w:val="24"/>
                <w:lang w:val="ro-RO"/>
              </w:rPr>
            </w:pPr>
            <w:r w:rsidRPr="0012739F">
              <w:rPr>
                <w:sz w:val="24"/>
                <w:szCs w:val="24"/>
                <w:lang w:val="ro-RO"/>
              </w:rPr>
              <w:t>d) Consiliul Concurenţei</w:t>
            </w:r>
            <w:r w:rsidR="00DD6E96" w:rsidRPr="0012739F">
              <w:rPr>
                <w:sz w:val="24"/>
                <w:szCs w:val="24"/>
                <w:lang w:val="ro-RO"/>
              </w:rPr>
              <w:t xml:space="preserve">                                    - Nu  este cazul.</w:t>
            </w:r>
          </w:p>
          <w:p w14:paraId="51A48867" w14:textId="77777777" w:rsidR="00117B10" w:rsidRPr="0012739F" w:rsidRDefault="00117B10" w:rsidP="00BF425A">
            <w:pPr>
              <w:pStyle w:val="NoSpacing"/>
              <w:jc w:val="both"/>
              <w:rPr>
                <w:sz w:val="24"/>
                <w:szCs w:val="24"/>
                <w:lang w:val="ro-RO"/>
              </w:rPr>
            </w:pPr>
            <w:r w:rsidRPr="0012739F">
              <w:rPr>
                <w:sz w:val="24"/>
                <w:szCs w:val="24"/>
                <w:lang w:val="ro-RO"/>
              </w:rPr>
              <w:t>e) Curtea de Conturi</w:t>
            </w:r>
            <w:r w:rsidR="00DD6E96" w:rsidRPr="0012739F">
              <w:rPr>
                <w:sz w:val="24"/>
                <w:szCs w:val="24"/>
                <w:lang w:val="ro-RO"/>
              </w:rPr>
              <w:t xml:space="preserve">                                           - Nu  este cazul.</w:t>
            </w:r>
          </w:p>
        </w:tc>
      </w:tr>
      <w:tr w:rsidR="0012739F" w:rsidRPr="0055528B" w14:paraId="2E6DDF20" w14:textId="77777777" w:rsidTr="008C00DA">
        <w:trPr>
          <w:trHeight w:val="123"/>
        </w:trPr>
        <w:tc>
          <w:tcPr>
            <w:tcW w:w="10916" w:type="dxa"/>
            <w:gridSpan w:val="7"/>
          </w:tcPr>
          <w:p w14:paraId="352E1B98" w14:textId="77777777" w:rsidR="00117B10" w:rsidRPr="0012739F" w:rsidRDefault="00117B10" w:rsidP="00BF425A">
            <w:pPr>
              <w:pStyle w:val="NoSpacing"/>
              <w:jc w:val="both"/>
              <w:rPr>
                <w:b/>
                <w:sz w:val="24"/>
                <w:szCs w:val="24"/>
                <w:lang w:val="ro-RO"/>
              </w:rPr>
            </w:pPr>
            <w:r w:rsidRPr="0012739F">
              <w:rPr>
                <w:b/>
                <w:sz w:val="24"/>
                <w:szCs w:val="24"/>
                <w:lang w:val="ro-RO"/>
              </w:rPr>
              <w:t>6. Alte informaţii</w:t>
            </w:r>
          </w:p>
          <w:p w14:paraId="44E55EAD" w14:textId="77777777" w:rsidR="00117B10" w:rsidRPr="0012739F" w:rsidRDefault="00117B10" w:rsidP="00BF425A">
            <w:pPr>
              <w:pStyle w:val="NoSpacing"/>
              <w:jc w:val="both"/>
              <w:rPr>
                <w:sz w:val="24"/>
                <w:szCs w:val="24"/>
                <w:lang w:val="ro-RO"/>
              </w:rPr>
            </w:pPr>
            <w:r w:rsidRPr="0012739F">
              <w:rPr>
                <w:sz w:val="24"/>
                <w:szCs w:val="24"/>
                <w:lang w:val="ro-RO"/>
              </w:rPr>
              <w:t>Nu au fost identificate.</w:t>
            </w:r>
          </w:p>
        </w:tc>
      </w:tr>
      <w:tr w:rsidR="0012739F" w:rsidRPr="0012739F" w14:paraId="72441160" w14:textId="77777777" w:rsidTr="008C00DA">
        <w:tc>
          <w:tcPr>
            <w:tcW w:w="10916" w:type="dxa"/>
            <w:gridSpan w:val="7"/>
          </w:tcPr>
          <w:p w14:paraId="4815A504" w14:textId="77777777" w:rsidR="00560B4E" w:rsidRPr="0012739F" w:rsidRDefault="00560B4E" w:rsidP="00BF425A">
            <w:pPr>
              <w:pStyle w:val="NoSpacing"/>
              <w:jc w:val="center"/>
              <w:rPr>
                <w:b/>
                <w:sz w:val="12"/>
                <w:szCs w:val="12"/>
                <w:lang w:val="ro-RO"/>
              </w:rPr>
            </w:pPr>
          </w:p>
          <w:p w14:paraId="016874DB" w14:textId="77777777" w:rsidR="00D47666" w:rsidRPr="0012739F" w:rsidRDefault="00117B10" w:rsidP="00BF425A">
            <w:pPr>
              <w:pStyle w:val="NoSpacing"/>
              <w:jc w:val="center"/>
              <w:rPr>
                <w:b/>
                <w:sz w:val="24"/>
                <w:szCs w:val="24"/>
                <w:lang w:val="ro-RO"/>
              </w:rPr>
            </w:pPr>
            <w:r w:rsidRPr="0012739F">
              <w:rPr>
                <w:b/>
                <w:sz w:val="24"/>
                <w:szCs w:val="24"/>
                <w:lang w:val="ro-RO"/>
              </w:rPr>
              <w:t>Secţiunea a 7-a</w:t>
            </w:r>
          </w:p>
          <w:p w14:paraId="1F57A657" w14:textId="77777777" w:rsidR="00D47666" w:rsidRPr="0012739F" w:rsidRDefault="00117B10" w:rsidP="00BF425A">
            <w:pPr>
              <w:pStyle w:val="NoSpacing"/>
              <w:jc w:val="center"/>
              <w:rPr>
                <w:b/>
                <w:sz w:val="24"/>
                <w:szCs w:val="24"/>
                <w:lang w:val="ro-RO"/>
              </w:rPr>
            </w:pPr>
            <w:r w:rsidRPr="0012739F">
              <w:rPr>
                <w:b/>
                <w:sz w:val="24"/>
                <w:szCs w:val="24"/>
                <w:lang w:val="ro-RO"/>
              </w:rPr>
              <w:t>Activităţi de informare publică privind elaborarea şi implementarea proiectului de act normativ</w:t>
            </w:r>
          </w:p>
          <w:p w14:paraId="0095149A" w14:textId="77777777" w:rsidR="00560B4E" w:rsidRPr="0012739F" w:rsidRDefault="00560B4E" w:rsidP="00BF425A">
            <w:pPr>
              <w:pStyle w:val="NoSpacing"/>
              <w:jc w:val="center"/>
              <w:rPr>
                <w:b/>
                <w:sz w:val="12"/>
                <w:szCs w:val="12"/>
                <w:lang w:val="ro-RO"/>
              </w:rPr>
            </w:pPr>
          </w:p>
        </w:tc>
      </w:tr>
      <w:tr w:rsidR="0012739F" w:rsidRPr="0055528B" w14:paraId="7C60D8D8" w14:textId="77777777" w:rsidTr="008C00DA">
        <w:tc>
          <w:tcPr>
            <w:tcW w:w="10916" w:type="dxa"/>
            <w:gridSpan w:val="7"/>
          </w:tcPr>
          <w:p w14:paraId="385B85A0" w14:textId="77777777" w:rsidR="00117B10" w:rsidRPr="0012739F" w:rsidRDefault="00117B10" w:rsidP="00BF425A">
            <w:pPr>
              <w:pStyle w:val="NoSpacing"/>
              <w:jc w:val="both"/>
              <w:rPr>
                <w:sz w:val="24"/>
                <w:szCs w:val="24"/>
                <w:lang w:val="ro-RO"/>
              </w:rPr>
            </w:pPr>
            <w:r w:rsidRPr="0012739F">
              <w:rPr>
                <w:b/>
                <w:sz w:val="24"/>
                <w:szCs w:val="24"/>
                <w:lang w:val="ro-RO"/>
              </w:rPr>
              <w:t>1. Informarea societăţii civile cu privire la necesitatea elaborării</w:t>
            </w:r>
            <w:r w:rsidRPr="0012739F">
              <w:rPr>
                <w:sz w:val="24"/>
                <w:szCs w:val="24"/>
                <w:lang w:val="ro-RO"/>
              </w:rPr>
              <w:t xml:space="preserve"> </w:t>
            </w:r>
            <w:r w:rsidRPr="0012739F">
              <w:rPr>
                <w:b/>
                <w:sz w:val="24"/>
                <w:szCs w:val="24"/>
                <w:lang w:val="ro-RO"/>
              </w:rPr>
              <w:t>proiectului de act normativ</w:t>
            </w:r>
          </w:p>
          <w:p w14:paraId="2A222E8E" w14:textId="77777777" w:rsidR="00117B10" w:rsidRPr="0012739F" w:rsidRDefault="00CA134A" w:rsidP="00CA134A">
            <w:pPr>
              <w:pStyle w:val="NoSpacing"/>
              <w:jc w:val="both"/>
              <w:rPr>
                <w:sz w:val="24"/>
                <w:szCs w:val="24"/>
                <w:lang w:val="ro-RO"/>
              </w:rPr>
            </w:pPr>
            <w:r w:rsidRPr="0012739F">
              <w:rPr>
                <w:sz w:val="24"/>
                <w:szCs w:val="24"/>
                <w:lang w:val="ro-RO"/>
              </w:rPr>
              <w:t>Proiectul de Hotărâre a Guvernului a fost publicat pe site-ul Ministerului Sănătății.</w:t>
            </w:r>
          </w:p>
        </w:tc>
      </w:tr>
      <w:tr w:rsidR="0012739F" w:rsidRPr="0055528B" w14:paraId="55E26C74" w14:textId="77777777" w:rsidTr="008C00DA">
        <w:tc>
          <w:tcPr>
            <w:tcW w:w="10916" w:type="dxa"/>
            <w:gridSpan w:val="7"/>
          </w:tcPr>
          <w:p w14:paraId="2A6BDFD0" w14:textId="77777777" w:rsidR="00117B10" w:rsidRPr="0012739F" w:rsidRDefault="00117B10" w:rsidP="00BF425A">
            <w:pPr>
              <w:pStyle w:val="NoSpacing"/>
              <w:jc w:val="both"/>
              <w:rPr>
                <w:b/>
                <w:sz w:val="24"/>
                <w:szCs w:val="24"/>
                <w:lang w:val="ro-RO"/>
              </w:rPr>
            </w:pPr>
            <w:r w:rsidRPr="0012739F">
              <w:rPr>
                <w:b/>
                <w:sz w:val="24"/>
                <w:szCs w:val="24"/>
                <w:lang w:val="ro-RO"/>
              </w:rPr>
              <w:t>2. Informarea societăţii civile cu privire la eventualul impact asupra mediului în urma implementării actului normativ, precum şi efectele asupra sănătăţii şi securităţii cetăţenilor sau diversităţii biologice</w:t>
            </w:r>
          </w:p>
          <w:p w14:paraId="7D735FDF" w14:textId="77777777" w:rsidR="00117B10" w:rsidRDefault="00560B4E" w:rsidP="00BF425A">
            <w:pPr>
              <w:pStyle w:val="NoSpacing"/>
              <w:jc w:val="both"/>
              <w:rPr>
                <w:sz w:val="24"/>
                <w:szCs w:val="24"/>
                <w:lang w:val="ro-RO"/>
              </w:rPr>
            </w:pPr>
            <w:r w:rsidRPr="0012739F">
              <w:rPr>
                <w:sz w:val="24"/>
                <w:szCs w:val="24"/>
                <w:lang w:val="ro-RO"/>
              </w:rPr>
              <w:t>Nu este cazul, neexistând un impact asupra mediului, iar impactul asupra sănătăţii publice fiind unul pozitiv.</w:t>
            </w:r>
          </w:p>
          <w:p w14:paraId="07760675" w14:textId="77777777" w:rsidR="0012739F" w:rsidRPr="0012739F" w:rsidRDefault="0012739F" w:rsidP="00BF425A">
            <w:pPr>
              <w:pStyle w:val="NoSpacing"/>
              <w:jc w:val="both"/>
              <w:rPr>
                <w:sz w:val="24"/>
                <w:szCs w:val="24"/>
                <w:lang w:val="ro-RO"/>
              </w:rPr>
            </w:pPr>
          </w:p>
        </w:tc>
      </w:tr>
      <w:tr w:rsidR="0012739F" w:rsidRPr="0055528B" w14:paraId="711CBC31" w14:textId="77777777" w:rsidTr="008C00DA">
        <w:tc>
          <w:tcPr>
            <w:tcW w:w="10916" w:type="dxa"/>
            <w:gridSpan w:val="7"/>
          </w:tcPr>
          <w:p w14:paraId="6A676F96" w14:textId="77777777" w:rsidR="00117B10" w:rsidRPr="0012739F" w:rsidRDefault="00117B10" w:rsidP="00BF425A">
            <w:pPr>
              <w:pStyle w:val="NoSpacing"/>
              <w:rPr>
                <w:b/>
                <w:sz w:val="24"/>
                <w:szCs w:val="24"/>
                <w:lang w:val="ro-RO"/>
              </w:rPr>
            </w:pPr>
            <w:r w:rsidRPr="0012739F">
              <w:rPr>
                <w:b/>
                <w:sz w:val="24"/>
                <w:szCs w:val="24"/>
                <w:lang w:val="ro-RO"/>
              </w:rPr>
              <w:lastRenderedPageBreak/>
              <w:t>3. Alte informaţii</w:t>
            </w:r>
          </w:p>
          <w:p w14:paraId="1D30B858" w14:textId="77777777" w:rsidR="00117B10" w:rsidRPr="0012739F" w:rsidRDefault="00117B10" w:rsidP="00BF425A">
            <w:pPr>
              <w:pStyle w:val="NoSpacing"/>
              <w:rPr>
                <w:sz w:val="24"/>
                <w:szCs w:val="24"/>
                <w:lang w:val="ro-RO"/>
              </w:rPr>
            </w:pPr>
            <w:r w:rsidRPr="0012739F">
              <w:rPr>
                <w:sz w:val="24"/>
                <w:szCs w:val="24"/>
                <w:lang w:val="ro-RO"/>
              </w:rPr>
              <w:t>Nu au fost identificate.</w:t>
            </w:r>
          </w:p>
        </w:tc>
      </w:tr>
      <w:tr w:rsidR="0012739F" w:rsidRPr="0055528B" w14:paraId="4A5E3CA6" w14:textId="77777777" w:rsidTr="008C00DA">
        <w:tc>
          <w:tcPr>
            <w:tcW w:w="10916" w:type="dxa"/>
            <w:gridSpan w:val="7"/>
          </w:tcPr>
          <w:p w14:paraId="766C94CA" w14:textId="77777777" w:rsidR="00D47666" w:rsidRPr="0012739F" w:rsidRDefault="00D47666" w:rsidP="00BF425A">
            <w:pPr>
              <w:pStyle w:val="NoSpacing"/>
              <w:jc w:val="center"/>
              <w:rPr>
                <w:b/>
                <w:sz w:val="12"/>
                <w:szCs w:val="12"/>
                <w:lang w:val="ro-RO"/>
              </w:rPr>
            </w:pPr>
          </w:p>
          <w:p w14:paraId="3E95064A" w14:textId="77777777" w:rsidR="00D47666" w:rsidRPr="0012739F" w:rsidRDefault="00117B10" w:rsidP="00BF425A">
            <w:pPr>
              <w:pStyle w:val="NoSpacing"/>
              <w:jc w:val="center"/>
              <w:rPr>
                <w:b/>
                <w:sz w:val="24"/>
                <w:szCs w:val="24"/>
                <w:lang w:val="ro-RO"/>
              </w:rPr>
            </w:pPr>
            <w:r w:rsidRPr="0012739F">
              <w:rPr>
                <w:b/>
                <w:sz w:val="24"/>
                <w:szCs w:val="24"/>
                <w:lang w:val="ro-RO"/>
              </w:rPr>
              <w:t>Secţiunea a 8-a</w:t>
            </w:r>
            <w:r w:rsidR="006702B3" w:rsidRPr="0012739F">
              <w:rPr>
                <w:b/>
                <w:sz w:val="24"/>
                <w:szCs w:val="24"/>
                <w:lang w:val="ro-RO"/>
              </w:rPr>
              <w:t xml:space="preserve"> </w:t>
            </w:r>
          </w:p>
          <w:p w14:paraId="761F16ED" w14:textId="77777777" w:rsidR="00117B10" w:rsidRPr="0012739F" w:rsidRDefault="00117B10" w:rsidP="00BF425A">
            <w:pPr>
              <w:pStyle w:val="NoSpacing"/>
              <w:jc w:val="center"/>
              <w:rPr>
                <w:b/>
                <w:sz w:val="24"/>
                <w:szCs w:val="24"/>
                <w:lang w:val="ro-RO"/>
              </w:rPr>
            </w:pPr>
            <w:r w:rsidRPr="0012739F">
              <w:rPr>
                <w:b/>
                <w:sz w:val="24"/>
                <w:szCs w:val="24"/>
                <w:lang w:val="ro-RO"/>
              </w:rPr>
              <w:t>Măsuri de implementare</w:t>
            </w:r>
          </w:p>
          <w:p w14:paraId="21BF7E55" w14:textId="77777777" w:rsidR="00D47666" w:rsidRPr="0012739F" w:rsidRDefault="00D47666" w:rsidP="00BF425A">
            <w:pPr>
              <w:pStyle w:val="NoSpacing"/>
              <w:jc w:val="center"/>
              <w:rPr>
                <w:b/>
                <w:sz w:val="12"/>
                <w:szCs w:val="12"/>
                <w:lang w:val="ro-RO"/>
              </w:rPr>
            </w:pPr>
          </w:p>
        </w:tc>
      </w:tr>
      <w:tr w:rsidR="0012739F" w:rsidRPr="0012739F" w14:paraId="0A86B46A" w14:textId="77777777" w:rsidTr="008C00DA">
        <w:tc>
          <w:tcPr>
            <w:tcW w:w="10916" w:type="dxa"/>
            <w:gridSpan w:val="7"/>
          </w:tcPr>
          <w:p w14:paraId="1C4987DF" w14:textId="77777777" w:rsidR="00117B10" w:rsidRPr="0012739F" w:rsidRDefault="00117B10" w:rsidP="00BF425A">
            <w:pPr>
              <w:pStyle w:val="NoSpacing"/>
              <w:spacing w:before="120"/>
              <w:jc w:val="both"/>
              <w:rPr>
                <w:sz w:val="24"/>
                <w:szCs w:val="24"/>
                <w:lang w:val="ro-RO"/>
              </w:rPr>
            </w:pPr>
            <w:r w:rsidRPr="0012739F">
              <w:rPr>
                <w:b/>
                <w:sz w:val="24"/>
                <w:szCs w:val="24"/>
                <w:lang w:val="ro-RO"/>
              </w:rPr>
              <w:t>1. Măsurile de punere în aplicare a proiectului de act normativ de către autorităţile administraţiei publice centrale şi/sau locale – înfiinţarea unor noi organisme sau extinderea competenţelor instituţiilor existente</w:t>
            </w:r>
            <w:bookmarkStart w:id="0" w:name="tree#178"/>
            <w:r w:rsidRPr="0012739F">
              <w:rPr>
                <w:sz w:val="24"/>
                <w:szCs w:val="24"/>
                <w:lang w:val="ro-RO"/>
              </w:rPr>
              <w:t xml:space="preserve"> </w:t>
            </w:r>
            <w:bookmarkEnd w:id="0"/>
          </w:p>
          <w:p w14:paraId="4BEE2823" w14:textId="77777777" w:rsidR="00117B10" w:rsidRPr="0012739F" w:rsidRDefault="00117B10" w:rsidP="00BF425A">
            <w:pPr>
              <w:pStyle w:val="NoSpacing"/>
              <w:jc w:val="both"/>
              <w:rPr>
                <w:sz w:val="24"/>
                <w:szCs w:val="24"/>
                <w:lang w:val="ro-RO"/>
              </w:rPr>
            </w:pPr>
            <w:r w:rsidRPr="0012739F">
              <w:rPr>
                <w:sz w:val="24"/>
                <w:szCs w:val="24"/>
                <w:lang w:val="ro-RO"/>
              </w:rPr>
              <w:t>Nu este cazul.</w:t>
            </w:r>
          </w:p>
        </w:tc>
      </w:tr>
      <w:tr w:rsidR="0012739F" w:rsidRPr="0055528B" w14:paraId="1F465442" w14:textId="77777777" w:rsidTr="008C00DA">
        <w:tc>
          <w:tcPr>
            <w:tcW w:w="10916" w:type="dxa"/>
            <w:gridSpan w:val="7"/>
          </w:tcPr>
          <w:p w14:paraId="6CC3F6FC" w14:textId="77777777" w:rsidR="00117B10" w:rsidRPr="0012739F" w:rsidRDefault="00117B10" w:rsidP="00BF425A">
            <w:pPr>
              <w:pStyle w:val="NoSpacing"/>
              <w:jc w:val="both"/>
              <w:rPr>
                <w:b/>
                <w:sz w:val="24"/>
                <w:szCs w:val="24"/>
                <w:lang w:val="ro-RO"/>
              </w:rPr>
            </w:pPr>
            <w:r w:rsidRPr="0012739F">
              <w:rPr>
                <w:b/>
                <w:sz w:val="24"/>
                <w:szCs w:val="24"/>
                <w:lang w:val="ro-RO"/>
              </w:rPr>
              <w:t>2.Alte informaţii</w:t>
            </w:r>
          </w:p>
          <w:p w14:paraId="34E70F65" w14:textId="77777777" w:rsidR="00117B10" w:rsidRPr="0012739F" w:rsidRDefault="00117B10" w:rsidP="00BF425A">
            <w:pPr>
              <w:pStyle w:val="NoSpacing"/>
              <w:jc w:val="both"/>
              <w:rPr>
                <w:sz w:val="24"/>
                <w:szCs w:val="24"/>
                <w:lang w:val="ro-RO"/>
              </w:rPr>
            </w:pPr>
            <w:r w:rsidRPr="0012739F">
              <w:rPr>
                <w:sz w:val="24"/>
                <w:szCs w:val="24"/>
                <w:lang w:val="ro-RO"/>
              </w:rPr>
              <w:t>Nu este cazul.</w:t>
            </w:r>
          </w:p>
        </w:tc>
      </w:tr>
    </w:tbl>
    <w:p w14:paraId="436EE396" w14:textId="077B2A9C" w:rsidR="00117B10" w:rsidRPr="0012739F" w:rsidRDefault="00117B10" w:rsidP="00CC3ACB">
      <w:pPr>
        <w:spacing w:before="120" w:after="120"/>
        <w:ind w:left="-720" w:firstLine="448"/>
        <w:jc w:val="both"/>
        <w:rPr>
          <w:lang w:val="ro-RO"/>
        </w:rPr>
      </w:pPr>
      <w:r w:rsidRPr="0012739F">
        <w:rPr>
          <w:lang w:val="ro-RO"/>
        </w:rPr>
        <w:t xml:space="preserve">Faţă de cele prezentate, </w:t>
      </w:r>
      <w:r w:rsidR="00B51655" w:rsidRPr="0012739F">
        <w:rPr>
          <w:lang w:val="ro-RO"/>
        </w:rPr>
        <w:t>s-a elaborat proiectul de Hotărâre a Guvernului pentru aprobarea Normelor de supraveghere, monitorizare și inspecție sanitară a calității apei potabile destinată consumului uman și a Procedurii de autorizare sanitară a producției și distribuției apei potabile.</w:t>
      </w:r>
    </w:p>
    <w:p w14:paraId="67B4C31D" w14:textId="77777777" w:rsidR="00B610A1" w:rsidRPr="0012739F" w:rsidRDefault="00B610A1" w:rsidP="00BF425A">
      <w:pPr>
        <w:autoSpaceDE w:val="0"/>
        <w:autoSpaceDN w:val="0"/>
        <w:adjustRightInd w:val="0"/>
        <w:rPr>
          <w:b/>
          <w:lang w:val="ro-RO"/>
        </w:rPr>
      </w:pPr>
    </w:p>
    <w:p w14:paraId="5562D06F" w14:textId="77777777" w:rsidR="00FE26D4" w:rsidRPr="0012739F" w:rsidRDefault="00FE26D4" w:rsidP="00BF425A">
      <w:pPr>
        <w:autoSpaceDE w:val="0"/>
        <w:autoSpaceDN w:val="0"/>
        <w:adjustRightInd w:val="0"/>
        <w:ind w:left="-806"/>
        <w:jc w:val="center"/>
        <w:rPr>
          <w:b/>
          <w:lang w:val="ro-RO"/>
        </w:rPr>
      </w:pPr>
    </w:p>
    <w:p w14:paraId="4AE3172D" w14:textId="77777777" w:rsidR="00FE26D4" w:rsidRPr="0012739F" w:rsidRDefault="00FE26D4" w:rsidP="00BF425A">
      <w:pPr>
        <w:autoSpaceDE w:val="0"/>
        <w:autoSpaceDN w:val="0"/>
        <w:adjustRightInd w:val="0"/>
        <w:ind w:left="-806"/>
        <w:jc w:val="center"/>
        <w:rPr>
          <w:b/>
          <w:lang w:val="ro-RO"/>
        </w:rPr>
      </w:pPr>
    </w:p>
    <w:p w14:paraId="1CAE3057" w14:textId="2AA2D92C" w:rsidR="00D47666" w:rsidRPr="0012739F" w:rsidRDefault="00B51655" w:rsidP="00BF425A">
      <w:pPr>
        <w:autoSpaceDE w:val="0"/>
        <w:autoSpaceDN w:val="0"/>
        <w:adjustRightInd w:val="0"/>
        <w:ind w:left="-806"/>
        <w:jc w:val="center"/>
        <w:rPr>
          <w:b/>
          <w:lang w:val="ro-RO"/>
        </w:rPr>
      </w:pPr>
      <w:r w:rsidRPr="0012739F">
        <w:rPr>
          <w:b/>
          <w:lang w:val="ro-RO"/>
        </w:rPr>
        <w:t>MINISTRUL SĂNĂTĂȚII</w:t>
      </w:r>
    </w:p>
    <w:p w14:paraId="6181364C" w14:textId="77777777" w:rsidR="00B51655" w:rsidRPr="0012739F" w:rsidRDefault="00B51655" w:rsidP="00BF425A">
      <w:pPr>
        <w:autoSpaceDE w:val="0"/>
        <w:autoSpaceDN w:val="0"/>
        <w:adjustRightInd w:val="0"/>
        <w:ind w:left="-806"/>
        <w:jc w:val="center"/>
        <w:rPr>
          <w:b/>
          <w:lang w:val="ro-RO"/>
        </w:rPr>
      </w:pPr>
    </w:p>
    <w:p w14:paraId="350CE065" w14:textId="77777777" w:rsidR="00B51655" w:rsidRPr="0012739F" w:rsidRDefault="00B51655" w:rsidP="00BF425A">
      <w:pPr>
        <w:autoSpaceDE w:val="0"/>
        <w:autoSpaceDN w:val="0"/>
        <w:adjustRightInd w:val="0"/>
        <w:ind w:left="-806"/>
        <w:jc w:val="center"/>
        <w:rPr>
          <w:b/>
          <w:lang w:val="ro-RO"/>
        </w:rPr>
      </w:pPr>
      <w:r w:rsidRPr="0012739F">
        <w:rPr>
          <w:b/>
          <w:lang w:val="ro-RO"/>
        </w:rPr>
        <w:t>Prof. univ. dr. Alexandru RAFILA</w:t>
      </w:r>
    </w:p>
    <w:p w14:paraId="4A0953EA" w14:textId="77777777" w:rsidR="00B51655" w:rsidRPr="0012739F" w:rsidRDefault="00B51655" w:rsidP="00BF425A">
      <w:pPr>
        <w:autoSpaceDE w:val="0"/>
        <w:autoSpaceDN w:val="0"/>
        <w:adjustRightInd w:val="0"/>
        <w:ind w:left="-806"/>
        <w:jc w:val="center"/>
        <w:rPr>
          <w:b/>
          <w:lang w:val="ro-RO"/>
        </w:rPr>
      </w:pPr>
    </w:p>
    <w:p w14:paraId="62E50DF3" w14:textId="77777777" w:rsidR="00B51655" w:rsidRPr="0012739F" w:rsidRDefault="00B51655" w:rsidP="00BF425A">
      <w:pPr>
        <w:autoSpaceDE w:val="0"/>
        <w:autoSpaceDN w:val="0"/>
        <w:adjustRightInd w:val="0"/>
        <w:ind w:left="-806"/>
        <w:jc w:val="center"/>
        <w:rPr>
          <w:b/>
          <w:lang w:val="ro-RO"/>
        </w:rPr>
      </w:pPr>
    </w:p>
    <w:p w14:paraId="08550A3C" w14:textId="77777777" w:rsidR="00B51655" w:rsidRPr="0012739F" w:rsidRDefault="00B51655" w:rsidP="00BF425A">
      <w:pPr>
        <w:autoSpaceDE w:val="0"/>
        <w:autoSpaceDN w:val="0"/>
        <w:adjustRightInd w:val="0"/>
        <w:ind w:left="-806"/>
        <w:jc w:val="center"/>
        <w:rPr>
          <w:b/>
          <w:lang w:val="ro-RO"/>
        </w:rPr>
      </w:pPr>
    </w:p>
    <w:p w14:paraId="417642F0" w14:textId="77777777" w:rsidR="00B51655" w:rsidRPr="0012739F" w:rsidRDefault="00B51655" w:rsidP="00BF425A">
      <w:pPr>
        <w:autoSpaceDE w:val="0"/>
        <w:autoSpaceDN w:val="0"/>
        <w:adjustRightInd w:val="0"/>
        <w:ind w:left="-806"/>
        <w:jc w:val="center"/>
        <w:rPr>
          <w:b/>
          <w:lang w:val="ro-RO"/>
        </w:rPr>
      </w:pPr>
      <w:r w:rsidRPr="0012739F">
        <w:rPr>
          <w:b/>
          <w:lang w:val="ro-RO"/>
        </w:rPr>
        <w:t>AVIZĂM FAVORABIL,</w:t>
      </w:r>
    </w:p>
    <w:p w14:paraId="70F2D24B" w14:textId="77777777" w:rsidR="00B51655" w:rsidRPr="0012739F" w:rsidRDefault="00B51655" w:rsidP="00BF425A">
      <w:pPr>
        <w:autoSpaceDE w:val="0"/>
        <w:autoSpaceDN w:val="0"/>
        <w:adjustRightInd w:val="0"/>
        <w:ind w:left="-806"/>
        <w:jc w:val="center"/>
        <w:rPr>
          <w:b/>
          <w:lang w:val="ro-RO"/>
        </w:rPr>
      </w:pPr>
    </w:p>
    <w:p w14:paraId="2E7A70AC" w14:textId="77777777" w:rsidR="00B51655" w:rsidRPr="0012739F" w:rsidRDefault="00B51655" w:rsidP="00BF425A">
      <w:pPr>
        <w:autoSpaceDE w:val="0"/>
        <w:autoSpaceDN w:val="0"/>
        <w:adjustRightInd w:val="0"/>
        <w:ind w:left="-806"/>
        <w:jc w:val="center"/>
        <w:rPr>
          <w:b/>
          <w:lang w:val="ro-RO"/>
        </w:rPr>
      </w:pPr>
      <w:r w:rsidRPr="0012739F">
        <w:rPr>
          <w:b/>
          <w:lang w:val="ro-RO"/>
        </w:rPr>
        <w:t>VICEPRIM-MINISTRU</w:t>
      </w:r>
    </w:p>
    <w:p w14:paraId="243AEE47" w14:textId="459D7DA0" w:rsidR="00B51655" w:rsidRPr="0012739F" w:rsidRDefault="00B87261" w:rsidP="00BF425A">
      <w:pPr>
        <w:autoSpaceDE w:val="0"/>
        <w:autoSpaceDN w:val="0"/>
        <w:adjustRightInd w:val="0"/>
        <w:ind w:left="-806"/>
        <w:jc w:val="center"/>
        <w:rPr>
          <w:b/>
          <w:lang w:val="ro-RO"/>
        </w:rPr>
      </w:pPr>
      <w:r w:rsidRPr="0012739F">
        <w:rPr>
          <w:b/>
          <w:lang w:val="ro-RO"/>
        </w:rPr>
        <w:t>MARIAN NEACȘU</w:t>
      </w:r>
    </w:p>
    <w:p w14:paraId="7308B89C" w14:textId="77777777" w:rsidR="00B51655" w:rsidRPr="0012739F" w:rsidRDefault="00B51655" w:rsidP="00BF425A">
      <w:pPr>
        <w:autoSpaceDE w:val="0"/>
        <w:autoSpaceDN w:val="0"/>
        <w:adjustRightInd w:val="0"/>
        <w:ind w:left="-806"/>
        <w:jc w:val="center"/>
        <w:rPr>
          <w:b/>
          <w:lang w:val="ro-RO"/>
        </w:rPr>
      </w:pPr>
    </w:p>
    <w:p w14:paraId="6658C680" w14:textId="77777777" w:rsidR="00B51655" w:rsidRPr="0012739F" w:rsidRDefault="00B51655" w:rsidP="00BF425A">
      <w:pPr>
        <w:autoSpaceDE w:val="0"/>
        <w:autoSpaceDN w:val="0"/>
        <w:adjustRightInd w:val="0"/>
        <w:ind w:left="-806"/>
        <w:jc w:val="center"/>
        <w:rPr>
          <w:b/>
          <w:lang w:val="ro-RO"/>
        </w:rPr>
      </w:pPr>
    </w:p>
    <w:p w14:paraId="79D8E9C6" w14:textId="77777777" w:rsidR="00FE26D4" w:rsidRPr="0012739F" w:rsidRDefault="00FE26D4" w:rsidP="00BF425A">
      <w:pPr>
        <w:autoSpaceDE w:val="0"/>
        <w:autoSpaceDN w:val="0"/>
        <w:adjustRightInd w:val="0"/>
        <w:ind w:left="-806"/>
        <w:jc w:val="center"/>
        <w:rPr>
          <w:b/>
          <w:lang w:val="ro-RO"/>
        </w:rPr>
      </w:pPr>
    </w:p>
    <w:p w14:paraId="118D563B" w14:textId="77777777" w:rsidR="00FE26D4" w:rsidRPr="0012739F" w:rsidRDefault="00FE26D4" w:rsidP="00BF425A">
      <w:pPr>
        <w:autoSpaceDE w:val="0"/>
        <w:autoSpaceDN w:val="0"/>
        <w:adjustRightInd w:val="0"/>
        <w:ind w:left="-806"/>
        <w:jc w:val="center"/>
        <w:rPr>
          <w:b/>
          <w:lang w:val="ro-RO"/>
        </w:rPr>
      </w:pPr>
    </w:p>
    <w:p w14:paraId="76C40E3D" w14:textId="77777777" w:rsidR="00B51655" w:rsidRPr="0012739F" w:rsidRDefault="00B51655" w:rsidP="00B51655">
      <w:pPr>
        <w:autoSpaceDE w:val="0"/>
        <w:autoSpaceDN w:val="0"/>
        <w:adjustRightInd w:val="0"/>
        <w:ind w:left="-806"/>
        <w:jc w:val="both"/>
        <w:rPr>
          <w:b/>
          <w:lang w:val="ro-RO"/>
        </w:rPr>
      </w:pPr>
      <w:r w:rsidRPr="0012739F">
        <w:rPr>
          <w:b/>
          <w:lang w:val="ro-RO"/>
        </w:rPr>
        <w:t xml:space="preserve">          </w:t>
      </w:r>
    </w:p>
    <w:p w14:paraId="5A633005" w14:textId="77777777" w:rsidR="00B51655" w:rsidRPr="0012739F" w:rsidRDefault="00B51655" w:rsidP="00B51655">
      <w:pPr>
        <w:autoSpaceDE w:val="0"/>
        <w:autoSpaceDN w:val="0"/>
        <w:adjustRightInd w:val="0"/>
        <w:ind w:left="-806"/>
        <w:jc w:val="both"/>
        <w:rPr>
          <w:b/>
          <w:lang w:val="ro-RO"/>
        </w:rPr>
      </w:pPr>
      <w:r w:rsidRPr="0012739F">
        <w:rPr>
          <w:b/>
          <w:lang w:val="ro-RO"/>
        </w:rPr>
        <w:t xml:space="preserve">MINISTRUL MEDIULUI, APELOR                      MINISTRUL DEZVOLTĂRII, LUCRĂRILOR ȘI                       </w:t>
      </w:r>
    </w:p>
    <w:p w14:paraId="2A362561" w14:textId="77777777" w:rsidR="00B51655" w:rsidRPr="0012739F" w:rsidRDefault="00B51655" w:rsidP="00B51655">
      <w:pPr>
        <w:autoSpaceDE w:val="0"/>
        <w:autoSpaceDN w:val="0"/>
        <w:adjustRightInd w:val="0"/>
        <w:ind w:left="-806"/>
        <w:jc w:val="both"/>
        <w:rPr>
          <w:b/>
          <w:lang w:val="ro-RO"/>
        </w:rPr>
      </w:pPr>
      <w:r w:rsidRPr="0012739F">
        <w:rPr>
          <w:b/>
          <w:lang w:val="ro-RO"/>
        </w:rPr>
        <w:t xml:space="preserve">       PĂDURILOR                                                                   PUBLICE</w:t>
      </w:r>
      <w:r w:rsidRPr="0012739F">
        <w:rPr>
          <w:lang w:val="ro-RO"/>
        </w:rPr>
        <w:t xml:space="preserve"> </w:t>
      </w:r>
      <w:r w:rsidRPr="0012739F">
        <w:rPr>
          <w:b/>
          <w:lang w:val="ro-RO"/>
        </w:rPr>
        <w:t>ȘI ADMINISTRAȚIEI</w:t>
      </w:r>
    </w:p>
    <w:p w14:paraId="7A44D3D9" w14:textId="77777777" w:rsidR="00B51655" w:rsidRPr="0012739F" w:rsidRDefault="00B51655" w:rsidP="00B51655">
      <w:pPr>
        <w:autoSpaceDE w:val="0"/>
        <w:autoSpaceDN w:val="0"/>
        <w:adjustRightInd w:val="0"/>
        <w:ind w:left="-806"/>
        <w:jc w:val="both"/>
        <w:rPr>
          <w:b/>
          <w:lang w:val="ro-RO"/>
        </w:rPr>
      </w:pPr>
    </w:p>
    <w:p w14:paraId="3D803553" w14:textId="614ACA5C" w:rsidR="00B51655" w:rsidRPr="0012739F" w:rsidRDefault="00FE26D4" w:rsidP="00B51655">
      <w:pPr>
        <w:autoSpaceDE w:val="0"/>
        <w:autoSpaceDN w:val="0"/>
        <w:adjustRightInd w:val="0"/>
        <w:ind w:left="-806"/>
        <w:jc w:val="both"/>
        <w:rPr>
          <w:b/>
          <w:lang w:val="ro-RO"/>
        </w:rPr>
      </w:pPr>
      <w:r w:rsidRPr="0012739F">
        <w:rPr>
          <w:b/>
          <w:lang w:val="ro-RO"/>
        </w:rPr>
        <w:t xml:space="preserve">      </w:t>
      </w:r>
      <w:r w:rsidR="00265FF6" w:rsidRPr="0012739F">
        <w:rPr>
          <w:b/>
          <w:lang w:val="ro-RO"/>
        </w:rPr>
        <w:t>Mircea FECHET</w:t>
      </w:r>
      <w:r w:rsidR="00B51655" w:rsidRPr="0012739F">
        <w:rPr>
          <w:b/>
          <w:lang w:val="ro-RO"/>
        </w:rPr>
        <w:t xml:space="preserve">                                                           </w:t>
      </w:r>
      <w:r w:rsidRPr="0012739F">
        <w:rPr>
          <w:b/>
          <w:lang w:val="ro-RO"/>
        </w:rPr>
        <w:t xml:space="preserve">            </w:t>
      </w:r>
      <w:r w:rsidR="00265FF6" w:rsidRPr="0012739F">
        <w:rPr>
          <w:b/>
          <w:lang w:val="ro-RO"/>
        </w:rPr>
        <w:t>Adrian-Ioan VEȘTEA</w:t>
      </w:r>
    </w:p>
    <w:p w14:paraId="7A8A96FA" w14:textId="77777777" w:rsidR="00B51655" w:rsidRPr="0012739F" w:rsidRDefault="00B51655" w:rsidP="00BF425A">
      <w:pPr>
        <w:autoSpaceDE w:val="0"/>
        <w:autoSpaceDN w:val="0"/>
        <w:adjustRightInd w:val="0"/>
        <w:ind w:left="-806"/>
        <w:jc w:val="center"/>
        <w:rPr>
          <w:b/>
          <w:lang w:val="ro-RO"/>
        </w:rPr>
      </w:pPr>
    </w:p>
    <w:p w14:paraId="31CEEF41" w14:textId="77777777" w:rsidR="00B56906" w:rsidRPr="0012739F" w:rsidRDefault="00B56906" w:rsidP="00BF425A">
      <w:pPr>
        <w:autoSpaceDE w:val="0"/>
        <w:autoSpaceDN w:val="0"/>
        <w:adjustRightInd w:val="0"/>
        <w:jc w:val="center"/>
        <w:rPr>
          <w:lang w:val="ro-RO"/>
        </w:rPr>
      </w:pPr>
    </w:p>
    <w:p w14:paraId="6ABD62F5" w14:textId="77777777" w:rsidR="00B51655" w:rsidRPr="0012739F" w:rsidRDefault="00B51655" w:rsidP="00BF425A">
      <w:pPr>
        <w:autoSpaceDE w:val="0"/>
        <w:autoSpaceDN w:val="0"/>
        <w:adjustRightInd w:val="0"/>
        <w:jc w:val="center"/>
        <w:rPr>
          <w:lang w:val="ro-RO"/>
        </w:rPr>
      </w:pPr>
    </w:p>
    <w:p w14:paraId="7631CE4D" w14:textId="77777777" w:rsidR="00FE26D4" w:rsidRPr="0012739F" w:rsidRDefault="00FE26D4" w:rsidP="00BF425A">
      <w:pPr>
        <w:autoSpaceDE w:val="0"/>
        <w:autoSpaceDN w:val="0"/>
        <w:adjustRightInd w:val="0"/>
        <w:jc w:val="center"/>
        <w:rPr>
          <w:lang w:val="ro-RO"/>
        </w:rPr>
      </w:pPr>
    </w:p>
    <w:p w14:paraId="7E8A42BE" w14:textId="77777777" w:rsidR="00B51655" w:rsidRPr="0012739F" w:rsidRDefault="00B51655" w:rsidP="00BF425A">
      <w:pPr>
        <w:autoSpaceDE w:val="0"/>
        <w:autoSpaceDN w:val="0"/>
        <w:adjustRightInd w:val="0"/>
        <w:jc w:val="center"/>
        <w:rPr>
          <w:lang w:val="ro-RO"/>
        </w:rPr>
      </w:pPr>
    </w:p>
    <w:p w14:paraId="192F68E3" w14:textId="77777777" w:rsidR="00B51655" w:rsidRPr="0012739F" w:rsidRDefault="00B51655" w:rsidP="00B51655">
      <w:pPr>
        <w:autoSpaceDE w:val="0"/>
        <w:autoSpaceDN w:val="0"/>
        <w:adjustRightInd w:val="0"/>
        <w:ind w:left="-806"/>
        <w:jc w:val="both"/>
        <w:rPr>
          <w:rStyle w:val="rvts2"/>
          <w:b/>
          <w:lang w:val="ro-RO"/>
        </w:rPr>
      </w:pPr>
      <w:r w:rsidRPr="0012739F">
        <w:rPr>
          <w:rStyle w:val="rvts2"/>
          <w:b/>
          <w:lang w:val="ro-RO"/>
        </w:rPr>
        <w:t xml:space="preserve">MINISTRUL MUNCII ȘI SOLIDARITĂȚII </w:t>
      </w:r>
      <w:r w:rsidR="006F4A5D" w:rsidRPr="0012739F">
        <w:rPr>
          <w:rStyle w:val="rvts2"/>
          <w:b/>
          <w:lang w:val="ro-RO"/>
        </w:rPr>
        <w:t xml:space="preserve">                 MINISTRUL AFACERILOR EXTERNE</w:t>
      </w:r>
    </w:p>
    <w:p w14:paraId="4AD79BAA" w14:textId="77777777" w:rsidR="00D47666" w:rsidRPr="0012739F" w:rsidRDefault="00B51655" w:rsidP="00B51655">
      <w:pPr>
        <w:autoSpaceDE w:val="0"/>
        <w:autoSpaceDN w:val="0"/>
        <w:adjustRightInd w:val="0"/>
        <w:ind w:left="-806"/>
        <w:jc w:val="both"/>
        <w:rPr>
          <w:rStyle w:val="rvts2"/>
          <w:b/>
          <w:lang w:val="ro-RO"/>
        </w:rPr>
      </w:pPr>
      <w:r w:rsidRPr="0012739F">
        <w:rPr>
          <w:rStyle w:val="rvts2"/>
          <w:b/>
          <w:lang w:val="ro-RO"/>
        </w:rPr>
        <w:t xml:space="preserve">                       SOCIALE</w:t>
      </w:r>
    </w:p>
    <w:p w14:paraId="4C7BA25F" w14:textId="77777777" w:rsidR="00B51655" w:rsidRPr="0012739F" w:rsidRDefault="00B51655" w:rsidP="00B51655">
      <w:pPr>
        <w:autoSpaceDE w:val="0"/>
        <w:autoSpaceDN w:val="0"/>
        <w:adjustRightInd w:val="0"/>
        <w:ind w:left="-806"/>
        <w:jc w:val="both"/>
        <w:rPr>
          <w:rStyle w:val="rvts2"/>
          <w:b/>
          <w:lang w:val="ro-RO"/>
        </w:rPr>
      </w:pPr>
    </w:p>
    <w:p w14:paraId="3E10F9A4" w14:textId="23E25F59" w:rsidR="00B51655" w:rsidRPr="0012739F" w:rsidRDefault="00B51655" w:rsidP="00B51655">
      <w:pPr>
        <w:autoSpaceDE w:val="0"/>
        <w:autoSpaceDN w:val="0"/>
        <w:adjustRightInd w:val="0"/>
        <w:ind w:left="-806"/>
        <w:jc w:val="both"/>
        <w:rPr>
          <w:rStyle w:val="rvts2"/>
          <w:b/>
          <w:lang w:val="ro-RO"/>
        </w:rPr>
      </w:pPr>
      <w:r w:rsidRPr="0012739F">
        <w:rPr>
          <w:rStyle w:val="rvts2"/>
          <w:b/>
          <w:lang w:val="ro-RO"/>
        </w:rPr>
        <w:t xml:space="preserve">          </w:t>
      </w:r>
      <w:r w:rsidR="0055528B" w:rsidRPr="0055528B">
        <w:rPr>
          <w:rStyle w:val="rvts2"/>
          <w:b/>
          <w:lang w:val="ro-RO"/>
        </w:rPr>
        <w:t>Simona BUCURA-OPRESCU</w:t>
      </w:r>
      <w:r w:rsidR="006F4A5D" w:rsidRPr="0012739F">
        <w:rPr>
          <w:rStyle w:val="rvts2"/>
          <w:b/>
          <w:lang w:val="ro-RO"/>
        </w:rPr>
        <w:t xml:space="preserve">                  </w:t>
      </w:r>
      <w:r w:rsidR="0055528B">
        <w:rPr>
          <w:rStyle w:val="rvts2"/>
          <w:b/>
          <w:lang w:val="ro-RO"/>
        </w:rPr>
        <w:t xml:space="preserve">                             </w:t>
      </w:r>
      <w:r w:rsidR="00265FF6" w:rsidRPr="0012739F">
        <w:rPr>
          <w:rStyle w:val="rvts2"/>
          <w:b/>
          <w:lang w:val="ro-RO"/>
        </w:rPr>
        <w:t>Luminița-Teodora ODOBESCU</w:t>
      </w:r>
    </w:p>
    <w:p w14:paraId="2C45EE55" w14:textId="77777777" w:rsidR="00B56906" w:rsidRPr="0012739F" w:rsidRDefault="00B56906" w:rsidP="00BF425A">
      <w:pPr>
        <w:autoSpaceDE w:val="0"/>
        <w:autoSpaceDN w:val="0"/>
        <w:adjustRightInd w:val="0"/>
        <w:ind w:left="-806"/>
        <w:jc w:val="center"/>
        <w:rPr>
          <w:b/>
          <w:lang w:val="ro-RO"/>
        </w:rPr>
      </w:pPr>
    </w:p>
    <w:p w14:paraId="11D4FFFC" w14:textId="77777777" w:rsidR="00D47666" w:rsidRPr="0012739F" w:rsidRDefault="00D47666" w:rsidP="00BF425A">
      <w:pPr>
        <w:autoSpaceDE w:val="0"/>
        <w:autoSpaceDN w:val="0"/>
        <w:adjustRightInd w:val="0"/>
        <w:ind w:left="-806"/>
        <w:jc w:val="center"/>
        <w:rPr>
          <w:lang w:val="ro-RO"/>
        </w:rPr>
      </w:pPr>
    </w:p>
    <w:p w14:paraId="7B050FED" w14:textId="77777777" w:rsidR="006F4A5D" w:rsidRPr="0012739F" w:rsidRDefault="006F4A5D" w:rsidP="00BF425A">
      <w:pPr>
        <w:autoSpaceDE w:val="0"/>
        <w:autoSpaceDN w:val="0"/>
        <w:adjustRightInd w:val="0"/>
        <w:ind w:left="-806"/>
        <w:jc w:val="center"/>
        <w:rPr>
          <w:lang w:val="ro-RO"/>
        </w:rPr>
      </w:pPr>
    </w:p>
    <w:p w14:paraId="04FD05EC" w14:textId="77777777" w:rsidR="00FE26D4" w:rsidRPr="0012739F" w:rsidRDefault="00FE26D4" w:rsidP="006F4A5D">
      <w:pPr>
        <w:autoSpaceDE w:val="0"/>
        <w:autoSpaceDN w:val="0"/>
        <w:adjustRightInd w:val="0"/>
        <w:ind w:left="-806"/>
        <w:jc w:val="center"/>
        <w:rPr>
          <w:b/>
          <w:lang w:val="ro-RO"/>
        </w:rPr>
      </w:pPr>
    </w:p>
    <w:p w14:paraId="0C40F8BA" w14:textId="77777777" w:rsidR="00D47666" w:rsidRPr="0012739F" w:rsidRDefault="006F4A5D" w:rsidP="006F4A5D">
      <w:pPr>
        <w:autoSpaceDE w:val="0"/>
        <w:autoSpaceDN w:val="0"/>
        <w:adjustRightInd w:val="0"/>
        <w:ind w:left="-806"/>
        <w:jc w:val="center"/>
        <w:rPr>
          <w:b/>
          <w:lang w:val="ro-RO"/>
        </w:rPr>
      </w:pPr>
      <w:r w:rsidRPr="0012739F">
        <w:rPr>
          <w:b/>
          <w:lang w:val="ro-RO"/>
        </w:rPr>
        <w:t>MINISTRUL JUSTIȚIEI</w:t>
      </w:r>
    </w:p>
    <w:p w14:paraId="3392B457" w14:textId="77777777" w:rsidR="006F4A5D" w:rsidRPr="0012739F" w:rsidRDefault="006F4A5D" w:rsidP="006F4A5D">
      <w:pPr>
        <w:autoSpaceDE w:val="0"/>
        <w:autoSpaceDN w:val="0"/>
        <w:adjustRightInd w:val="0"/>
        <w:ind w:left="-806"/>
        <w:jc w:val="center"/>
        <w:rPr>
          <w:b/>
          <w:lang w:val="ro-RO"/>
        </w:rPr>
      </w:pPr>
    </w:p>
    <w:p w14:paraId="1E1D2CFF" w14:textId="4CDF41D7" w:rsidR="006F4A5D" w:rsidRPr="0012739F" w:rsidRDefault="00265FF6" w:rsidP="006F4A5D">
      <w:pPr>
        <w:autoSpaceDE w:val="0"/>
        <w:autoSpaceDN w:val="0"/>
        <w:adjustRightInd w:val="0"/>
        <w:ind w:left="-806"/>
        <w:jc w:val="center"/>
        <w:rPr>
          <w:b/>
          <w:lang w:val="ro-RO"/>
        </w:rPr>
      </w:pPr>
      <w:r w:rsidRPr="0012739F">
        <w:rPr>
          <w:b/>
          <w:lang w:val="ro-RO"/>
        </w:rPr>
        <w:t>Alina-Ștefania GORGHIU</w:t>
      </w:r>
    </w:p>
    <w:p w14:paraId="6053FFBC" w14:textId="77777777" w:rsidR="00B56906" w:rsidRPr="0012739F" w:rsidRDefault="00B56906" w:rsidP="00BF425A">
      <w:pPr>
        <w:autoSpaceDE w:val="0"/>
        <w:autoSpaceDN w:val="0"/>
        <w:adjustRightInd w:val="0"/>
        <w:ind w:left="-806"/>
        <w:jc w:val="center"/>
        <w:rPr>
          <w:b/>
          <w:lang w:val="ro-RO"/>
        </w:rPr>
      </w:pPr>
      <w:bookmarkStart w:id="1" w:name="_GoBack"/>
      <w:bookmarkEnd w:id="1"/>
    </w:p>
    <w:sectPr w:rsidR="00B56906" w:rsidRPr="0012739F" w:rsidSect="000564A2">
      <w:footerReference w:type="default" r:id="rId11"/>
      <w:pgSz w:w="11907" w:h="16839" w:code="9"/>
      <w:pgMar w:top="709" w:right="99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B9C44" w14:textId="77777777" w:rsidR="00C90CEA" w:rsidRDefault="00C90CEA" w:rsidP="00F7653D">
      <w:r>
        <w:separator/>
      </w:r>
    </w:p>
  </w:endnote>
  <w:endnote w:type="continuationSeparator" w:id="0">
    <w:p w14:paraId="0EE9B19B" w14:textId="77777777" w:rsidR="00C90CEA" w:rsidRDefault="00C90CEA" w:rsidP="00F7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892022"/>
      <w:docPartObj>
        <w:docPartGallery w:val="Page Numbers (Bottom of Page)"/>
        <w:docPartUnique/>
      </w:docPartObj>
    </w:sdtPr>
    <w:sdtEndPr>
      <w:rPr>
        <w:noProof/>
      </w:rPr>
    </w:sdtEndPr>
    <w:sdtContent>
      <w:p w14:paraId="5E655153" w14:textId="77777777" w:rsidR="00F7653D" w:rsidRDefault="00F7653D">
        <w:pPr>
          <w:pStyle w:val="Footer"/>
          <w:jc w:val="center"/>
        </w:pPr>
        <w:r>
          <w:fldChar w:fldCharType="begin"/>
        </w:r>
        <w:r>
          <w:instrText xml:space="preserve"> PAGE   \* MERGEFORMAT </w:instrText>
        </w:r>
        <w:r>
          <w:fldChar w:fldCharType="separate"/>
        </w:r>
        <w:r w:rsidR="001E6D59">
          <w:rPr>
            <w:noProof/>
          </w:rPr>
          <w:t>6</w:t>
        </w:r>
        <w:r>
          <w:rPr>
            <w:noProof/>
          </w:rPr>
          <w:fldChar w:fldCharType="end"/>
        </w:r>
      </w:p>
    </w:sdtContent>
  </w:sdt>
  <w:p w14:paraId="6FEDC7A0" w14:textId="77777777" w:rsidR="00F7653D" w:rsidRDefault="00F76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77518" w14:textId="77777777" w:rsidR="00C90CEA" w:rsidRDefault="00C90CEA" w:rsidP="00F7653D">
      <w:r>
        <w:separator/>
      </w:r>
    </w:p>
  </w:footnote>
  <w:footnote w:type="continuationSeparator" w:id="0">
    <w:p w14:paraId="6FF22C70" w14:textId="77777777" w:rsidR="00C90CEA" w:rsidRDefault="00C90CEA" w:rsidP="00F76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38E"/>
    <w:multiLevelType w:val="hybridMultilevel"/>
    <w:tmpl w:val="A872B3A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9D6926"/>
    <w:multiLevelType w:val="hybridMultilevel"/>
    <w:tmpl w:val="AFC4A212"/>
    <w:lvl w:ilvl="0" w:tplc="9E0E2FB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092714"/>
    <w:multiLevelType w:val="hybridMultilevel"/>
    <w:tmpl w:val="65B09FAC"/>
    <w:lvl w:ilvl="0" w:tplc="0C5C62BA">
      <w:start w:val="1"/>
      <w:numFmt w:val="bullet"/>
      <w:lvlText w:val="•"/>
      <w:lvlJc w:val="left"/>
      <w:pPr>
        <w:tabs>
          <w:tab w:val="num" w:pos="720"/>
        </w:tabs>
        <w:ind w:left="720" w:hanging="360"/>
      </w:pPr>
      <w:rPr>
        <w:rFonts w:ascii="Times New Roman" w:hAnsi="Times New Roman" w:cs="Times New Roman" w:hint="default"/>
      </w:rPr>
    </w:lvl>
    <w:lvl w:ilvl="1" w:tplc="F07A0796">
      <w:start w:val="1"/>
      <w:numFmt w:val="decimal"/>
      <w:lvlText w:val="%2."/>
      <w:lvlJc w:val="left"/>
      <w:pPr>
        <w:tabs>
          <w:tab w:val="num" w:pos="1440"/>
        </w:tabs>
        <w:ind w:left="1440" w:hanging="360"/>
      </w:pPr>
    </w:lvl>
    <w:lvl w:ilvl="2" w:tplc="8674A7A8">
      <w:start w:val="1"/>
      <w:numFmt w:val="decimal"/>
      <w:lvlText w:val="%3."/>
      <w:lvlJc w:val="left"/>
      <w:pPr>
        <w:tabs>
          <w:tab w:val="num" w:pos="2160"/>
        </w:tabs>
        <w:ind w:left="2160" w:hanging="360"/>
      </w:pPr>
    </w:lvl>
    <w:lvl w:ilvl="3" w:tplc="55CE5138">
      <w:start w:val="1"/>
      <w:numFmt w:val="decimal"/>
      <w:lvlText w:val="%4."/>
      <w:lvlJc w:val="left"/>
      <w:pPr>
        <w:tabs>
          <w:tab w:val="num" w:pos="2880"/>
        </w:tabs>
        <w:ind w:left="2880" w:hanging="360"/>
      </w:pPr>
    </w:lvl>
    <w:lvl w:ilvl="4" w:tplc="56568BCE">
      <w:start w:val="1"/>
      <w:numFmt w:val="decimal"/>
      <w:lvlText w:val="%5."/>
      <w:lvlJc w:val="left"/>
      <w:pPr>
        <w:tabs>
          <w:tab w:val="num" w:pos="3600"/>
        </w:tabs>
        <w:ind w:left="3600" w:hanging="360"/>
      </w:pPr>
    </w:lvl>
    <w:lvl w:ilvl="5" w:tplc="D3C24EFA">
      <w:start w:val="1"/>
      <w:numFmt w:val="decimal"/>
      <w:lvlText w:val="%6."/>
      <w:lvlJc w:val="left"/>
      <w:pPr>
        <w:tabs>
          <w:tab w:val="num" w:pos="4320"/>
        </w:tabs>
        <w:ind w:left="4320" w:hanging="360"/>
      </w:pPr>
    </w:lvl>
    <w:lvl w:ilvl="6" w:tplc="54522C64">
      <w:start w:val="1"/>
      <w:numFmt w:val="decimal"/>
      <w:lvlText w:val="%7."/>
      <w:lvlJc w:val="left"/>
      <w:pPr>
        <w:tabs>
          <w:tab w:val="num" w:pos="5040"/>
        </w:tabs>
        <w:ind w:left="5040" w:hanging="360"/>
      </w:pPr>
    </w:lvl>
    <w:lvl w:ilvl="7" w:tplc="59208DC8">
      <w:start w:val="1"/>
      <w:numFmt w:val="decimal"/>
      <w:lvlText w:val="%8."/>
      <w:lvlJc w:val="left"/>
      <w:pPr>
        <w:tabs>
          <w:tab w:val="num" w:pos="5760"/>
        </w:tabs>
        <w:ind w:left="5760" w:hanging="360"/>
      </w:pPr>
    </w:lvl>
    <w:lvl w:ilvl="8" w:tplc="92B6CDC2">
      <w:start w:val="1"/>
      <w:numFmt w:val="decimal"/>
      <w:lvlText w:val="%9."/>
      <w:lvlJc w:val="left"/>
      <w:pPr>
        <w:tabs>
          <w:tab w:val="num" w:pos="6480"/>
        </w:tabs>
        <w:ind w:left="6480" w:hanging="360"/>
      </w:pPr>
    </w:lvl>
  </w:abstractNum>
  <w:abstractNum w:abstractNumId="3" w15:restartNumberingAfterBreak="0">
    <w:nsid w:val="28EB7211"/>
    <w:multiLevelType w:val="hybridMultilevel"/>
    <w:tmpl w:val="19B69BBA"/>
    <w:lvl w:ilvl="0" w:tplc="49FA73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E3BC9"/>
    <w:multiLevelType w:val="hybridMultilevel"/>
    <w:tmpl w:val="77C8D0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29003AD"/>
    <w:multiLevelType w:val="hybridMultilevel"/>
    <w:tmpl w:val="6E3EDABA"/>
    <w:lvl w:ilvl="0" w:tplc="A8AA0E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6952D9B"/>
    <w:multiLevelType w:val="hybridMultilevel"/>
    <w:tmpl w:val="E6C6E7CE"/>
    <w:lvl w:ilvl="0" w:tplc="F85EF028">
      <w:start w:val="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87A6523"/>
    <w:multiLevelType w:val="hybridMultilevel"/>
    <w:tmpl w:val="BE00AEF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645B9B"/>
    <w:multiLevelType w:val="hybridMultilevel"/>
    <w:tmpl w:val="585C4EA0"/>
    <w:lvl w:ilvl="0" w:tplc="DB98D538">
      <w:start w:val="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2405C81"/>
    <w:multiLevelType w:val="hybridMultilevel"/>
    <w:tmpl w:val="964A0018"/>
    <w:lvl w:ilvl="0" w:tplc="E508FE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396037"/>
    <w:multiLevelType w:val="hybridMultilevel"/>
    <w:tmpl w:val="24F088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32CCA"/>
    <w:multiLevelType w:val="hybridMultilevel"/>
    <w:tmpl w:val="923ECECE"/>
    <w:lvl w:ilvl="0" w:tplc="4C46A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4"/>
  </w:num>
  <w:num w:numId="6">
    <w:abstractNumId w:val="5"/>
  </w:num>
  <w:num w:numId="7">
    <w:abstractNumId w:val="12"/>
  </w:num>
  <w:num w:numId="8">
    <w:abstractNumId w:val="6"/>
  </w:num>
  <w:num w:numId="9">
    <w:abstractNumId w:val="7"/>
  </w:num>
  <w:num w:numId="10">
    <w:abstractNumId w:val="8"/>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73"/>
    <w:rsid w:val="0000227E"/>
    <w:rsid w:val="00007F71"/>
    <w:rsid w:val="0001499E"/>
    <w:rsid w:val="000269D3"/>
    <w:rsid w:val="000564A2"/>
    <w:rsid w:val="000626CA"/>
    <w:rsid w:val="00074DC0"/>
    <w:rsid w:val="0007604F"/>
    <w:rsid w:val="000806EB"/>
    <w:rsid w:val="00094EB6"/>
    <w:rsid w:val="00096B8F"/>
    <w:rsid w:val="000A77B0"/>
    <w:rsid w:val="000A790D"/>
    <w:rsid w:val="000B0371"/>
    <w:rsid w:val="000D2690"/>
    <w:rsid w:val="000D3979"/>
    <w:rsid w:val="000D4876"/>
    <w:rsid w:val="000F5E34"/>
    <w:rsid w:val="000F7708"/>
    <w:rsid w:val="00117B10"/>
    <w:rsid w:val="00120A75"/>
    <w:rsid w:val="00124B9A"/>
    <w:rsid w:val="00125298"/>
    <w:rsid w:val="0012739F"/>
    <w:rsid w:val="0013155D"/>
    <w:rsid w:val="001374BE"/>
    <w:rsid w:val="00137ECF"/>
    <w:rsid w:val="0014572A"/>
    <w:rsid w:val="00152B0B"/>
    <w:rsid w:val="00175567"/>
    <w:rsid w:val="00176888"/>
    <w:rsid w:val="001856B0"/>
    <w:rsid w:val="00185958"/>
    <w:rsid w:val="001A0D53"/>
    <w:rsid w:val="001A16BB"/>
    <w:rsid w:val="001B2473"/>
    <w:rsid w:val="001C0FA6"/>
    <w:rsid w:val="001E6D59"/>
    <w:rsid w:val="001F5010"/>
    <w:rsid w:val="00202D06"/>
    <w:rsid w:val="002072FA"/>
    <w:rsid w:val="00222C0A"/>
    <w:rsid w:val="00224B94"/>
    <w:rsid w:val="00231EE3"/>
    <w:rsid w:val="002528D7"/>
    <w:rsid w:val="00254585"/>
    <w:rsid w:val="00260744"/>
    <w:rsid w:val="00262578"/>
    <w:rsid w:val="00263BB6"/>
    <w:rsid w:val="00265FF6"/>
    <w:rsid w:val="00272991"/>
    <w:rsid w:val="00273607"/>
    <w:rsid w:val="00283442"/>
    <w:rsid w:val="002A710A"/>
    <w:rsid w:val="002B64E2"/>
    <w:rsid w:val="002B7865"/>
    <w:rsid w:val="002B7889"/>
    <w:rsid w:val="002C6EE6"/>
    <w:rsid w:val="002D0865"/>
    <w:rsid w:val="002D16B9"/>
    <w:rsid w:val="002D4184"/>
    <w:rsid w:val="002D645E"/>
    <w:rsid w:val="002E0697"/>
    <w:rsid w:val="002F6FD2"/>
    <w:rsid w:val="003075D1"/>
    <w:rsid w:val="003151F6"/>
    <w:rsid w:val="00363D99"/>
    <w:rsid w:val="00375DBE"/>
    <w:rsid w:val="003803EA"/>
    <w:rsid w:val="0038302B"/>
    <w:rsid w:val="00395061"/>
    <w:rsid w:val="003954E1"/>
    <w:rsid w:val="00395943"/>
    <w:rsid w:val="003B4F5B"/>
    <w:rsid w:val="003B6D41"/>
    <w:rsid w:val="003C1973"/>
    <w:rsid w:val="003E4A9D"/>
    <w:rsid w:val="003F09EA"/>
    <w:rsid w:val="00407809"/>
    <w:rsid w:val="00407E1B"/>
    <w:rsid w:val="0041057B"/>
    <w:rsid w:val="004115A6"/>
    <w:rsid w:val="004411B8"/>
    <w:rsid w:val="00441795"/>
    <w:rsid w:val="00446A39"/>
    <w:rsid w:val="0044714E"/>
    <w:rsid w:val="004516D3"/>
    <w:rsid w:val="00452119"/>
    <w:rsid w:val="00461BE1"/>
    <w:rsid w:val="00471600"/>
    <w:rsid w:val="00480F5A"/>
    <w:rsid w:val="00485252"/>
    <w:rsid w:val="00496148"/>
    <w:rsid w:val="004A5F07"/>
    <w:rsid w:val="004A79D6"/>
    <w:rsid w:val="004C32D5"/>
    <w:rsid w:val="004C5285"/>
    <w:rsid w:val="004C6092"/>
    <w:rsid w:val="004D2863"/>
    <w:rsid w:val="004D7ACE"/>
    <w:rsid w:val="004F18F3"/>
    <w:rsid w:val="004F323A"/>
    <w:rsid w:val="005033F8"/>
    <w:rsid w:val="005067C3"/>
    <w:rsid w:val="0051138E"/>
    <w:rsid w:val="005214C4"/>
    <w:rsid w:val="0053075C"/>
    <w:rsid w:val="0054124F"/>
    <w:rsid w:val="00542A61"/>
    <w:rsid w:val="00543844"/>
    <w:rsid w:val="005452FD"/>
    <w:rsid w:val="0055528B"/>
    <w:rsid w:val="00555A3A"/>
    <w:rsid w:val="00560B4E"/>
    <w:rsid w:val="0058051B"/>
    <w:rsid w:val="00581CB3"/>
    <w:rsid w:val="00584D66"/>
    <w:rsid w:val="0059005D"/>
    <w:rsid w:val="005A5E5A"/>
    <w:rsid w:val="005A6493"/>
    <w:rsid w:val="005A7822"/>
    <w:rsid w:val="005B1F61"/>
    <w:rsid w:val="005D1350"/>
    <w:rsid w:val="005D5434"/>
    <w:rsid w:val="005E028C"/>
    <w:rsid w:val="005E07AA"/>
    <w:rsid w:val="005E539E"/>
    <w:rsid w:val="005F2B81"/>
    <w:rsid w:val="005F7EDD"/>
    <w:rsid w:val="00601B42"/>
    <w:rsid w:val="00612F8D"/>
    <w:rsid w:val="00640146"/>
    <w:rsid w:val="00652C01"/>
    <w:rsid w:val="006702B3"/>
    <w:rsid w:val="00680AD7"/>
    <w:rsid w:val="0068503B"/>
    <w:rsid w:val="006961A1"/>
    <w:rsid w:val="006A174F"/>
    <w:rsid w:val="006B080A"/>
    <w:rsid w:val="006B527E"/>
    <w:rsid w:val="006D15B7"/>
    <w:rsid w:val="006D1815"/>
    <w:rsid w:val="006D6809"/>
    <w:rsid w:val="006D7CF6"/>
    <w:rsid w:val="006E3041"/>
    <w:rsid w:val="006E3DF1"/>
    <w:rsid w:val="006F2C1A"/>
    <w:rsid w:val="006F2FD6"/>
    <w:rsid w:val="006F4A5D"/>
    <w:rsid w:val="00711ECC"/>
    <w:rsid w:val="00714379"/>
    <w:rsid w:val="00722967"/>
    <w:rsid w:val="0073478E"/>
    <w:rsid w:val="00736AE2"/>
    <w:rsid w:val="00744533"/>
    <w:rsid w:val="00751BA8"/>
    <w:rsid w:val="00762593"/>
    <w:rsid w:val="00764BE1"/>
    <w:rsid w:val="00770CCF"/>
    <w:rsid w:val="00774D0B"/>
    <w:rsid w:val="007B0586"/>
    <w:rsid w:val="007B3600"/>
    <w:rsid w:val="007B419F"/>
    <w:rsid w:val="007B64FF"/>
    <w:rsid w:val="007C1141"/>
    <w:rsid w:val="007D2358"/>
    <w:rsid w:val="007D2450"/>
    <w:rsid w:val="007D7890"/>
    <w:rsid w:val="007E081E"/>
    <w:rsid w:val="007F6D10"/>
    <w:rsid w:val="008010F7"/>
    <w:rsid w:val="00811F59"/>
    <w:rsid w:val="00814668"/>
    <w:rsid w:val="008365F5"/>
    <w:rsid w:val="00840A27"/>
    <w:rsid w:val="008417D7"/>
    <w:rsid w:val="00851958"/>
    <w:rsid w:val="008718EC"/>
    <w:rsid w:val="008729E1"/>
    <w:rsid w:val="0087779A"/>
    <w:rsid w:val="00880AC6"/>
    <w:rsid w:val="008818E1"/>
    <w:rsid w:val="008A03D6"/>
    <w:rsid w:val="008B14E8"/>
    <w:rsid w:val="008B2EF7"/>
    <w:rsid w:val="008C72CD"/>
    <w:rsid w:val="008E25A3"/>
    <w:rsid w:val="00910567"/>
    <w:rsid w:val="00910BCC"/>
    <w:rsid w:val="00950539"/>
    <w:rsid w:val="00961673"/>
    <w:rsid w:val="00965823"/>
    <w:rsid w:val="009800CF"/>
    <w:rsid w:val="0098088A"/>
    <w:rsid w:val="0098282B"/>
    <w:rsid w:val="00984C64"/>
    <w:rsid w:val="00990645"/>
    <w:rsid w:val="0099151C"/>
    <w:rsid w:val="00991CEE"/>
    <w:rsid w:val="00992E49"/>
    <w:rsid w:val="009B0148"/>
    <w:rsid w:val="009B52EA"/>
    <w:rsid w:val="009D47B3"/>
    <w:rsid w:val="009E441B"/>
    <w:rsid w:val="009F1FCA"/>
    <w:rsid w:val="00A03143"/>
    <w:rsid w:val="00A13168"/>
    <w:rsid w:val="00A23AD3"/>
    <w:rsid w:val="00A257D7"/>
    <w:rsid w:val="00A26F6D"/>
    <w:rsid w:val="00A50563"/>
    <w:rsid w:val="00A52511"/>
    <w:rsid w:val="00A558E3"/>
    <w:rsid w:val="00A70C33"/>
    <w:rsid w:val="00AA6CE8"/>
    <w:rsid w:val="00AB2264"/>
    <w:rsid w:val="00AB5AD5"/>
    <w:rsid w:val="00AC7EC6"/>
    <w:rsid w:val="00AD7DA4"/>
    <w:rsid w:val="00AE519E"/>
    <w:rsid w:val="00AF1642"/>
    <w:rsid w:val="00B01EBF"/>
    <w:rsid w:val="00B104B1"/>
    <w:rsid w:val="00B104C7"/>
    <w:rsid w:val="00B1265B"/>
    <w:rsid w:val="00B1271D"/>
    <w:rsid w:val="00B132C6"/>
    <w:rsid w:val="00B14BCB"/>
    <w:rsid w:val="00B20962"/>
    <w:rsid w:val="00B262B4"/>
    <w:rsid w:val="00B27C28"/>
    <w:rsid w:val="00B31C76"/>
    <w:rsid w:val="00B51655"/>
    <w:rsid w:val="00B56906"/>
    <w:rsid w:val="00B57295"/>
    <w:rsid w:val="00B610A1"/>
    <w:rsid w:val="00B63C5D"/>
    <w:rsid w:val="00B64EA5"/>
    <w:rsid w:val="00B73175"/>
    <w:rsid w:val="00B75255"/>
    <w:rsid w:val="00B75A2E"/>
    <w:rsid w:val="00B832CD"/>
    <w:rsid w:val="00B87261"/>
    <w:rsid w:val="00BA481D"/>
    <w:rsid w:val="00BA7633"/>
    <w:rsid w:val="00BB2F6D"/>
    <w:rsid w:val="00BC60C1"/>
    <w:rsid w:val="00BD14A6"/>
    <w:rsid w:val="00BD334E"/>
    <w:rsid w:val="00BE15F8"/>
    <w:rsid w:val="00BE7642"/>
    <w:rsid w:val="00BF425A"/>
    <w:rsid w:val="00BF6230"/>
    <w:rsid w:val="00C06632"/>
    <w:rsid w:val="00C11532"/>
    <w:rsid w:val="00C1327C"/>
    <w:rsid w:val="00C1339C"/>
    <w:rsid w:val="00C217DD"/>
    <w:rsid w:val="00C22EED"/>
    <w:rsid w:val="00C303C8"/>
    <w:rsid w:val="00C30A36"/>
    <w:rsid w:val="00C34D24"/>
    <w:rsid w:val="00C43A64"/>
    <w:rsid w:val="00C47443"/>
    <w:rsid w:val="00C531B6"/>
    <w:rsid w:val="00C55699"/>
    <w:rsid w:val="00C62ED8"/>
    <w:rsid w:val="00C76D65"/>
    <w:rsid w:val="00C815F4"/>
    <w:rsid w:val="00C82FA3"/>
    <w:rsid w:val="00C90CEA"/>
    <w:rsid w:val="00CA134A"/>
    <w:rsid w:val="00CA2AEB"/>
    <w:rsid w:val="00CB4582"/>
    <w:rsid w:val="00CC3ACB"/>
    <w:rsid w:val="00CC47A6"/>
    <w:rsid w:val="00CC4939"/>
    <w:rsid w:val="00CD464B"/>
    <w:rsid w:val="00CE793C"/>
    <w:rsid w:val="00D219AE"/>
    <w:rsid w:val="00D2392E"/>
    <w:rsid w:val="00D30202"/>
    <w:rsid w:val="00D47666"/>
    <w:rsid w:val="00D54894"/>
    <w:rsid w:val="00D553A5"/>
    <w:rsid w:val="00D609AF"/>
    <w:rsid w:val="00D62796"/>
    <w:rsid w:val="00D8588A"/>
    <w:rsid w:val="00D93451"/>
    <w:rsid w:val="00DA5B32"/>
    <w:rsid w:val="00DB3860"/>
    <w:rsid w:val="00DB6985"/>
    <w:rsid w:val="00DC5C63"/>
    <w:rsid w:val="00DD6A2E"/>
    <w:rsid w:val="00DD6E96"/>
    <w:rsid w:val="00DE259A"/>
    <w:rsid w:val="00DF723A"/>
    <w:rsid w:val="00E10E29"/>
    <w:rsid w:val="00E1445C"/>
    <w:rsid w:val="00E16A2B"/>
    <w:rsid w:val="00E2056D"/>
    <w:rsid w:val="00E45EC3"/>
    <w:rsid w:val="00E516C4"/>
    <w:rsid w:val="00E52814"/>
    <w:rsid w:val="00E5393F"/>
    <w:rsid w:val="00E56390"/>
    <w:rsid w:val="00E714CF"/>
    <w:rsid w:val="00EA09B0"/>
    <w:rsid w:val="00EA1803"/>
    <w:rsid w:val="00EA2854"/>
    <w:rsid w:val="00EA694A"/>
    <w:rsid w:val="00EB7A42"/>
    <w:rsid w:val="00ED4C1F"/>
    <w:rsid w:val="00ED68CA"/>
    <w:rsid w:val="00EE1FC5"/>
    <w:rsid w:val="00EE4726"/>
    <w:rsid w:val="00EF4DFE"/>
    <w:rsid w:val="00EF65CB"/>
    <w:rsid w:val="00F0518D"/>
    <w:rsid w:val="00F13963"/>
    <w:rsid w:val="00F14AD5"/>
    <w:rsid w:val="00F27D61"/>
    <w:rsid w:val="00F305C5"/>
    <w:rsid w:val="00F74B4E"/>
    <w:rsid w:val="00F7642B"/>
    <w:rsid w:val="00F7653D"/>
    <w:rsid w:val="00F83D5F"/>
    <w:rsid w:val="00F84BAD"/>
    <w:rsid w:val="00F903B0"/>
    <w:rsid w:val="00FA3411"/>
    <w:rsid w:val="00FA50ED"/>
    <w:rsid w:val="00FB2972"/>
    <w:rsid w:val="00FB2C6E"/>
    <w:rsid w:val="00FC3968"/>
    <w:rsid w:val="00FC6C24"/>
    <w:rsid w:val="00FE26D4"/>
    <w:rsid w:val="00FE3058"/>
    <w:rsid w:val="00FE3620"/>
    <w:rsid w:val="00FF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421E"/>
  <w15:docId w15:val="{490AD4DD-D8E9-4B89-BEE7-8C6087AC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315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315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94EB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 Char6 Char,Char6 Char"/>
    <w:basedOn w:val="DefaultParagraphFont"/>
    <w:link w:val="Header"/>
    <w:locked/>
    <w:rsid w:val="00961673"/>
    <w:rPr>
      <w:sz w:val="24"/>
      <w:szCs w:val="24"/>
    </w:rPr>
  </w:style>
  <w:style w:type="paragraph" w:styleId="Header">
    <w:name w:val="header"/>
    <w:aliases w:val=" Char6,Char6"/>
    <w:basedOn w:val="Normal"/>
    <w:link w:val="HeaderChar"/>
    <w:rsid w:val="00961673"/>
    <w:pPr>
      <w:tabs>
        <w:tab w:val="center" w:pos="4536"/>
        <w:tab w:val="right" w:pos="9072"/>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961673"/>
    <w:rPr>
      <w:rFonts w:ascii="Times New Roman" w:eastAsia="Times New Roman" w:hAnsi="Times New Roman" w:cs="Times New Roman"/>
      <w:sz w:val="24"/>
      <w:szCs w:val="24"/>
    </w:rPr>
  </w:style>
  <w:style w:type="character" w:styleId="Hyperlink">
    <w:name w:val="Hyperlink"/>
    <w:basedOn w:val="DefaultParagraphFont"/>
    <w:unhideWhenUsed/>
    <w:rsid w:val="00961673"/>
    <w:rPr>
      <w:color w:val="0000FF" w:themeColor="hyperlink"/>
      <w:u w:val="single"/>
    </w:rPr>
  </w:style>
  <w:style w:type="paragraph" w:styleId="ListParagraph">
    <w:name w:val="List Paragraph"/>
    <w:basedOn w:val="Normal"/>
    <w:uiPriority w:val="34"/>
    <w:qFormat/>
    <w:rsid w:val="00961673"/>
    <w:pPr>
      <w:ind w:left="720"/>
      <w:contextualSpacing/>
    </w:pPr>
  </w:style>
  <w:style w:type="paragraph" w:styleId="BalloonText">
    <w:name w:val="Balloon Text"/>
    <w:basedOn w:val="Normal"/>
    <w:link w:val="BalloonTextChar"/>
    <w:uiPriority w:val="99"/>
    <w:semiHidden/>
    <w:unhideWhenUsed/>
    <w:rsid w:val="00961673"/>
    <w:rPr>
      <w:rFonts w:ascii="Tahoma" w:hAnsi="Tahoma" w:cs="Tahoma"/>
      <w:sz w:val="16"/>
      <w:szCs w:val="16"/>
    </w:rPr>
  </w:style>
  <w:style w:type="character" w:customStyle="1" w:styleId="BalloonTextChar">
    <w:name w:val="Balloon Text Char"/>
    <w:basedOn w:val="DefaultParagraphFont"/>
    <w:link w:val="BalloonText"/>
    <w:uiPriority w:val="99"/>
    <w:semiHidden/>
    <w:rsid w:val="00961673"/>
    <w:rPr>
      <w:rFonts w:ascii="Tahoma" w:eastAsia="Times New Roman" w:hAnsi="Tahoma" w:cs="Tahoma"/>
      <w:sz w:val="16"/>
      <w:szCs w:val="16"/>
    </w:rPr>
  </w:style>
  <w:style w:type="character" w:customStyle="1" w:styleId="Heading4Char">
    <w:name w:val="Heading 4 Char"/>
    <w:basedOn w:val="DefaultParagraphFont"/>
    <w:link w:val="Heading4"/>
    <w:uiPriority w:val="9"/>
    <w:rsid w:val="00094EB6"/>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094EB6"/>
  </w:style>
  <w:style w:type="character" w:customStyle="1" w:styleId="cmg">
    <w:name w:val="cmg"/>
    <w:basedOn w:val="DefaultParagraphFont"/>
    <w:rsid w:val="00094EB6"/>
  </w:style>
  <w:style w:type="character" w:styleId="PlaceholderText">
    <w:name w:val="Placeholder Text"/>
    <w:basedOn w:val="DefaultParagraphFont"/>
    <w:uiPriority w:val="99"/>
    <w:semiHidden/>
    <w:rsid w:val="001B2473"/>
    <w:rPr>
      <w:color w:val="808080"/>
    </w:rPr>
  </w:style>
  <w:style w:type="character" w:customStyle="1" w:styleId="Heading1Char">
    <w:name w:val="Heading 1 Char"/>
    <w:basedOn w:val="DefaultParagraphFont"/>
    <w:link w:val="Heading1"/>
    <w:uiPriority w:val="9"/>
    <w:rsid w:val="0013155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3155D"/>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13155D"/>
    <w:pPr>
      <w:spacing w:before="100" w:beforeAutospacing="1" w:after="100" w:afterAutospacing="1"/>
    </w:pPr>
    <w:rPr>
      <w:rFonts w:eastAsiaTheme="minorEastAsia"/>
    </w:rPr>
  </w:style>
  <w:style w:type="character" w:customStyle="1" w:styleId="js-calendar1">
    <w:name w:val="js-calendar1"/>
    <w:basedOn w:val="DefaultParagraphFont"/>
    <w:rsid w:val="0013155D"/>
    <w:rPr>
      <w:b/>
      <w:bCs/>
      <w:color w:val="008000"/>
    </w:rPr>
  </w:style>
  <w:style w:type="paragraph" w:customStyle="1" w:styleId="al">
    <w:name w:val="a_l"/>
    <w:basedOn w:val="Normal"/>
    <w:rsid w:val="0013155D"/>
    <w:pPr>
      <w:spacing w:before="100" w:beforeAutospacing="1" w:after="100" w:afterAutospacing="1"/>
    </w:pPr>
    <w:rPr>
      <w:rFonts w:eastAsiaTheme="minorEastAsia"/>
    </w:rPr>
  </w:style>
  <w:style w:type="paragraph" w:customStyle="1" w:styleId="notablewrapper">
    <w:name w:val="notablewrapper"/>
    <w:basedOn w:val="Normal"/>
    <w:rsid w:val="00CE793C"/>
    <w:pPr>
      <w:spacing w:before="100" w:beforeAutospacing="1" w:after="100" w:afterAutospacing="1"/>
    </w:pPr>
    <w:rPr>
      <w:rFonts w:eastAsiaTheme="minorEastAsia"/>
    </w:rPr>
  </w:style>
  <w:style w:type="character" w:styleId="Emphasis">
    <w:name w:val="Emphasis"/>
    <w:basedOn w:val="DefaultParagraphFont"/>
    <w:uiPriority w:val="20"/>
    <w:qFormat/>
    <w:rsid w:val="00736AE2"/>
    <w:rPr>
      <w:i/>
      <w:iCs/>
    </w:rPr>
  </w:style>
  <w:style w:type="paragraph" w:customStyle="1" w:styleId="shdr">
    <w:name w:val="s_hdr"/>
    <w:basedOn w:val="Normal"/>
    <w:rsid w:val="00CA2AEB"/>
    <w:pPr>
      <w:spacing w:before="72" w:after="72"/>
      <w:ind w:left="72" w:right="72"/>
    </w:pPr>
    <w:rPr>
      <w:rFonts w:ascii="Verdana" w:eastAsiaTheme="minorEastAsia" w:hAnsi="Verdana"/>
      <w:b/>
      <w:bCs/>
      <w:color w:val="333333"/>
      <w:sz w:val="20"/>
      <w:szCs w:val="20"/>
    </w:rPr>
  </w:style>
  <w:style w:type="character" w:customStyle="1" w:styleId="sden1">
    <w:name w:val="s_den1"/>
    <w:basedOn w:val="DefaultParagraphFont"/>
    <w:rsid w:val="00CA2AEB"/>
    <w:rPr>
      <w:rFonts w:ascii="Verdana" w:hAnsi="Verdana" w:hint="default"/>
      <w:b/>
      <w:bCs/>
      <w:vanish w:val="0"/>
      <w:webHidden w:val="0"/>
      <w:color w:val="8B0000"/>
      <w:sz w:val="30"/>
      <w:szCs w:val="30"/>
      <w:shd w:val="clear" w:color="auto" w:fill="FFFFFF"/>
      <w:specVanish w:val="0"/>
    </w:rPr>
  </w:style>
  <w:style w:type="character" w:customStyle="1" w:styleId="spar3">
    <w:name w:val="s_par3"/>
    <w:basedOn w:val="DefaultParagraphFont"/>
    <w:rsid w:val="00CA2AEB"/>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DefaultParagraphFont"/>
    <w:rsid w:val="00CA2AEB"/>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CA2AEB"/>
    <w:rPr>
      <w:rFonts w:ascii="Verdana" w:hAnsi="Verdana" w:hint="default"/>
      <w:b/>
      <w:bCs/>
      <w:color w:val="8B0000"/>
      <w:sz w:val="20"/>
      <w:szCs w:val="20"/>
      <w:shd w:val="clear" w:color="auto" w:fill="FFFFFF"/>
    </w:rPr>
  </w:style>
  <w:style w:type="character" w:customStyle="1" w:styleId="spctbdy">
    <w:name w:val="s_pct_bdy"/>
    <w:basedOn w:val="DefaultParagraphFont"/>
    <w:rsid w:val="00CA2AEB"/>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D8588A"/>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D8588A"/>
    <w:rPr>
      <w:rFonts w:ascii="Verdana" w:hAnsi="Verdana" w:hint="default"/>
      <w:b/>
      <w:bCs/>
      <w:vanish w:val="0"/>
      <w:webHidden w:val="0"/>
      <w:color w:val="8B0000"/>
      <w:sz w:val="20"/>
      <w:szCs w:val="20"/>
      <w:shd w:val="clear" w:color="auto" w:fill="FFFFFF"/>
      <w:specVanish w:val="0"/>
    </w:rPr>
  </w:style>
  <w:style w:type="paragraph" w:customStyle="1" w:styleId="spar">
    <w:name w:val="s_par"/>
    <w:basedOn w:val="Normal"/>
    <w:rsid w:val="00D8588A"/>
    <w:pPr>
      <w:ind w:left="225"/>
    </w:pPr>
    <w:rPr>
      <w:rFonts w:eastAsiaTheme="minorEastAsia"/>
    </w:rPr>
  </w:style>
  <w:style w:type="paragraph" w:customStyle="1" w:styleId="sanxttl">
    <w:name w:val="s_anx_ttl"/>
    <w:basedOn w:val="Normal"/>
    <w:rsid w:val="00D8588A"/>
    <w:pPr>
      <w:jc w:val="center"/>
    </w:pPr>
    <w:rPr>
      <w:rFonts w:ascii="Verdana" w:eastAsiaTheme="minorEastAsia" w:hAnsi="Verdana"/>
      <w:b/>
      <w:bCs/>
      <w:color w:val="24689B"/>
      <w:sz w:val="20"/>
      <w:szCs w:val="20"/>
    </w:rPr>
  </w:style>
  <w:style w:type="paragraph" w:customStyle="1" w:styleId="sartden">
    <w:name w:val="s_art_den"/>
    <w:basedOn w:val="Normal"/>
    <w:rsid w:val="00D8588A"/>
    <w:rPr>
      <w:rFonts w:ascii="Verdana" w:eastAsiaTheme="minorEastAsia" w:hAnsi="Verdana"/>
      <w:b/>
      <w:bCs/>
      <w:color w:val="24689B"/>
      <w:sz w:val="20"/>
      <w:szCs w:val="20"/>
    </w:rPr>
  </w:style>
  <w:style w:type="paragraph" w:customStyle="1" w:styleId="ydp57b69ddcmsonormal">
    <w:name w:val="ydp57b69ddcmsonormal"/>
    <w:basedOn w:val="Normal"/>
    <w:uiPriority w:val="99"/>
    <w:rsid w:val="00C1327C"/>
    <w:pPr>
      <w:spacing w:before="100" w:beforeAutospacing="1" w:after="100" w:afterAutospacing="1"/>
    </w:pPr>
    <w:rPr>
      <w:rFonts w:eastAsiaTheme="minorHAnsi"/>
    </w:rPr>
  </w:style>
  <w:style w:type="character" w:customStyle="1" w:styleId="ydp57b69ddcshdr">
    <w:name w:val="ydp57b69ddcshdr"/>
    <w:basedOn w:val="DefaultParagraphFont"/>
    <w:rsid w:val="00C1327C"/>
  </w:style>
  <w:style w:type="character" w:styleId="Strong">
    <w:name w:val="Strong"/>
    <w:qFormat/>
    <w:rsid w:val="00C531B6"/>
    <w:rPr>
      <w:b/>
      <w:bCs/>
    </w:rPr>
  </w:style>
  <w:style w:type="paragraph" w:styleId="NoSpacing">
    <w:name w:val="No Spacing"/>
    <w:uiPriority w:val="1"/>
    <w:qFormat/>
    <w:rsid w:val="00117B10"/>
    <w:pPr>
      <w:spacing w:after="0" w:line="240" w:lineRule="auto"/>
    </w:pPr>
    <w:rPr>
      <w:rFonts w:ascii="Times New Roman" w:eastAsia="Times New Roman" w:hAnsi="Times New Roman" w:cs="Times New Roman"/>
      <w:sz w:val="28"/>
      <w:szCs w:val="20"/>
      <w:lang w:val="en-AU"/>
    </w:rPr>
  </w:style>
  <w:style w:type="character" w:customStyle="1" w:styleId="ln2tarticol">
    <w:name w:val="ln2tarticol"/>
    <w:basedOn w:val="DefaultParagraphFont"/>
    <w:rsid w:val="00117B10"/>
  </w:style>
  <w:style w:type="paragraph" w:styleId="Subtitle">
    <w:name w:val="Subtitle"/>
    <w:basedOn w:val="Normal"/>
    <w:link w:val="SubtitleChar"/>
    <w:qFormat/>
    <w:rsid w:val="00117B10"/>
    <w:pPr>
      <w:jc w:val="center"/>
    </w:pPr>
    <w:rPr>
      <w:b/>
      <w:bCs/>
      <w:sz w:val="28"/>
      <w:lang w:val="ro-RO" w:eastAsia="ro-RO"/>
    </w:rPr>
  </w:style>
  <w:style w:type="character" w:customStyle="1" w:styleId="SubtitleChar">
    <w:name w:val="Subtitle Char"/>
    <w:basedOn w:val="DefaultParagraphFont"/>
    <w:link w:val="Subtitle"/>
    <w:rsid w:val="00117B10"/>
    <w:rPr>
      <w:rFonts w:ascii="Times New Roman" w:eastAsia="Times New Roman" w:hAnsi="Times New Roman" w:cs="Times New Roman"/>
      <w:b/>
      <w:bCs/>
      <w:sz w:val="28"/>
      <w:szCs w:val="24"/>
      <w:lang w:val="ro-RO" w:eastAsia="ro-RO"/>
    </w:rPr>
  </w:style>
  <w:style w:type="character" w:customStyle="1" w:styleId="ln2tpunct">
    <w:name w:val="ln2tpunct"/>
    <w:rsid w:val="00117B10"/>
  </w:style>
  <w:style w:type="character" w:customStyle="1" w:styleId="rvts8">
    <w:name w:val="rvts8"/>
    <w:rsid w:val="00117B10"/>
  </w:style>
  <w:style w:type="character" w:customStyle="1" w:styleId="rvts1">
    <w:name w:val="rvts1"/>
    <w:rsid w:val="00117B10"/>
  </w:style>
  <w:style w:type="character" w:customStyle="1" w:styleId="rvts2">
    <w:name w:val="rvts2"/>
    <w:rsid w:val="00D47666"/>
  </w:style>
  <w:style w:type="paragraph" w:styleId="Footer">
    <w:name w:val="footer"/>
    <w:basedOn w:val="Normal"/>
    <w:link w:val="FooterChar"/>
    <w:uiPriority w:val="99"/>
    <w:unhideWhenUsed/>
    <w:rsid w:val="00F7653D"/>
    <w:pPr>
      <w:tabs>
        <w:tab w:val="center" w:pos="4680"/>
        <w:tab w:val="right" w:pos="9360"/>
      </w:tabs>
    </w:pPr>
  </w:style>
  <w:style w:type="character" w:customStyle="1" w:styleId="FooterChar">
    <w:name w:val="Footer Char"/>
    <w:basedOn w:val="DefaultParagraphFont"/>
    <w:link w:val="Footer"/>
    <w:uiPriority w:val="99"/>
    <w:rsid w:val="00F7653D"/>
    <w:rPr>
      <w:rFonts w:ascii="Times New Roman" w:eastAsia="Times New Roman" w:hAnsi="Times New Roman" w:cs="Times New Roman"/>
      <w:sz w:val="24"/>
      <w:szCs w:val="24"/>
    </w:rPr>
  </w:style>
  <w:style w:type="character" w:customStyle="1" w:styleId="rvts7">
    <w:name w:val="rvts7"/>
    <w:basedOn w:val="DefaultParagraphFont"/>
    <w:rsid w:val="008729E1"/>
  </w:style>
  <w:style w:type="character" w:customStyle="1" w:styleId="slgi">
    <w:name w:val="s_lgi"/>
    <w:basedOn w:val="DefaultParagraphFont"/>
    <w:rsid w:val="00AB2264"/>
  </w:style>
  <w:style w:type="character" w:customStyle="1" w:styleId="saln">
    <w:name w:val="s_aln"/>
    <w:basedOn w:val="DefaultParagraphFont"/>
    <w:rsid w:val="00AB2264"/>
  </w:style>
  <w:style w:type="character" w:customStyle="1" w:styleId="salnttl">
    <w:name w:val="s_aln_ttl"/>
    <w:basedOn w:val="DefaultParagraphFont"/>
    <w:rsid w:val="00AB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80697">
      <w:bodyDiv w:val="1"/>
      <w:marLeft w:val="0"/>
      <w:marRight w:val="0"/>
      <w:marTop w:val="0"/>
      <w:marBottom w:val="0"/>
      <w:divBdr>
        <w:top w:val="none" w:sz="0" w:space="0" w:color="auto"/>
        <w:left w:val="none" w:sz="0" w:space="0" w:color="auto"/>
        <w:bottom w:val="none" w:sz="0" w:space="0" w:color="auto"/>
        <w:right w:val="none" w:sz="0" w:space="0" w:color="auto"/>
      </w:divBdr>
    </w:div>
    <w:div w:id="383138663">
      <w:bodyDiv w:val="1"/>
      <w:marLeft w:val="0"/>
      <w:marRight w:val="0"/>
      <w:marTop w:val="0"/>
      <w:marBottom w:val="0"/>
      <w:divBdr>
        <w:top w:val="none" w:sz="0" w:space="0" w:color="auto"/>
        <w:left w:val="none" w:sz="0" w:space="0" w:color="auto"/>
        <w:bottom w:val="none" w:sz="0" w:space="0" w:color="auto"/>
        <w:right w:val="none" w:sz="0" w:space="0" w:color="auto"/>
      </w:divBdr>
    </w:div>
    <w:div w:id="777287112">
      <w:bodyDiv w:val="1"/>
      <w:marLeft w:val="0"/>
      <w:marRight w:val="0"/>
      <w:marTop w:val="0"/>
      <w:marBottom w:val="0"/>
      <w:divBdr>
        <w:top w:val="none" w:sz="0" w:space="0" w:color="auto"/>
        <w:left w:val="none" w:sz="0" w:space="0" w:color="auto"/>
        <w:bottom w:val="none" w:sz="0" w:space="0" w:color="auto"/>
        <w:right w:val="none" w:sz="0" w:space="0" w:color="auto"/>
      </w:divBdr>
      <w:divsChild>
        <w:div w:id="2066636334">
          <w:marLeft w:val="0"/>
          <w:marRight w:val="0"/>
          <w:marTop w:val="0"/>
          <w:marBottom w:val="0"/>
          <w:divBdr>
            <w:top w:val="none" w:sz="0" w:space="0" w:color="auto"/>
            <w:left w:val="none" w:sz="0" w:space="0" w:color="auto"/>
            <w:bottom w:val="none" w:sz="0" w:space="0" w:color="auto"/>
            <w:right w:val="none" w:sz="0" w:space="0" w:color="auto"/>
          </w:divBdr>
          <w:divsChild>
            <w:div w:id="1565949067">
              <w:marLeft w:val="0"/>
              <w:marRight w:val="0"/>
              <w:marTop w:val="0"/>
              <w:marBottom w:val="0"/>
              <w:divBdr>
                <w:top w:val="none" w:sz="0" w:space="0" w:color="E1E1E1"/>
                <w:left w:val="none" w:sz="0" w:space="0" w:color="E1E1E1"/>
                <w:bottom w:val="none" w:sz="0" w:space="0" w:color="E1E1E1"/>
                <w:right w:val="none" w:sz="0" w:space="0" w:color="E1E1E1"/>
              </w:divBdr>
              <w:divsChild>
                <w:div w:id="1716193340">
                  <w:marLeft w:val="0"/>
                  <w:marRight w:val="0"/>
                  <w:marTop w:val="0"/>
                  <w:marBottom w:val="0"/>
                  <w:divBdr>
                    <w:top w:val="none" w:sz="0" w:space="0" w:color="auto"/>
                    <w:left w:val="none" w:sz="0" w:space="0" w:color="auto"/>
                    <w:bottom w:val="none" w:sz="0" w:space="0" w:color="auto"/>
                    <w:right w:val="none" w:sz="0" w:space="0" w:color="auto"/>
                  </w:divBdr>
                  <w:divsChild>
                    <w:div w:id="1929459278">
                      <w:marLeft w:val="0"/>
                      <w:marRight w:val="0"/>
                      <w:marTop w:val="0"/>
                      <w:marBottom w:val="0"/>
                      <w:divBdr>
                        <w:top w:val="none" w:sz="0" w:space="0" w:color="auto"/>
                        <w:left w:val="none" w:sz="0" w:space="0" w:color="auto"/>
                        <w:bottom w:val="none" w:sz="0" w:space="0" w:color="auto"/>
                        <w:right w:val="none" w:sz="0" w:space="0" w:color="auto"/>
                      </w:divBdr>
                      <w:divsChild>
                        <w:div w:id="656611349">
                          <w:marLeft w:val="0"/>
                          <w:marRight w:val="0"/>
                          <w:marTop w:val="0"/>
                          <w:marBottom w:val="0"/>
                          <w:divBdr>
                            <w:top w:val="none" w:sz="0" w:space="0" w:color="auto"/>
                            <w:left w:val="none" w:sz="0" w:space="0" w:color="auto"/>
                            <w:bottom w:val="none" w:sz="0" w:space="0" w:color="auto"/>
                            <w:right w:val="none" w:sz="0" w:space="0" w:color="auto"/>
                          </w:divBdr>
                          <w:divsChild>
                            <w:div w:id="1887329307">
                              <w:marLeft w:val="0"/>
                              <w:marRight w:val="0"/>
                              <w:marTop w:val="0"/>
                              <w:marBottom w:val="0"/>
                              <w:divBdr>
                                <w:top w:val="none" w:sz="0" w:space="0" w:color="auto"/>
                                <w:left w:val="none" w:sz="0" w:space="0" w:color="auto"/>
                                <w:bottom w:val="none" w:sz="0" w:space="0" w:color="auto"/>
                                <w:right w:val="none" w:sz="0" w:space="0" w:color="auto"/>
                              </w:divBdr>
                              <w:divsChild>
                                <w:div w:id="667826913">
                                  <w:marLeft w:val="0"/>
                                  <w:marRight w:val="0"/>
                                  <w:marTop w:val="0"/>
                                  <w:marBottom w:val="0"/>
                                  <w:divBdr>
                                    <w:top w:val="none" w:sz="0" w:space="0" w:color="auto"/>
                                    <w:left w:val="none" w:sz="0" w:space="0" w:color="auto"/>
                                    <w:bottom w:val="none" w:sz="0" w:space="0" w:color="auto"/>
                                    <w:right w:val="none" w:sz="0" w:space="0" w:color="auto"/>
                                  </w:divBdr>
                                  <w:divsChild>
                                    <w:div w:id="1462991688">
                                      <w:marLeft w:val="0"/>
                                      <w:marRight w:val="0"/>
                                      <w:marTop w:val="0"/>
                                      <w:marBottom w:val="0"/>
                                      <w:divBdr>
                                        <w:top w:val="none" w:sz="0" w:space="0" w:color="auto"/>
                                        <w:left w:val="none" w:sz="0" w:space="0" w:color="auto"/>
                                        <w:bottom w:val="none" w:sz="0" w:space="0" w:color="auto"/>
                                        <w:right w:val="none" w:sz="0" w:space="0" w:color="auto"/>
                                      </w:divBdr>
                                      <w:divsChild>
                                        <w:div w:id="138139474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803237">
      <w:bodyDiv w:val="1"/>
      <w:marLeft w:val="0"/>
      <w:marRight w:val="0"/>
      <w:marTop w:val="0"/>
      <w:marBottom w:val="0"/>
      <w:divBdr>
        <w:top w:val="none" w:sz="0" w:space="0" w:color="auto"/>
        <w:left w:val="none" w:sz="0" w:space="0" w:color="auto"/>
        <w:bottom w:val="none" w:sz="0" w:space="0" w:color="auto"/>
        <w:right w:val="none" w:sz="0" w:space="0" w:color="auto"/>
      </w:divBdr>
      <w:divsChild>
        <w:div w:id="511265392">
          <w:marLeft w:val="0"/>
          <w:marRight w:val="0"/>
          <w:marTop w:val="0"/>
          <w:marBottom w:val="0"/>
          <w:divBdr>
            <w:top w:val="none" w:sz="0" w:space="0" w:color="auto"/>
            <w:left w:val="none" w:sz="0" w:space="0" w:color="auto"/>
            <w:bottom w:val="none" w:sz="0" w:space="0" w:color="auto"/>
            <w:right w:val="none" w:sz="0" w:space="0" w:color="auto"/>
          </w:divBdr>
          <w:divsChild>
            <w:div w:id="484443624">
              <w:marLeft w:val="0"/>
              <w:marRight w:val="0"/>
              <w:marTop w:val="0"/>
              <w:marBottom w:val="0"/>
              <w:divBdr>
                <w:top w:val="none" w:sz="0" w:space="0" w:color="auto"/>
                <w:left w:val="none" w:sz="0" w:space="0" w:color="auto"/>
                <w:bottom w:val="none" w:sz="0" w:space="0" w:color="auto"/>
                <w:right w:val="none" w:sz="0" w:space="0" w:color="auto"/>
              </w:divBdr>
              <w:divsChild>
                <w:div w:id="2147357251">
                  <w:marLeft w:val="0"/>
                  <w:marRight w:val="0"/>
                  <w:marTop w:val="0"/>
                  <w:marBottom w:val="0"/>
                  <w:divBdr>
                    <w:top w:val="none" w:sz="0" w:space="0" w:color="auto"/>
                    <w:left w:val="none" w:sz="0" w:space="0" w:color="auto"/>
                    <w:bottom w:val="none" w:sz="0" w:space="0" w:color="auto"/>
                    <w:right w:val="none" w:sz="0" w:space="0" w:color="auto"/>
                  </w:divBdr>
                  <w:divsChild>
                    <w:div w:id="722414388">
                      <w:marLeft w:val="0"/>
                      <w:marRight w:val="0"/>
                      <w:marTop w:val="0"/>
                      <w:marBottom w:val="0"/>
                      <w:divBdr>
                        <w:top w:val="none" w:sz="0" w:space="0" w:color="auto"/>
                        <w:left w:val="none" w:sz="0" w:space="0" w:color="auto"/>
                        <w:bottom w:val="none" w:sz="0" w:space="0" w:color="auto"/>
                        <w:right w:val="none" w:sz="0" w:space="0" w:color="auto"/>
                      </w:divBdr>
                      <w:divsChild>
                        <w:div w:id="881939449">
                          <w:marLeft w:val="0"/>
                          <w:marRight w:val="0"/>
                          <w:marTop w:val="0"/>
                          <w:marBottom w:val="0"/>
                          <w:divBdr>
                            <w:top w:val="none" w:sz="0" w:space="0" w:color="auto"/>
                            <w:left w:val="none" w:sz="0" w:space="0" w:color="auto"/>
                            <w:bottom w:val="none" w:sz="0" w:space="0" w:color="auto"/>
                            <w:right w:val="none" w:sz="0" w:space="0" w:color="auto"/>
                          </w:divBdr>
                          <w:divsChild>
                            <w:div w:id="801923547">
                              <w:marLeft w:val="0"/>
                              <w:marRight w:val="0"/>
                              <w:marTop w:val="0"/>
                              <w:marBottom w:val="0"/>
                              <w:divBdr>
                                <w:top w:val="none" w:sz="0" w:space="0" w:color="auto"/>
                                <w:left w:val="none" w:sz="0" w:space="0" w:color="auto"/>
                                <w:bottom w:val="none" w:sz="0" w:space="0" w:color="auto"/>
                                <w:right w:val="none" w:sz="0" w:space="0" w:color="auto"/>
                              </w:divBdr>
                              <w:divsChild>
                                <w:div w:id="1560166452">
                                  <w:marLeft w:val="0"/>
                                  <w:marRight w:val="0"/>
                                  <w:marTop w:val="0"/>
                                  <w:marBottom w:val="0"/>
                                  <w:divBdr>
                                    <w:top w:val="none" w:sz="0" w:space="0" w:color="auto"/>
                                    <w:left w:val="none" w:sz="0" w:space="0" w:color="auto"/>
                                    <w:bottom w:val="none" w:sz="0" w:space="0" w:color="auto"/>
                                    <w:right w:val="none" w:sz="0" w:space="0" w:color="auto"/>
                                  </w:divBdr>
                                  <w:divsChild>
                                    <w:div w:id="558441016">
                                      <w:marLeft w:val="0"/>
                                      <w:marRight w:val="0"/>
                                      <w:marTop w:val="0"/>
                                      <w:marBottom w:val="0"/>
                                      <w:divBdr>
                                        <w:top w:val="none" w:sz="0" w:space="0" w:color="auto"/>
                                        <w:left w:val="none" w:sz="0" w:space="0" w:color="auto"/>
                                        <w:bottom w:val="none" w:sz="0" w:space="0" w:color="auto"/>
                                        <w:right w:val="none" w:sz="0" w:space="0" w:color="auto"/>
                                      </w:divBdr>
                                      <w:divsChild>
                                        <w:div w:id="1661234488">
                                          <w:marLeft w:val="0"/>
                                          <w:marRight w:val="0"/>
                                          <w:marTop w:val="0"/>
                                          <w:marBottom w:val="0"/>
                                          <w:divBdr>
                                            <w:top w:val="none" w:sz="0" w:space="0" w:color="auto"/>
                                            <w:left w:val="none" w:sz="0" w:space="0" w:color="auto"/>
                                            <w:bottom w:val="none" w:sz="0" w:space="0" w:color="auto"/>
                                            <w:right w:val="none" w:sz="0" w:space="0" w:color="auto"/>
                                          </w:divBdr>
                                          <w:divsChild>
                                            <w:div w:id="2141535422">
                                              <w:marLeft w:val="0"/>
                                              <w:marRight w:val="0"/>
                                              <w:marTop w:val="0"/>
                                              <w:marBottom w:val="0"/>
                                              <w:divBdr>
                                                <w:top w:val="none" w:sz="0" w:space="0" w:color="auto"/>
                                                <w:left w:val="none" w:sz="0" w:space="0" w:color="auto"/>
                                                <w:bottom w:val="none" w:sz="0" w:space="0" w:color="auto"/>
                                                <w:right w:val="none" w:sz="0" w:space="0" w:color="auto"/>
                                              </w:divBdr>
                                              <w:divsChild>
                                                <w:div w:id="10896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241851">
      <w:bodyDiv w:val="1"/>
      <w:marLeft w:val="0"/>
      <w:marRight w:val="0"/>
      <w:marTop w:val="0"/>
      <w:marBottom w:val="0"/>
      <w:divBdr>
        <w:top w:val="none" w:sz="0" w:space="0" w:color="auto"/>
        <w:left w:val="none" w:sz="0" w:space="0" w:color="auto"/>
        <w:bottom w:val="none" w:sz="0" w:space="0" w:color="auto"/>
        <w:right w:val="none" w:sz="0" w:space="0" w:color="auto"/>
      </w:divBdr>
    </w:div>
    <w:div w:id="1899583856">
      <w:bodyDiv w:val="1"/>
      <w:marLeft w:val="0"/>
      <w:marRight w:val="0"/>
      <w:marTop w:val="0"/>
      <w:marBottom w:val="0"/>
      <w:divBdr>
        <w:top w:val="none" w:sz="0" w:space="0" w:color="auto"/>
        <w:left w:val="none" w:sz="0" w:space="0" w:color="auto"/>
        <w:bottom w:val="none" w:sz="0" w:space="0" w:color="auto"/>
        <w:right w:val="none" w:sz="0" w:space="0" w:color="auto"/>
      </w:divBdr>
      <w:divsChild>
        <w:div w:id="1617829199">
          <w:marLeft w:val="0"/>
          <w:marRight w:val="0"/>
          <w:marTop w:val="0"/>
          <w:marBottom w:val="0"/>
          <w:divBdr>
            <w:top w:val="none" w:sz="0" w:space="0" w:color="auto"/>
            <w:left w:val="none" w:sz="0" w:space="0" w:color="auto"/>
            <w:bottom w:val="none" w:sz="0" w:space="0" w:color="auto"/>
            <w:right w:val="none" w:sz="0" w:space="0" w:color="auto"/>
          </w:divBdr>
          <w:divsChild>
            <w:div w:id="68046209">
              <w:marLeft w:val="0"/>
              <w:marRight w:val="0"/>
              <w:marTop w:val="0"/>
              <w:marBottom w:val="0"/>
              <w:divBdr>
                <w:top w:val="none" w:sz="0" w:space="0" w:color="auto"/>
                <w:left w:val="none" w:sz="0" w:space="0" w:color="auto"/>
                <w:bottom w:val="none" w:sz="0" w:space="0" w:color="auto"/>
                <w:right w:val="none" w:sz="0" w:space="0" w:color="auto"/>
              </w:divBdr>
              <w:divsChild>
                <w:div w:id="1941596728">
                  <w:marLeft w:val="0"/>
                  <w:marRight w:val="0"/>
                  <w:marTop w:val="0"/>
                  <w:marBottom w:val="0"/>
                  <w:divBdr>
                    <w:top w:val="none" w:sz="0" w:space="0" w:color="auto"/>
                    <w:left w:val="none" w:sz="0" w:space="0" w:color="auto"/>
                    <w:bottom w:val="none" w:sz="0" w:space="0" w:color="auto"/>
                    <w:right w:val="none" w:sz="0" w:space="0" w:color="auto"/>
                  </w:divBdr>
                  <w:divsChild>
                    <w:div w:id="1352561141">
                      <w:marLeft w:val="0"/>
                      <w:marRight w:val="0"/>
                      <w:marTop w:val="0"/>
                      <w:marBottom w:val="0"/>
                      <w:divBdr>
                        <w:top w:val="none" w:sz="0" w:space="0" w:color="auto"/>
                        <w:left w:val="none" w:sz="0" w:space="0" w:color="auto"/>
                        <w:bottom w:val="none" w:sz="0" w:space="0" w:color="auto"/>
                        <w:right w:val="none" w:sz="0" w:space="0" w:color="auto"/>
                      </w:divBdr>
                      <w:divsChild>
                        <w:div w:id="921718998">
                          <w:marLeft w:val="0"/>
                          <w:marRight w:val="0"/>
                          <w:marTop w:val="0"/>
                          <w:marBottom w:val="0"/>
                          <w:divBdr>
                            <w:top w:val="none" w:sz="0" w:space="0" w:color="auto"/>
                            <w:left w:val="none" w:sz="0" w:space="0" w:color="auto"/>
                            <w:bottom w:val="none" w:sz="0" w:space="0" w:color="auto"/>
                            <w:right w:val="none" w:sz="0" w:space="0" w:color="auto"/>
                          </w:divBdr>
                          <w:divsChild>
                            <w:div w:id="885022755">
                              <w:marLeft w:val="0"/>
                              <w:marRight w:val="0"/>
                              <w:marTop w:val="0"/>
                              <w:marBottom w:val="0"/>
                              <w:divBdr>
                                <w:top w:val="none" w:sz="0" w:space="0" w:color="auto"/>
                                <w:left w:val="none" w:sz="0" w:space="0" w:color="auto"/>
                                <w:bottom w:val="none" w:sz="0" w:space="0" w:color="auto"/>
                                <w:right w:val="none" w:sz="0" w:space="0" w:color="auto"/>
                              </w:divBdr>
                              <w:divsChild>
                                <w:div w:id="2038192059">
                                  <w:marLeft w:val="0"/>
                                  <w:marRight w:val="0"/>
                                  <w:marTop w:val="0"/>
                                  <w:marBottom w:val="0"/>
                                  <w:divBdr>
                                    <w:top w:val="none" w:sz="0" w:space="0" w:color="auto"/>
                                    <w:left w:val="none" w:sz="0" w:space="0" w:color="auto"/>
                                    <w:bottom w:val="none" w:sz="0" w:space="0" w:color="auto"/>
                                    <w:right w:val="none" w:sz="0" w:space="0" w:color="auto"/>
                                  </w:divBdr>
                                  <w:divsChild>
                                    <w:div w:id="1924487044">
                                      <w:marLeft w:val="0"/>
                                      <w:marRight w:val="0"/>
                                      <w:marTop w:val="0"/>
                                      <w:marBottom w:val="0"/>
                                      <w:divBdr>
                                        <w:top w:val="none" w:sz="0" w:space="0" w:color="auto"/>
                                        <w:left w:val="none" w:sz="0" w:space="0" w:color="auto"/>
                                        <w:bottom w:val="none" w:sz="0" w:space="0" w:color="auto"/>
                                        <w:right w:val="none" w:sz="0" w:space="0" w:color="auto"/>
                                      </w:divBdr>
                                      <w:divsChild>
                                        <w:div w:id="1098140857">
                                          <w:marLeft w:val="0"/>
                                          <w:marRight w:val="0"/>
                                          <w:marTop w:val="0"/>
                                          <w:marBottom w:val="0"/>
                                          <w:divBdr>
                                            <w:top w:val="none" w:sz="0" w:space="0" w:color="auto"/>
                                            <w:left w:val="none" w:sz="0" w:space="0" w:color="auto"/>
                                            <w:bottom w:val="none" w:sz="0" w:space="0" w:color="auto"/>
                                            <w:right w:val="none" w:sz="0" w:space="0" w:color="auto"/>
                                          </w:divBdr>
                                          <w:divsChild>
                                            <w:div w:id="1573388460">
                                              <w:marLeft w:val="0"/>
                                              <w:marRight w:val="0"/>
                                              <w:marTop w:val="0"/>
                                              <w:marBottom w:val="0"/>
                                              <w:divBdr>
                                                <w:top w:val="none" w:sz="0" w:space="0" w:color="auto"/>
                                                <w:left w:val="none" w:sz="0" w:space="0" w:color="auto"/>
                                                <w:bottom w:val="none" w:sz="0" w:space="0" w:color="auto"/>
                                                <w:right w:val="none" w:sz="0" w:space="0" w:color="auto"/>
                                              </w:divBdr>
                                              <w:divsChild>
                                                <w:div w:id="4269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3553DA9E44B41B1A78B6526146FC5" ma:contentTypeVersion="2" ma:contentTypeDescription="Creați un document nou." ma:contentTypeScope="" ma:versionID="c59f9ba355645ffb48c8fb3675e41274">
  <xsd:schema xmlns:xsd="http://www.w3.org/2001/XMLSchema" xmlns:xs="http://www.w3.org/2001/XMLSchema" xmlns:p="http://schemas.microsoft.com/office/2006/metadata/properties" xmlns:ns3="8c0d5000-dc54-414b-b95b-15570642b8c2" targetNamespace="http://schemas.microsoft.com/office/2006/metadata/properties" ma:root="true" ma:fieldsID="cc07c5bbda5ed0bbe8a99ca98280b8ab" ns3:_="">
    <xsd:import namespace="8c0d5000-dc54-414b-b95b-15570642b8c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d5000-dc54-414b-b95b-15570642b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43A94-CA62-4E31-BEB5-0AB6400A9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DAA9B-F20B-4B08-8274-D255DDBCFA59}">
  <ds:schemaRefs>
    <ds:schemaRef ds:uri="http://schemas.microsoft.com/sharepoint/v3/contenttype/forms"/>
  </ds:schemaRefs>
</ds:datastoreItem>
</file>

<file path=customXml/itemProps3.xml><?xml version="1.0" encoding="utf-8"?>
<ds:datastoreItem xmlns:ds="http://schemas.openxmlformats.org/officeDocument/2006/customXml" ds:itemID="{A1D22F1E-2E3F-4629-B4FF-EF5F39E14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d5000-dc54-414b-b95b-15570642b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6D161-CDC2-4256-A9BA-55D25115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3770</Words>
  <Characters>21494</Characters>
  <Application>Microsoft Office Word</Application>
  <DocSecurity>0</DocSecurity>
  <Lines>179</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Geta</dc:creator>
  <cp:keywords/>
  <dc:description/>
  <cp:lastModifiedBy>Microsoft account</cp:lastModifiedBy>
  <cp:revision>3</cp:revision>
  <cp:lastPrinted>2023-08-04T05:35:00Z</cp:lastPrinted>
  <dcterms:created xsi:type="dcterms:W3CDTF">2023-08-04T05:38:00Z</dcterms:created>
  <dcterms:modified xsi:type="dcterms:W3CDTF">2023-08-04T05:56:00Z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0x0101004C03553DA9E44B41B1A78B6526146FC5</vt:lpwstr>
  </property>
</Properties>
</file>