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2A" w:rsidRPr="0028658D" w:rsidRDefault="00F5092A" w:rsidP="00F5092A">
      <w:pPr>
        <w:spacing w:after="0" w:line="240" w:lineRule="auto"/>
        <w:ind w:left="-142" w:right="-518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ind w:left="-142" w:right="-518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>NOTĂ DE FUNDAMENTARE</w:t>
      </w:r>
    </w:p>
    <w:p w:rsidR="00F5092A" w:rsidRPr="0028658D" w:rsidRDefault="00F5092A" w:rsidP="00F5092A">
      <w:pPr>
        <w:spacing w:after="0" w:line="240" w:lineRule="auto"/>
        <w:ind w:left="-142" w:right="-518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984"/>
        <w:gridCol w:w="1029"/>
        <w:gridCol w:w="403"/>
        <w:gridCol w:w="602"/>
        <w:gridCol w:w="1004"/>
        <w:gridCol w:w="1004"/>
        <w:gridCol w:w="1044"/>
        <w:gridCol w:w="2073"/>
      </w:tblGrid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1 - Titlul proiectului de act normativ</w:t>
            </w:r>
          </w:p>
          <w:p w:rsidR="00F5092A" w:rsidRPr="0028658D" w:rsidRDefault="00F5092A" w:rsidP="009C3BE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 xml:space="preserve">Hotărâre </w:t>
            </w:r>
          </w:p>
          <w:p w:rsidR="00F5092A" w:rsidRPr="0028658D" w:rsidRDefault="00F5092A" w:rsidP="00F5092A">
            <w:pPr>
              <w:pStyle w:val="rvps1"/>
              <w:jc w:val="center"/>
              <w:rPr>
                <w:rFonts w:eastAsiaTheme="minorHAnsi"/>
                <w:bCs/>
                <w:color w:val="000000" w:themeColor="text1"/>
              </w:rPr>
            </w:pPr>
            <w:proofErr w:type="spellStart"/>
            <w:proofErr w:type="gramStart"/>
            <w:r w:rsidRPr="0028658D">
              <w:rPr>
                <w:rFonts w:eastAsiaTheme="minorHAnsi"/>
                <w:bCs/>
                <w:color w:val="000000" w:themeColor="text1"/>
              </w:rPr>
              <w:t>privind</w:t>
            </w:r>
            <w:proofErr w:type="spellEnd"/>
            <w:proofErr w:type="gram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modificarea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și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completarea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Anexei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la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Hotărârea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Guvernului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nr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. 764/2017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pentru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aprobarea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Normelor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privind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recunoaşterea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diplomelor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,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certificatelor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titlurilor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de medic specialist, eliberate de un stat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terţ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,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altul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decât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Australia, Canada, Israel,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Noua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Zeelandă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Statele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Unite ale Americii</w:t>
            </w:r>
          </w:p>
          <w:p w:rsidR="00F5092A" w:rsidRPr="0028658D" w:rsidRDefault="00F5092A" w:rsidP="009C3BE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left="-142" w:right="-98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left="-142" w:right="-98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a 2-a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left="-142" w:right="-98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Motivul emiterii actului normativ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left="-142" w:right="-98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867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right="-90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2.1. Sursa proiectului de act normativ</w:t>
            </w:r>
          </w:p>
        </w:tc>
        <w:tc>
          <w:tcPr>
            <w:tcW w:w="4133" w:type="pct"/>
            <w:gridSpan w:val="8"/>
            <w:shd w:val="clear" w:color="auto" w:fill="auto"/>
          </w:tcPr>
          <w:p w:rsidR="00F5092A" w:rsidRPr="0028658D" w:rsidRDefault="00F5092A" w:rsidP="009C3BE0">
            <w:pPr>
              <w:spacing w:before="120" w:after="120" w:line="240" w:lineRule="auto"/>
              <w:jc w:val="both"/>
              <w:rPr>
                <w:rStyle w:val="rvts2"/>
                <w:color w:val="000000" w:themeColor="text1"/>
                <w:lang w:val="en-US"/>
              </w:rPr>
            </w:pPr>
            <w:r w:rsidRPr="0028658D">
              <w:rPr>
                <w:rFonts w:eastAsia="Arial" w:cs="Times New Roman"/>
                <w:color w:val="000000" w:themeColor="text1"/>
                <w:szCs w:val="24"/>
              </w:rPr>
              <w:t xml:space="preserve"> </w:t>
            </w:r>
            <w:r w:rsidRPr="0028658D">
              <w:rPr>
                <w:bCs/>
                <w:color w:val="000000" w:themeColor="text1"/>
                <w:szCs w:val="24"/>
              </w:rPr>
              <w:t xml:space="preserve">Hotărârea Guvernului nr. 764/2017 pentru aprobarea Normelor privind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recunoaşterea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diplomelor, certificatelor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şi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titlurilor de medic specialist, eliberate de un stat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terţ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, altul decât Australia, Canada, Israel, Noua Zeelandă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şi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Statele Unite ale Americii, în vederea exercitării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profesei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pe teritoriul României</w:t>
            </w:r>
          </w:p>
          <w:p w:rsidR="00F5092A" w:rsidRPr="0028658D" w:rsidRDefault="00F5092A" w:rsidP="009C3BE0">
            <w:pPr>
              <w:spacing w:before="120" w:after="12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rPr>
          <w:trHeight w:val="800"/>
        </w:trPr>
        <w:tc>
          <w:tcPr>
            <w:tcW w:w="867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ind w:right="-90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2.2. Descrierea situației actuale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33" w:type="pct"/>
            <w:gridSpan w:val="8"/>
            <w:shd w:val="clear" w:color="auto" w:fill="auto"/>
          </w:tcPr>
          <w:p w:rsidR="00174823" w:rsidRPr="0028658D" w:rsidRDefault="00174823" w:rsidP="001748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proofErr w:type="gram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Sistemul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 public</w:t>
            </w:r>
            <w:proofErr w:type="gram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sănătate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se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confruntă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prezent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lipsă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de personal de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specialitate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ca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urmare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exercitării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dreptului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la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liberă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circulaţie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teritoriul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UE de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către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medicii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formaţi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profesie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România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.</w:t>
            </w:r>
          </w:p>
          <w:p w:rsidR="00174823" w:rsidRPr="0028658D" w:rsidRDefault="00174823" w:rsidP="001748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Una din </w:t>
            </w:r>
            <w:proofErr w:type="spellStart"/>
            <w:proofErr w:type="gram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măsurile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aplicabile</w:t>
            </w:r>
            <w:proofErr w:type="spellEnd"/>
            <w:proofErr w:type="gram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reducerea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acestui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neajuns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este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atragerea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personalului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medical de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specialitate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din 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statele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care nu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sunt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membre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ale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Uniunii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Europene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.</w:t>
            </w:r>
          </w:p>
          <w:p w:rsidR="00F5092A" w:rsidRPr="0028658D" w:rsidRDefault="00174823" w:rsidP="00174823">
            <w:pPr>
              <w:spacing w:before="100" w:beforeAutospacing="1" w:after="100" w:afterAutospacing="1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 xml:space="preserve">În prezent prin aplicarea prevederilor actuale ale HG nr.764/2017 s-au înregistrat unele sincope în procedura de recunoaștere a </w:t>
            </w:r>
            <w:r w:rsidRPr="0028658D">
              <w:rPr>
                <w:bCs/>
                <w:color w:val="000000" w:themeColor="text1"/>
                <w:szCs w:val="24"/>
              </w:rPr>
              <w:t xml:space="preserve">diplomelor, certificatelor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şi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titlurilor de medic specialist, eliberate de un stat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terţ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, altul decât Australia, Canada, Israel, Noua Zeelandă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şi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 xml:space="preserve"> Statele Unite ale Americii, inclusiv prin majorarea timpilor de soluționare a dosarelor </w:t>
            </w:r>
            <w:r w:rsidR="00B06F1D" w:rsidRPr="0028658D">
              <w:rPr>
                <w:bCs/>
                <w:color w:val="000000" w:themeColor="text1"/>
                <w:szCs w:val="24"/>
              </w:rPr>
              <w:t>.</w:t>
            </w:r>
          </w:p>
          <w:p w:rsidR="00B06F1D" w:rsidRPr="0028658D" w:rsidRDefault="00B06F1D" w:rsidP="00174823">
            <w:pPr>
              <w:spacing w:before="100" w:beforeAutospacing="1" w:after="100" w:afterAutospacing="1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bCs/>
                <w:color w:val="000000" w:themeColor="text1"/>
                <w:szCs w:val="24"/>
              </w:rPr>
              <w:t xml:space="preserve">Acest lucru a atras o serie de chemări în judecată din partea solicitanților, finalizate cu decizii executorii față de Ministerul Sănătății, respectiv Colegiul Medicilor din </w:t>
            </w:r>
            <w:proofErr w:type="spellStart"/>
            <w:r w:rsidRPr="0028658D">
              <w:rPr>
                <w:bCs/>
                <w:color w:val="000000" w:themeColor="text1"/>
                <w:szCs w:val="24"/>
              </w:rPr>
              <w:t>Romțânia</w:t>
            </w:r>
            <w:proofErr w:type="spellEnd"/>
            <w:r w:rsidRPr="0028658D">
              <w:rPr>
                <w:bCs/>
                <w:color w:val="000000" w:themeColor="text1"/>
                <w:szCs w:val="24"/>
              </w:rPr>
              <w:t>, în calitate de autorități competente.</w:t>
            </w:r>
          </w:p>
        </w:tc>
      </w:tr>
      <w:tr w:rsidR="0028658D" w:rsidRPr="0028658D" w:rsidTr="003E042E">
        <w:trPr>
          <w:trHeight w:val="1266"/>
        </w:trPr>
        <w:tc>
          <w:tcPr>
            <w:tcW w:w="867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2.3. Schimbări preconizate</w:t>
            </w:r>
          </w:p>
        </w:tc>
        <w:tc>
          <w:tcPr>
            <w:tcW w:w="4133" w:type="pct"/>
            <w:gridSpan w:val="8"/>
          </w:tcPr>
          <w:p w:rsidR="00F5092A" w:rsidRPr="0028658D" w:rsidRDefault="00B06F1D" w:rsidP="009C3BE0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>Se creează cadrul legal pentru emiterea unui regulament de organizare și funcționare a Comisiilor Mixte</w:t>
            </w:r>
            <w:r w:rsidR="00294717">
              <w:rPr>
                <w:color w:val="000000" w:themeColor="text1"/>
                <w:szCs w:val="24"/>
              </w:rPr>
              <w:t>, respectiv a Comisiei Naționale de soluționare a contestațiilor</w:t>
            </w:r>
            <w:r w:rsidRPr="0028658D">
              <w:rPr>
                <w:color w:val="000000" w:themeColor="text1"/>
                <w:szCs w:val="24"/>
              </w:rPr>
              <w:t>, astfel acesta vor avea proceduri standard de analiză și evaluare a dosarelor. Prin  acest</w:t>
            </w:r>
            <w:r w:rsidR="00294717">
              <w:rPr>
                <w:color w:val="000000" w:themeColor="text1"/>
                <w:szCs w:val="24"/>
              </w:rPr>
              <w:t>e</w:t>
            </w:r>
            <w:r w:rsidRPr="0028658D">
              <w:rPr>
                <w:color w:val="000000" w:themeColor="text1"/>
                <w:szCs w:val="24"/>
              </w:rPr>
              <w:t xml:space="preserve"> regulamen</w:t>
            </w:r>
            <w:r w:rsidR="00294717">
              <w:rPr>
                <w:color w:val="000000" w:themeColor="text1"/>
                <w:szCs w:val="24"/>
              </w:rPr>
              <w:t>te</w:t>
            </w:r>
            <w:r w:rsidRPr="0028658D">
              <w:rPr>
                <w:color w:val="000000" w:themeColor="text1"/>
                <w:szCs w:val="24"/>
              </w:rPr>
              <w:t xml:space="preserve"> se urmărește și stabilirea drepturilor și obligațiilor ce revin </w:t>
            </w:r>
            <w:r w:rsidR="00294717">
              <w:rPr>
                <w:color w:val="000000" w:themeColor="text1"/>
                <w:szCs w:val="24"/>
              </w:rPr>
              <w:t>acestor comisii</w:t>
            </w:r>
            <w:r w:rsidRPr="0028658D">
              <w:rPr>
                <w:color w:val="000000" w:themeColor="text1"/>
                <w:szCs w:val="24"/>
              </w:rPr>
              <w:t>.</w:t>
            </w:r>
          </w:p>
          <w:p w:rsidR="00040B42" w:rsidRPr="0028658D" w:rsidRDefault="00040B42" w:rsidP="009C3BE0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:rsidR="00B06F1D" w:rsidRPr="0028658D" w:rsidRDefault="00B06F1D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>Prin adoptarea prezentei Hotărâri se stabilesc criterii mai clare în analiza dosarelor, ceea ce va facilita activitatea Comisiilor Mixte.</w:t>
            </w:r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:rsidR="00B06F1D" w:rsidRPr="0028658D" w:rsidRDefault="00B06F1D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>Se</w:t>
            </w:r>
            <w:r w:rsidR="00040B42" w:rsidRPr="0028658D">
              <w:rPr>
                <w:color w:val="000000" w:themeColor="text1"/>
                <w:szCs w:val="24"/>
              </w:rPr>
              <w:t xml:space="preserve"> dă</w:t>
            </w:r>
            <w:r w:rsidRPr="0028658D">
              <w:rPr>
                <w:color w:val="000000" w:themeColor="text1"/>
                <w:szCs w:val="24"/>
              </w:rPr>
              <w:t xml:space="preserve"> posibilitatea Comisiilor Mixte </w:t>
            </w:r>
            <w:r w:rsidR="00040B42" w:rsidRPr="0028658D">
              <w:rPr>
                <w:color w:val="000000" w:themeColor="text1"/>
                <w:szCs w:val="24"/>
              </w:rPr>
              <w:t xml:space="preserve">să solicite petenților direct </w:t>
            </w:r>
            <w:proofErr w:type="spellStart"/>
            <w:r w:rsidR="00040B42" w:rsidRPr="0028658D">
              <w:rPr>
                <w:color w:val="000000" w:themeColor="text1"/>
                <w:szCs w:val="24"/>
              </w:rPr>
              <w:t>documnete</w:t>
            </w:r>
            <w:proofErr w:type="spellEnd"/>
            <w:r w:rsidR="00040B42" w:rsidRPr="0028658D">
              <w:rPr>
                <w:color w:val="000000" w:themeColor="text1"/>
                <w:szCs w:val="24"/>
              </w:rPr>
              <w:t xml:space="preserve"> suplimentare necesare analizării dosarului.</w:t>
            </w:r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>Se stabilește cadrul legal pentru a da posibilitatea solicitanților de a-și completa studiile cu stagiile lipsă.</w:t>
            </w:r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28658D">
              <w:rPr>
                <w:color w:val="000000" w:themeColor="text1"/>
                <w:szCs w:val="24"/>
              </w:rPr>
              <w:t>Se stabilește destinația taxei de evaluare a dosarelor</w:t>
            </w:r>
            <w:r w:rsidR="003E042E" w:rsidRPr="0028658D">
              <w:rPr>
                <w:color w:val="000000" w:themeColor="text1"/>
                <w:szCs w:val="24"/>
              </w:rPr>
              <w:t>.</w:t>
            </w:r>
          </w:p>
          <w:p w:rsidR="003E042E" w:rsidRPr="0028658D" w:rsidRDefault="003E042E" w:rsidP="003E042E">
            <w:pPr>
              <w:pStyle w:val="rvps1"/>
              <w:jc w:val="both"/>
              <w:rPr>
                <w:rFonts w:eastAsiaTheme="minorHAnsi"/>
                <w:bCs/>
                <w:color w:val="000000" w:themeColor="text1"/>
              </w:rPr>
            </w:pPr>
            <w:proofErr w:type="spellStart"/>
            <w:r w:rsidRPr="0028658D">
              <w:rPr>
                <w:color w:val="000000" w:themeColor="text1"/>
              </w:rPr>
              <w:lastRenderedPageBreak/>
              <w:t>Prin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adoptarea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prezentei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Hotărări</w:t>
            </w:r>
            <w:proofErr w:type="spellEnd"/>
            <w:r w:rsidRPr="0028658D">
              <w:rPr>
                <w:color w:val="000000" w:themeColor="text1"/>
              </w:rPr>
              <w:t xml:space="preserve"> se </w:t>
            </w:r>
            <w:proofErr w:type="spellStart"/>
            <w:r w:rsidRPr="0028658D">
              <w:rPr>
                <w:color w:val="000000" w:themeColor="text1"/>
              </w:rPr>
              <w:t>facilitează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acceul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pe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piața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muncii</w:t>
            </w:r>
            <w:proofErr w:type="spellEnd"/>
            <w:r w:rsidRPr="0028658D">
              <w:rPr>
                <w:color w:val="000000" w:themeColor="text1"/>
              </w:rPr>
              <w:t xml:space="preserve"> a </w:t>
            </w:r>
            <w:proofErr w:type="spellStart"/>
            <w:r w:rsidRPr="0028658D">
              <w:rPr>
                <w:color w:val="000000" w:themeColor="text1"/>
              </w:rPr>
              <w:t>medicolor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specialiști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formați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într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-un  stat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terţ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,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altul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decât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Australia, Canada, Israel,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Noua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Zeelandă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Statele</w:t>
            </w:r>
            <w:proofErr w:type="spellEnd"/>
            <w:r w:rsidRPr="0028658D">
              <w:rPr>
                <w:rFonts w:eastAsiaTheme="minorHAnsi"/>
                <w:bCs/>
                <w:color w:val="000000" w:themeColor="text1"/>
              </w:rPr>
              <w:t xml:space="preserve"> Unite ale </w:t>
            </w:r>
            <w:proofErr w:type="spellStart"/>
            <w:r w:rsidRPr="0028658D">
              <w:rPr>
                <w:rFonts w:eastAsiaTheme="minorHAnsi"/>
                <w:bCs/>
                <w:color w:val="000000" w:themeColor="text1"/>
              </w:rPr>
              <w:t>Americii</w:t>
            </w:r>
            <w:proofErr w:type="spellEnd"/>
          </w:p>
          <w:p w:rsidR="00040B42" w:rsidRPr="0028658D" w:rsidRDefault="00040B42" w:rsidP="00B06F1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867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>2.4. Alte informații</w:t>
            </w:r>
          </w:p>
        </w:tc>
        <w:tc>
          <w:tcPr>
            <w:tcW w:w="4133" w:type="pct"/>
            <w:gridSpan w:val="8"/>
          </w:tcPr>
          <w:p w:rsidR="00F5092A" w:rsidRPr="0028658D" w:rsidRDefault="00F5092A" w:rsidP="00AD11F7">
            <w:pPr>
              <w:pStyle w:val="NormalWeb"/>
              <w:jc w:val="both"/>
              <w:rPr>
                <w:color w:val="000000" w:themeColor="text1"/>
                <w:lang w:eastAsia="ro-RO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a 3-a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Impactul socioeconomic al proiectului de act normativ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Descrierea generală a beneficiilor și costurilor estimate ca urmare a intrării în vigoare a actului normativ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social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3.3.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drepturilor și libertăților fundamentale ale omului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3.4. Impactul macroeconomic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Proiectul de act normativ </w:t>
            </w:r>
            <w:r w:rsidRPr="0028658D">
              <w:rPr>
                <w:rFonts w:cs="Times New Roman"/>
                <w:color w:val="000000" w:themeColor="text1"/>
                <w:szCs w:val="24"/>
              </w:rPr>
              <w:t>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3.4.1.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economiei și asupra principalilor indicatori macroeconomici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3.4.2.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mediului concurențial și domeniul ajutoarelor de stat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3.5.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mediului de afaceri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3.6.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mediului înconjurător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3.7.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Evaluarea costurilor și beneficiilor din perspectiva inovării și digitalizării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3.8.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Evaluarea costurilor și beneficiilor din perspectiva dezvoltării durabile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3.9.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Alte informații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a 4-a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Impactul financiar asupra bugetului general consolidat, atât pe termen scurt, pentru anul curent, cât și pe termen lung (pe 5 ani), inclusiv informații cu privire la cheltuieli și venituri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right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- mii lei - </w:t>
            </w:r>
          </w:p>
        </w:tc>
      </w:tr>
      <w:tr w:rsidR="0028658D" w:rsidRPr="0028658D" w:rsidTr="009C3BE0">
        <w:tc>
          <w:tcPr>
            <w:tcW w:w="1764" w:type="pct"/>
            <w:gridSpan w:val="2"/>
            <w:vMerge w:val="restar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Indicatori</w:t>
            </w:r>
          </w:p>
        </w:tc>
        <w:tc>
          <w:tcPr>
            <w:tcW w:w="465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Anul curent</w:t>
            </w:r>
          </w:p>
        </w:tc>
        <w:tc>
          <w:tcPr>
            <w:tcW w:w="1834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Următorii 4 ani </w:t>
            </w:r>
          </w:p>
        </w:tc>
        <w:tc>
          <w:tcPr>
            <w:tcW w:w="937" w:type="pct"/>
            <w:vMerge w:val="restart"/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Media pe 5 ani</w:t>
            </w:r>
          </w:p>
        </w:tc>
      </w:tr>
      <w:tr w:rsidR="0028658D" w:rsidRPr="0028658D" w:rsidTr="009C3BE0">
        <w:tc>
          <w:tcPr>
            <w:tcW w:w="1764" w:type="pct"/>
            <w:gridSpan w:val="2"/>
            <w:vMerge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2023</w:t>
            </w:r>
          </w:p>
        </w:tc>
        <w:tc>
          <w:tcPr>
            <w:tcW w:w="454" w:type="pct"/>
            <w:gridSpan w:val="2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2024</w:t>
            </w:r>
          </w:p>
        </w:tc>
        <w:tc>
          <w:tcPr>
            <w:tcW w:w="454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2025</w:t>
            </w:r>
          </w:p>
        </w:tc>
        <w:tc>
          <w:tcPr>
            <w:tcW w:w="454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2026</w:t>
            </w:r>
          </w:p>
        </w:tc>
        <w:tc>
          <w:tcPr>
            <w:tcW w:w="471" w:type="pct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2027</w:t>
            </w:r>
          </w:p>
        </w:tc>
        <w:tc>
          <w:tcPr>
            <w:tcW w:w="937" w:type="pct"/>
            <w:vMerge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4.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5.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7.</w:t>
            </w: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4.1.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Modificări ale veniturilor bugetare, plus/minus, din care: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a) buget de stat, din acesta: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impozit pe profit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(ii) impozit pe venit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b) bugete locale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impozit pe profit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c) bugetul asigurărilor sociale de stat: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contribuții de asigurări</w:t>
            </w:r>
          </w:p>
        </w:tc>
        <w:tc>
          <w:tcPr>
            <w:tcW w:w="465" w:type="pct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d) alte tipuri de venituri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(Se va menționa natura acestora)</w:t>
            </w:r>
          </w:p>
        </w:tc>
        <w:tc>
          <w:tcPr>
            <w:tcW w:w="465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 xml:space="preserve">4.2.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Modificări ale cheltuielilor bugetare, plus/minus, din care: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a) buget de stat, din acesta:</w:t>
            </w:r>
          </w:p>
        </w:tc>
        <w:tc>
          <w:tcPr>
            <w:tcW w:w="465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cheltuieli de personal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(ii) bunuri și servicii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b) bugete locale: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cheltuieli de personal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(ii) bunuri și servicii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c) bugetul asigurărilor sociale de stat: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(i) cheltuieli de personal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(ii) bunuri și servicii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d) alte tipuri de cheltuieli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(Se va menționa natura acestora)</w:t>
            </w:r>
          </w:p>
        </w:tc>
        <w:tc>
          <w:tcPr>
            <w:tcW w:w="465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4.3. Impact financiar, plus/minus, din care: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a) buget de stat</w:t>
            </w:r>
          </w:p>
        </w:tc>
        <w:tc>
          <w:tcPr>
            <w:tcW w:w="465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b) bugete locale</w:t>
            </w:r>
          </w:p>
        </w:tc>
        <w:tc>
          <w:tcPr>
            <w:tcW w:w="465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4.4. Propuneri pentru acoperirea creșterii cheltuielilor bugetare</w:t>
            </w:r>
          </w:p>
        </w:tc>
        <w:tc>
          <w:tcPr>
            <w:tcW w:w="465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4.5. Propuneri pentru a compensa reducerea veniturilor bugetare</w:t>
            </w:r>
          </w:p>
        </w:tc>
        <w:tc>
          <w:tcPr>
            <w:tcW w:w="465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4.6. Calcule detaliate privind fundamentarea modificărilor veniturilor și/sau cheltuielilor bugetare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  <w:tcBorders>
              <w:bottom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4.7. Prezentarea, în cazul proiectelor de acte normative a căror adoptare atrage majorarea cheltuielilor bugetare, a următoarelor documente:</w:t>
            </w:r>
          </w:p>
        </w:tc>
      </w:tr>
      <w:tr w:rsidR="0028658D" w:rsidRPr="0028658D" w:rsidTr="009C3BE0"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F5092A" w:rsidRPr="0028658D" w:rsidRDefault="00F5092A" w:rsidP="009C3BE0">
            <w:pPr>
              <w:spacing w:after="0" w:line="240" w:lineRule="auto"/>
              <w:jc w:val="both"/>
              <w:rPr>
                <w:rFonts w:eastAsiaTheme="majorEastAsia" w:cstheme="minorHAnsi"/>
                <w:color w:val="000000" w:themeColor="text1"/>
              </w:rPr>
            </w:pPr>
            <w:r w:rsidRPr="0028658D">
              <w:rPr>
                <w:rFonts w:eastAsiaTheme="majorEastAsia" w:cstheme="minorHAnsi"/>
                <w:color w:val="000000" w:themeColor="text1"/>
              </w:rPr>
              <w:t xml:space="preserve">a) fișa financiară prevăzută la art.15 din Legea nr. 500/2002 privind finanțele publice, cu modificările </w:t>
            </w:r>
            <w:proofErr w:type="spellStart"/>
            <w:r w:rsidRPr="0028658D">
              <w:rPr>
                <w:rFonts w:eastAsiaTheme="majorEastAsia" w:cstheme="minorHAnsi"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ajorEastAsia" w:cstheme="minorHAnsi"/>
                <w:color w:val="000000" w:themeColor="text1"/>
              </w:rPr>
              <w:t xml:space="preserve"> completările ulterioare, însoțită de ipotezele și metodologia de calcul utilizată;</w:t>
            </w:r>
          </w:p>
          <w:p w:rsidR="00F5092A" w:rsidRPr="0028658D" w:rsidRDefault="00F5092A" w:rsidP="009C3BE0">
            <w:pPr>
              <w:spacing w:after="0" w:line="240" w:lineRule="auto"/>
              <w:jc w:val="both"/>
              <w:rPr>
                <w:rFonts w:eastAsiaTheme="majorEastAsia" w:cstheme="minorHAnsi"/>
                <w:color w:val="000000" w:themeColor="text1"/>
              </w:rPr>
            </w:pPr>
            <w:r w:rsidRPr="0028658D">
              <w:rPr>
                <w:rFonts w:eastAsiaTheme="majorEastAsia" w:cstheme="minorHAnsi"/>
                <w:color w:val="000000" w:themeColor="text1"/>
              </w:rPr>
              <w:t xml:space="preserve">b) declarație conform căreia majorarea de cheltuială respectivă este compatibilă cu obiectivele </w:t>
            </w:r>
            <w:proofErr w:type="spellStart"/>
            <w:r w:rsidRPr="0028658D">
              <w:rPr>
                <w:rFonts w:eastAsiaTheme="majorEastAsia" w:cstheme="minorHAnsi"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ajorEastAsia" w:cstheme="minorHAnsi"/>
                <w:color w:val="000000" w:themeColor="text1"/>
              </w:rPr>
              <w:t xml:space="preserve"> prioritățile strategice specificate în strategia fiscal-bugetară, cu legea bugetară anuală </w:t>
            </w:r>
            <w:proofErr w:type="spellStart"/>
            <w:r w:rsidRPr="0028658D">
              <w:rPr>
                <w:rFonts w:eastAsiaTheme="majorEastAsia" w:cstheme="minorHAnsi"/>
                <w:color w:val="000000" w:themeColor="text1"/>
              </w:rPr>
              <w:t>şi</w:t>
            </w:r>
            <w:proofErr w:type="spellEnd"/>
            <w:r w:rsidRPr="0028658D">
              <w:rPr>
                <w:rFonts w:eastAsiaTheme="majorEastAsia" w:cstheme="minorHAnsi"/>
                <w:color w:val="000000" w:themeColor="text1"/>
              </w:rPr>
              <w:t xml:space="preserve"> cu plafoanele de cheltuieli prezentate în strategia fiscal-bugetară.</w:t>
            </w:r>
          </w:p>
          <w:p w:rsidR="00F5092A" w:rsidRPr="0028658D" w:rsidRDefault="00F5092A" w:rsidP="009C3BE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8658D">
              <w:rPr>
                <w:color w:val="000000" w:themeColor="text1"/>
              </w:rPr>
              <w:t xml:space="preserve">Fișa financiară va respecta </w:t>
            </w:r>
            <w:proofErr w:type="spellStart"/>
            <w:r w:rsidRPr="0028658D">
              <w:rPr>
                <w:color w:val="000000" w:themeColor="text1"/>
              </w:rPr>
              <w:t>condiţiile</w:t>
            </w:r>
            <w:proofErr w:type="spellEnd"/>
            <w:r w:rsidRPr="0028658D">
              <w:rPr>
                <w:color w:val="000000" w:themeColor="text1"/>
              </w:rPr>
              <w:t xml:space="preserve"> prevăzute de Legea nr. 69/2010 și va conține efectele financiare asupra bugetului general consolidat, care trebuie să aibă în vedere: </w:t>
            </w:r>
          </w:p>
          <w:p w:rsidR="00F5092A" w:rsidRPr="0028658D" w:rsidRDefault="00F5092A" w:rsidP="009C3BE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8658D">
              <w:rPr>
                <w:color w:val="000000" w:themeColor="text1"/>
              </w:rPr>
              <w:t xml:space="preserve">a) schimbările anticipate în veniturile </w:t>
            </w:r>
            <w:proofErr w:type="spellStart"/>
            <w:r w:rsidRPr="0028658D">
              <w:rPr>
                <w:color w:val="000000" w:themeColor="text1"/>
              </w:rPr>
              <w:t>şi</w:t>
            </w:r>
            <w:proofErr w:type="spellEnd"/>
            <w:r w:rsidRPr="0028658D">
              <w:rPr>
                <w:color w:val="000000" w:themeColor="text1"/>
              </w:rPr>
              <w:t xml:space="preserve"> cheltuielile bugetare pentru anul curent </w:t>
            </w:r>
            <w:proofErr w:type="spellStart"/>
            <w:r w:rsidRPr="0028658D">
              <w:rPr>
                <w:color w:val="000000" w:themeColor="text1"/>
              </w:rPr>
              <w:t>şi</w:t>
            </w:r>
            <w:proofErr w:type="spellEnd"/>
            <w:r w:rsidRPr="0028658D">
              <w:rPr>
                <w:color w:val="000000" w:themeColor="text1"/>
              </w:rPr>
              <w:t xml:space="preserve"> următorii 4 ani;</w:t>
            </w:r>
          </w:p>
          <w:p w:rsidR="00F5092A" w:rsidRPr="0028658D" w:rsidRDefault="00F5092A" w:rsidP="009C3BE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8658D">
              <w:rPr>
                <w:color w:val="000000" w:themeColor="text1"/>
              </w:rPr>
              <w:t xml:space="preserve">b) estimări privind </w:t>
            </w:r>
            <w:proofErr w:type="spellStart"/>
            <w:r w:rsidRPr="0028658D">
              <w:rPr>
                <w:color w:val="000000" w:themeColor="text1"/>
              </w:rPr>
              <w:t>eşalonarea</w:t>
            </w:r>
            <w:proofErr w:type="spellEnd"/>
            <w:r w:rsidRPr="0028658D">
              <w:rPr>
                <w:color w:val="000000" w:themeColor="text1"/>
              </w:rPr>
              <w:t xml:space="preserve"> creditelor bugetare </w:t>
            </w:r>
            <w:proofErr w:type="spellStart"/>
            <w:r w:rsidRPr="0028658D">
              <w:rPr>
                <w:color w:val="000000" w:themeColor="text1"/>
              </w:rPr>
              <w:t>şi</w:t>
            </w:r>
            <w:proofErr w:type="spellEnd"/>
            <w:r w:rsidRPr="0028658D">
              <w:rPr>
                <w:color w:val="000000" w:themeColor="text1"/>
              </w:rPr>
              <w:t xml:space="preserve"> a creditelor de angajament, în cazul </w:t>
            </w:r>
            <w:proofErr w:type="spellStart"/>
            <w:r w:rsidRPr="0028658D">
              <w:rPr>
                <w:color w:val="000000" w:themeColor="text1"/>
              </w:rPr>
              <w:t>acţiunilor</w:t>
            </w:r>
            <w:proofErr w:type="spellEnd"/>
            <w:r w:rsidRPr="0028658D">
              <w:rPr>
                <w:color w:val="000000" w:themeColor="text1"/>
              </w:rPr>
              <w:t xml:space="preserve"> anuale </w:t>
            </w:r>
            <w:proofErr w:type="spellStart"/>
            <w:r w:rsidRPr="0028658D">
              <w:rPr>
                <w:color w:val="000000" w:themeColor="text1"/>
              </w:rPr>
              <w:t>şi</w:t>
            </w:r>
            <w:proofErr w:type="spellEnd"/>
            <w:r w:rsidRPr="0028658D">
              <w:rPr>
                <w:color w:val="000000" w:themeColor="text1"/>
              </w:rPr>
              <w:t xml:space="preserve"> multianuale care conduc la majorarea cheltuielilor.</w:t>
            </w:r>
          </w:p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  <w:tcBorders>
              <w:top w:val="nil"/>
            </w:tcBorders>
          </w:tcPr>
          <w:p w:rsidR="00F5092A" w:rsidRPr="0028658D" w:rsidRDefault="00F5092A" w:rsidP="009C3B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a 5-a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Efectele proiectului de act normativ asupra legislației în vigoare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5.1. Măsuri normative necesare pentru aplicarea prevederilor proiectului de act normativ</w:t>
            </w:r>
          </w:p>
        </w:tc>
        <w:tc>
          <w:tcPr>
            <w:tcW w:w="2589" w:type="pct"/>
            <w:gridSpan w:val="5"/>
          </w:tcPr>
          <w:p w:rsidR="00F5092A" w:rsidRPr="0028658D" w:rsidRDefault="00040B42" w:rsidP="00040B42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Emiterea  în termen de 30 de zile de la intrarea în vigoarea prezentei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Hotărțri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 Ordinului ministrului sănătății pentru aprobarea Regulamentului de organizare și funcționare al Comisiei Mixte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5.2.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Impactul asupra legislației în domeniul achizițiilor publice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 xml:space="preserve">5.3.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Conformitatea proiectului de act normativ cu legislația UE (în cazul proiectelor ce transpun sau asigură aplicarea unor prevederi de drept UE)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pStyle w:val="rvp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8658D">
              <w:rPr>
                <w:color w:val="000000" w:themeColor="text1"/>
              </w:rPr>
              <w:t xml:space="preserve">Nu </w:t>
            </w:r>
            <w:proofErr w:type="spellStart"/>
            <w:r w:rsidRPr="0028658D">
              <w:rPr>
                <w:color w:val="000000" w:themeColor="text1"/>
              </w:rPr>
              <w:t>este</w:t>
            </w:r>
            <w:proofErr w:type="spellEnd"/>
            <w:r w:rsidRPr="0028658D">
              <w:rPr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color w:val="000000" w:themeColor="text1"/>
              </w:rPr>
              <w:t>cazul</w:t>
            </w:r>
            <w:proofErr w:type="spellEnd"/>
            <w:r w:rsidRPr="0028658D">
              <w:rPr>
                <w:color w:val="000000" w:themeColor="text1"/>
              </w:rPr>
              <w:t>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5.3.1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Măsuri normative necesare transpunerii directivelor UE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5.3.2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Măsuri normative necesare aplicării actelor legislative UE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5.4.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Hotărâri ale Curții de Justiție a Uniunii Europene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5.5.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Alte acte normative și/sau documente internaționale din care decurg angajamente asumate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Nu este cazul.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5.6. Alte informații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Nu este cazul.</w:t>
            </w: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Secțiunea a 6-a  - 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bCs/>
                <w:color w:val="000000" w:themeColor="text1"/>
                <w:szCs w:val="24"/>
              </w:rPr>
              <w:t>Consultările efectuate în vederea elaborării proiectului de act normativ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6.1.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Informații privind neaplicarea procedurii de participare la elaborarea actelor normative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6.2.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Informații privind procesul de consultare cu organizații neguvernamentale, institute de cercetare și alte organisme implicate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pStyle w:val="rvps1"/>
              <w:spacing w:before="0" w:beforeAutospacing="0" w:after="0" w:afterAutospacing="0"/>
              <w:jc w:val="both"/>
              <w:rPr>
                <w:rFonts w:eastAsia="Arial"/>
                <w:color w:val="000000" w:themeColor="text1"/>
              </w:rPr>
            </w:pPr>
            <w:r w:rsidRPr="0028658D">
              <w:rPr>
                <w:color w:val="000000" w:themeColor="text1"/>
              </w:rPr>
              <w:t xml:space="preserve"> </w:t>
            </w:r>
            <w:r w:rsidRPr="0028658D">
              <w:rPr>
                <w:rFonts w:eastAsia="Arial"/>
                <w:color w:val="000000" w:themeColor="text1"/>
              </w:rPr>
              <w:t xml:space="preserve">a </w:t>
            </w:r>
            <w:proofErr w:type="spellStart"/>
            <w:r w:rsidRPr="0028658D">
              <w:rPr>
                <w:rFonts w:eastAsia="Arial"/>
                <w:color w:val="000000" w:themeColor="text1"/>
              </w:rPr>
              <w:t>fost</w:t>
            </w:r>
            <w:proofErr w:type="spellEnd"/>
            <w:r w:rsidRPr="0028658D">
              <w:rPr>
                <w:rFonts w:eastAsia="Arial"/>
                <w:color w:val="000000" w:themeColor="text1"/>
              </w:rPr>
              <w:t xml:space="preserve"> </w:t>
            </w:r>
            <w:proofErr w:type="spellStart"/>
            <w:r w:rsidRPr="0028658D">
              <w:rPr>
                <w:rFonts w:eastAsia="Arial"/>
                <w:color w:val="000000" w:themeColor="text1"/>
              </w:rPr>
              <w:t>consultat</w:t>
            </w:r>
            <w:proofErr w:type="spellEnd"/>
            <w:r w:rsidRPr="0028658D">
              <w:rPr>
                <w:rFonts w:eastAsia="Arial"/>
                <w:color w:val="000000" w:themeColor="text1"/>
              </w:rPr>
              <w:t xml:space="preserve"> Colegiul Medicilor din </w:t>
            </w:r>
            <w:proofErr w:type="spellStart"/>
            <w:r w:rsidRPr="0028658D">
              <w:rPr>
                <w:rFonts w:eastAsia="Arial"/>
                <w:color w:val="000000" w:themeColor="text1"/>
              </w:rPr>
              <w:t>România</w:t>
            </w:r>
            <w:proofErr w:type="spellEnd"/>
          </w:p>
          <w:p w:rsidR="00F5092A" w:rsidRPr="0028658D" w:rsidRDefault="00F5092A" w:rsidP="009C3BE0">
            <w:pPr>
              <w:pStyle w:val="rvps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6.3.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Informații despre consultările organizate cu autoritățile administrației publice locale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 xml:space="preserve">Nu este cazul </w:t>
            </w:r>
          </w:p>
        </w:tc>
      </w:tr>
      <w:tr w:rsidR="0028658D" w:rsidRPr="0028658D" w:rsidTr="009C3BE0">
        <w:trPr>
          <w:trHeight w:val="1112"/>
        </w:trPr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6.4.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Informații privind puncte de vedere/opinii emise de organisme consultative constituite prin acte normative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 xml:space="preserve">Nu este cazul </w:t>
            </w:r>
          </w:p>
        </w:tc>
      </w:tr>
      <w:tr w:rsidR="0028658D" w:rsidRPr="0028658D" w:rsidTr="009C3BE0">
        <w:trPr>
          <w:trHeight w:val="1870"/>
        </w:trPr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6.5.  Informații privind avizarea de către: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a) Consiliul Legislativ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b) Consiliul Suprem de Apărare a Țării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c) Consiliul Economic și Social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d) Consiliul Concurenței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e) Curtea de Conturi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9C3BE0">
        <w:trPr>
          <w:trHeight w:val="305"/>
        </w:trPr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>6. Alte informații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28658D">
              <w:rPr>
                <w:rFonts w:eastAsia="Calibri" w:cs="Times New Roman"/>
                <w:color w:val="000000" w:themeColor="text1"/>
                <w:szCs w:val="24"/>
              </w:rPr>
              <w:t xml:space="preserve">Nu este cazul </w:t>
            </w: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 xml:space="preserve">Secțiunea a 7-a – 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Activități de informare publică privind elaborarea și implementarea proiectului de act normativ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7.1.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Informarea societății civile cu privire la elaborarea proiectului de act normativ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Se vor respecta prevederile Legii nr. 52/2003 privind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transparenţa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 decizională în </w:t>
            </w: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administraţia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 publică, republicată.</w:t>
            </w: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7.2.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Informarea societății civile cu privire la eventualul impact asupra mediului în urma implementării proiectului de act normativ, precum și efectele asupra sănătății și securității cetățenilor sau diversității biologice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 xml:space="preserve">Nu este cazul </w:t>
            </w:r>
          </w:p>
        </w:tc>
      </w:tr>
      <w:tr w:rsidR="0028658D" w:rsidRPr="0028658D" w:rsidTr="009C3BE0">
        <w:tc>
          <w:tcPr>
            <w:tcW w:w="5000" w:type="pct"/>
            <w:gridSpan w:val="9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Secțiunea a 8-a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8658D">
              <w:rPr>
                <w:rFonts w:cs="Times New Roman"/>
                <w:b/>
                <w:color w:val="000000" w:themeColor="text1"/>
                <w:szCs w:val="24"/>
              </w:rPr>
              <w:t>Măsuri privind implementarea, monitorizarea și evaluarea proiectului de act normativ</w:t>
            </w:r>
          </w:p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8658D" w:rsidRPr="0028658D" w:rsidTr="009C3BE0"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t xml:space="preserve">8.1. </w:t>
            </w: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Măsurile de punere în aplicare a proiectului de act normativ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>Nu este cazul</w:t>
            </w:r>
          </w:p>
        </w:tc>
      </w:tr>
      <w:tr w:rsidR="0028658D" w:rsidRPr="0028658D" w:rsidTr="009C3BE0">
        <w:trPr>
          <w:trHeight w:val="70"/>
        </w:trPr>
        <w:tc>
          <w:tcPr>
            <w:tcW w:w="2411" w:type="pct"/>
            <w:gridSpan w:val="4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>8.2. Alte informații</w:t>
            </w:r>
          </w:p>
        </w:tc>
        <w:tc>
          <w:tcPr>
            <w:tcW w:w="2589" w:type="pct"/>
            <w:gridSpan w:val="5"/>
          </w:tcPr>
          <w:p w:rsidR="00F5092A" w:rsidRPr="0028658D" w:rsidRDefault="00F5092A" w:rsidP="009C3BE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8658D">
              <w:rPr>
                <w:rFonts w:cs="Times New Roman"/>
                <w:color w:val="000000" w:themeColor="text1"/>
                <w:szCs w:val="24"/>
              </w:rPr>
              <w:t xml:space="preserve">Nu este cazul </w:t>
            </w:r>
          </w:p>
        </w:tc>
      </w:tr>
    </w:tbl>
    <w:p w:rsidR="00F5092A" w:rsidRPr="0028658D" w:rsidRDefault="00F5092A" w:rsidP="00F5092A">
      <w:pPr>
        <w:tabs>
          <w:tab w:val="left" w:pos="2268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</w:p>
    <w:p w:rsidR="00F5092A" w:rsidRPr="0028658D" w:rsidRDefault="00F5092A" w:rsidP="00EA1848">
      <w:pPr>
        <w:pStyle w:val="rvps1"/>
        <w:jc w:val="both"/>
        <w:rPr>
          <w:rFonts w:eastAsiaTheme="minorHAnsi"/>
          <w:bCs/>
          <w:color w:val="000000" w:themeColor="text1"/>
        </w:rPr>
      </w:pPr>
      <w:proofErr w:type="spellStart"/>
      <w:r w:rsidRPr="0028658D">
        <w:rPr>
          <w:color w:val="000000" w:themeColor="text1"/>
        </w:rPr>
        <w:t>Față</w:t>
      </w:r>
      <w:proofErr w:type="spellEnd"/>
      <w:r w:rsidRPr="0028658D">
        <w:rPr>
          <w:color w:val="000000" w:themeColor="text1"/>
        </w:rPr>
        <w:t xml:space="preserve"> de </w:t>
      </w:r>
      <w:proofErr w:type="spellStart"/>
      <w:r w:rsidRPr="0028658D">
        <w:rPr>
          <w:color w:val="000000" w:themeColor="text1"/>
        </w:rPr>
        <w:t>cele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menționate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mai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sus</w:t>
      </w:r>
      <w:proofErr w:type="spellEnd"/>
      <w:r w:rsidRPr="0028658D">
        <w:rPr>
          <w:color w:val="000000" w:themeColor="text1"/>
        </w:rPr>
        <w:t xml:space="preserve">, a </w:t>
      </w:r>
      <w:proofErr w:type="spellStart"/>
      <w:r w:rsidRPr="0028658D">
        <w:rPr>
          <w:color w:val="000000" w:themeColor="text1"/>
        </w:rPr>
        <w:t>fost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elaborat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prezentul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proiect</w:t>
      </w:r>
      <w:proofErr w:type="spellEnd"/>
      <w:r w:rsidRPr="0028658D">
        <w:rPr>
          <w:color w:val="000000" w:themeColor="text1"/>
        </w:rPr>
        <w:t xml:space="preserve"> de </w:t>
      </w:r>
      <w:proofErr w:type="spellStart"/>
      <w:r w:rsidRPr="0028658D">
        <w:rPr>
          <w:b/>
          <w:color w:val="000000" w:themeColor="text1"/>
        </w:rPr>
        <w:t>Hotărâre</w:t>
      </w:r>
      <w:proofErr w:type="spellEnd"/>
      <w:r w:rsidRPr="0028658D">
        <w:rPr>
          <w:b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privind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modificarea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și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completarea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completarea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Anexei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la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Hotărârea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Guvernului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nr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. 764/2017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pentru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aprobarea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Normelor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privind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recunoaşterea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diplomelor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,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certificatelor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şi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titlurilor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de medic specialist,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eliberate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de un stat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terţ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,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altul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decât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Australia, Canada, Israel,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Noua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Zeelandă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şi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Statele</w:t>
      </w:r>
      <w:proofErr w:type="spellEnd"/>
      <w:r w:rsidR="00EA1848" w:rsidRPr="0028658D">
        <w:rPr>
          <w:rFonts w:eastAsiaTheme="minorHAnsi"/>
          <w:bCs/>
          <w:color w:val="000000" w:themeColor="text1"/>
        </w:rPr>
        <w:t xml:space="preserve"> Unite ale </w:t>
      </w:r>
      <w:proofErr w:type="spellStart"/>
      <w:r w:rsidR="00EA1848" w:rsidRPr="0028658D">
        <w:rPr>
          <w:rFonts w:eastAsiaTheme="minorHAnsi"/>
          <w:bCs/>
          <w:color w:val="000000" w:themeColor="text1"/>
        </w:rPr>
        <w:t>Americii</w:t>
      </w:r>
      <w:proofErr w:type="spellEnd"/>
      <w:r w:rsidRPr="0028658D">
        <w:rPr>
          <w:rStyle w:val="rvts2"/>
          <w:b/>
          <w:color w:val="000000" w:themeColor="text1"/>
        </w:rPr>
        <w:t>,</w:t>
      </w:r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pe</w:t>
      </w:r>
      <w:proofErr w:type="spellEnd"/>
      <w:r w:rsidRPr="0028658D">
        <w:rPr>
          <w:color w:val="000000" w:themeColor="text1"/>
        </w:rPr>
        <w:t xml:space="preserve"> care </w:t>
      </w:r>
      <w:proofErr w:type="spellStart"/>
      <w:r w:rsidRPr="0028658D">
        <w:rPr>
          <w:color w:val="000000" w:themeColor="text1"/>
        </w:rPr>
        <w:t>îl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supunem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Guvernului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spre</w:t>
      </w:r>
      <w:proofErr w:type="spellEnd"/>
      <w:r w:rsidRPr="0028658D">
        <w:rPr>
          <w:color w:val="000000" w:themeColor="text1"/>
        </w:rPr>
        <w:t xml:space="preserve"> </w:t>
      </w:r>
      <w:proofErr w:type="spellStart"/>
      <w:r w:rsidRPr="0028658D">
        <w:rPr>
          <w:color w:val="000000" w:themeColor="text1"/>
        </w:rPr>
        <w:t>adoptare</w:t>
      </w:r>
      <w:proofErr w:type="spellEnd"/>
      <w:r w:rsidRPr="0028658D">
        <w:rPr>
          <w:color w:val="000000" w:themeColor="text1"/>
        </w:rPr>
        <w:t>.</w:t>
      </w:r>
    </w:p>
    <w:p w:rsidR="00F5092A" w:rsidRPr="0028658D" w:rsidRDefault="00F5092A" w:rsidP="00F5092A">
      <w:pPr>
        <w:tabs>
          <w:tab w:val="left" w:pos="2268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ind w:left="-360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 xml:space="preserve">  MINISTRUL SĂNĂTĂȚII</w:t>
      </w:r>
    </w:p>
    <w:p w:rsidR="005D4570" w:rsidRPr="0028658D" w:rsidRDefault="005D4570" w:rsidP="00F5092A">
      <w:pPr>
        <w:spacing w:after="0" w:line="240" w:lineRule="auto"/>
        <w:ind w:left="-360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>Prof. Univ. Dr. Alexandru RAFILA</w:t>
      </w: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u w:val="single"/>
        </w:rPr>
      </w:pPr>
      <w:r w:rsidRPr="0028658D">
        <w:rPr>
          <w:rFonts w:cs="Times New Roman"/>
          <w:b/>
          <w:color w:val="000000" w:themeColor="text1"/>
          <w:szCs w:val="24"/>
          <w:u w:val="single"/>
        </w:rPr>
        <w:t>Avizăm favorabil:</w:t>
      </w:r>
    </w:p>
    <w:p w:rsidR="005D4570" w:rsidRPr="0028658D" w:rsidRDefault="005D4570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5D4570" w:rsidRPr="0028658D" w:rsidRDefault="005D4570" w:rsidP="005D457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 xml:space="preserve">Viceprim – ministru, </w:t>
      </w:r>
    </w:p>
    <w:p w:rsidR="005D4570" w:rsidRPr="0028658D" w:rsidRDefault="005D4570" w:rsidP="005D457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 xml:space="preserve"> Marian NEACȘU</w:t>
      </w:r>
    </w:p>
    <w:p w:rsidR="005D4570" w:rsidRPr="0028658D" w:rsidRDefault="005D4570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EA1848" w:rsidP="00EA1848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>Ministrul Educației</w:t>
      </w:r>
    </w:p>
    <w:p w:rsidR="00EA1848" w:rsidRDefault="005D4570" w:rsidP="00EA1848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>Ligia DECA</w:t>
      </w:r>
    </w:p>
    <w:p w:rsidR="0028658D" w:rsidRDefault="0028658D" w:rsidP="00EA1848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 xml:space="preserve">Ministrul Finanțelor </w:t>
      </w: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8658D">
        <w:rPr>
          <w:rFonts w:cs="Times New Roman"/>
          <w:b/>
          <w:color w:val="000000" w:themeColor="text1"/>
          <w:szCs w:val="24"/>
        </w:rPr>
        <w:t xml:space="preserve">Marcel Ioan </w:t>
      </w:r>
      <w:r w:rsidR="005042B3" w:rsidRPr="0028658D">
        <w:rPr>
          <w:rFonts w:cs="Times New Roman"/>
          <w:b/>
          <w:color w:val="000000" w:themeColor="text1"/>
          <w:szCs w:val="24"/>
        </w:rPr>
        <w:t>BOLOȘ</w:t>
      </w: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</w:rPr>
      </w:pPr>
      <w:r w:rsidRPr="0028658D">
        <w:rPr>
          <w:rFonts w:cs="Times New Roman"/>
          <w:b/>
          <w:color w:val="000000" w:themeColor="text1"/>
        </w:rPr>
        <w:t xml:space="preserve">                                                                      </w:t>
      </w: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28658D">
        <w:rPr>
          <w:rFonts w:cs="Times New Roman"/>
          <w:b/>
          <w:color w:val="000000" w:themeColor="text1"/>
        </w:rPr>
        <w:t>Ministrul Justiției</w:t>
      </w: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28658D">
        <w:rPr>
          <w:rFonts w:cs="Times New Roman"/>
          <w:b/>
          <w:color w:val="000000" w:themeColor="text1"/>
        </w:rPr>
        <w:t xml:space="preserve">Alina Ștefania </w:t>
      </w:r>
      <w:r w:rsidR="005042B3" w:rsidRPr="0028658D">
        <w:rPr>
          <w:rFonts w:cs="Times New Roman"/>
          <w:b/>
          <w:color w:val="000000" w:themeColor="text1"/>
        </w:rPr>
        <w:t>GORGHIU</w:t>
      </w: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F5092A" w:rsidRPr="0028658D" w:rsidRDefault="00F5092A" w:rsidP="00F5092A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</w:rPr>
      </w:pPr>
      <w:r w:rsidRPr="0028658D">
        <w:rPr>
          <w:rFonts w:cs="Times New Roman"/>
          <w:b/>
          <w:color w:val="000000" w:themeColor="text1"/>
        </w:rPr>
        <w:t xml:space="preserve">                                                       </w:t>
      </w:r>
    </w:p>
    <w:p w:rsidR="00F5092A" w:rsidRPr="0028658D" w:rsidRDefault="00F5092A" w:rsidP="00F5092A">
      <w:pPr>
        <w:spacing w:after="0" w:line="240" w:lineRule="auto"/>
        <w:rPr>
          <w:rFonts w:cs="Times New Roman"/>
          <w:b/>
          <w:color w:val="000000" w:themeColor="text1"/>
        </w:rPr>
      </w:pPr>
      <w:r w:rsidRPr="0028658D">
        <w:rPr>
          <w:rFonts w:cs="Times New Roman"/>
          <w:b/>
          <w:color w:val="000000" w:themeColor="text1"/>
        </w:rPr>
        <w:t xml:space="preserve">     </w:t>
      </w:r>
    </w:p>
    <w:p w:rsidR="00013E58" w:rsidRPr="0028658D" w:rsidRDefault="00013E58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>
      <w:pPr>
        <w:rPr>
          <w:color w:val="000000" w:themeColor="text1"/>
        </w:rPr>
      </w:pPr>
    </w:p>
    <w:p w:rsidR="00BF64D6" w:rsidRPr="0028658D" w:rsidRDefault="00BF64D6" w:rsidP="00BF64D6">
      <w:pPr>
        <w:spacing w:after="0" w:line="240" w:lineRule="auto"/>
        <w:ind w:left="2880" w:firstLine="720"/>
        <w:jc w:val="both"/>
        <w:rPr>
          <w:rFonts w:eastAsia="Times New Roman" w:cs="Times New Roman"/>
          <w:b/>
          <w:color w:val="000000" w:themeColor="text1"/>
        </w:rPr>
      </w:pPr>
      <w:r w:rsidRPr="0028658D">
        <w:rPr>
          <w:rFonts w:eastAsia="Times New Roman" w:cs="Times New Roman"/>
          <w:b/>
          <w:color w:val="000000" w:themeColor="text1"/>
        </w:rPr>
        <w:lastRenderedPageBreak/>
        <w:t>FIȘĂ DE AVIZARE INTERNĂ</w:t>
      </w:r>
    </w:p>
    <w:p w:rsidR="00BF64D6" w:rsidRPr="0028658D" w:rsidRDefault="00BF64D6" w:rsidP="00BF64D6">
      <w:pPr>
        <w:spacing w:after="0" w:line="240" w:lineRule="auto"/>
        <w:ind w:left="2880" w:firstLine="720"/>
        <w:rPr>
          <w:rFonts w:eastAsia="Times New Roman" w:cs="Times New Roman"/>
          <w:b/>
          <w:color w:val="000000" w:themeColor="text1"/>
        </w:rPr>
      </w:pPr>
      <w:r w:rsidRPr="0028658D">
        <w:rPr>
          <w:rFonts w:eastAsia="Times New Roman" w:cs="Times New Roman"/>
          <w:b/>
          <w:color w:val="000000" w:themeColor="text1"/>
        </w:rPr>
        <w:t xml:space="preserve">               </w:t>
      </w:r>
    </w:p>
    <w:p w:rsidR="00BF64D6" w:rsidRPr="0028658D" w:rsidRDefault="00BF64D6" w:rsidP="00BF64D6">
      <w:pPr>
        <w:pStyle w:val="rvps1"/>
        <w:jc w:val="center"/>
        <w:rPr>
          <w:b/>
          <w:color w:val="000000" w:themeColor="text1"/>
        </w:rPr>
      </w:pPr>
      <w:proofErr w:type="spellStart"/>
      <w:r w:rsidRPr="0028658D">
        <w:rPr>
          <w:b/>
          <w:color w:val="000000" w:themeColor="text1"/>
        </w:rPr>
        <w:t>Hotărâre</w:t>
      </w:r>
      <w:proofErr w:type="spellEnd"/>
    </w:p>
    <w:p w:rsidR="00BF64D6" w:rsidRPr="0028658D" w:rsidRDefault="00BF64D6" w:rsidP="00BF64D6">
      <w:pPr>
        <w:pStyle w:val="rvps1"/>
        <w:jc w:val="center"/>
        <w:rPr>
          <w:rFonts w:eastAsiaTheme="minorHAnsi"/>
          <w:bCs/>
          <w:color w:val="000000" w:themeColor="text1"/>
        </w:rPr>
      </w:pPr>
      <w:proofErr w:type="spellStart"/>
      <w:r w:rsidRPr="0028658D">
        <w:rPr>
          <w:rFonts w:eastAsiaTheme="minorHAnsi"/>
          <w:bCs/>
          <w:color w:val="000000" w:themeColor="text1"/>
        </w:rPr>
        <w:t>privind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modificarea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și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completarea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Anexei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la </w:t>
      </w:r>
      <w:proofErr w:type="spellStart"/>
      <w:r w:rsidRPr="0028658D">
        <w:rPr>
          <w:rFonts w:eastAsiaTheme="minorHAnsi"/>
          <w:bCs/>
          <w:color w:val="000000" w:themeColor="text1"/>
        </w:rPr>
        <w:t>Hotărârea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Guvernului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nr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. 764/2017 </w:t>
      </w:r>
      <w:proofErr w:type="spellStart"/>
      <w:r w:rsidRPr="0028658D">
        <w:rPr>
          <w:rFonts w:eastAsiaTheme="minorHAnsi"/>
          <w:bCs/>
          <w:color w:val="000000" w:themeColor="text1"/>
        </w:rPr>
        <w:t>pentru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aprobarea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Normelor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privind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recunoaşterea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diplomelor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, </w:t>
      </w:r>
      <w:proofErr w:type="spellStart"/>
      <w:r w:rsidRPr="0028658D">
        <w:rPr>
          <w:rFonts w:eastAsiaTheme="minorHAnsi"/>
          <w:bCs/>
          <w:color w:val="000000" w:themeColor="text1"/>
        </w:rPr>
        <w:t>certificatelor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şi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titlurilor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de medic specialist, </w:t>
      </w:r>
      <w:proofErr w:type="spellStart"/>
      <w:r w:rsidRPr="0028658D">
        <w:rPr>
          <w:rFonts w:eastAsiaTheme="minorHAnsi"/>
          <w:bCs/>
          <w:color w:val="000000" w:themeColor="text1"/>
        </w:rPr>
        <w:t>eliberate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de un stat </w:t>
      </w:r>
      <w:proofErr w:type="spellStart"/>
      <w:r w:rsidRPr="0028658D">
        <w:rPr>
          <w:rFonts w:eastAsiaTheme="minorHAnsi"/>
          <w:bCs/>
          <w:color w:val="000000" w:themeColor="text1"/>
        </w:rPr>
        <w:t>terţ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, </w:t>
      </w:r>
      <w:proofErr w:type="spellStart"/>
      <w:r w:rsidRPr="0028658D">
        <w:rPr>
          <w:rFonts w:eastAsiaTheme="minorHAnsi"/>
          <w:bCs/>
          <w:color w:val="000000" w:themeColor="text1"/>
        </w:rPr>
        <w:t>altul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decât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Australia, Canada, Israel, </w:t>
      </w:r>
      <w:proofErr w:type="spellStart"/>
      <w:r w:rsidRPr="0028658D">
        <w:rPr>
          <w:rFonts w:eastAsiaTheme="minorHAnsi"/>
          <w:bCs/>
          <w:color w:val="000000" w:themeColor="text1"/>
        </w:rPr>
        <w:t>Noua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Zeelandă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şi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</w:t>
      </w:r>
      <w:proofErr w:type="spellStart"/>
      <w:r w:rsidRPr="0028658D">
        <w:rPr>
          <w:rFonts w:eastAsiaTheme="minorHAnsi"/>
          <w:bCs/>
          <w:color w:val="000000" w:themeColor="text1"/>
        </w:rPr>
        <w:t>Statele</w:t>
      </w:r>
      <w:proofErr w:type="spellEnd"/>
      <w:r w:rsidRPr="0028658D">
        <w:rPr>
          <w:rFonts w:eastAsiaTheme="minorHAnsi"/>
          <w:bCs/>
          <w:color w:val="000000" w:themeColor="text1"/>
        </w:rPr>
        <w:t xml:space="preserve"> Unite ale </w:t>
      </w:r>
      <w:proofErr w:type="spellStart"/>
      <w:r w:rsidRPr="0028658D">
        <w:rPr>
          <w:rFonts w:eastAsiaTheme="minorHAnsi"/>
          <w:bCs/>
          <w:color w:val="000000" w:themeColor="text1"/>
        </w:rPr>
        <w:t>Americii</w:t>
      </w:r>
      <w:proofErr w:type="spellEnd"/>
    </w:p>
    <w:p w:rsidR="00BF64D6" w:rsidRPr="0028658D" w:rsidRDefault="00BF64D6" w:rsidP="00BF64D6">
      <w:pPr>
        <w:spacing w:after="0" w:line="240" w:lineRule="auto"/>
        <w:jc w:val="center"/>
        <w:rPr>
          <w:rFonts w:eastAsia="Times New Roman" w:cs="Times New Roman"/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770"/>
        <w:gridCol w:w="1926"/>
        <w:gridCol w:w="2291"/>
      </w:tblGrid>
      <w:tr w:rsidR="0028658D" w:rsidRPr="0028658D" w:rsidTr="005F169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bookmarkStart w:id="1" w:name="_heading=h.3znysh7" w:colFirst="0" w:colLast="0"/>
            <w:bookmarkEnd w:id="1"/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STRUCTURA INIŢIATOARE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DATA SOLICITĂRII AVIZULUI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DATA OBŢINERII AVIZULUI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SEMNĂTURA ŞEFULUI STRUCTURII AVIZATOR</w:t>
            </w:r>
          </w:p>
        </w:tc>
      </w:tr>
      <w:tr w:rsidR="0028658D" w:rsidRPr="0028658D" w:rsidTr="005F169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Direcția Politici de Resurse Umane în Sănătate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5F1694">
        <w:trPr>
          <w:trHeight w:val="34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 xml:space="preserve">DIRECTOR </w:t>
            </w:r>
          </w:p>
          <w:p w:rsidR="00BF64D6" w:rsidRPr="0028658D" w:rsidRDefault="00BF64D6" w:rsidP="005F1694">
            <w:pPr>
              <w:spacing w:after="0" w:line="240" w:lineRule="auto"/>
              <w:ind w:right="14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Răzvan-Daniel STROE</w:t>
            </w:r>
          </w:p>
          <w:p w:rsidR="00BF64D6" w:rsidRPr="0028658D" w:rsidRDefault="00BF64D6" w:rsidP="005F1694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Șef Serviciu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Gabriela ANGHELOIU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Direcția Generală Asistență Medicală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DIRECTOR GENERAL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Costin ILIUȚĂ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BA738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5F169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STRUCTURA AVIZATOARE</w:t>
            </w:r>
          </w:p>
        </w:tc>
      </w:tr>
      <w:tr w:rsidR="0028658D" w:rsidRPr="0028658D" w:rsidTr="005F1694">
        <w:trPr>
          <w:trHeight w:val="18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Direcţia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 xml:space="preserve"> Generală Juridică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Serviciul Avizare Acte Normative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ȘEF SERVICIU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Dana Constanța EFTIMIE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DIRECTOR GENERAL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Ionuţ</w:t>
            </w:r>
            <w:proofErr w:type="spellEnd"/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 xml:space="preserve"> Sebastian IAVOR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8658D" w:rsidRPr="0028658D" w:rsidTr="005F1694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SECRETAR GENERAL ADJUNCT</w:t>
            </w:r>
          </w:p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8658D">
              <w:rPr>
                <w:rFonts w:eastAsia="Times New Roman" w:cs="Times New Roman"/>
                <w:color w:val="000000" w:themeColor="text1"/>
                <w:szCs w:val="24"/>
              </w:rPr>
              <w:t>Dănuț Cristian  POPA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6" w:rsidRPr="0028658D" w:rsidRDefault="00BF64D6" w:rsidP="005F16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</w:tbl>
    <w:p w:rsidR="00BF64D6" w:rsidRPr="0028658D" w:rsidRDefault="00BF64D6" w:rsidP="00BF64D6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:rsidR="00BF64D6" w:rsidRPr="0028658D" w:rsidRDefault="00BF64D6" w:rsidP="00BF64D6">
      <w:pPr>
        <w:spacing w:after="0" w:line="240" w:lineRule="auto"/>
        <w:ind w:firstLine="720"/>
        <w:rPr>
          <w:rFonts w:eastAsia="Times New Roman" w:cs="Times New Roman"/>
          <w:color w:val="000000" w:themeColor="text1"/>
          <w:szCs w:val="24"/>
        </w:rPr>
      </w:pPr>
      <w:r w:rsidRPr="0028658D">
        <w:rPr>
          <w:rFonts w:eastAsia="Times New Roman" w:cs="Times New Roman"/>
          <w:color w:val="000000" w:themeColor="text1"/>
          <w:szCs w:val="24"/>
        </w:rPr>
        <w:t xml:space="preserve">Persoane responsabile cu redactarea actului normativ Marilena Chivu  email </w:t>
      </w:r>
      <w:hyperlink r:id="rId6">
        <w:r w:rsidRPr="0028658D">
          <w:rPr>
            <w:rFonts w:eastAsia="Times New Roman" w:cs="Times New Roman"/>
            <w:color w:val="000000" w:themeColor="text1"/>
            <w:szCs w:val="24"/>
            <w:u w:val="single"/>
          </w:rPr>
          <w:t>marilena.chivu@.ms.ro</w:t>
        </w:r>
      </w:hyperlink>
    </w:p>
    <w:p w:rsidR="00BF64D6" w:rsidRPr="0028658D" w:rsidRDefault="00BF64D6" w:rsidP="00BF64D6">
      <w:pPr>
        <w:rPr>
          <w:rFonts w:cs="Times New Roman"/>
          <w:color w:val="000000" w:themeColor="text1"/>
          <w:szCs w:val="24"/>
        </w:rPr>
      </w:pPr>
    </w:p>
    <w:p w:rsidR="00BF64D6" w:rsidRPr="0028658D" w:rsidRDefault="00BF64D6">
      <w:pPr>
        <w:rPr>
          <w:color w:val="000000" w:themeColor="text1"/>
          <w:szCs w:val="24"/>
        </w:rPr>
      </w:pPr>
    </w:p>
    <w:p w:rsidR="00BF64D6" w:rsidRPr="0028658D" w:rsidRDefault="00BF64D6">
      <w:pPr>
        <w:rPr>
          <w:color w:val="000000" w:themeColor="text1"/>
          <w:szCs w:val="24"/>
        </w:rPr>
      </w:pPr>
    </w:p>
    <w:p w:rsidR="00BF64D6" w:rsidRPr="0028658D" w:rsidRDefault="00BF64D6">
      <w:pPr>
        <w:rPr>
          <w:color w:val="000000" w:themeColor="text1"/>
        </w:rPr>
      </w:pPr>
    </w:p>
    <w:sectPr w:rsidR="00BF64D6" w:rsidRPr="0028658D" w:rsidSect="00C03534">
      <w:footerReference w:type="even" r:id="rId7"/>
      <w:footerReference w:type="default" r:id="rId8"/>
      <w:pgSz w:w="11907" w:h="16839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5A" w:rsidRDefault="002B245A">
      <w:pPr>
        <w:spacing w:after="0" w:line="240" w:lineRule="auto"/>
      </w:pPr>
      <w:r>
        <w:separator/>
      </w:r>
    </w:p>
  </w:endnote>
  <w:endnote w:type="continuationSeparator" w:id="0">
    <w:p w:rsidR="002B245A" w:rsidRDefault="002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CB" w:rsidRDefault="00EA1848" w:rsidP="00D158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3CB" w:rsidRDefault="002B245A" w:rsidP="00D158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6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21B" w:rsidRDefault="00EA1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7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63CB" w:rsidRDefault="002B245A" w:rsidP="00D158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5A" w:rsidRDefault="002B245A">
      <w:pPr>
        <w:spacing w:after="0" w:line="240" w:lineRule="auto"/>
      </w:pPr>
      <w:r>
        <w:separator/>
      </w:r>
    </w:p>
  </w:footnote>
  <w:footnote w:type="continuationSeparator" w:id="0">
    <w:p w:rsidR="002B245A" w:rsidRDefault="002B2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3"/>
    <w:rsid w:val="00013E58"/>
    <w:rsid w:val="00040B42"/>
    <w:rsid w:val="00174823"/>
    <w:rsid w:val="0028658D"/>
    <w:rsid w:val="00294717"/>
    <w:rsid w:val="002B245A"/>
    <w:rsid w:val="003E042E"/>
    <w:rsid w:val="005042B3"/>
    <w:rsid w:val="005D4570"/>
    <w:rsid w:val="007E6610"/>
    <w:rsid w:val="00816F02"/>
    <w:rsid w:val="008740D8"/>
    <w:rsid w:val="00AD11F7"/>
    <w:rsid w:val="00B06F1D"/>
    <w:rsid w:val="00BA4DC3"/>
    <w:rsid w:val="00BA7386"/>
    <w:rsid w:val="00BE218B"/>
    <w:rsid w:val="00BF64D6"/>
    <w:rsid w:val="00EA1848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530D-810D-4CF0-9EB8-C7295A0A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2A"/>
    <w:pPr>
      <w:spacing w:after="200" w:line="276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2A"/>
    <w:rPr>
      <w:rFonts w:ascii="Times New Roman" w:hAnsi="Times New Roman"/>
      <w:sz w:val="24"/>
      <w:lang w:val="ro-RO"/>
    </w:rPr>
  </w:style>
  <w:style w:type="character" w:styleId="PageNumber">
    <w:name w:val="page number"/>
    <w:basedOn w:val="DefaultParagraphFont"/>
    <w:rsid w:val="00F5092A"/>
  </w:style>
  <w:style w:type="paragraph" w:customStyle="1" w:styleId="rvps1">
    <w:name w:val="rvps1"/>
    <w:basedOn w:val="Normal"/>
    <w:rsid w:val="00F509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509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rvts2">
    <w:name w:val="rvts2"/>
    <w:basedOn w:val="DefaultParagraphFont"/>
    <w:rsid w:val="00F5092A"/>
  </w:style>
  <w:style w:type="character" w:customStyle="1" w:styleId="salnttl">
    <w:name w:val="s_aln_ttl"/>
    <w:basedOn w:val="DefaultParagraphFont"/>
    <w:rsid w:val="00F5092A"/>
  </w:style>
  <w:style w:type="character" w:customStyle="1" w:styleId="rvts11">
    <w:name w:val="rvts11"/>
    <w:basedOn w:val="DefaultParagraphFont"/>
    <w:rsid w:val="00F5092A"/>
    <w:rPr>
      <w:b/>
      <w:bCs/>
    </w:rPr>
  </w:style>
  <w:style w:type="character" w:customStyle="1" w:styleId="st1">
    <w:name w:val="st1"/>
    <w:rsid w:val="005D4570"/>
  </w:style>
  <w:style w:type="paragraph" w:styleId="BalloonText">
    <w:name w:val="Balloon Text"/>
    <w:basedOn w:val="Normal"/>
    <w:link w:val="BalloonTextChar"/>
    <w:uiPriority w:val="99"/>
    <w:semiHidden/>
    <w:unhideWhenUsed/>
    <w:rsid w:val="0028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8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2024-06-11T05:05:00Z</cp:lastPrinted>
  <dcterms:created xsi:type="dcterms:W3CDTF">2024-05-08T11:19:00Z</dcterms:created>
  <dcterms:modified xsi:type="dcterms:W3CDTF">2024-07-01T10:56:00Z</dcterms:modified>
</cp:coreProperties>
</file>