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53" w:rsidRDefault="00E04F53" w:rsidP="00765F4B">
      <w:pPr>
        <w:spacing w:after="0"/>
        <w:jc w:val="center"/>
        <w:rPr>
          <w:b/>
          <w:sz w:val="28"/>
          <w:szCs w:val="28"/>
        </w:rPr>
      </w:pPr>
    </w:p>
    <w:p w:rsidR="00E04F53" w:rsidRDefault="00E04F53" w:rsidP="00765F4B">
      <w:pPr>
        <w:spacing w:after="0"/>
        <w:jc w:val="center"/>
        <w:rPr>
          <w:b/>
          <w:sz w:val="28"/>
          <w:szCs w:val="28"/>
        </w:rPr>
      </w:pPr>
    </w:p>
    <w:p w:rsidR="00E04F53" w:rsidRDefault="00E04F53" w:rsidP="00765F4B">
      <w:pPr>
        <w:spacing w:after="0"/>
        <w:jc w:val="center"/>
        <w:rPr>
          <w:b/>
          <w:sz w:val="28"/>
          <w:szCs w:val="28"/>
        </w:rPr>
      </w:pPr>
    </w:p>
    <w:p w:rsidR="00013BB4" w:rsidRPr="00403D16" w:rsidRDefault="00013BB4" w:rsidP="00765F4B">
      <w:pPr>
        <w:spacing w:after="0"/>
        <w:jc w:val="center"/>
        <w:rPr>
          <w:b/>
          <w:sz w:val="28"/>
          <w:szCs w:val="28"/>
        </w:rPr>
      </w:pPr>
      <w:r w:rsidRPr="00403D16">
        <w:rPr>
          <w:b/>
          <w:sz w:val="28"/>
          <w:szCs w:val="28"/>
        </w:rPr>
        <w:t>BIBLIOGRAFIE</w:t>
      </w:r>
    </w:p>
    <w:p w:rsidR="007B3424" w:rsidRDefault="00450214" w:rsidP="00765F4B">
      <w:pPr>
        <w:spacing w:after="0"/>
        <w:jc w:val="center"/>
        <w:rPr>
          <w:b/>
        </w:rPr>
      </w:pPr>
      <w:r w:rsidRPr="007B3424">
        <w:rPr>
          <w:b/>
        </w:rPr>
        <w:t xml:space="preserve">pentru concursul de ocupare a funcției de manager – persoană fizică </w:t>
      </w:r>
    </w:p>
    <w:p w:rsidR="005D14DB" w:rsidRDefault="00DA585B" w:rsidP="00765F4B">
      <w:pPr>
        <w:spacing w:after="0"/>
        <w:jc w:val="center"/>
        <w:rPr>
          <w:b/>
        </w:rPr>
      </w:pPr>
      <w:r w:rsidRPr="007B3424">
        <w:rPr>
          <w:b/>
        </w:rPr>
        <w:t xml:space="preserve">la Spitalul </w:t>
      </w:r>
      <w:r w:rsidR="00DA66C0">
        <w:rPr>
          <w:b/>
        </w:rPr>
        <w:t>Județean de Urgență Miercurea Ciuc</w:t>
      </w:r>
    </w:p>
    <w:p w:rsidR="00E04F53" w:rsidRPr="007B3424" w:rsidRDefault="00E04F53" w:rsidP="00765F4B">
      <w:pPr>
        <w:spacing w:after="0"/>
        <w:jc w:val="center"/>
        <w:rPr>
          <w:b/>
        </w:rPr>
      </w:pPr>
    </w:p>
    <w:p w:rsidR="00254014" w:rsidRDefault="00254014" w:rsidP="00765F4B">
      <w:pPr>
        <w:spacing w:after="0"/>
        <w:jc w:val="center"/>
      </w:pPr>
    </w:p>
    <w:p w:rsidR="00013BB4" w:rsidRDefault="00013BB4" w:rsidP="00765F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B28AF">
        <w:rPr>
          <w:b/>
        </w:rPr>
        <w:t>Domeniul legislativ :</w:t>
      </w:r>
    </w:p>
    <w:p w:rsidR="00E04F53" w:rsidRDefault="00E04F53" w:rsidP="00E04F53">
      <w:pPr>
        <w:pStyle w:val="ListParagraph"/>
        <w:spacing w:after="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904"/>
      </w:tblGrid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Nr. crt.</w:t>
            </w:r>
          </w:p>
        </w:tc>
        <w:tc>
          <w:tcPr>
            <w:tcW w:w="7904" w:type="dxa"/>
          </w:tcPr>
          <w:p w:rsidR="00013BB4" w:rsidRPr="00F465F7" w:rsidRDefault="005D14DB" w:rsidP="00765F4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465F7">
              <w:rPr>
                <w:b/>
              </w:rPr>
              <w:t>Act legislativ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904" w:type="dxa"/>
          </w:tcPr>
          <w:p w:rsidR="00013BB4" w:rsidRPr="00F465F7" w:rsidRDefault="005D14DB" w:rsidP="00F465F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F465F7">
              <w:rPr>
                <w:rFonts w:cstheme="minorHAnsi"/>
              </w:rPr>
              <w:t>Lege</w:t>
            </w:r>
            <w:r w:rsidR="008253AE" w:rsidRPr="00F465F7">
              <w:rPr>
                <w:rFonts w:cstheme="minorHAnsi"/>
              </w:rPr>
              <w:t>a</w:t>
            </w:r>
            <w:r w:rsidRPr="00F465F7">
              <w:rPr>
                <w:rFonts w:cstheme="minorHAnsi"/>
              </w:rPr>
              <w:t xml:space="preserve"> nr. 95 din 14 aprilie 2006 privind reforma în domeniul sănătății, cu modificările și completările ulterioare, Titlul VII. : Spitale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904" w:type="dxa"/>
          </w:tcPr>
          <w:p w:rsidR="00013BB4" w:rsidRPr="00F465F7" w:rsidRDefault="005D14DB" w:rsidP="00F465F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465F7">
              <w:rPr>
                <w:rFonts w:cstheme="minorHAnsi"/>
              </w:rPr>
              <w:t xml:space="preserve">Ordin al </w:t>
            </w:r>
            <w:r w:rsidR="0094417D" w:rsidRPr="00F465F7">
              <w:rPr>
                <w:rFonts w:cstheme="minorHAnsi"/>
              </w:rPr>
              <w:t>m</w:t>
            </w:r>
            <w:r w:rsidRPr="00F465F7">
              <w:rPr>
                <w:rFonts w:cstheme="minorHAnsi"/>
              </w:rPr>
              <w:t xml:space="preserve">inistrului sănătății </w:t>
            </w:r>
            <w:r w:rsidR="0094417D" w:rsidRPr="00F465F7">
              <w:rPr>
                <w:rFonts w:cstheme="minorHAnsi"/>
              </w:rPr>
              <w:t xml:space="preserve">nr. 1406 din 16 noiembrie 2006 </w:t>
            </w:r>
            <w:r w:rsidR="002A77FA" w:rsidRPr="00F465F7">
              <w:rPr>
                <w:rFonts w:cstheme="minorHAnsi"/>
              </w:rPr>
              <w:t>pentru aprobarea Normelor privind organizarea concursului ori examenului pentru ocuparea funcţiei de şef de secţie, şef de laborator sau şef de serviciu din unităţile sanitare publice</w:t>
            </w:r>
            <w:r w:rsidR="00CE2D54" w:rsidRPr="00F465F7">
              <w:rPr>
                <w:rFonts w:cstheme="minorHAnsi"/>
              </w:rPr>
              <w:t>, cu modificările și completările ulterioare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904" w:type="dxa"/>
          </w:tcPr>
          <w:p w:rsidR="00013BB4" w:rsidRPr="00F465F7" w:rsidRDefault="004441F0" w:rsidP="00F465F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F465F7">
              <w:rPr>
                <w:rFonts w:cstheme="minorHAnsi"/>
              </w:rPr>
              <w:t xml:space="preserve">Ordin al ministrului sănătății nr. 1408 din 12 noiembrie 2010 </w:t>
            </w:r>
            <w:r w:rsidR="002A77FA" w:rsidRPr="00F465F7">
              <w:rPr>
                <w:rFonts w:cstheme="minorHAnsi"/>
              </w:rPr>
              <w:t>privind aprobarea criteriilor de clasificare a spitalelor în funcţie de competenţă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904" w:type="dxa"/>
          </w:tcPr>
          <w:p w:rsidR="00013BB4" w:rsidRPr="00F465F7" w:rsidRDefault="004441F0" w:rsidP="00F465F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465F7">
              <w:rPr>
                <w:rFonts w:cstheme="minorHAnsi"/>
              </w:rPr>
              <w:t>Hotărâre</w:t>
            </w:r>
            <w:r w:rsidR="008253AE" w:rsidRPr="00F465F7">
              <w:rPr>
                <w:rFonts w:cstheme="minorHAnsi"/>
              </w:rPr>
              <w:t>a</w:t>
            </w:r>
            <w:r w:rsidRPr="00F465F7">
              <w:rPr>
                <w:rFonts w:cstheme="minorHAnsi"/>
              </w:rPr>
              <w:t xml:space="preserve"> nr. 857 din 24 august 2011 </w:t>
            </w:r>
            <w:r w:rsidR="00820BFB" w:rsidRPr="00F465F7">
              <w:rPr>
                <w:rFonts w:cstheme="minorHAnsi"/>
              </w:rPr>
              <w:t>privind stabilirea şi sancţionarea contravenţiilor la normele din domeniul sănătăţii publice</w:t>
            </w:r>
            <w:r w:rsidRPr="00F465F7">
              <w:rPr>
                <w:rFonts w:cstheme="minorHAnsi"/>
              </w:rPr>
              <w:t>, cu modificările și completările ulterioare</w:t>
            </w:r>
          </w:p>
        </w:tc>
      </w:tr>
      <w:tr w:rsidR="00013BB4" w:rsidTr="00BB3866">
        <w:tc>
          <w:tcPr>
            <w:tcW w:w="664" w:type="dxa"/>
          </w:tcPr>
          <w:p w:rsidR="00013BB4" w:rsidRDefault="00F465F7" w:rsidP="00765F4B">
            <w:pPr>
              <w:pStyle w:val="ListParagraph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7904" w:type="dxa"/>
          </w:tcPr>
          <w:p w:rsidR="00013BB4" w:rsidRPr="00F465F7" w:rsidRDefault="00721CEF" w:rsidP="00F465F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465F7">
              <w:rPr>
                <w:rFonts w:cstheme="minorHAnsi"/>
              </w:rPr>
              <w:t>Legea</w:t>
            </w:r>
            <w:r w:rsidR="00F465F7" w:rsidRPr="00F465F7">
              <w:rPr>
                <w:rFonts w:cstheme="minorHAnsi"/>
              </w:rPr>
              <w:t xml:space="preserve">  </w:t>
            </w:r>
            <w:r w:rsidRPr="00F465F7">
              <w:rPr>
                <w:rFonts w:cstheme="minorHAnsi"/>
              </w:rPr>
              <w:t>Nr. 46/2003 din 21 ianuarie , Legea drepturilor pacientului, cu modificările și completările ulterioare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904" w:type="dxa"/>
          </w:tcPr>
          <w:p w:rsidR="00013BB4" w:rsidRPr="00F465F7" w:rsidRDefault="00AA7BA1" w:rsidP="00F465F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F465F7">
              <w:rPr>
                <w:rFonts w:cstheme="minorHAnsi"/>
              </w:rPr>
              <w:t xml:space="preserve">Ordin nr. 914/2006 </w:t>
            </w:r>
            <w:r w:rsidR="00AA1E8F" w:rsidRPr="00F465F7">
              <w:rPr>
                <w:rFonts w:cstheme="minorHAnsi"/>
              </w:rPr>
              <w:t>pentru aprobarea normelor privind condiţiile pe care trebuie să le îndeplinească un spital în vederea obţinerii autorizaţiei sanitare de funcţionare</w:t>
            </w:r>
            <w:r w:rsidRPr="00F465F7">
              <w:rPr>
                <w:rFonts w:cstheme="minorHAnsi"/>
              </w:rPr>
              <w:t>, cu modificări și completări ulterioare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7904" w:type="dxa"/>
          </w:tcPr>
          <w:p w:rsidR="00013BB4" w:rsidRPr="00F465F7" w:rsidRDefault="00270052" w:rsidP="00F465F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465F7">
              <w:rPr>
                <w:rFonts w:cstheme="minorHAnsi"/>
              </w:rPr>
              <w:t xml:space="preserve">Ordin nr. </w:t>
            </w:r>
            <w:r w:rsidR="003716CA" w:rsidRPr="00F465F7">
              <w:rPr>
                <w:rFonts w:cstheme="minorHAnsi"/>
              </w:rPr>
              <w:t xml:space="preserve">1101/2016 </w:t>
            </w:r>
            <w:r w:rsidRPr="00F465F7">
              <w:rPr>
                <w:rFonts w:cstheme="minorHAnsi"/>
              </w:rPr>
              <w:t>privind aprobarea Normelor de supraveghere, prevenire şi limitare a infecţiilor asociate asistenţei medicale în unităţile sanitare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7904" w:type="dxa"/>
          </w:tcPr>
          <w:p w:rsidR="00013BB4" w:rsidRPr="00F465F7" w:rsidRDefault="003716CA" w:rsidP="00F465F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465F7">
              <w:rPr>
                <w:rFonts w:cstheme="minorHAnsi"/>
              </w:rPr>
              <w:t xml:space="preserve">Ordinul nr. 921/2006 </w:t>
            </w:r>
            <w:r w:rsidR="00CA639D" w:rsidRPr="00F465F7">
              <w:rPr>
                <w:rFonts w:cstheme="minorHAnsi"/>
              </w:rPr>
              <w:t>pentru stabilirea atribuţiilor comitetului director din cadrul spitalului public</w:t>
            </w:r>
          </w:p>
        </w:tc>
      </w:tr>
      <w:tr w:rsidR="00013BB4" w:rsidTr="00BB3866">
        <w:tc>
          <w:tcPr>
            <w:tcW w:w="664" w:type="dxa"/>
          </w:tcPr>
          <w:p w:rsidR="00013BB4" w:rsidRDefault="005D14DB" w:rsidP="00765F4B">
            <w:pPr>
              <w:pStyle w:val="ListParagraph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7904" w:type="dxa"/>
          </w:tcPr>
          <w:p w:rsidR="00C412B1" w:rsidRPr="00F465F7" w:rsidRDefault="00FA5A82" w:rsidP="00F465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tgtFrame="_blank" w:history="1">
              <w:r w:rsidR="00C412B1" w:rsidRPr="00F465F7">
                <w:rPr>
                  <w:rStyle w:val="Emphasis"/>
                  <w:rFonts w:asciiTheme="minorHAnsi" w:hAnsiTheme="minorHAnsi" w:cstheme="minorHAnsi"/>
                  <w:i w:val="0"/>
                  <w:sz w:val="22"/>
                  <w:szCs w:val="22"/>
                  <w:bdr w:val="none" w:sz="0" w:space="0" w:color="auto" w:frame="1"/>
                </w:rPr>
                <w:t>H</w:t>
              </w:r>
              <w:r w:rsidR="00743230" w:rsidRPr="00F465F7">
                <w:rPr>
                  <w:rStyle w:val="Emphasis"/>
                  <w:rFonts w:asciiTheme="minorHAnsi" w:hAnsiTheme="minorHAnsi" w:cstheme="minorHAnsi"/>
                  <w:i w:val="0"/>
                  <w:sz w:val="22"/>
                  <w:szCs w:val="22"/>
                  <w:bdr w:val="none" w:sz="0" w:space="0" w:color="auto" w:frame="1"/>
                </w:rPr>
                <w:t>o</w:t>
              </w:r>
              <w:r w:rsidR="0006056E" w:rsidRPr="00F465F7">
                <w:rPr>
                  <w:rStyle w:val="Emphasis"/>
                  <w:rFonts w:asciiTheme="minorHAnsi" w:hAnsiTheme="minorHAnsi" w:cstheme="minorHAnsi"/>
                  <w:i w:val="0"/>
                  <w:sz w:val="22"/>
                  <w:szCs w:val="22"/>
                  <w:bdr w:val="none" w:sz="0" w:space="0" w:color="auto" w:frame="1"/>
                </w:rPr>
                <w:t>tărârea</w:t>
              </w:r>
              <w:r w:rsidR="00C412B1" w:rsidRPr="00F465F7">
                <w:rPr>
                  <w:rStyle w:val="Emphasis"/>
                  <w:rFonts w:asciiTheme="minorHAnsi" w:hAnsiTheme="minorHAnsi" w:cstheme="minorHAnsi"/>
                  <w:i w:val="0"/>
                  <w:sz w:val="22"/>
                  <w:szCs w:val="22"/>
                  <w:bdr w:val="none" w:sz="0" w:space="0" w:color="auto" w:frame="1"/>
                </w:rPr>
                <w:t xml:space="preserve"> Nr. 696/2021 din 26 iunie 2021 </w:t>
              </w:r>
              <w:r w:rsidR="00CA639D" w:rsidRPr="00F465F7"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p</w:t>
              </w:r>
              <w:r w:rsidR="00CA639D" w:rsidRPr="00F465F7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entru aprobarea pachetelor de servicii şi a Contractului-cadru care reglementează condiţiile acordării asistenţei medicale, a medicamentelor şi a dispozitivelor medicale, în cadrul sistemului de asigurări sociale de sănătate pentru anii 2021 - 2022</w:t>
              </w:r>
              <w:r w:rsidR="00C412B1" w:rsidRPr="00F465F7">
                <w:rPr>
                  <w:rStyle w:val="Emphasis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 </w:t>
              </w:r>
            </w:hyperlink>
          </w:p>
        </w:tc>
      </w:tr>
      <w:tr w:rsidR="00D0223D" w:rsidTr="00BB3866">
        <w:tc>
          <w:tcPr>
            <w:tcW w:w="664" w:type="dxa"/>
          </w:tcPr>
          <w:p w:rsidR="00D0223D" w:rsidRDefault="007223FC" w:rsidP="00765F4B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7904" w:type="dxa"/>
          </w:tcPr>
          <w:p w:rsidR="00D0223D" w:rsidRPr="00F465F7" w:rsidRDefault="00D0223D" w:rsidP="00F465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465F7">
              <w:rPr>
                <w:rFonts w:cstheme="minorHAnsi"/>
              </w:rPr>
              <w:t>Hotărârea  Nr. 248/2023 din 22 martie 2023 privind modificarea şi completarea anexei nr. 2 la Hotărârea Guvernului nr. 696/2021 pentru aprobarea pachetelor de servicii şi a Contractului-cadru care reglementează condiţiile acordării asistenţei medicale, a medicamentelor şi a dispozitivelor medicale, în cadrul sistemului de asigurări sociale de sănătate pentru anii 2021 - 2022, stabilirea unor măsuri în domeniul sănătăţii, precum şi pentru prelungirea unor termene</w:t>
            </w:r>
          </w:p>
        </w:tc>
      </w:tr>
    </w:tbl>
    <w:p w:rsidR="00013BB4" w:rsidRDefault="00013BB4" w:rsidP="00765F4B">
      <w:pPr>
        <w:pStyle w:val="ListParagraph"/>
        <w:spacing w:after="0"/>
      </w:pPr>
    </w:p>
    <w:p w:rsidR="00C22C65" w:rsidRDefault="00C22C65" w:rsidP="00765F4B">
      <w:pPr>
        <w:pStyle w:val="ListParagraph"/>
        <w:spacing w:after="0"/>
      </w:pPr>
    </w:p>
    <w:p w:rsidR="00C22C65" w:rsidRDefault="00C22C65" w:rsidP="00765F4B">
      <w:pPr>
        <w:pStyle w:val="ListParagraph"/>
        <w:spacing w:after="0"/>
      </w:pPr>
    </w:p>
    <w:p w:rsidR="00C22C65" w:rsidRDefault="00C22C65" w:rsidP="00765F4B">
      <w:pPr>
        <w:pStyle w:val="ListParagraph"/>
        <w:spacing w:after="0"/>
      </w:pPr>
    </w:p>
    <w:p w:rsidR="00C22C65" w:rsidRDefault="00C22C65" w:rsidP="00765F4B">
      <w:pPr>
        <w:pStyle w:val="ListParagraph"/>
        <w:spacing w:after="0"/>
      </w:pPr>
    </w:p>
    <w:p w:rsidR="00013BB4" w:rsidRDefault="00013BB4" w:rsidP="00765F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B28AF">
        <w:rPr>
          <w:b/>
        </w:rPr>
        <w:lastRenderedPageBreak/>
        <w:t xml:space="preserve">Domeniul managementului </w:t>
      </w:r>
      <w:r w:rsidR="00FB28AF">
        <w:rPr>
          <w:b/>
        </w:rPr>
        <w:t xml:space="preserve"> </w:t>
      </w:r>
      <w:r w:rsidRPr="00FB28AF">
        <w:rPr>
          <w:b/>
        </w:rPr>
        <w:t>sanitar :</w:t>
      </w:r>
    </w:p>
    <w:p w:rsidR="0074217A" w:rsidRPr="00FB28AF" w:rsidRDefault="0074217A" w:rsidP="0074217A">
      <w:pPr>
        <w:pStyle w:val="ListParagraph"/>
        <w:spacing w:after="0"/>
        <w:rPr>
          <w:b/>
        </w:rPr>
      </w:pPr>
    </w:p>
    <w:p w:rsidR="00EC6A62" w:rsidRDefault="00BF6064" w:rsidP="00EC6A62">
      <w:pPr>
        <w:spacing w:after="0"/>
      </w:pPr>
      <w:r>
        <w:t>Lucrare de specialitate</w:t>
      </w:r>
      <w:r w:rsidR="00BE51D4">
        <w:t xml:space="preserve"> accesibilă pe pagina</w:t>
      </w:r>
      <w:r>
        <w:t xml:space="preserve"> </w:t>
      </w:r>
      <w:r w:rsidR="00EC6A62">
        <w:t xml:space="preserve">Școlii Naționale de Sănătate Publică și Management Sanitar : </w:t>
      </w:r>
    </w:p>
    <w:p w:rsidR="00EC6A62" w:rsidRDefault="00EC6A62" w:rsidP="00EC6A62">
      <w:pPr>
        <w:spacing w:after="0"/>
      </w:pPr>
      <w:r w:rsidRPr="00EC6A62">
        <w:rPr>
          <w:b/>
        </w:rPr>
        <w:t>MANAGEMENTUL</w:t>
      </w:r>
      <w:r>
        <w:rPr>
          <w:b/>
        </w:rPr>
        <w:t xml:space="preserve"> </w:t>
      </w:r>
      <w:r w:rsidRPr="00EC6A62">
        <w:rPr>
          <w:b/>
        </w:rPr>
        <w:t xml:space="preserve"> SPITALULUI</w:t>
      </w:r>
      <w:r>
        <w:t xml:space="preserve">  (Editura Public H Press, București, 2006) :</w:t>
      </w:r>
    </w:p>
    <w:p w:rsidR="00C24767" w:rsidRDefault="00FA5A82" w:rsidP="00765F4B">
      <w:pPr>
        <w:spacing w:after="0"/>
      </w:pPr>
      <w:hyperlink r:id="rId7" w:history="1">
        <w:r w:rsidR="00BF6064" w:rsidRPr="00621A67">
          <w:rPr>
            <w:rStyle w:val="Hyperlink"/>
          </w:rPr>
          <w:t>http://www.snspms.ro/UserFiles/File/ph_press/manual_pentru_cursul_de_management_spitalicesc_2006.pdf</w:t>
        </w:r>
      </w:hyperlink>
    </w:p>
    <w:p w:rsidR="00BF6064" w:rsidRDefault="00BF6064" w:rsidP="00765F4B">
      <w:pPr>
        <w:spacing w:after="0"/>
      </w:pPr>
    </w:p>
    <w:p w:rsidR="00E04F53" w:rsidRDefault="00E04F53" w:rsidP="00765F4B">
      <w:pPr>
        <w:spacing w:after="0"/>
      </w:pPr>
    </w:p>
    <w:p w:rsidR="00765F4B" w:rsidRDefault="00765F4B" w:rsidP="00765F4B">
      <w:pPr>
        <w:spacing w:after="0"/>
      </w:pPr>
    </w:p>
    <w:p w:rsidR="00FA5A82" w:rsidRDefault="00FA5A82" w:rsidP="00765F4B">
      <w:pPr>
        <w:spacing w:after="0"/>
      </w:pPr>
      <w:bookmarkStart w:id="0" w:name="_GoBack"/>
      <w:bookmarkEnd w:id="0"/>
    </w:p>
    <w:p w:rsidR="00FA5A82" w:rsidRDefault="00FA5A82" w:rsidP="00765F4B">
      <w:pPr>
        <w:spacing w:after="0"/>
      </w:pPr>
    </w:p>
    <w:p w:rsidR="00FA5A82" w:rsidRDefault="00FA5A82" w:rsidP="00FA5A82">
      <w:pPr>
        <w:spacing w:after="0"/>
        <w:jc w:val="center"/>
      </w:pPr>
      <w:r>
        <w:rPr>
          <w:rFonts w:cstheme="minorHAnsi"/>
          <w:b/>
          <w:sz w:val="26"/>
          <w:szCs w:val="26"/>
        </w:rPr>
        <w:t>Consiliul de Administrație al Spitalului Județean de Urgență Miercurea Ciuc</w:t>
      </w:r>
    </w:p>
    <w:sectPr w:rsidR="00FA5A82" w:rsidSect="0025401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449"/>
    <w:multiLevelType w:val="hybridMultilevel"/>
    <w:tmpl w:val="2FB8354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48"/>
    <w:rsid w:val="00013BB4"/>
    <w:rsid w:val="0006056E"/>
    <w:rsid w:val="000C4D4B"/>
    <w:rsid w:val="000D22D6"/>
    <w:rsid w:val="00127534"/>
    <w:rsid w:val="00180AB6"/>
    <w:rsid w:val="001934D1"/>
    <w:rsid w:val="001B4181"/>
    <w:rsid w:val="00254014"/>
    <w:rsid w:val="00270052"/>
    <w:rsid w:val="00292CA8"/>
    <w:rsid w:val="002A77FA"/>
    <w:rsid w:val="002C281C"/>
    <w:rsid w:val="002F6093"/>
    <w:rsid w:val="00350F49"/>
    <w:rsid w:val="003716CA"/>
    <w:rsid w:val="00375A2A"/>
    <w:rsid w:val="00387D6C"/>
    <w:rsid w:val="0040147A"/>
    <w:rsid w:val="00403D16"/>
    <w:rsid w:val="004441F0"/>
    <w:rsid w:val="00450214"/>
    <w:rsid w:val="00527880"/>
    <w:rsid w:val="00592955"/>
    <w:rsid w:val="005D14DB"/>
    <w:rsid w:val="00621EB6"/>
    <w:rsid w:val="006475A8"/>
    <w:rsid w:val="006B112B"/>
    <w:rsid w:val="00721CEF"/>
    <w:rsid w:val="007223FC"/>
    <w:rsid w:val="0074217A"/>
    <w:rsid w:val="00743230"/>
    <w:rsid w:val="00765F4B"/>
    <w:rsid w:val="007B3424"/>
    <w:rsid w:val="007C1E70"/>
    <w:rsid w:val="00820BFB"/>
    <w:rsid w:val="008253AE"/>
    <w:rsid w:val="00835153"/>
    <w:rsid w:val="00863ADF"/>
    <w:rsid w:val="00892799"/>
    <w:rsid w:val="0094036D"/>
    <w:rsid w:val="0094417D"/>
    <w:rsid w:val="00975A48"/>
    <w:rsid w:val="00AA1E8F"/>
    <w:rsid w:val="00AA7BA1"/>
    <w:rsid w:val="00B515AB"/>
    <w:rsid w:val="00BB3866"/>
    <w:rsid w:val="00BE51D4"/>
    <w:rsid w:val="00BF6064"/>
    <w:rsid w:val="00C05139"/>
    <w:rsid w:val="00C22C65"/>
    <w:rsid w:val="00C24767"/>
    <w:rsid w:val="00C412B1"/>
    <w:rsid w:val="00C82CAB"/>
    <w:rsid w:val="00CA639D"/>
    <w:rsid w:val="00CE2D54"/>
    <w:rsid w:val="00D0223D"/>
    <w:rsid w:val="00D23795"/>
    <w:rsid w:val="00DA585B"/>
    <w:rsid w:val="00DA66C0"/>
    <w:rsid w:val="00E04F53"/>
    <w:rsid w:val="00E550B5"/>
    <w:rsid w:val="00EC6A62"/>
    <w:rsid w:val="00F056C6"/>
    <w:rsid w:val="00F465F7"/>
    <w:rsid w:val="00FA5A82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6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13BB4"/>
    <w:pPr>
      <w:ind w:left="720"/>
      <w:contextualSpacing/>
    </w:pPr>
  </w:style>
  <w:style w:type="table" w:styleId="TableGrid">
    <w:name w:val="Table Grid"/>
    <w:basedOn w:val="TableNormal"/>
    <w:uiPriority w:val="59"/>
    <w:rsid w:val="000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C412B1"/>
    <w:rPr>
      <w:i/>
      <w:iCs/>
    </w:rPr>
  </w:style>
  <w:style w:type="paragraph" w:customStyle="1" w:styleId="CaracterCaracterCaracter">
    <w:name w:val="Caracter Caracter Caracter"/>
    <w:basedOn w:val="Normal"/>
    <w:rsid w:val="00254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5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6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13BB4"/>
    <w:pPr>
      <w:ind w:left="720"/>
      <w:contextualSpacing/>
    </w:pPr>
  </w:style>
  <w:style w:type="table" w:styleId="TableGrid">
    <w:name w:val="Table Grid"/>
    <w:basedOn w:val="TableNormal"/>
    <w:uiPriority w:val="59"/>
    <w:rsid w:val="000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C412B1"/>
    <w:rPr>
      <w:i/>
      <w:iCs/>
    </w:rPr>
  </w:style>
  <w:style w:type="paragraph" w:customStyle="1" w:styleId="CaracterCaracterCaracter">
    <w:name w:val="Caracter Caracter Caracter"/>
    <w:basedOn w:val="Normal"/>
    <w:rsid w:val="00254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5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spms.ro/UserFiles/File/ph_press/manual_pentru_cursul_de_management_spitalicesc_2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n.ro/media/pageFiles/01.07.2021--HG%20696-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Borok Hajnalka</dc:creator>
  <cp:lastModifiedBy>Borok Hajnalka</cp:lastModifiedBy>
  <cp:revision>70</cp:revision>
  <cp:lastPrinted>2023-01-27T08:49:00Z</cp:lastPrinted>
  <dcterms:created xsi:type="dcterms:W3CDTF">2023-01-25T09:27:00Z</dcterms:created>
  <dcterms:modified xsi:type="dcterms:W3CDTF">2023-05-08T08:56:00Z</dcterms:modified>
</cp:coreProperties>
</file>