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8437C" w14:textId="4DF41A22" w:rsidR="002D081A" w:rsidRPr="00E97463" w:rsidRDefault="00BB368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b/>
          <w:bCs/>
          <w:sz w:val="24"/>
          <w:szCs w:val="24"/>
        </w:rPr>
        <w:t>MINISTERUL SĂNĂTĂȚII</w:t>
      </w:r>
    </w:p>
    <w:p w14:paraId="2FE1B8DA" w14:textId="77777777" w:rsidR="002D081A" w:rsidRPr="00E97463" w:rsidRDefault="00BB3686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b/>
          <w:bCs/>
          <w:sz w:val="24"/>
          <w:szCs w:val="24"/>
        </w:rPr>
        <w:t>PUBLICAȚIE</w:t>
      </w:r>
    </w:p>
    <w:p w14:paraId="017D3DA5" w14:textId="17139BF0" w:rsidR="002D081A" w:rsidRPr="00E97463" w:rsidRDefault="00BB3686">
      <w:pPr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Privind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organizarea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desfășurarea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nivel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medic specialist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specialitatea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EDiR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),</w:t>
      </w:r>
      <w:r w:rsidR="00CF5FB6"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din</w:t>
      </w:r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sesiunea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F5FB6"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26 </w:t>
      </w:r>
      <w:proofErr w:type="spellStart"/>
      <w:r w:rsidR="00CF5FB6"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septembrie</w:t>
      </w:r>
      <w:proofErr w:type="spellEnd"/>
      <w:r w:rsidRPr="00E9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2026</w:t>
      </w:r>
    </w:p>
    <w:p w14:paraId="2869EDC1" w14:textId="77777777" w:rsidR="002D081A" w:rsidRPr="00E97463" w:rsidRDefault="00BB3686" w:rsidP="00CF5FB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data de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26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septembrie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Diplomei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(European Diploma in Radiology,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denumită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EDiR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).</w:t>
      </w:r>
    </w:p>
    <w:p w14:paraId="02D2DB49" w14:textId="5413B02F" w:rsidR="002D081A" w:rsidRPr="00E97463" w:rsidRDefault="00BB3686" w:rsidP="00CF5FB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Ordinului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ministrului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nr. </w:t>
      </w:r>
      <w:r w:rsidR="00CF2A1E" w:rsidRPr="00E97463">
        <w:rPr>
          <w:rFonts w:ascii="Times New Roman" w:hAnsi="Times New Roman" w:cs="Times New Roman"/>
          <w:b/>
          <w:bCs/>
          <w:sz w:val="24"/>
          <w:szCs w:val="24"/>
        </w:rPr>
        <w:t>549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>/2026</w:t>
      </w:r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asimilare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cu media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. 18/2009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finanțarea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rezidențiatului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nr. 103/2012, cu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6E332EA6" w14:textId="2D747F05" w:rsidR="002D081A" w:rsidRPr="00E97463" w:rsidRDefault="00BB3686" w:rsidP="00CF5FB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România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, </w:t>
      </w:r>
      <w:r w:rsidRPr="00E97463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subiectelor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platformei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elaborate de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>European Board of Radiology (EBR)</w:t>
      </w:r>
      <w:r w:rsidRPr="00E97463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egida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Societății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Europene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(ESR)</w:t>
      </w:r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un format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standardizat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33FAF382" w14:textId="656700D9" w:rsidR="002D081A" w:rsidRPr="00E97463" w:rsidRDefault="00BB3686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I. </w:t>
      </w:r>
      <w:r w:rsidR="00CF5FB6" w:rsidRPr="00E97463">
        <w:rPr>
          <w:rFonts w:ascii="Times New Roman" w:hAnsi="Times New Roman" w:cs="Times New Roman"/>
          <w:color w:val="auto"/>
          <w:sz w:val="24"/>
          <w:szCs w:val="24"/>
        </w:rPr>
        <w:t>Informa</w:t>
      </w:r>
      <w:r w:rsidR="00CF5FB6" w:rsidRPr="00E97463">
        <w:rPr>
          <w:rFonts w:ascii="Times New Roman" w:hAnsi="Times New Roman" w:cs="Times New Roman"/>
          <w:color w:val="auto"/>
          <w:sz w:val="24"/>
          <w:szCs w:val="24"/>
          <w:lang w:val="ro-RO"/>
        </w:rPr>
        <w:t>ții generale</w:t>
      </w:r>
    </w:p>
    <w:p w14:paraId="3BADADAA" w14:textId="2C6F4FB6" w:rsidR="002D081A" w:rsidRPr="00E97463" w:rsidRDefault="00BB3686" w:rsidP="00CF5FB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FB6" w:rsidRPr="00E9746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="00CF5FB6" w:rsidRPr="00E97463">
        <w:rPr>
          <w:rFonts w:ascii="Times New Roman" w:hAnsi="Times New Roman" w:cs="Times New Roman"/>
          <w:sz w:val="24"/>
          <w:szCs w:val="24"/>
        </w:rPr>
        <w:t xml:space="preserve"> de</w:t>
      </w:r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Societatea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România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(SRIM)</w:t>
      </w:r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>European Board of Radiology (EBR)</w:t>
      </w:r>
      <w:r w:rsidR="00CF5FB6" w:rsidRPr="00E974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1CC10" w14:textId="3A844D47" w:rsidR="00CF5FB6" w:rsidRPr="00E97463" w:rsidRDefault="00CF5FB6" w:rsidP="00CF5FB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părților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. 549/05.03.2026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5E01" w:rsidRPr="00E974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radiologie-imagistică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medical</w:t>
      </w:r>
      <w:r w:rsidR="00EE4380" w:rsidRPr="00E9746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a</w:t>
      </w:r>
      <w:r w:rsidR="00905E01" w:rsidRPr="00E97463">
        <w:rPr>
          <w:rFonts w:ascii="Times New Roman" w:hAnsi="Times New Roman" w:cs="Times New Roman"/>
          <w:sz w:val="24"/>
          <w:szCs w:val="24"/>
        </w:rPr>
        <w:t>similar</w:t>
      </w:r>
      <w:r w:rsidR="00EE4380" w:rsidRPr="00E9746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punctajului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cu media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general</w:t>
      </w:r>
      <w:r w:rsidR="00EE4380" w:rsidRPr="00E9746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E01" w:rsidRPr="00E97463">
        <w:rPr>
          <w:rFonts w:ascii="Times New Roman" w:hAnsi="Times New Roman" w:cs="Times New Roman"/>
          <w:sz w:val="24"/>
          <w:szCs w:val="24"/>
        </w:rPr>
        <w:t>radiologie-imagistică</w:t>
      </w:r>
      <w:proofErr w:type="spellEnd"/>
      <w:r w:rsidR="00905E01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>.</w:t>
      </w:r>
    </w:p>
    <w:p w14:paraId="10EC1586" w14:textId="6C10EB18" w:rsidR="002D081A" w:rsidRPr="00E97463" w:rsidRDefault="00BB3686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II. Data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locul</w:t>
      </w:r>
      <w:proofErr w:type="spellEnd"/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desfășurării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E97463" w:rsidRPr="00E97463" w14:paraId="39A5839D" w14:textId="77777777">
        <w:tc>
          <w:tcPr>
            <w:tcW w:w="30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3328F5" w14:textId="77777777" w:rsidR="002D081A" w:rsidRPr="00E97463" w:rsidRDefault="00BB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71B78" w14:textId="77777777" w:rsidR="002D081A" w:rsidRPr="00E97463" w:rsidRDefault="00BB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463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E97463"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  <w:proofErr w:type="spellEnd"/>
            <w:r w:rsidRPr="00E97463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E97463" w:rsidRPr="00E97463" w14:paraId="75CBF0F4" w14:textId="77777777">
        <w:tc>
          <w:tcPr>
            <w:tcW w:w="30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700A5" w14:textId="77777777" w:rsidR="002D081A" w:rsidRPr="00E97463" w:rsidRDefault="00BB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Localitatea</w:t>
            </w:r>
            <w:proofErr w:type="spellEnd"/>
          </w:p>
        </w:tc>
        <w:tc>
          <w:tcPr>
            <w:tcW w:w="6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06EEB" w14:textId="77777777" w:rsidR="002D081A" w:rsidRPr="00E97463" w:rsidRDefault="00BB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463">
              <w:rPr>
                <w:rFonts w:ascii="Times New Roman" w:hAnsi="Times New Roman" w:cs="Times New Roman"/>
                <w:sz w:val="24"/>
                <w:szCs w:val="24"/>
              </w:rPr>
              <w:t>Sinaia</w:t>
            </w:r>
          </w:p>
        </w:tc>
      </w:tr>
      <w:tr w:rsidR="00E97463" w:rsidRPr="00E97463" w14:paraId="2EC7634E" w14:textId="77777777">
        <w:tc>
          <w:tcPr>
            <w:tcW w:w="30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E7BAB3" w14:textId="77777777" w:rsidR="002D081A" w:rsidRPr="00E97463" w:rsidRDefault="00BB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Locația</w:t>
            </w:r>
            <w:proofErr w:type="spellEnd"/>
            <w:r w:rsidRPr="00E97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7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exactă</w:t>
            </w:r>
            <w:proofErr w:type="spellEnd"/>
          </w:p>
        </w:tc>
        <w:tc>
          <w:tcPr>
            <w:tcW w:w="6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F23AD1" w14:textId="64BCF324" w:rsidR="002D081A" w:rsidRPr="00E97463" w:rsidRDefault="000D364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7463">
              <w:rPr>
                <w:rFonts w:ascii="Times New Roman" w:hAnsi="Times New Roman" w:cs="Times New Roman"/>
                <w:sz w:val="24"/>
                <w:szCs w:val="24"/>
              </w:rPr>
              <w:t xml:space="preserve">Hotel </w:t>
            </w:r>
            <w:proofErr w:type="spellStart"/>
            <w:r w:rsidRPr="00E97463">
              <w:rPr>
                <w:rFonts w:ascii="Times New Roman" w:hAnsi="Times New Roman" w:cs="Times New Roman"/>
                <w:sz w:val="24"/>
                <w:szCs w:val="24"/>
              </w:rPr>
              <w:t>Interna</w:t>
            </w:r>
            <w:proofErr w:type="spellEnd"/>
            <w:r w:rsidRPr="00E974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țional (sala va fi comunicată ulterior înscrierii)</w:t>
            </w:r>
          </w:p>
        </w:tc>
      </w:tr>
      <w:tr w:rsidR="002D081A" w:rsidRPr="00E97463" w14:paraId="75378603" w14:textId="77777777">
        <w:tc>
          <w:tcPr>
            <w:tcW w:w="30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397915" w14:textId="77777777" w:rsidR="002D081A" w:rsidRPr="00E97463" w:rsidRDefault="00BB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Ora de </w:t>
            </w:r>
            <w:proofErr w:type="spellStart"/>
            <w:r w:rsidRPr="00E97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începere</w:t>
            </w:r>
            <w:proofErr w:type="spellEnd"/>
          </w:p>
        </w:tc>
        <w:tc>
          <w:tcPr>
            <w:tcW w:w="63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E6FAFC" w14:textId="3AEC6204" w:rsidR="002D081A" w:rsidRPr="00E97463" w:rsidRDefault="000D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463">
              <w:rPr>
                <w:rFonts w:ascii="Times New Roman" w:hAnsi="Times New Roman" w:cs="Times New Roman"/>
                <w:sz w:val="24"/>
                <w:szCs w:val="24"/>
              </w:rPr>
              <w:t>08 30</w:t>
            </w:r>
          </w:p>
        </w:tc>
      </w:tr>
    </w:tbl>
    <w:p w14:paraId="35C703E0" w14:textId="77777777" w:rsidR="002D081A" w:rsidRPr="00E97463" w:rsidRDefault="002D081A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2EEC8AE8" w14:textId="76ACBDFC" w:rsidR="002D081A" w:rsidRPr="00E97463" w:rsidRDefault="00CF2A1E">
      <w:pPr>
        <w:spacing w:after="12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Programul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orar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detaliat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probelor</w:t>
      </w:r>
      <w:proofErr w:type="spellEnd"/>
      <w:r w:rsidR="000D3647" w:rsidRPr="00E974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1A9A7B" w14:textId="432BD1C8" w:rsidR="000D3647" w:rsidRPr="00E97463" w:rsidRDefault="000D3647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08 30 – 09 00: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Așezare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instrucțiuni</w:t>
      </w:r>
      <w:proofErr w:type="spellEnd"/>
    </w:p>
    <w:p w14:paraId="5871D51F" w14:textId="5398A8CD" w:rsidR="000D3647" w:rsidRPr="00E97463" w:rsidRDefault="000D3647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09 00 – 10 35: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I -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Întrebări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multiplu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3F429" w14:textId="7617F915" w:rsidR="000D3647" w:rsidRPr="00E97463" w:rsidRDefault="000D3647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97463">
        <w:rPr>
          <w:rFonts w:ascii="Times New Roman" w:hAnsi="Times New Roman" w:cs="Times New Roman"/>
          <w:sz w:val="24"/>
          <w:szCs w:val="24"/>
          <w:lang w:val="de-DE"/>
        </w:rPr>
        <w:t>10 35 – 10 50: Pauză</w:t>
      </w:r>
    </w:p>
    <w:p w14:paraId="04DFB535" w14:textId="0486DA17" w:rsidR="000D3647" w:rsidRPr="00E97463" w:rsidRDefault="000D3647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97463">
        <w:rPr>
          <w:rFonts w:ascii="Times New Roman" w:hAnsi="Times New Roman" w:cs="Times New Roman"/>
          <w:sz w:val="24"/>
          <w:szCs w:val="24"/>
          <w:lang w:val="de-DE"/>
        </w:rPr>
        <w:t xml:space="preserve">10 50 – 12 20: Proba II - Cazuri scurte </w:t>
      </w:r>
    </w:p>
    <w:p w14:paraId="218534D7" w14:textId="598EBD6A" w:rsidR="000D3647" w:rsidRPr="00E97463" w:rsidRDefault="000D3647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97463">
        <w:rPr>
          <w:rFonts w:ascii="Times New Roman" w:hAnsi="Times New Roman" w:cs="Times New Roman"/>
          <w:sz w:val="24"/>
          <w:szCs w:val="24"/>
          <w:lang w:val="de-DE"/>
        </w:rPr>
        <w:t>12 20 – 12 35: Pauză</w:t>
      </w:r>
    </w:p>
    <w:p w14:paraId="6F558A42" w14:textId="7E5858F8" w:rsidR="000D3647" w:rsidRPr="00E97463" w:rsidRDefault="000D3647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12 35 – 14 05: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III -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clinică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orientată</w:t>
      </w:r>
      <w:proofErr w:type="spellEnd"/>
    </w:p>
    <w:p w14:paraId="4399BAA7" w14:textId="432B4C6A" w:rsidR="002D081A" w:rsidRPr="00E97463" w:rsidRDefault="00BB3686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97463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6A3588" w:rsidRPr="00E97463">
        <w:rPr>
          <w:rFonts w:ascii="Times New Roman" w:hAnsi="Times New Roman" w:cs="Times New Roman"/>
          <w:color w:val="auto"/>
          <w:sz w:val="24"/>
          <w:szCs w:val="24"/>
        </w:rPr>
        <w:t>II</w:t>
      </w:r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Condiții</w:t>
      </w:r>
      <w:proofErr w:type="spellEnd"/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participare</w:t>
      </w:r>
      <w:proofErr w:type="spellEnd"/>
    </w:p>
    <w:p w14:paraId="7B9A605F" w14:textId="77777777" w:rsidR="002D081A" w:rsidRPr="00E97463" w:rsidRDefault="00BB3686" w:rsidP="00EE4380">
      <w:pPr>
        <w:spacing w:after="120" w:line="30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Pot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susține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46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proofErr w:type="gram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EDiR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asimilarea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final cu media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specialist:</w:t>
      </w:r>
    </w:p>
    <w:p w14:paraId="6C701631" w14:textId="5870359A" w:rsidR="002D081A" w:rsidRPr="00E97463" w:rsidRDefault="00BB3686" w:rsidP="00CF2A1E">
      <w:pPr>
        <w:pStyle w:val="ListParagraph"/>
        <w:numPr>
          <w:ilvl w:val="0"/>
          <w:numId w:val="3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rezidenți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confirmați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r w:rsidR="00CF2A1E" w:rsidRPr="00E97463">
        <w:rPr>
          <w:rFonts w:ascii="Times New Roman" w:hAnsi="Times New Roman" w:cs="Times New Roman"/>
          <w:sz w:val="24"/>
          <w:szCs w:val="24"/>
        </w:rPr>
        <w:t xml:space="preserve">care au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medicii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rezidenți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aflaţi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ultimele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dinaintea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finalizării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pregătirii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propunerii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coordonatorului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finalizării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aceştia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="00CF2A1E"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F2A1E" w:rsidRPr="00E97463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="00BA43CA" w:rsidRPr="00E97463">
        <w:rPr>
          <w:rFonts w:ascii="Times New Roman" w:hAnsi="Times New Roman" w:cs="Times New Roman"/>
          <w:sz w:val="24"/>
          <w:szCs w:val="24"/>
        </w:rPr>
        <w:t>,</w:t>
      </w:r>
      <w:r w:rsidR="00EE4380" w:rsidRPr="00E974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. 18/2009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finanțarea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rezidențiatului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nr. 103/2012, cu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>.</w:t>
      </w:r>
    </w:p>
    <w:p w14:paraId="6993D2F8" w14:textId="77777777" w:rsidR="00BA43CA" w:rsidRPr="00E97463" w:rsidRDefault="00CF2A1E" w:rsidP="00BA43CA">
      <w:pPr>
        <w:pStyle w:val="ListParagraph"/>
        <w:numPr>
          <w:ilvl w:val="0"/>
          <w:numId w:val="3"/>
        </w:numPr>
        <w:spacing w:after="12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specialişti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radiologie-imagistică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susţine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46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proofErr w:type="gram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EDiR</w:t>
      </w:r>
      <w:proofErr w:type="spellEnd"/>
      <w:r w:rsidR="000D3647"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fără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asimilarea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cu media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specialist.</w:t>
      </w:r>
      <w:r w:rsidR="00BA43CA"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7201CB" w14:textId="08EFE2AA" w:rsidR="00EE4380" w:rsidRPr="00E97463" w:rsidRDefault="00BA43CA" w:rsidP="00BA43CA">
      <w:pPr>
        <w:pStyle w:val="ListParagraph"/>
        <w:spacing w:after="120" w:line="30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Precizări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D7511F" w14:textId="77777777" w:rsidR="00BA43CA" w:rsidRPr="00E97463" w:rsidRDefault="00BB3686" w:rsidP="00EE438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0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rezidenți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opta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EDiR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publicații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al</w:t>
      </w:r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M</w:t>
      </w:r>
      <w:r w:rsidRPr="00E97463">
        <w:rPr>
          <w:rFonts w:ascii="Times New Roman" w:hAnsi="Times New Roman" w:cs="Times New Roman"/>
          <w:sz w:val="24"/>
          <w:szCs w:val="24"/>
        </w:rPr>
        <w:t>inist</w:t>
      </w:r>
      <w:r w:rsidR="00EE4380" w:rsidRPr="00E97463">
        <w:rPr>
          <w:rFonts w:ascii="Times New Roman" w:hAnsi="Times New Roman" w:cs="Times New Roman"/>
          <w:sz w:val="24"/>
          <w:szCs w:val="24"/>
        </w:rPr>
        <w:t>e</w:t>
      </w:r>
      <w:r w:rsidRPr="00E97463">
        <w:rPr>
          <w:rFonts w:ascii="Times New Roman" w:hAnsi="Times New Roman" w:cs="Times New Roman"/>
          <w:sz w:val="24"/>
          <w:szCs w:val="24"/>
        </w:rPr>
        <w:t>rului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S</w:t>
      </w:r>
      <w:r w:rsidRPr="00E97463">
        <w:rPr>
          <w:rFonts w:ascii="Times New Roman" w:hAnsi="Times New Roman" w:cs="Times New Roman"/>
          <w:sz w:val="24"/>
          <w:szCs w:val="24"/>
        </w:rPr>
        <w:t>ănătății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="00EE4380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 3393/</w:t>
      </w:r>
      <w:r w:rsidR="00EE4380" w:rsidRPr="00E97463">
        <w:rPr>
          <w:rFonts w:ascii="Times New Roman" w:hAnsi="Times New Roman" w:cs="Times New Roman"/>
          <w:sz w:val="24"/>
          <w:szCs w:val="24"/>
        </w:rPr>
        <w:t xml:space="preserve">6495/2023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aprobarea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Metodologiei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desfăşurare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probelor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examenului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obţinere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titlului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medic, medic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stomatolog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>farmacist</w:t>
      </w:r>
      <w:proofErr w:type="spellEnd"/>
      <w:r w:rsidR="00EE4380" w:rsidRPr="00E974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specialist,</w:t>
      </w:r>
      <w:r w:rsidR="00EE4380" w:rsidRPr="00E974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97463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B56168" w14:textId="60500965" w:rsidR="002D081A" w:rsidRPr="00E97463" w:rsidRDefault="00BB3686" w:rsidP="00EE438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0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rezidenți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susțin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declarați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respinși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0B6699E4" w14:textId="6F1F4803" w:rsidR="002D081A" w:rsidRPr="00E97463" w:rsidRDefault="006A358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97463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V. </w:t>
      </w:r>
      <w:proofErr w:type="spellStart"/>
      <w:r w:rsidR="00BA43CA" w:rsidRPr="00E97463">
        <w:rPr>
          <w:rFonts w:ascii="Times New Roman" w:hAnsi="Times New Roman" w:cs="Times New Roman"/>
          <w:color w:val="auto"/>
          <w:sz w:val="24"/>
          <w:szCs w:val="24"/>
        </w:rPr>
        <w:t>Desfășurarea</w:t>
      </w:r>
      <w:proofErr w:type="spellEnd"/>
      <w:r w:rsidR="00BA43CA"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A43CA" w:rsidRPr="00E97463">
        <w:rPr>
          <w:rFonts w:ascii="Times New Roman" w:hAnsi="Times New Roman" w:cs="Times New Roman"/>
          <w:color w:val="auto"/>
          <w:sz w:val="24"/>
          <w:szCs w:val="24"/>
        </w:rPr>
        <w:t>examenului</w:t>
      </w:r>
      <w:proofErr w:type="spellEnd"/>
    </w:p>
    <w:p w14:paraId="7A2A81C3" w14:textId="0E08C534" w:rsidR="002D081A" w:rsidRPr="00E97463" w:rsidRDefault="00BB3686" w:rsidP="00BA43CA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European Board of Radiology,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compus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trei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probe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susținute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aceeași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zi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suporturilor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(laptop/PC)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puse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sala de examen:</w:t>
      </w:r>
    </w:p>
    <w:p w14:paraId="5CF37A54" w14:textId="77777777" w:rsidR="00BB3686" w:rsidRPr="00E97463" w:rsidRDefault="00BB3686">
      <w:pPr>
        <w:pStyle w:val="Heading3"/>
        <w:rPr>
          <w:rFonts w:ascii="Times New Roman" w:hAnsi="Times New Roman" w:cs="Times New Roman"/>
          <w:sz w:val="24"/>
          <w:szCs w:val="24"/>
        </w:rPr>
      </w:pPr>
    </w:p>
    <w:p w14:paraId="4BC1100C" w14:textId="77777777" w:rsidR="002D081A" w:rsidRPr="00E97463" w:rsidRDefault="00BB3686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Întrebări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multiplu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(MRQs)</w:t>
      </w:r>
    </w:p>
    <w:p w14:paraId="48918017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78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întrebări</w:t>
      </w:r>
      <w:proofErr w:type="spellEnd"/>
    </w:p>
    <w:p w14:paraId="10EBC322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: 95 de minute</w:t>
      </w:r>
    </w:p>
    <w:p w14:paraId="3FA99B7C" w14:textId="77777777" w:rsidR="002D081A" w:rsidRPr="00E97463" w:rsidRDefault="00BB3686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scurte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(SCs)</w:t>
      </w:r>
    </w:p>
    <w:p w14:paraId="68BEBD5C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24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cazuri</w:t>
      </w:r>
      <w:proofErr w:type="spellEnd"/>
    </w:p>
    <w:p w14:paraId="7873600A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: 90 de minute</w:t>
      </w:r>
    </w:p>
    <w:p w14:paraId="7D3855DE" w14:textId="77777777" w:rsidR="002D081A" w:rsidRPr="00E97463" w:rsidRDefault="00BB3686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clinică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orientată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(CORE)</w:t>
      </w:r>
    </w:p>
    <w:p w14:paraId="754317C3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cazuri</w:t>
      </w:r>
      <w:proofErr w:type="spellEnd"/>
    </w:p>
    <w:p w14:paraId="29F38642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: 90 de minute</w:t>
      </w:r>
    </w:p>
    <w:p w14:paraId="7E725389" w14:textId="77777777" w:rsidR="002D081A" w:rsidRPr="00E97463" w:rsidRDefault="00BB3686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probe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pauză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>15 minute</w:t>
      </w:r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02FBAC81" w14:textId="77777777" w:rsidR="002D081A" w:rsidRPr="00E97463" w:rsidRDefault="00BB3686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Calculul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punctajului</w:t>
      </w:r>
      <w:proofErr w:type="spellEnd"/>
    </w:p>
    <w:p w14:paraId="0C157C8D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Punctajul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ponderat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scris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= 70% ×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MRQs + 30% ×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SCs</w:t>
      </w:r>
    </w:p>
    <w:p w14:paraId="2F57DCBB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Punctajul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evaluării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clinice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orientate</w:t>
      </w:r>
      <w:r w:rsidRPr="00E9746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CORE</w:t>
      </w:r>
    </w:p>
    <w:p w14:paraId="58BBC28C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Punctajul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final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EDiR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= media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aritmetică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ponderat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orientate</w:t>
      </w:r>
    </w:p>
    <w:p w14:paraId="03D5677F" w14:textId="7E9102EA" w:rsidR="002D081A" w:rsidRPr="00E97463" w:rsidRDefault="00BB3686" w:rsidP="00BA43CA">
      <w:pPr>
        <w:spacing w:after="120" w:line="30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</w:t>
      </w:r>
      <w:r w:rsidR="00BA43CA" w:rsidRPr="00E97463">
        <w:rPr>
          <w:rFonts w:ascii="Times New Roman" w:hAnsi="Times New Roman" w:cs="Times New Roman"/>
          <w:sz w:val="24"/>
          <w:szCs w:val="24"/>
        </w:rPr>
        <w:t>unctajul</w:t>
      </w:r>
      <w:proofErr w:type="spellEnd"/>
      <w:r w:rsidR="00BA43CA" w:rsidRPr="00E97463">
        <w:rPr>
          <w:rFonts w:ascii="Times New Roman" w:hAnsi="Times New Roman" w:cs="Times New Roman"/>
          <w:sz w:val="24"/>
          <w:szCs w:val="24"/>
        </w:rPr>
        <w:t xml:space="preserve"> </w:t>
      </w:r>
      <w:r w:rsidRPr="00E97463">
        <w:rPr>
          <w:rFonts w:ascii="Times New Roman" w:hAnsi="Times New Roman" w:cs="Times New Roman"/>
          <w:sz w:val="24"/>
          <w:szCs w:val="24"/>
        </w:rPr>
        <w:t xml:space="preserve">minim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calculează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sesiuni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separat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ponderat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orientate, ca media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aritmetică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toți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participanții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sesiune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din care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scade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deviație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standard.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Pragul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minim total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aritmetică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praguri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2CF030CE" w14:textId="1E1A7C33" w:rsidR="002D081A" w:rsidRPr="00E97463" w:rsidRDefault="00BB3686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V.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Înscrierea</w:t>
      </w:r>
      <w:proofErr w:type="spellEnd"/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candidaților</w:t>
      </w:r>
      <w:proofErr w:type="spellEnd"/>
    </w:p>
    <w:p w14:paraId="158D151F" w14:textId="6DE9C9C7" w:rsidR="002D081A" w:rsidRPr="00E97463" w:rsidRDefault="00BB3686" w:rsidP="00BA43CA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Înscrierea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examenul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realizează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exclusiv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platforma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online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oficială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a European Board of Radiology</w:t>
      </w:r>
      <w:r w:rsidR="00BA43CA"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3CA" w:rsidRPr="00E97463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BA43CA" w:rsidRPr="00E97463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E91B42" w:rsidRPr="00E97463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 w:rsidR="00E91B42" w:rsidRPr="00E97463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pusă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EBR.</w:t>
      </w:r>
    </w:p>
    <w:p w14:paraId="60700846" w14:textId="77777777" w:rsidR="002D081A" w:rsidRPr="00E97463" w:rsidRDefault="00BB3686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înscriere</w:t>
      </w:r>
      <w:proofErr w:type="spellEnd"/>
    </w:p>
    <w:p w14:paraId="44FA403E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creează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EBR;</w:t>
      </w:r>
    </w:p>
    <w:p w14:paraId="4F7F6A0E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eligibilitate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formatul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>site-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ul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oficial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EBR</w:t>
      </w:r>
      <w:r w:rsidRPr="00E97463">
        <w:rPr>
          <w:rFonts w:ascii="Times New Roman" w:hAnsi="Times New Roman" w:cs="Times New Roman"/>
          <w:sz w:val="24"/>
          <w:szCs w:val="24"/>
        </w:rPr>
        <w:t xml:space="preserve"> (www.myebr.org);</w:t>
      </w:r>
    </w:p>
    <w:p w14:paraId="66148BA0" w14:textId="0CFCE864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Validarea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rezident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confirmat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5C065A" w:rsidRPr="00E97463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65A" w:rsidRPr="00E97463">
        <w:rPr>
          <w:rFonts w:ascii="Times New Roman" w:hAnsi="Times New Roman" w:cs="Times New Roman"/>
          <w:sz w:val="24"/>
          <w:szCs w:val="24"/>
        </w:rPr>
        <w:t>finalizată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65A" w:rsidRPr="00E9746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65A" w:rsidRPr="00E97463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65A"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65A" w:rsidRPr="00E97463">
        <w:rPr>
          <w:rFonts w:ascii="Times New Roman" w:hAnsi="Times New Roman" w:cs="Times New Roman"/>
          <w:sz w:val="24"/>
          <w:szCs w:val="24"/>
        </w:rPr>
        <w:t>ultimele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65A" w:rsidRPr="00E97463">
        <w:rPr>
          <w:rFonts w:ascii="Times New Roman" w:hAnsi="Times New Roman" w:cs="Times New Roman"/>
          <w:sz w:val="24"/>
          <w:szCs w:val="24"/>
        </w:rPr>
        <w:t>șase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65A" w:rsidRPr="00E97463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C065A" w:rsidRPr="00E97463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>,</w:t>
      </w:r>
      <w:r w:rsidRPr="00E974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colaborare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între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EBR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comisia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română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organizare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platformă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;</w:t>
      </w:r>
    </w:p>
    <w:p w14:paraId="3D3D7296" w14:textId="53456DE8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: conform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calendarului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EBR.</w:t>
      </w:r>
    </w:p>
    <w:p w14:paraId="7961A8D3" w14:textId="77777777" w:rsidR="002D081A" w:rsidRPr="00E97463" w:rsidRDefault="00BB3686" w:rsidP="00BB3686">
      <w:pPr>
        <w:spacing w:after="120" w:line="30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EBR.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Înscrierile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nevalide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incomplete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EBR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nu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vor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fi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luate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considerare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329699AB" w14:textId="791B7396" w:rsidR="002D081A" w:rsidRPr="00E97463" w:rsidRDefault="00BB3686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9746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VI. Taxa de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participare</w:t>
      </w:r>
      <w:proofErr w:type="spellEnd"/>
    </w:p>
    <w:p w14:paraId="56920811" w14:textId="58221737" w:rsidR="002D081A" w:rsidRPr="00E97463" w:rsidRDefault="00BB3686" w:rsidP="00BB368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Taxa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EDiR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r w:rsidR="006A3588" w:rsidRPr="00E97463">
        <w:rPr>
          <w:rFonts w:ascii="Times New Roman" w:hAnsi="Times New Roman" w:cs="Times New Roman"/>
          <w:sz w:val="24"/>
          <w:szCs w:val="24"/>
        </w:rPr>
        <w:t xml:space="preserve">400 </w:t>
      </w:r>
      <w:proofErr w:type="gramStart"/>
      <w:r w:rsidR="006A3588" w:rsidRPr="00E97463">
        <w:rPr>
          <w:rFonts w:ascii="Times New Roman" w:hAnsi="Times New Roman" w:cs="Times New Roman"/>
          <w:sz w:val="24"/>
          <w:szCs w:val="24"/>
        </w:rPr>
        <w:t>EUR</w:t>
      </w:r>
      <w:r w:rsidRPr="00E97463">
        <w:rPr>
          <w:rFonts w:ascii="Times New Roman" w:hAnsi="Times New Roman" w:cs="Times New Roman"/>
          <w:sz w:val="24"/>
          <w:szCs w:val="24"/>
        </w:rPr>
        <w:t xml:space="preserve"> 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>se</w:t>
      </w:r>
      <w:proofErr w:type="gram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achită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integral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către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European Board of Radiology</w:t>
      </w:r>
      <w:r w:rsidRPr="00E97463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modalităților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indicate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oficială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EBR.</w:t>
      </w:r>
      <w:r w:rsidR="005C065A" w:rsidRPr="00E974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9DFA1" w14:textId="77777777" w:rsidR="002D081A" w:rsidRPr="00E97463" w:rsidRDefault="00BB3686" w:rsidP="00BB368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Ministerul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nu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percepe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taxă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suplimentară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67F4FBD4" w14:textId="2D2E3123" w:rsidR="002D081A" w:rsidRPr="00E97463" w:rsidRDefault="00BB3686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VII.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Comisia</w:t>
      </w:r>
      <w:proofErr w:type="spellEnd"/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organizare</w:t>
      </w:r>
      <w:proofErr w:type="spellEnd"/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color w:val="auto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E97463">
        <w:rPr>
          <w:rFonts w:ascii="Times New Roman" w:hAnsi="Times New Roman" w:cs="Times New Roman"/>
          <w:color w:val="auto"/>
          <w:sz w:val="24"/>
          <w:szCs w:val="24"/>
        </w:rPr>
        <w:t>european</w:t>
      </w:r>
      <w:proofErr w:type="spellEnd"/>
      <w:proofErr w:type="gramEnd"/>
    </w:p>
    <w:p w14:paraId="3C6DD3C6" w14:textId="14DB0F20" w:rsidR="002D081A" w:rsidRPr="00E97463" w:rsidRDefault="00BB3686" w:rsidP="00BB368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consultarea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SRIM,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formată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din cadre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centrele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acreditate</w:t>
      </w:r>
      <w:proofErr w:type="spellEnd"/>
      <w:r w:rsidR="005C065A" w:rsidRPr="00E97463">
        <w:rPr>
          <w:rFonts w:ascii="Times New Roman" w:hAnsi="Times New Roman" w:cs="Times New Roman"/>
          <w:sz w:val="24"/>
          <w:szCs w:val="24"/>
        </w:rPr>
        <w:t>.</w:t>
      </w:r>
    </w:p>
    <w:p w14:paraId="5C623203" w14:textId="77777777" w:rsidR="002D081A" w:rsidRPr="00E97463" w:rsidRDefault="00BB3686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Rolul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comisiei</w:t>
      </w:r>
      <w:proofErr w:type="spellEnd"/>
    </w:p>
    <w:p w14:paraId="3E258A30" w14:textId="0EB6404B" w:rsidR="002D081A" w:rsidRPr="00E97463" w:rsidRDefault="00BB3686" w:rsidP="00BB368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. </w:t>
      </w:r>
      <w:r w:rsidR="005C065A" w:rsidRPr="00E97463">
        <w:rPr>
          <w:rFonts w:ascii="Times New Roman" w:hAnsi="Times New Roman" w:cs="Times New Roman"/>
          <w:sz w:val="24"/>
          <w:szCs w:val="24"/>
        </w:rPr>
        <w:t>459</w:t>
      </w:r>
      <w:r w:rsidRPr="00E97463">
        <w:rPr>
          <w:rFonts w:ascii="Times New Roman" w:hAnsi="Times New Roman" w:cs="Times New Roman"/>
          <w:sz w:val="24"/>
          <w:szCs w:val="24"/>
        </w:rPr>
        <w:t xml:space="preserve">/2026,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746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proofErr w:type="gram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nu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elaborează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subiecte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nu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corectează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lucrări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revenind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EBR.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:</w:t>
      </w:r>
    </w:p>
    <w:p w14:paraId="413318E5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cu SRIM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EBR,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sesiunii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examen;</w:t>
      </w:r>
    </w:p>
    <w:p w14:paraId="604EF1A4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logistice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publicației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concurs;</w:t>
      </w:r>
    </w:p>
    <w:p w14:paraId="4F99025C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logistice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optime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probelor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;</w:t>
      </w:r>
    </w:p>
    <w:p w14:paraId="3BFC5ED6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sesiunii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derulat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EBR;</w:t>
      </w:r>
    </w:p>
    <w:p w14:paraId="5BCF024B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sprijinirea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demersurilor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EBR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sesiunii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;</w:t>
      </w:r>
    </w:p>
    <w:p w14:paraId="2F97ED2F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EBR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corectării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;</w:t>
      </w:r>
    </w:p>
    <w:p w14:paraId="7272FA2A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formulei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asimilare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. II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transpunerea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finale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note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echivalente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;</w:t>
      </w:r>
    </w:p>
    <w:p w14:paraId="3FF41225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catalogului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notele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promovați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;</w:t>
      </w:r>
    </w:p>
    <w:p w14:paraId="1168FD12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463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proofErr w:type="gram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catalogului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cu note,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ratei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promovabilitate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2B34B04A" w14:textId="0F636B36" w:rsidR="002D081A" w:rsidRPr="00E97463" w:rsidRDefault="006A358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97463">
        <w:rPr>
          <w:rFonts w:ascii="Times New Roman" w:hAnsi="Times New Roman" w:cs="Times New Roman"/>
          <w:color w:val="auto"/>
          <w:sz w:val="24"/>
          <w:szCs w:val="24"/>
        </w:rPr>
        <w:t>VIII</w:t>
      </w:r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>Rezultate</w:t>
      </w:r>
      <w:proofErr w:type="spellEnd"/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>asimilarea</w:t>
      </w:r>
      <w:proofErr w:type="spellEnd"/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>punctajului</w:t>
      </w:r>
      <w:proofErr w:type="spellEnd"/>
    </w:p>
    <w:p w14:paraId="1F5BCD51" w14:textId="77777777" w:rsidR="002D081A" w:rsidRPr="00E97463" w:rsidRDefault="00BB3686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</w:p>
    <w:p w14:paraId="1FE06C60" w14:textId="77777777" w:rsidR="002D081A" w:rsidRPr="00E97463" w:rsidRDefault="00BB3686" w:rsidP="00BB368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brute (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finale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EDiR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calculate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>European Board of Radiology</w:t>
      </w:r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corectare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scoring.</w:t>
      </w:r>
    </w:p>
    <w:p w14:paraId="7FAA7171" w14:textId="77777777" w:rsidR="002D081A" w:rsidRPr="00E97463" w:rsidRDefault="00BB3686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Asimilarea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național</w:t>
      </w:r>
      <w:proofErr w:type="spellEnd"/>
    </w:p>
    <w:p w14:paraId="48CF02B2" w14:textId="14E62B41" w:rsidR="002D081A" w:rsidRPr="00E97463" w:rsidRDefault="00BB3686" w:rsidP="00BB368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declarați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admiși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(care au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atins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pragul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EBR),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EDiR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asimilează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cu media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4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lastRenderedPageBreak/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formulei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>. II</w:t>
      </w:r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. </w:t>
      </w:r>
      <w:r w:rsidR="005C065A" w:rsidRPr="00E97463">
        <w:rPr>
          <w:rFonts w:ascii="Times New Roman" w:hAnsi="Times New Roman" w:cs="Times New Roman"/>
          <w:sz w:val="24"/>
          <w:szCs w:val="24"/>
        </w:rPr>
        <w:t>459</w:t>
      </w:r>
      <w:r w:rsidRPr="00E97463">
        <w:rPr>
          <w:rFonts w:ascii="Times New Roman" w:hAnsi="Times New Roman" w:cs="Times New Roman"/>
          <w:sz w:val="24"/>
          <w:szCs w:val="24"/>
        </w:rPr>
        <w:t>/2026:</w:t>
      </w:r>
    </w:p>
    <w:p w14:paraId="48A7503D" w14:textId="77777777" w:rsidR="002D081A" w:rsidRPr="00E97463" w:rsidRDefault="00BB3686">
      <w:pPr>
        <w:spacing w:before="160" w:after="160"/>
        <w:jc w:val="center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eastAsia="Cambria Math" w:hAnsi="Times New Roman" w:cs="Times New Roman"/>
          <w:b/>
          <w:bCs/>
          <w:i/>
          <w:iCs/>
          <w:sz w:val="24"/>
          <w:szCs w:val="24"/>
        </w:rPr>
        <w:t xml:space="preserve">Y = </w:t>
      </w:r>
      <w:proofErr w:type="gramStart"/>
      <w:r w:rsidRPr="00E97463">
        <w:rPr>
          <w:rFonts w:ascii="Times New Roman" w:eastAsia="Cambria Math" w:hAnsi="Times New Roman" w:cs="Times New Roman"/>
          <w:b/>
          <w:bCs/>
          <w:i/>
          <w:iCs/>
          <w:sz w:val="24"/>
          <w:szCs w:val="24"/>
        </w:rPr>
        <w:t>[ 3</w:t>
      </w:r>
      <w:proofErr w:type="gramEnd"/>
      <w:r w:rsidRPr="00E97463">
        <w:rPr>
          <w:rFonts w:ascii="Times New Roman" w:eastAsia="Cambria Math" w:hAnsi="Times New Roman" w:cs="Times New Roman"/>
          <w:b/>
          <w:bCs/>
          <w:i/>
          <w:iCs/>
          <w:sz w:val="24"/>
          <w:szCs w:val="24"/>
        </w:rPr>
        <w:t xml:space="preserve"> / (100 − P) ] × (X − P) + 7</w:t>
      </w:r>
    </w:p>
    <w:p w14:paraId="55BE0B60" w14:textId="77777777" w:rsidR="002D081A" w:rsidRPr="00E97463" w:rsidRDefault="00BB3686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:</w:t>
      </w:r>
    </w:p>
    <w:p w14:paraId="76C74C32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97463">
        <w:rPr>
          <w:rFonts w:ascii="Times New Roman" w:hAnsi="Times New Roman" w:cs="Times New Roman"/>
          <w:sz w:val="24"/>
          <w:szCs w:val="24"/>
        </w:rPr>
        <w:t xml:space="preserve"> = nota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echivalentă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 (scala 1–10);</w:t>
      </w:r>
    </w:p>
    <w:p w14:paraId="56C310B3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9746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pragul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EDiR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calculat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EBR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sesiune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);</w:t>
      </w:r>
    </w:p>
    <w:p w14:paraId="14648AA8" w14:textId="77777777" w:rsidR="002D081A" w:rsidRPr="00E97463" w:rsidRDefault="00BB3686">
      <w:pPr>
        <w:pStyle w:val="ListParagraph"/>
        <w:numPr>
          <w:ilvl w:val="0"/>
          <w:numId w:val="2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9746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EDiR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70280A86" w14:textId="77777777" w:rsidR="002D081A" w:rsidRPr="00E97463" w:rsidRDefault="00BB3686" w:rsidP="00BB3686">
      <w:pPr>
        <w:spacing w:after="120" w:line="30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Nota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>7,00</w:t>
      </w:r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corespunde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pragului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scalate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proporțional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nota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maximă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10.</w:t>
      </w:r>
    </w:p>
    <w:p w14:paraId="4B28990F" w14:textId="77777777" w:rsidR="002D081A" w:rsidRPr="00E97463" w:rsidRDefault="00BB3686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Catalogul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final</w:t>
      </w:r>
    </w:p>
    <w:p w14:paraId="6F84C151" w14:textId="36E8A4F5" w:rsidR="002D081A" w:rsidRPr="00E97463" w:rsidRDefault="00BB3686" w:rsidP="00BB368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centralizează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formula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asimilare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punctajelor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promovați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întocmește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catalogul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ordinea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descrescătoare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mediilor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cuprinzând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cu media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echivalentă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minimă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7,00.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Catalogul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semnează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b/>
          <w:sz w:val="24"/>
          <w:szCs w:val="24"/>
        </w:rPr>
        <w:t xml:space="preserve"> original,</w:t>
      </w:r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52F93DB4" w14:textId="77777777" w:rsidR="002D081A" w:rsidRPr="00E97463" w:rsidRDefault="00BB3686">
      <w:pPr>
        <w:pStyle w:val="Heading3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Confirmarea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</w:t>
      </w:r>
    </w:p>
    <w:p w14:paraId="3EC11734" w14:textId="4FC9746E" w:rsidR="002D081A" w:rsidRPr="00E97463" w:rsidRDefault="00BB3686" w:rsidP="00BB3686">
      <w:pPr>
        <w:spacing w:after="12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rezidenți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susțin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promovează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regăsesc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catalogul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exceptați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susținerea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probelor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național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medic specialist se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confirmă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ordin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ministrului</w:t>
      </w:r>
      <w:proofErr w:type="spellEnd"/>
      <w:r w:rsidRPr="00E97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b/>
          <w:bCs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sesiunii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centralizarea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stagiilor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10A4068D" w14:textId="7414B64E" w:rsidR="002D081A" w:rsidRPr="00E97463" w:rsidRDefault="006A358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E97463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X. </w:t>
      </w:r>
      <w:proofErr w:type="spellStart"/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>Precizări</w:t>
      </w:r>
      <w:proofErr w:type="spellEnd"/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B3686" w:rsidRPr="00E97463">
        <w:rPr>
          <w:rFonts w:ascii="Times New Roman" w:hAnsi="Times New Roman" w:cs="Times New Roman"/>
          <w:color w:val="auto"/>
          <w:sz w:val="24"/>
          <w:szCs w:val="24"/>
        </w:rPr>
        <w:t>importante</w:t>
      </w:r>
      <w:proofErr w:type="spellEnd"/>
    </w:p>
    <w:p w14:paraId="006CD4B5" w14:textId="5703D03C" w:rsidR="002D081A" w:rsidRPr="00E97463" w:rsidRDefault="00BB3686" w:rsidP="00BB3686">
      <w:pPr>
        <w:pStyle w:val="ListParagraph"/>
        <w:numPr>
          <w:ilvl w:val="0"/>
          <w:numId w:val="5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operaționale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conținutul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cerute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calendarul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EBR,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invitați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consulte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r w:rsidRPr="00E97463">
        <w:rPr>
          <w:rFonts w:ascii="Times New Roman" w:hAnsi="Times New Roman" w:cs="Times New Roman"/>
          <w:b/>
          <w:bCs/>
          <w:sz w:val="24"/>
          <w:szCs w:val="24"/>
        </w:rPr>
        <w:t>European Board of Radiology</w:t>
      </w:r>
      <w:r w:rsidRPr="00E97463">
        <w:rPr>
          <w:rFonts w:ascii="Times New Roman" w:hAnsi="Times New Roman" w:cs="Times New Roman"/>
          <w:sz w:val="24"/>
          <w:szCs w:val="24"/>
        </w:rPr>
        <w:t>: www.myebr.org.</w:t>
      </w:r>
    </w:p>
    <w:p w14:paraId="2A64EC02" w14:textId="488F5150" w:rsidR="005C065A" w:rsidRPr="00E97463" w:rsidRDefault="00BB3686" w:rsidP="005C065A">
      <w:pPr>
        <w:pStyle w:val="ListParagraph"/>
        <w:numPr>
          <w:ilvl w:val="0"/>
          <w:numId w:val="5"/>
        </w:num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consulta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(SRIM): </w:t>
      </w:r>
      <w:r w:rsidR="004A3839" w:rsidRPr="00E97463">
        <w:rPr>
          <w:rFonts w:ascii="Times New Roman" w:hAnsi="Times New Roman" w:cs="Times New Roman"/>
          <w:sz w:val="24"/>
          <w:szCs w:val="24"/>
        </w:rPr>
        <w:t>www.srimr.ro</w:t>
      </w:r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2C264B07" w14:textId="3D463FD6" w:rsidR="002D081A" w:rsidRPr="00E97463" w:rsidRDefault="005C065A" w:rsidP="005C065A">
      <w:pPr>
        <w:pStyle w:val="ListParagraph"/>
        <w:numPr>
          <w:ilvl w:val="0"/>
          <w:numId w:val="5"/>
        </w:numPr>
        <w:spacing w:after="10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care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afișarea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listelor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constata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greșeli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redactare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numelui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înștiința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4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9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E97463">
        <w:rPr>
          <w:rFonts w:ascii="Times New Roman" w:hAnsi="Times New Roman" w:cs="Times New Roman"/>
          <w:sz w:val="24"/>
          <w:szCs w:val="24"/>
        </w:rPr>
        <w:t>.</w:t>
      </w:r>
    </w:p>
    <w:p w14:paraId="30E301A3" w14:textId="77777777" w:rsidR="005C065A" w:rsidRPr="00E97463" w:rsidRDefault="005C065A">
      <w:pPr>
        <w:pBdr>
          <w:bottom w:val="single" w:sz="6" w:space="1" w:color="2E75B6"/>
        </w:pBd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520FD945" w14:textId="7AC41186" w:rsidR="002D081A" w:rsidRPr="00E97463" w:rsidRDefault="00BB3686" w:rsidP="00E97463">
      <w:pPr>
        <w:spacing w:before="160"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Publicație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emisă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Ministerul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Sănătății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Direcția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reglementare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formare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profesională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colaborare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Societatea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Radiologie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Imagistică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Medicală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România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7463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E97463">
        <w:rPr>
          <w:rFonts w:ascii="Times New Roman" w:hAnsi="Times New Roman" w:cs="Times New Roman"/>
          <w:i/>
          <w:iCs/>
          <w:sz w:val="24"/>
          <w:szCs w:val="24"/>
        </w:rPr>
        <w:t xml:space="preserve"> European Board of Radiology.</w:t>
      </w:r>
      <w:bookmarkStart w:id="0" w:name="_GoBack"/>
      <w:bookmarkEnd w:id="0"/>
    </w:p>
    <w:sectPr w:rsidR="002D081A" w:rsidRPr="00E97463" w:rsidSect="00BB3686">
      <w:pgSz w:w="11906" w:h="16838"/>
      <w:pgMar w:top="1440" w:right="1440" w:bottom="1134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7150B"/>
    <w:multiLevelType w:val="hybridMultilevel"/>
    <w:tmpl w:val="E4EE238C"/>
    <w:lvl w:ilvl="0" w:tplc="2BB07640">
      <w:start w:val="1"/>
      <w:numFmt w:val="bullet"/>
      <w:lvlText w:val="•"/>
      <w:lvlJc w:val="left"/>
      <w:pPr>
        <w:ind w:left="720" w:hanging="360"/>
      </w:pPr>
    </w:lvl>
    <w:lvl w:ilvl="1" w:tplc="0AAA9B90">
      <w:numFmt w:val="decimal"/>
      <w:lvlText w:val=""/>
      <w:lvlJc w:val="left"/>
    </w:lvl>
    <w:lvl w:ilvl="2" w:tplc="7E0E8332">
      <w:numFmt w:val="decimal"/>
      <w:lvlText w:val=""/>
      <w:lvlJc w:val="left"/>
    </w:lvl>
    <w:lvl w:ilvl="3" w:tplc="A0EAA618">
      <w:numFmt w:val="decimal"/>
      <w:lvlText w:val=""/>
      <w:lvlJc w:val="left"/>
    </w:lvl>
    <w:lvl w:ilvl="4" w:tplc="71EABB9E">
      <w:numFmt w:val="decimal"/>
      <w:lvlText w:val=""/>
      <w:lvlJc w:val="left"/>
    </w:lvl>
    <w:lvl w:ilvl="5" w:tplc="4510E284">
      <w:numFmt w:val="decimal"/>
      <w:lvlText w:val=""/>
      <w:lvlJc w:val="left"/>
    </w:lvl>
    <w:lvl w:ilvl="6" w:tplc="5DFE6494">
      <w:numFmt w:val="decimal"/>
      <w:lvlText w:val=""/>
      <w:lvlJc w:val="left"/>
    </w:lvl>
    <w:lvl w:ilvl="7" w:tplc="F8069176">
      <w:numFmt w:val="decimal"/>
      <w:lvlText w:val=""/>
      <w:lvlJc w:val="left"/>
    </w:lvl>
    <w:lvl w:ilvl="8" w:tplc="E012B4CE">
      <w:numFmt w:val="decimal"/>
      <w:lvlText w:val=""/>
      <w:lvlJc w:val="left"/>
    </w:lvl>
  </w:abstractNum>
  <w:abstractNum w:abstractNumId="1" w15:restartNumberingAfterBreak="0">
    <w:nsid w:val="18B63D58"/>
    <w:multiLevelType w:val="hybridMultilevel"/>
    <w:tmpl w:val="4664FA64"/>
    <w:lvl w:ilvl="0" w:tplc="50A8BB02">
      <w:start w:val="1"/>
      <w:numFmt w:val="decimal"/>
      <w:lvlText w:val="%1."/>
      <w:lvlJc w:val="left"/>
      <w:pPr>
        <w:ind w:left="720" w:hanging="360"/>
      </w:pPr>
    </w:lvl>
    <w:lvl w:ilvl="1" w:tplc="E1D2D998">
      <w:numFmt w:val="decimal"/>
      <w:lvlText w:val=""/>
      <w:lvlJc w:val="left"/>
    </w:lvl>
    <w:lvl w:ilvl="2" w:tplc="27EC0F32">
      <w:numFmt w:val="decimal"/>
      <w:lvlText w:val=""/>
      <w:lvlJc w:val="left"/>
    </w:lvl>
    <w:lvl w:ilvl="3" w:tplc="6688E6DA">
      <w:numFmt w:val="decimal"/>
      <w:lvlText w:val=""/>
      <w:lvlJc w:val="left"/>
    </w:lvl>
    <w:lvl w:ilvl="4" w:tplc="B4F0D04C">
      <w:numFmt w:val="decimal"/>
      <w:lvlText w:val=""/>
      <w:lvlJc w:val="left"/>
    </w:lvl>
    <w:lvl w:ilvl="5" w:tplc="8D58D640">
      <w:numFmt w:val="decimal"/>
      <w:lvlText w:val=""/>
      <w:lvlJc w:val="left"/>
    </w:lvl>
    <w:lvl w:ilvl="6" w:tplc="CEB81CF2">
      <w:numFmt w:val="decimal"/>
      <w:lvlText w:val=""/>
      <w:lvlJc w:val="left"/>
    </w:lvl>
    <w:lvl w:ilvl="7" w:tplc="C4601FA2">
      <w:numFmt w:val="decimal"/>
      <w:lvlText w:val=""/>
      <w:lvlJc w:val="left"/>
    </w:lvl>
    <w:lvl w:ilvl="8" w:tplc="CC46207C">
      <w:numFmt w:val="decimal"/>
      <w:lvlText w:val=""/>
      <w:lvlJc w:val="left"/>
    </w:lvl>
  </w:abstractNum>
  <w:abstractNum w:abstractNumId="2" w15:restartNumberingAfterBreak="0">
    <w:nsid w:val="195763EC"/>
    <w:multiLevelType w:val="hybridMultilevel"/>
    <w:tmpl w:val="23189EB6"/>
    <w:lvl w:ilvl="0" w:tplc="4DA63004">
      <w:start w:val="1"/>
      <w:numFmt w:val="decimal"/>
      <w:lvlText w:val="%1."/>
      <w:lvlJc w:val="left"/>
      <w:pPr>
        <w:ind w:left="720" w:hanging="360"/>
      </w:pPr>
    </w:lvl>
    <w:lvl w:ilvl="1" w:tplc="6D04CB2E">
      <w:numFmt w:val="decimal"/>
      <w:lvlText w:val=""/>
      <w:lvlJc w:val="left"/>
    </w:lvl>
    <w:lvl w:ilvl="2" w:tplc="493CFD48">
      <w:numFmt w:val="decimal"/>
      <w:lvlText w:val=""/>
      <w:lvlJc w:val="left"/>
    </w:lvl>
    <w:lvl w:ilvl="3" w:tplc="4D508A24">
      <w:numFmt w:val="decimal"/>
      <w:lvlText w:val=""/>
      <w:lvlJc w:val="left"/>
    </w:lvl>
    <w:lvl w:ilvl="4" w:tplc="FABA4614">
      <w:numFmt w:val="decimal"/>
      <w:lvlText w:val=""/>
      <w:lvlJc w:val="left"/>
    </w:lvl>
    <w:lvl w:ilvl="5" w:tplc="DAD48842">
      <w:numFmt w:val="decimal"/>
      <w:lvlText w:val=""/>
      <w:lvlJc w:val="left"/>
    </w:lvl>
    <w:lvl w:ilvl="6" w:tplc="CCA0B3C0">
      <w:numFmt w:val="decimal"/>
      <w:lvlText w:val=""/>
      <w:lvlJc w:val="left"/>
    </w:lvl>
    <w:lvl w:ilvl="7" w:tplc="430A3D10">
      <w:numFmt w:val="decimal"/>
      <w:lvlText w:val=""/>
      <w:lvlJc w:val="left"/>
    </w:lvl>
    <w:lvl w:ilvl="8" w:tplc="EB20B6BC">
      <w:numFmt w:val="decimal"/>
      <w:lvlText w:val=""/>
      <w:lvlJc w:val="left"/>
    </w:lvl>
  </w:abstractNum>
  <w:abstractNum w:abstractNumId="3" w15:restartNumberingAfterBreak="0">
    <w:nsid w:val="1F0C3AFC"/>
    <w:multiLevelType w:val="hybridMultilevel"/>
    <w:tmpl w:val="4830B7A4"/>
    <w:lvl w:ilvl="0" w:tplc="C45CACDA">
      <w:start w:val="1"/>
      <w:numFmt w:val="decimal"/>
      <w:lvlText w:val="%1."/>
      <w:lvlJc w:val="left"/>
      <w:pPr>
        <w:ind w:left="720" w:hanging="360"/>
      </w:pPr>
    </w:lvl>
    <w:lvl w:ilvl="1" w:tplc="CBEA7C6A">
      <w:numFmt w:val="decimal"/>
      <w:lvlText w:val=""/>
      <w:lvlJc w:val="left"/>
    </w:lvl>
    <w:lvl w:ilvl="2" w:tplc="6492CF02">
      <w:numFmt w:val="decimal"/>
      <w:lvlText w:val=""/>
      <w:lvlJc w:val="left"/>
    </w:lvl>
    <w:lvl w:ilvl="3" w:tplc="33D61BF2">
      <w:numFmt w:val="decimal"/>
      <w:lvlText w:val=""/>
      <w:lvlJc w:val="left"/>
    </w:lvl>
    <w:lvl w:ilvl="4" w:tplc="998E7896">
      <w:numFmt w:val="decimal"/>
      <w:lvlText w:val=""/>
      <w:lvlJc w:val="left"/>
    </w:lvl>
    <w:lvl w:ilvl="5" w:tplc="71A06FB2">
      <w:numFmt w:val="decimal"/>
      <w:lvlText w:val=""/>
      <w:lvlJc w:val="left"/>
    </w:lvl>
    <w:lvl w:ilvl="6" w:tplc="7324BC80">
      <w:numFmt w:val="decimal"/>
      <w:lvlText w:val=""/>
      <w:lvlJc w:val="left"/>
    </w:lvl>
    <w:lvl w:ilvl="7" w:tplc="09BAA776">
      <w:numFmt w:val="decimal"/>
      <w:lvlText w:val=""/>
      <w:lvlJc w:val="left"/>
    </w:lvl>
    <w:lvl w:ilvl="8" w:tplc="0192A408">
      <w:numFmt w:val="decimal"/>
      <w:lvlText w:val=""/>
      <w:lvlJc w:val="left"/>
    </w:lvl>
  </w:abstractNum>
  <w:abstractNum w:abstractNumId="4" w15:restartNumberingAfterBreak="0">
    <w:nsid w:val="2B004B09"/>
    <w:multiLevelType w:val="hybridMultilevel"/>
    <w:tmpl w:val="48E28250"/>
    <w:lvl w:ilvl="0" w:tplc="DBD8ACF8">
      <w:start w:val="1"/>
      <w:numFmt w:val="bullet"/>
      <w:lvlText w:val="●"/>
      <w:lvlJc w:val="left"/>
      <w:pPr>
        <w:ind w:left="720" w:hanging="360"/>
      </w:pPr>
    </w:lvl>
    <w:lvl w:ilvl="1" w:tplc="1388BB02">
      <w:start w:val="1"/>
      <w:numFmt w:val="bullet"/>
      <w:lvlText w:val="○"/>
      <w:lvlJc w:val="left"/>
      <w:pPr>
        <w:ind w:left="1440" w:hanging="360"/>
      </w:pPr>
    </w:lvl>
    <w:lvl w:ilvl="2" w:tplc="C09CBEF0">
      <w:start w:val="1"/>
      <w:numFmt w:val="bullet"/>
      <w:lvlText w:val="■"/>
      <w:lvlJc w:val="left"/>
      <w:pPr>
        <w:ind w:left="2160" w:hanging="360"/>
      </w:pPr>
    </w:lvl>
    <w:lvl w:ilvl="3" w:tplc="865ACE04">
      <w:start w:val="1"/>
      <w:numFmt w:val="bullet"/>
      <w:lvlText w:val="●"/>
      <w:lvlJc w:val="left"/>
      <w:pPr>
        <w:ind w:left="2880" w:hanging="360"/>
      </w:pPr>
    </w:lvl>
    <w:lvl w:ilvl="4" w:tplc="E892EA6E">
      <w:start w:val="1"/>
      <w:numFmt w:val="bullet"/>
      <w:lvlText w:val="○"/>
      <w:lvlJc w:val="left"/>
      <w:pPr>
        <w:ind w:left="3600" w:hanging="360"/>
      </w:pPr>
    </w:lvl>
    <w:lvl w:ilvl="5" w:tplc="0BA40200">
      <w:start w:val="1"/>
      <w:numFmt w:val="bullet"/>
      <w:lvlText w:val="■"/>
      <w:lvlJc w:val="left"/>
      <w:pPr>
        <w:ind w:left="4320" w:hanging="360"/>
      </w:pPr>
    </w:lvl>
    <w:lvl w:ilvl="6" w:tplc="3662C910">
      <w:start w:val="1"/>
      <w:numFmt w:val="bullet"/>
      <w:lvlText w:val="●"/>
      <w:lvlJc w:val="left"/>
      <w:pPr>
        <w:ind w:left="5040" w:hanging="360"/>
      </w:pPr>
    </w:lvl>
    <w:lvl w:ilvl="7" w:tplc="F71C9CA8">
      <w:start w:val="1"/>
      <w:numFmt w:val="bullet"/>
      <w:lvlText w:val="●"/>
      <w:lvlJc w:val="left"/>
      <w:pPr>
        <w:ind w:left="5760" w:hanging="360"/>
      </w:pPr>
    </w:lvl>
    <w:lvl w:ilvl="8" w:tplc="686082DA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513F1EA2"/>
    <w:multiLevelType w:val="hybridMultilevel"/>
    <w:tmpl w:val="BA06F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35971"/>
    <w:multiLevelType w:val="hybridMultilevel"/>
    <w:tmpl w:val="1F763EDE"/>
    <w:lvl w:ilvl="0" w:tplc="3EA83BD4">
      <w:start w:val="1"/>
      <w:numFmt w:val="decimal"/>
      <w:lvlText w:val="%1."/>
      <w:lvlJc w:val="left"/>
      <w:pPr>
        <w:ind w:left="720" w:hanging="360"/>
      </w:pPr>
    </w:lvl>
    <w:lvl w:ilvl="1" w:tplc="844003AC">
      <w:numFmt w:val="decimal"/>
      <w:lvlText w:val=""/>
      <w:lvlJc w:val="left"/>
    </w:lvl>
    <w:lvl w:ilvl="2" w:tplc="50506B40">
      <w:numFmt w:val="decimal"/>
      <w:lvlText w:val=""/>
      <w:lvlJc w:val="left"/>
    </w:lvl>
    <w:lvl w:ilvl="3" w:tplc="CCEAA73E">
      <w:numFmt w:val="decimal"/>
      <w:lvlText w:val=""/>
      <w:lvlJc w:val="left"/>
    </w:lvl>
    <w:lvl w:ilvl="4" w:tplc="959E3A12">
      <w:numFmt w:val="decimal"/>
      <w:lvlText w:val=""/>
      <w:lvlJc w:val="left"/>
    </w:lvl>
    <w:lvl w:ilvl="5" w:tplc="3A425E78">
      <w:numFmt w:val="decimal"/>
      <w:lvlText w:val=""/>
      <w:lvlJc w:val="left"/>
    </w:lvl>
    <w:lvl w:ilvl="6" w:tplc="7A2C49B4">
      <w:numFmt w:val="decimal"/>
      <w:lvlText w:val=""/>
      <w:lvlJc w:val="left"/>
    </w:lvl>
    <w:lvl w:ilvl="7" w:tplc="D00C1804">
      <w:numFmt w:val="decimal"/>
      <w:lvlText w:val=""/>
      <w:lvlJc w:val="left"/>
    </w:lvl>
    <w:lvl w:ilvl="8" w:tplc="9C7E1A52">
      <w:numFmt w:val="decimal"/>
      <w:lvlText w:val=""/>
      <w:lvlJc w:val="left"/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1A"/>
    <w:rsid w:val="00092559"/>
    <w:rsid w:val="000D3647"/>
    <w:rsid w:val="002D081A"/>
    <w:rsid w:val="004A3839"/>
    <w:rsid w:val="005C065A"/>
    <w:rsid w:val="006A3588"/>
    <w:rsid w:val="0072282C"/>
    <w:rsid w:val="008B4517"/>
    <w:rsid w:val="00905E01"/>
    <w:rsid w:val="00A318BB"/>
    <w:rsid w:val="00BA43CA"/>
    <w:rsid w:val="00BB3686"/>
    <w:rsid w:val="00C033D4"/>
    <w:rsid w:val="00C24F36"/>
    <w:rsid w:val="00C959D1"/>
    <w:rsid w:val="00CF2A1E"/>
    <w:rsid w:val="00CF5FB6"/>
    <w:rsid w:val="00DB1294"/>
    <w:rsid w:val="00DD4B2B"/>
    <w:rsid w:val="00E91B42"/>
    <w:rsid w:val="00E97463"/>
    <w:rsid w:val="00E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905C6"/>
  <w15:docId w15:val="{62C8416B-E517-44A1-B258-A465D8AD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unhideWhenUsed/>
    <w:qFormat/>
    <w:pPr>
      <w:spacing w:before="280" w:after="160"/>
      <w:outlineLvl w:val="1"/>
    </w:pPr>
    <w:rPr>
      <w:b/>
      <w:bCs/>
      <w:color w:val="1F3864"/>
      <w:sz w:val="26"/>
      <w:szCs w:val="26"/>
    </w:rPr>
  </w:style>
  <w:style w:type="paragraph" w:styleId="Heading3">
    <w:name w:val="heading 3"/>
    <w:uiPriority w:val="9"/>
    <w:unhideWhenUsed/>
    <w:qFormat/>
    <w:pPr>
      <w:spacing w:before="200" w:after="120"/>
      <w:outlineLvl w:val="2"/>
    </w:pPr>
    <w:rPr>
      <w:b/>
      <w:bCs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85E29-07F9-4247-BCCA-32A40F70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Publicație EDiR – sesiunea toamnă 2026</vt:lpstr>
    </vt:vector>
  </TitlesOfParts>
  <Company/>
  <LinksUpToDate>false</LinksUpToDate>
  <CharactersWithSpaces>10725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Publicație EDiR – sesiunea toamnă 2026</dc:title>
  <dc:creator>Ministerul Sănătății</dc:creator>
  <cp:lastModifiedBy>Carmen Moise</cp:lastModifiedBy>
  <cp:revision>2</cp:revision>
  <dcterms:created xsi:type="dcterms:W3CDTF">2026-05-22T09:16:00Z</dcterms:created>
  <dcterms:modified xsi:type="dcterms:W3CDTF">2026-05-22T09:16:00Z</dcterms:modified>
</cp:coreProperties>
</file>